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B203D" w14:textId="77777777" w:rsidR="00731910" w:rsidRDefault="00731910" w:rsidP="004C11CF">
      <w:pPr>
        <w:rPr>
          <w:rFonts w:ascii="Calibri" w:hAnsi="Calibri" w:cs="Calibri"/>
          <w:b/>
          <w:bCs/>
          <w:sz w:val="22"/>
          <w:szCs w:val="22"/>
        </w:rPr>
      </w:pPr>
    </w:p>
    <w:p w14:paraId="1E777D32" w14:textId="3CA8330C" w:rsidR="003D08B1" w:rsidRPr="006048AD" w:rsidRDefault="00731910" w:rsidP="006048AD">
      <w:pPr>
        <w:pStyle w:val="Title"/>
      </w:pPr>
      <w:r w:rsidRPr="006048AD">
        <w:t>AGENDA ITEM 8</w:t>
      </w:r>
    </w:p>
    <w:p w14:paraId="451357A9" w14:textId="77777777" w:rsidR="00731910" w:rsidRPr="00741395" w:rsidRDefault="00731910" w:rsidP="006048AD">
      <w:pPr>
        <w:rPr>
          <w:rFonts w:ascii="Calibri" w:hAnsi="Calibri" w:cs="Calibri"/>
          <w:sz w:val="22"/>
          <w:szCs w:val="22"/>
        </w:rPr>
      </w:pPr>
    </w:p>
    <w:p w14:paraId="58C6E122" w14:textId="08E5440D" w:rsidR="001E4116" w:rsidRPr="0064558F" w:rsidRDefault="0013261A" w:rsidP="006048AD">
      <w:pPr>
        <w:pStyle w:val="BodyTextIndent"/>
        <w:tabs>
          <w:tab w:val="clear" w:pos="360"/>
        </w:tabs>
        <w:ind w:left="0" w:firstLine="0"/>
        <w:rPr>
          <w:rFonts w:ascii="Calibri" w:hAnsi="Calibri" w:cs="Calibri"/>
          <w:b/>
          <w:szCs w:val="22"/>
        </w:rPr>
      </w:pPr>
      <w:r w:rsidRPr="00741395">
        <w:rPr>
          <w:rFonts w:ascii="Calibri" w:hAnsi="Calibri" w:cs="Calibri"/>
          <w:b/>
          <w:szCs w:val="22"/>
        </w:rPr>
        <w:t xml:space="preserve">Title of report: </w:t>
      </w:r>
      <w:r w:rsidR="00D116DF" w:rsidRPr="00741395">
        <w:rPr>
          <w:rFonts w:ascii="Calibri" w:hAnsi="Calibri" w:cs="Calibri"/>
          <w:b/>
          <w:szCs w:val="22"/>
        </w:rPr>
        <w:t>Early Years Block Funding 202</w:t>
      </w:r>
      <w:r w:rsidR="00303AAD" w:rsidRPr="00741395">
        <w:rPr>
          <w:rFonts w:ascii="Calibri" w:hAnsi="Calibri" w:cs="Calibri"/>
          <w:b/>
          <w:szCs w:val="22"/>
        </w:rPr>
        <w:t>2-2023</w:t>
      </w:r>
    </w:p>
    <w:p w14:paraId="60B7C6F1" w14:textId="23EB5EF5" w:rsidR="00616733" w:rsidRPr="00041EF2" w:rsidRDefault="001E4116" w:rsidP="006048AD">
      <w:pPr>
        <w:rPr>
          <w:rFonts w:ascii="Calibri" w:hAnsi="Calibri" w:cs="Calibri"/>
          <w:sz w:val="22"/>
          <w:szCs w:val="22"/>
        </w:rPr>
      </w:pPr>
      <w:r w:rsidRPr="00741395">
        <w:rPr>
          <w:rFonts w:ascii="Calibri" w:hAnsi="Calibri" w:cs="Calibri"/>
          <w:b/>
          <w:sz w:val="22"/>
          <w:szCs w:val="22"/>
        </w:rPr>
        <w:t xml:space="preserve">Author of the paper: </w:t>
      </w:r>
      <w:r w:rsidR="00862649" w:rsidRPr="00741395">
        <w:rPr>
          <w:rFonts w:ascii="Calibri" w:hAnsi="Calibri" w:cs="Calibri"/>
          <w:b/>
          <w:sz w:val="22"/>
          <w:szCs w:val="22"/>
        </w:rPr>
        <w:t xml:space="preserve">  </w:t>
      </w:r>
      <w:r w:rsidR="00303AAD" w:rsidRPr="00041EF2">
        <w:rPr>
          <w:rFonts w:ascii="Calibri" w:hAnsi="Calibri" w:cs="Calibri"/>
          <w:sz w:val="22"/>
          <w:szCs w:val="22"/>
        </w:rPr>
        <w:t>Jess Milne</w:t>
      </w:r>
    </w:p>
    <w:p w14:paraId="0557F37B" w14:textId="77777777" w:rsidR="001E4116" w:rsidRPr="00741395" w:rsidRDefault="001E4116" w:rsidP="006048AD">
      <w:pPr>
        <w:rPr>
          <w:rFonts w:ascii="Calibri" w:hAnsi="Calibri" w:cs="Calibri"/>
          <w:sz w:val="22"/>
          <w:szCs w:val="22"/>
        </w:rPr>
      </w:pPr>
    </w:p>
    <w:p w14:paraId="1A2466B0" w14:textId="24644BFF" w:rsidR="00616733" w:rsidRPr="00741395" w:rsidRDefault="001E4116" w:rsidP="006048AD">
      <w:pPr>
        <w:rPr>
          <w:rFonts w:ascii="Calibri" w:hAnsi="Calibri" w:cs="Calibri"/>
          <w:sz w:val="22"/>
          <w:szCs w:val="22"/>
        </w:rPr>
      </w:pPr>
      <w:r w:rsidRPr="00741395">
        <w:rPr>
          <w:rFonts w:ascii="Calibri" w:hAnsi="Calibri" w:cs="Calibri"/>
          <w:b/>
          <w:sz w:val="22"/>
          <w:szCs w:val="22"/>
        </w:rPr>
        <w:t xml:space="preserve">Officer to present the paper to </w:t>
      </w:r>
      <w:r w:rsidR="00025F55" w:rsidRPr="00741395">
        <w:rPr>
          <w:rFonts w:ascii="Calibri" w:hAnsi="Calibri" w:cs="Calibri"/>
          <w:b/>
          <w:sz w:val="22"/>
          <w:szCs w:val="22"/>
        </w:rPr>
        <w:t>Schools Forum</w:t>
      </w:r>
      <w:r w:rsidRPr="00741395">
        <w:rPr>
          <w:rFonts w:ascii="Calibri" w:hAnsi="Calibri" w:cs="Calibri"/>
          <w:b/>
          <w:sz w:val="22"/>
          <w:szCs w:val="22"/>
        </w:rPr>
        <w:t xml:space="preserve">: </w:t>
      </w:r>
      <w:r w:rsidR="00041EF2">
        <w:rPr>
          <w:rFonts w:ascii="Calibri" w:hAnsi="Calibri" w:cs="Calibri"/>
          <w:sz w:val="22"/>
          <w:szCs w:val="22"/>
          <w:lang w:val="en-US"/>
        </w:rPr>
        <w:t>Jess Milne</w:t>
      </w:r>
    </w:p>
    <w:p w14:paraId="01843FD7" w14:textId="77777777" w:rsidR="001E4116" w:rsidRPr="00741395" w:rsidRDefault="001E4116" w:rsidP="006048AD">
      <w:pPr>
        <w:rPr>
          <w:rFonts w:ascii="Calibri" w:hAnsi="Calibri" w:cs="Calibri"/>
          <w:sz w:val="22"/>
          <w:szCs w:val="22"/>
        </w:rPr>
      </w:pPr>
    </w:p>
    <w:p w14:paraId="4991BCAC" w14:textId="77777777" w:rsidR="001E4116" w:rsidRPr="00741395" w:rsidRDefault="001E4116" w:rsidP="006048AD">
      <w:pPr>
        <w:rPr>
          <w:rFonts w:ascii="Calibri" w:hAnsi="Calibri" w:cs="Calibri"/>
          <w:b/>
          <w:sz w:val="22"/>
          <w:szCs w:val="22"/>
        </w:rPr>
      </w:pPr>
      <w:r w:rsidRPr="00741395">
        <w:rPr>
          <w:rFonts w:ascii="Calibri" w:hAnsi="Calibri" w:cs="Calibri"/>
          <w:b/>
          <w:sz w:val="22"/>
          <w:szCs w:val="22"/>
        </w:rPr>
        <w:t>Details on who has been consulted with on this paper to date:</w:t>
      </w:r>
    </w:p>
    <w:p w14:paraId="76FFFAB5" w14:textId="696D6E23" w:rsidR="00616733" w:rsidRDefault="00805B79" w:rsidP="006048AD">
      <w:pPr>
        <w:rPr>
          <w:rFonts w:ascii="Calibri" w:hAnsi="Calibri" w:cs="Calibri"/>
          <w:sz w:val="22"/>
          <w:szCs w:val="22"/>
          <w:lang w:val="en-US"/>
        </w:rPr>
      </w:pPr>
      <w:r w:rsidRPr="00741395">
        <w:rPr>
          <w:rFonts w:ascii="Calibri" w:hAnsi="Calibri" w:cs="Calibri"/>
          <w:sz w:val="22"/>
          <w:szCs w:val="22"/>
          <w:lang w:val="en-US"/>
        </w:rPr>
        <w:t>Kay Goodacre, Nikki Parsons</w:t>
      </w:r>
    </w:p>
    <w:p w14:paraId="262719DF" w14:textId="45183BBB" w:rsidR="006048AD" w:rsidRDefault="006048AD" w:rsidP="006048AD">
      <w:pPr>
        <w:rPr>
          <w:rFonts w:ascii="Calibri" w:hAnsi="Calibri" w:cs="Calibri"/>
          <w:sz w:val="22"/>
          <w:szCs w:val="22"/>
          <w:lang w:val="en-US"/>
        </w:rPr>
      </w:pPr>
    </w:p>
    <w:p w14:paraId="315CC2FE" w14:textId="3ADDE331" w:rsidR="006048AD" w:rsidRPr="006048AD" w:rsidRDefault="006048AD" w:rsidP="006048AD">
      <w:pPr>
        <w:pStyle w:val="Heading2"/>
      </w:pPr>
      <w:r w:rsidRPr="006048AD">
        <w:t>Executive Summary</w:t>
      </w:r>
      <w:r w:rsidRPr="006048AD">
        <w:br/>
      </w:r>
    </w:p>
    <w:p w14:paraId="4DB845DB" w14:textId="33696BBF" w:rsidR="006048AD" w:rsidRDefault="006048AD" w:rsidP="006048AD">
      <w:pPr>
        <w:rPr>
          <w:rFonts w:ascii="Calibri" w:hAnsi="Calibri" w:cs="Calibri"/>
          <w:color w:val="000000" w:themeColor="text1"/>
          <w:sz w:val="22"/>
          <w:szCs w:val="22"/>
        </w:rPr>
      </w:pPr>
      <w:r w:rsidRPr="00741395">
        <w:rPr>
          <w:rFonts w:ascii="Calibri" w:hAnsi="Calibri" w:cs="Calibri"/>
          <w:color w:val="000000" w:themeColor="text1"/>
          <w:sz w:val="22"/>
          <w:szCs w:val="22"/>
        </w:rPr>
        <w:t xml:space="preserve">This report sets out the financial information relating to </w:t>
      </w:r>
      <w:r>
        <w:rPr>
          <w:rFonts w:ascii="Calibri" w:hAnsi="Calibri" w:cs="Calibri"/>
          <w:color w:val="000000" w:themeColor="text1"/>
          <w:sz w:val="22"/>
          <w:szCs w:val="22"/>
        </w:rPr>
        <w:t xml:space="preserve">the </w:t>
      </w:r>
      <w:r w:rsidRPr="00741395">
        <w:rPr>
          <w:rFonts w:ascii="Calibri" w:hAnsi="Calibri" w:cs="Calibri"/>
          <w:color w:val="000000" w:themeColor="text1"/>
          <w:sz w:val="22"/>
          <w:szCs w:val="22"/>
        </w:rPr>
        <w:t>provision of funded Early Education and Childcare</w:t>
      </w:r>
      <w:r>
        <w:rPr>
          <w:rFonts w:ascii="Calibri" w:hAnsi="Calibri" w:cs="Calibri"/>
          <w:color w:val="000000" w:themeColor="text1"/>
          <w:sz w:val="22"/>
          <w:szCs w:val="22"/>
        </w:rPr>
        <w:t xml:space="preserve"> entitlements</w:t>
      </w:r>
      <w:r w:rsidRPr="00741395">
        <w:rPr>
          <w:rFonts w:ascii="Calibri" w:hAnsi="Calibri" w:cs="Calibri"/>
          <w:color w:val="000000" w:themeColor="text1"/>
          <w:sz w:val="22"/>
          <w:szCs w:val="22"/>
        </w:rPr>
        <w:t xml:space="preserve"> for 2, 3 &amp; 4 years old. This includes: the total funding available to providers in 2022-2023 and the centrally retained budget via the Early Years National Funding Formula (EYNFF) as set by the Department for Education through </w:t>
      </w:r>
      <w:r>
        <w:rPr>
          <w:rFonts w:ascii="Calibri" w:hAnsi="Calibri" w:cs="Calibri"/>
          <w:color w:val="000000" w:themeColor="text1"/>
          <w:sz w:val="22"/>
          <w:szCs w:val="22"/>
        </w:rPr>
        <w:t>the Designated Schools Grant (D</w:t>
      </w:r>
      <w:r w:rsidRPr="00741395">
        <w:rPr>
          <w:rFonts w:ascii="Calibri" w:hAnsi="Calibri" w:cs="Calibri"/>
          <w:color w:val="000000" w:themeColor="text1"/>
          <w:sz w:val="22"/>
          <w:szCs w:val="22"/>
        </w:rPr>
        <w:t>S</w:t>
      </w:r>
      <w:r>
        <w:rPr>
          <w:rFonts w:ascii="Calibri" w:hAnsi="Calibri" w:cs="Calibri"/>
          <w:color w:val="000000" w:themeColor="text1"/>
          <w:sz w:val="22"/>
          <w:szCs w:val="22"/>
        </w:rPr>
        <w:t>G</w:t>
      </w:r>
      <w:r w:rsidRPr="00741395">
        <w:rPr>
          <w:rFonts w:ascii="Calibri" w:hAnsi="Calibri" w:cs="Calibri"/>
          <w:color w:val="000000" w:themeColor="text1"/>
          <w:sz w:val="22"/>
          <w:szCs w:val="22"/>
        </w:rPr>
        <w:t>).</w:t>
      </w:r>
    </w:p>
    <w:p w14:paraId="6E57591F" w14:textId="2802F931" w:rsidR="006048AD" w:rsidRDefault="006048AD" w:rsidP="006048AD">
      <w:pPr>
        <w:rPr>
          <w:rFonts w:ascii="Calibri" w:hAnsi="Calibri" w:cs="Calibri"/>
          <w:color w:val="000000" w:themeColor="text1"/>
          <w:sz w:val="22"/>
          <w:szCs w:val="22"/>
        </w:rPr>
      </w:pPr>
    </w:p>
    <w:p w14:paraId="0F91C88D" w14:textId="1BDED17A" w:rsidR="006048AD" w:rsidRPr="00741395" w:rsidRDefault="006048AD" w:rsidP="006048AD">
      <w:pPr>
        <w:pStyle w:val="Heading2"/>
      </w:pPr>
      <w:r w:rsidRPr="00741395">
        <w:t>Recommendations</w:t>
      </w:r>
    </w:p>
    <w:p w14:paraId="64884242" w14:textId="77777777" w:rsidR="006048AD" w:rsidRDefault="006048AD" w:rsidP="006048AD">
      <w:pPr>
        <w:pStyle w:val="Header"/>
        <w:rPr>
          <w:rFonts w:ascii="Calibri" w:hAnsi="Calibri" w:cs="Calibri"/>
          <w:sz w:val="22"/>
          <w:szCs w:val="22"/>
        </w:rPr>
      </w:pPr>
    </w:p>
    <w:p w14:paraId="66C7804B" w14:textId="4E170784" w:rsidR="006048AD" w:rsidRPr="00741395" w:rsidRDefault="006048AD" w:rsidP="006048AD">
      <w:pPr>
        <w:pStyle w:val="Header"/>
        <w:rPr>
          <w:rFonts w:ascii="Calibri" w:hAnsi="Calibri" w:cs="Calibri"/>
          <w:sz w:val="22"/>
          <w:szCs w:val="22"/>
        </w:rPr>
      </w:pPr>
      <w:r w:rsidRPr="00741395">
        <w:rPr>
          <w:rFonts w:ascii="Calibri" w:hAnsi="Calibri" w:cs="Calibri"/>
          <w:sz w:val="22"/>
          <w:szCs w:val="22"/>
        </w:rPr>
        <w:t>Forum is asked to:</w:t>
      </w:r>
    </w:p>
    <w:p w14:paraId="1AF13C2D" w14:textId="77777777" w:rsidR="006048AD" w:rsidRDefault="006048AD" w:rsidP="006048AD">
      <w:pPr>
        <w:pStyle w:val="Header"/>
        <w:numPr>
          <w:ilvl w:val="0"/>
          <w:numId w:val="3"/>
        </w:numPr>
        <w:rPr>
          <w:rFonts w:ascii="Calibri" w:hAnsi="Calibri" w:cs="Calibri"/>
          <w:sz w:val="22"/>
          <w:szCs w:val="22"/>
        </w:rPr>
      </w:pPr>
      <w:r w:rsidRPr="00741395">
        <w:rPr>
          <w:rFonts w:ascii="Calibri" w:hAnsi="Calibri" w:cs="Calibri"/>
          <w:sz w:val="22"/>
          <w:szCs w:val="22"/>
        </w:rPr>
        <w:t>Note the contents of the report.</w:t>
      </w:r>
    </w:p>
    <w:p w14:paraId="151E9B41" w14:textId="40ABD403" w:rsidR="006048AD" w:rsidRPr="006048AD" w:rsidRDefault="006048AD" w:rsidP="006048AD">
      <w:pPr>
        <w:pStyle w:val="Header"/>
        <w:numPr>
          <w:ilvl w:val="0"/>
          <w:numId w:val="3"/>
        </w:numPr>
        <w:rPr>
          <w:rFonts w:ascii="Calibri" w:hAnsi="Calibri" w:cs="Calibri"/>
          <w:sz w:val="22"/>
          <w:szCs w:val="22"/>
        </w:rPr>
      </w:pPr>
      <w:r w:rsidRPr="006048AD">
        <w:rPr>
          <w:rFonts w:ascii="Calibri" w:hAnsi="Calibri" w:cs="Calibri"/>
        </w:rPr>
        <w:t>Agree the continuation of the Early Years centrally retained funding for 2022-23 of 5% which subsequently confirms the base rate passported to the sector.</w:t>
      </w:r>
    </w:p>
    <w:p w14:paraId="1A799843" w14:textId="77777777" w:rsidR="006048AD" w:rsidRPr="00741395" w:rsidRDefault="006048AD" w:rsidP="006048AD">
      <w:pPr>
        <w:rPr>
          <w:rFonts w:ascii="Calibri" w:hAnsi="Calibri" w:cs="Calibri"/>
          <w:sz w:val="22"/>
          <w:szCs w:val="22"/>
        </w:rPr>
      </w:pPr>
    </w:p>
    <w:p w14:paraId="446A0F5A" w14:textId="77777777" w:rsidR="002A18E2" w:rsidRPr="00741395" w:rsidRDefault="002A18E2" w:rsidP="006048AD">
      <w:pPr>
        <w:pStyle w:val="Header"/>
        <w:rPr>
          <w:rFonts w:ascii="Calibri" w:hAnsi="Calibri" w:cs="Calibri"/>
          <w:b/>
          <w:sz w:val="22"/>
          <w:szCs w:val="22"/>
        </w:rPr>
      </w:pPr>
    </w:p>
    <w:p w14:paraId="33DBB874" w14:textId="7A2C1B20" w:rsidR="00660345" w:rsidRPr="00741395" w:rsidRDefault="00660345" w:rsidP="006048AD">
      <w:pPr>
        <w:pStyle w:val="ListParagraph"/>
        <w:numPr>
          <w:ilvl w:val="0"/>
          <w:numId w:val="4"/>
        </w:numPr>
        <w:rPr>
          <w:rFonts w:ascii="Calibri" w:hAnsi="Calibri" w:cs="Calibri"/>
          <w:b/>
          <w:sz w:val="22"/>
          <w:szCs w:val="22"/>
        </w:rPr>
      </w:pPr>
      <w:r w:rsidRPr="00741395">
        <w:rPr>
          <w:rFonts w:ascii="Calibri" w:hAnsi="Calibri" w:cs="Calibri"/>
          <w:b/>
          <w:sz w:val="22"/>
          <w:szCs w:val="22"/>
        </w:rPr>
        <w:t>Background</w:t>
      </w:r>
      <w:r w:rsidR="006048AD">
        <w:rPr>
          <w:rFonts w:ascii="Calibri" w:hAnsi="Calibri" w:cs="Calibri"/>
          <w:b/>
          <w:sz w:val="22"/>
          <w:szCs w:val="22"/>
        </w:rPr>
        <w:br/>
      </w:r>
    </w:p>
    <w:p w14:paraId="0A5A68B1" w14:textId="7EE1B964" w:rsidR="00DA01F3" w:rsidRPr="00741395" w:rsidRDefault="00041EF2" w:rsidP="006048AD">
      <w:pPr>
        <w:pStyle w:val="ListParagraph"/>
        <w:numPr>
          <w:ilvl w:val="1"/>
          <w:numId w:val="32"/>
        </w:numPr>
        <w:rPr>
          <w:rFonts w:ascii="Calibri" w:hAnsi="Calibri" w:cs="Calibri"/>
          <w:color w:val="000000" w:themeColor="text1"/>
          <w:sz w:val="22"/>
          <w:szCs w:val="22"/>
        </w:rPr>
      </w:pPr>
      <w:r>
        <w:rPr>
          <w:rFonts w:ascii="Calibri" w:hAnsi="Calibri" w:cs="Calibri"/>
          <w:color w:val="000000" w:themeColor="text1"/>
          <w:sz w:val="22"/>
          <w:szCs w:val="22"/>
        </w:rPr>
        <w:t xml:space="preserve">London Borough of </w:t>
      </w:r>
      <w:r w:rsidR="00E7421C" w:rsidRPr="00741395">
        <w:rPr>
          <w:rFonts w:ascii="Calibri" w:hAnsi="Calibri" w:cs="Calibri"/>
          <w:color w:val="000000" w:themeColor="text1"/>
          <w:sz w:val="22"/>
          <w:szCs w:val="22"/>
        </w:rPr>
        <w:t>Tower Hamlets</w:t>
      </w:r>
      <w:r>
        <w:rPr>
          <w:rFonts w:ascii="Calibri" w:hAnsi="Calibri" w:cs="Calibri"/>
          <w:color w:val="000000" w:themeColor="text1"/>
          <w:sz w:val="22"/>
          <w:szCs w:val="22"/>
        </w:rPr>
        <w:t xml:space="preserve"> (LBTH)</w:t>
      </w:r>
      <w:r w:rsidR="00E7421C" w:rsidRPr="00741395">
        <w:rPr>
          <w:rFonts w:ascii="Calibri" w:hAnsi="Calibri" w:cs="Calibri"/>
          <w:color w:val="000000" w:themeColor="text1"/>
          <w:sz w:val="22"/>
          <w:szCs w:val="22"/>
        </w:rPr>
        <w:t xml:space="preserve"> is required to consult annually with Schools Forum on the arrangements for Early Years Funding Formula</w:t>
      </w:r>
      <w:r w:rsidR="00675910">
        <w:rPr>
          <w:rFonts w:ascii="Calibri" w:hAnsi="Calibri" w:cs="Calibri"/>
          <w:color w:val="000000" w:themeColor="text1"/>
          <w:sz w:val="22"/>
          <w:szCs w:val="22"/>
        </w:rPr>
        <w:t xml:space="preserve"> (EYNFF)</w:t>
      </w:r>
      <w:r w:rsidR="00E7421C" w:rsidRPr="00741395">
        <w:rPr>
          <w:rFonts w:ascii="Calibri" w:hAnsi="Calibri" w:cs="Calibri"/>
          <w:color w:val="000000" w:themeColor="text1"/>
          <w:sz w:val="22"/>
          <w:szCs w:val="22"/>
        </w:rPr>
        <w:t xml:space="preserve"> for participating Early Education and Childcare</w:t>
      </w:r>
      <w:r>
        <w:rPr>
          <w:rFonts w:ascii="Calibri" w:hAnsi="Calibri" w:cs="Calibri"/>
          <w:color w:val="000000" w:themeColor="text1"/>
          <w:sz w:val="22"/>
          <w:szCs w:val="22"/>
        </w:rPr>
        <w:t xml:space="preserve"> funded provision. LBTH</w:t>
      </w:r>
      <w:r w:rsidR="00E7421C" w:rsidRPr="00741395">
        <w:rPr>
          <w:rFonts w:ascii="Calibri" w:hAnsi="Calibri" w:cs="Calibri"/>
          <w:color w:val="000000" w:themeColor="text1"/>
          <w:sz w:val="22"/>
          <w:szCs w:val="22"/>
        </w:rPr>
        <w:t xml:space="preserve"> is committe</w:t>
      </w:r>
      <w:r w:rsidR="00675910">
        <w:rPr>
          <w:rFonts w:ascii="Calibri" w:hAnsi="Calibri" w:cs="Calibri"/>
          <w:color w:val="000000" w:themeColor="text1"/>
          <w:sz w:val="22"/>
          <w:szCs w:val="22"/>
        </w:rPr>
        <w:t>d to supporting and enabling</w:t>
      </w:r>
      <w:r w:rsidR="00E7421C" w:rsidRPr="00741395">
        <w:rPr>
          <w:rFonts w:ascii="Calibri" w:hAnsi="Calibri" w:cs="Calibri"/>
          <w:color w:val="000000" w:themeColor="text1"/>
          <w:sz w:val="22"/>
          <w:szCs w:val="22"/>
        </w:rPr>
        <w:t xml:space="preserve"> funded and non-funded Early Education and Childcare sector in delivering sustainable and high quality provision within the borough. The proposal available within this report has been based on a safe and sound balance of our commitment to passport as much DSG EYNFF funding to providers and </w:t>
      </w:r>
      <w:r w:rsidR="00675910">
        <w:rPr>
          <w:rFonts w:ascii="Calibri" w:hAnsi="Calibri" w:cs="Calibri"/>
          <w:color w:val="000000" w:themeColor="text1"/>
          <w:sz w:val="22"/>
          <w:szCs w:val="22"/>
        </w:rPr>
        <w:t xml:space="preserve">EY </w:t>
      </w:r>
      <w:r w:rsidR="00E7421C" w:rsidRPr="00741395">
        <w:rPr>
          <w:rFonts w:ascii="Calibri" w:hAnsi="Calibri" w:cs="Calibri"/>
          <w:color w:val="000000" w:themeColor="text1"/>
          <w:sz w:val="22"/>
          <w:szCs w:val="22"/>
        </w:rPr>
        <w:t xml:space="preserve">schools, as well as: being able to meet our statutory duties as a council in delivering a </w:t>
      </w:r>
      <w:r w:rsidR="00321179">
        <w:rPr>
          <w:rFonts w:ascii="Calibri" w:hAnsi="Calibri" w:cs="Calibri"/>
          <w:color w:val="000000" w:themeColor="text1"/>
          <w:sz w:val="22"/>
          <w:szCs w:val="22"/>
        </w:rPr>
        <w:t xml:space="preserve">highly effective </w:t>
      </w:r>
      <w:r w:rsidR="00E7421C" w:rsidRPr="00741395">
        <w:rPr>
          <w:rFonts w:ascii="Calibri" w:hAnsi="Calibri" w:cs="Calibri"/>
          <w:color w:val="000000" w:themeColor="text1"/>
          <w:sz w:val="22"/>
          <w:szCs w:val="22"/>
        </w:rPr>
        <w:t xml:space="preserve">service to the Early Education and Childcare sector. </w:t>
      </w:r>
    </w:p>
    <w:p w14:paraId="34DEE534" w14:textId="594C0D7D" w:rsidR="00C90674" w:rsidRPr="00C90674" w:rsidRDefault="00E7421C" w:rsidP="006048AD">
      <w:pPr>
        <w:pStyle w:val="ListParagraph"/>
        <w:numPr>
          <w:ilvl w:val="1"/>
          <w:numId w:val="32"/>
        </w:numPr>
        <w:rPr>
          <w:rFonts w:ascii="Calibri" w:hAnsi="Calibri" w:cs="Calibri"/>
          <w:color w:val="000000" w:themeColor="text1"/>
          <w:sz w:val="22"/>
          <w:szCs w:val="22"/>
        </w:rPr>
      </w:pPr>
      <w:r w:rsidRPr="00741395">
        <w:rPr>
          <w:rFonts w:ascii="Calibri" w:hAnsi="Calibri" w:cs="Calibri"/>
          <w:sz w:val="22"/>
          <w:szCs w:val="22"/>
        </w:rPr>
        <w:t>DfE/E</w:t>
      </w:r>
      <w:r w:rsidR="002D6897">
        <w:rPr>
          <w:rFonts w:ascii="Calibri" w:hAnsi="Calibri" w:cs="Calibri"/>
          <w:sz w:val="22"/>
          <w:szCs w:val="22"/>
        </w:rPr>
        <w:t>SF</w:t>
      </w:r>
      <w:r w:rsidRPr="00741395">
        <w:rPr>
          <w:rFonts w:ascii="Calibri" w:hAnsi="Calibri" w:cs="Calibri"/>
          <w:sz w:val="22"/>
          <w:szCs w:val="22"/>
        </w:rPr>
        <w:t>A Guidance state that at least 95% of the universal and extended entitlement (3 and 4-year-old) budget must be passed through to providers. The DfE monitor this requirement through t</w:t>
      </w:r>
      <w:r w:rsidR="00675910">
        <w:rPr>
          <w:rFonts w:ascii="Calibri" w:hAnsi="Calibri" w:cs="Calibri"/>
          <w:sz w:val="22"/>
          <w:szCs w:val="22"/>
        </w:rPr>
        <w:t xml:space="preserve">he </w:t>
      </w:r>
      <w:r w:rsidR="00041EF2">
        <w:rPr>
          <w:rFonts w:ascii="Calibri" w:hAnsi="Calibri" w:cs="Calibri"/>
          <w:sz w:val="22"/>
          <w:szCs w:val="22"/>
        </w:rPr>
        <w:t>LB</w:t>
      </w:r>
      <w:r w:rsidR="00675910">
        <w:rPr>
          <w:rFonts w:ascii="Calibri" w:hAnsi="Calibri" w:cs="Calibri"/>
          <w:sz w:val="22"/>
          <w:szCs w:val="22"/>
        </w:rPr>
        <w:t>TH annual s251 budget return</w:t>
      </w:r>
      <w:r w:rsidRPr="00741395">
        <w:rPr>
          <w:rFonts w:ascii="Calibri" w:hAnsi="Calibri" w:cs="Calibri"/>
          <w:sz w:val="22"/>
          <w:szCs w:val="22"/>
        </w:rPr>
        <w:t xml:space="preserve">. In 2021-2022, </w:t>
      </w:r>
      <w:r w:rsidR="00041EF2">
        <w:rPr>
          <w:rFonts w:ascii="Calibri" w:hAnsi="Calibri" w:cs="Calibri"/>
          <w:sz w:val="22"/>
          <w:szCs w:val="22"/>
        </w:rPr>
        <w:t>LB</w:t>
      </w:r>
      <w:r w:rsidRPr="00741395">
        <w:rPr>
          <w:rFonts w:ascii="Calibri" w:hAnsi="Calibri" w:cs="Calibri"/>
          <w:sz w:val="22"/>
          <w:szCs w:val="22"/>
        </w:rPr>
        <w:t xml:space="preserve">TH passed through 95%. </w:t>
      </w:r>
    </w:p>
    <w:p w14:paraId="4B3A266A" w14:textId="3E49EB91" w:rsidR="00D116DF" w:rsidRPr="00C90674" w:rsidRDefault="00DA01F3" w:rsidP="006048AD">
      <w:pPr>
        <w:pStyle w:val="ListParagraph"/>
        <w:numPr>
          <w:ilvl w:val="1"/>
          <w:numId w:val="32"/>
        </w:numPr>
        <w:rPr>
          <w:rFonts w:ascii="Calibri" w:hAnsi="Calibri" w:cs="Calibri"/>
          <w:color w:val="000000" w:themeColor="text1"/>
          <w:sz w:val="22"/>
          <w:szCs w:val="22"/>
        </w:rPr>
      </w:pPr>
      <w:r w:rsidRPr="00C90674">
        <w:rPr>
          <w:rFonts w:ascii="Calibri" w:hAnsi="Calibri" w:cs="Calibri"/>
          <w:color w:val="000000" w:themeColor="text1"/>
          <w:sz w:val="22"/>
          <w:szCs w:val="22"/>
        </w:rPr>
        <w:t>As per the DfE/ESFA guidance the following has been included in the funding formula calculation for 2022-2023.</w:t>
      </w:r>
    </w:p>
    <w:p w14:paraId="6A6BD92F" w14:textId="0D501A4C" w:rsidR="00A50338" w:rsidRPr="00741395" w:rsidRDefault="00A50338" w:rsidP="006048AD">
      <w:pPr>
        <w:pStyle w:val="ListParagraph"/>
        <w:numPr>
          <w:ilvl w:val="0"/>
          <w:numId w:val="16"/>
        </w:numPr>
        <w:rPr>
          <w:rFonts w:ascii="Calibri" w:hAnsi="Calibri" w:cs="Calibri"/>
          <w:sz w:val="22"/>
          <w:szCs w:val="22"/>
        </w:rPr>
      </w:pPr>
      <w:r w:rsidRPr="00741395">
        <w:rPr>
          <w:rFonts w:ascii="Calibri" w:hAnsi="Calibri" w:cs="Calibri"/>
          <w:sz w:val="22"/>
          <w:szCs w:val="22"/>
        </w:rPr>
        <w:t xml:space="preserve">2-year-old entitlement hourly base rate for eligible </w:t>
      </w:r>
      <w:r w:rsidR="001050CB" w:rsidRPr="00741395">
        <w:rPr>
          <w:rFonts w:ascii="Calibri" w:hAnsi="Calibri" w:cs="Calibri"/>
          <w:sz w:val="22"/>
          <w:szCs w:val="22"/>
        </w:rPr>
        <w:t>2-year-olds</w:t>
      </w:r>
    </w:p>
    <w:p w14:paraId="10E08E2C" w14:textId="4EF1FBE8" w:rsidR="00D116DF" w:rsidRPr="00741395" w:rsidRDefault="00675910" w:rsidP="006048AD">
      <w:pPr>
        <w:pStyle w:val="ListParagraph"/>
        <w:numPr>
          <w:ilvl w:val="0"/>
          <w:numId w:val="16"/>
        </w:numPr>
        <w:rPr>
          <w:rFonts w:ascii="Calibri" w:hAnsi="Calibri" w:cs="Calibri"/>
          <w:sz w:val="22"/>
          <w:szCs w:val="22"/>
        </w:rPr>
      </w:pPr>
      <w:r>
        <w:rPr>
          <w:rFonts w:ascii="Calibri" w:hAnsi="Calibri" w:cs="Calibri"/>
          <w:sz w:val="22"/>
          <w:szCs w:val="22"/>
        </w:rPr>
        <w:t>U</w:t>
      </w:r>
      <w:r w:rsidR="00D116DF" w:rsidRPr="00741395">
        <w:rPr>
          <w:rFonts w:ascii="Calibri" w:hAnsi="Calibri" w:cs="Calibri"/>
          <w:sz w:val="22"/>
          <w:szCs w:val="22"/>
        </w:rPr>
        <w:t xml:space="preserve">niversal </w:t>
      </w:r>
      <w:r>
        <w:rPr>
          <w:rFonts w:ascii="Calibri" w:hAnsi="Calibri" w:cs="Calibri"/>
          <w:sz w:val="22"/>
          <w:szCs w:val="22"/>
        </w:rPr>
        <w:t>and E</w:t>
      </w:r>
      <w:r w:rsidR="00C2074C" w:rsidRPr="00741395">
        <w:rPr>
          <w:rFonts w:ascii="Calibri" w:hAnsi="Calibri" w:cs="Calibri"/>
          <w:sz w:val="22"/>
          <w:szCs w:val="22"/>
        </w:rPr>
        <w:t>xtended entitlement</w:t>
      </w:r>
      <w:r>
        <w:rPr>
          <w:rFonts w:ascii="Calibri" w:hAnsi="Calibri" w:cs="Calibri"/>
          <w:sz w:val="22"/>
          <w:szCs w:val="22"/>
        </w:rPr>
        <w:t>s</w:t>
      </w:r>
      <w:r w:rsidR="00C2074C" w:rsidRPr="00741395">
        <w:rPr>
          <w:rFonts w:ascii="Calibri" w:hAnsi="Calibri" w:cs="Calibri"/>
          <w:sz w:val="22"/>
          <w:szCs w:val="22"/>
        </w:rPr>
        <w:t xml:space="preserve"> </w:t>
      </w:r>
      <w:r w:rsidR="00D116DF" w:rsidRPr="00741395">
        <w:rPr>
          <w:rFonts w:ascii="Calibri" w:hAnsi="Calibri" w:cs="Calibri"/>
          <w:sz w:val="22"/>
          <w:szCs w:val="22"/>
        </w:rPr>
        <w:t>hourly base rate</w:t>
      </w:r>
      <w:r w:rsidR="00C2074C" w:rsidRPr="00741395">
        <w:rPr>
          <w:rFonts w:ascii="Calibri" w:hAnsi="Calibri" w:cs="Calibri"/>
          <w:sz w:val="22"/>
          <w:szCs w:val="22"/>
        </w:rPr>
        <w:t xml:space="preserve"> </w:t>
      </w:r>
      <w:r w:rsidR="0064558F">
        <w:rPr>
          <w:rFonts w:ascii="Calibri" w:hAnsi="Calibri" w:cs="Calibri"/>
          <w:sz w:val="22"/>
          <w:szCs w:val="22"/>
        </w:rPr>
        <w:t>(</w:t>
      </w:r>
      <w:r w:rsidR="001050CB">
        <w:rPr>
          <w:rFonts w:ascii="Calibri" w:hAnsi="Calibri" w:cs="Calibri"/>
          <w:sz w:val="22"/>
          <w:szCs w:val="22"/>
        </w:rPr>
        <w:t>3- and 4-year-olds</w:t>
      </w:r>
      <w:r w:rsidR="0064558F">
        <w:rPr>
          <w:rFonts w:ascii="Calibri" w:hAnsi="Calibri" w:cs="Calibri"/>
          <w:sz w:val="22"/>
          <w:szCs w:val="22"/>
        </w:rPr>
        <w:t>)</w:t>
      </w:r>
    </w:p>
    <w:p w14:paraId="129C4B31" w14:textId="25BABEF5" w:rsidR="00C2074C" w:rsidRPr="00741395" w:rsidRDefault="00C2074C" w:rsidP="006048AD">
      <w:pPr>
        <w:pStyle w:val="ListParagraph"/>
        <w:numPr>
          <w:ilvl w:val="0"/>
          <w:numId w:val="16"/>
        </w:numPr>
        <w:rPr>
          <w:rFonts w:ascii="Calibri" w:hAnsi="Calibri" w:cs="Calibri"/>
          <w:sz w:val="22"/>
          <w:szCs w:val="22"/>
        </w:rPr>
      </w:pPr>
      <w:r w:rsidRPr="00741395">
        <w:rPr>
          <w:rFonts w:ascii="Calibri" w:hAnsi="Calibri" w:cs="Calibri"/>
          <w:sz w:val="22"/>
          <w:szCs w:val="22"/>
        </w:rPr>
        <w:t xml:space="preserve">Early Years Pupil Premium (EYPP) entitlement hourly base rate </w:t>
      </w:r>
      <w:r w:rsidR="00DA01F3" w:rsidRPr="00741395">
        <w:rPr>
          <w:rFonts w:ascii="Calibri" w:hAnsi="Calibri" w:cs="Calibri"/>
          <w:sz w:val="22"/>
          <w:szCs w:val="22"/>
        </w:rPr>
        <w:t>for eligible children</w:t>
      </w:r>
    </w:p>
    <w:p w14:paraId="7561F244" w14:textId="67099F3B" w:rsidR="00DA01F3" w:rsidRPr="00741395" w:rsidRDefault="00DA01F3" w:rsidP="006048AD">
      <w:pPr>
        <w:pStyle w:val="ListParagraph"/>
        <w:numPr>
          <w:ilvl w:val="0"/>
          <w:numId w:val="16"/>
        </w:numPr>
        <w:rPr>
          <w:rFonts w:ascii="Calibri" w:hAnsi="Calibri" w:cs="Calibri"/>
          <w:sz w:val="22"/>
          <w:szCs w:val="22"/>
        </w:rPr>
      </w:pPr>
      <w:r w:rsidRPr="00741395">
        <w:rPr>
          <w:rFonts w:ascii="Calibri" w:hAnsi="Calibri" w:cs="Calibri"/>
          <w:sz w:val="22"/>
          <w:szCs w:val="22"/>
        </w:rPr>
        <w:t xml:space="preserve">Deprivation Supplement entitlement hourly base rate for eligible children </w:t>
      </w:r>
      <w:r w:rsidR="00B51C8E">
        <w:rPr>
          <w:rFonts w:ascii="Calibri" w:hAnsi="Calibri" w:cs="Calibri"/>
          <w:sz w:val="22"/>
          <w:szCs w:val="22"/>
        </w:rPr>
        <w:t xml:space="preserve">is </w:t>
      </w:r>
      <w:r w:rsidRPr="00741395">
        <w:rPr>
          <w:rFonts w:ascii="Calibri" w:hAnsi="Calibri" w:cs="Calibri"/>
          <w:sz w:val="22"/>
          <w:szCs w:val="22"/>
        </w:rPr>
        <w:t>based on the child’s post code using the Income Deprivation Affecting Children Index (IDACI)</w:t>
      </w:r>
      <w:r w:rsidR="00041EF2">
        <w:rPr>
          <w:rFonts w:ascii="Calibri" w:hAnsi="Calibri" w:cs="Calibri"/>
          <w:sz w:val="22"/>
          <w:szCs w:val="22"/>
        </w:rPr>
        <w:t xml:space="preserve"> for the PVI sector and the </w:t>
      </w:r>
      <w:r w:rsidR="00B51C8E" w:rsidRPr="00B51C8E">
        <w:rPr>
          <w:rFonts w:ascii="Calibri" w:hAnsi="Calibri" w:cs="Calibri"/>
          <w:sz w:val="22"/>
          <w:szCs w:val="22"/>
        </w:rPr>
        <w:t>Free School Meals proxy indicator</w:t>
      </w:r>
      <w:r w:rsidR="00B51C8E">
        <w:rPr>
          <w:rFonts w:ascii="Calibri" w:hAnsi="Calibri" w:cs="Calibri"/>
          <w:sz w:val="22"/>
          <w:szCs w:val="22"/>
        </w:rPr>
        <w:t xml:space="preserve"> </w:t>
      </w:r>
      <w:r w:rsidR="00041EF2">
        <w:rPr>
          <w:rFonts w:ascii="Calibri" w:hAnsi="Calibri" w:cs="Calibri"/>
          <w:sz w:val="22"/>
          <w:szCs w:val="22"/>
        </w:rPr>
        <w:t>for early years</w:t>
      </w:r>
      <w:r w:rsidR="00C24ED9">
        <w:rPr>
          <w:rFonts w:ascii="Calibri" w:hAnsi="Calibri" w:cs="Calibri"/>
          <w:sz w:val="22"/>
          <w:szCs w:val="22"/>
        </w:rPr>
        <w:t>’</w:t>
      </w:r>
      <w:r w:rsidR="00041EF2">
        <w:rPr>
          <w:rFonts w:ascii="Calibri" w:hAnsi="Calibri" w:cs="Calibri"/>
          <w:sz w:val="22"/>
          <w:szCs w:val="22"/>
        </w:rPr>
        <w:t xml:space="preserve"> school sector. </w:t>
      </w:r>
    </w:p>
    <w:p w14:paraId="031EB94E" w14:textId="4D274BDD" w:rsidR="00DA01F3" w:rsidRPr="00741395" w:rsidRDefault="00DA01F3" w:rsidP="006048AD">
      <w:pPr>
        <w:pStyle w:val="ListParagraph"/>
        <w:numPr>
          <w:ilvl w:val="0"/>
          <w:numId w:val="16"/>
        </w:numPr>
        <w:rPr>
          <w:rFonts w:ascii="Calibri" w:hAnsi="Calibri" w:cs="Calibri"/>
          <w:sz w:val="22"/>
          <w:szCs w:val="22"/>
        </w:rPr>
      </w:pPr>
      <w:r w:rsidRPr="00741395">
        <w:rPr>
          <w:rFonts w:ascii="Calibri" w:hAnsi="Calibri" w:cs="Calibri"/>
          <w:sz w:val="22"/>
          <w:szCs w:val="22"/>
        </w:rPr>
        <w:t>Disability Access Fund (DAF) entitlement yearly base rate for eligible children</w:t>
      </w:r>
    </w:p>
    <w:p w14:paraId="275B50BE" w14:textId="1EB668C6" w:rsidR="00DA01F3" w:rsidRPr="0064558F" w:rsidRDefault="00041EF2" w:rsidP="006048AD">
      <w:pPr>
        <w:pStyle w:val="ListParagraph"/>
        <w:numPr>
          <w:ilvl w:val="0"/>
          <w:numId w:val="16"/>
        </w:numPr>
        <w:rPr>
          <w:rFonts w:ascii="Calibri" w:hAnsi="Calibri" w:cs="Calibri"/>
          <w:sz w:val="22"/>
          <w:szCs w:val="22"/>
        </w:rPr>
      </w:pPr>
      <w:r w:rsidRPr="0064558F">
        <w:rPr>
          <w:rFonts w:ascii="Calibri" w:hAnsi="Calibri" w:cs="Calibri"/>
          <w:color w:val="000000" w:themeColor="text1"/>
          <w:sz w:val="22"/>
          <w:szCs w:val="22"/>
        </w:rPr>
        <w:t>SEND</w:t>
      </w:r>
      <w:r w:rsidR="004725DF">
        <w:rPr>
          <w:rFonts w:ascii="Calibri" w:hAnsi="Calibri" w:cs="Calibri"/>
          <w:color w:val="000000" w:themeColor="text1"/>
          <w:sz w:val="22"/>
          <w:szCs w:val="22"/>
        </w:rPr>
        <w:t xml:space="preserve"> High Needs Funding/</w:t>
      </w:r>
      <w:r w:rsidR="00DA01F3" w:rsidRPr="0064558F">
        <w:rPr>
          <w:rFonts w:ascii="Calibri" w:hAnsi="Calibri" w:cs="Calibri"/>
          <w:color w:val="000000" w:themeColor="text1"/>
          <w:sz w:val="22"/>
          <w:szCs w:val="22"/>
        </w:rPr>
        <w:t>Inclusion</w:t>
      </w:r>
    </w:p>
    <w:p w14:paraId="0AC70491" w14:textId="77777777" w:rsidR="00A50338" w:rsidRPr="0064558F" w:rsidRDefault="00A50338" w:rsidP="006048AD">
      <w:pPr>
        <w:pStyle w:val="ListParagraph"/>
        <w:numPr>
          <w:ilvl w:val="0"/>
          <w:numId w:val="16"/>
        </w:numPr>
        <w:rPr>
          <w:rFonts w:ascii="Calibri" w:hAnsi="Calibri" w:cs="Calibri"/>
          <w:sz w:val="22"/>
          <w:szCs w:val="22"/>
        </w:rPr>
      </w:pPr>
      <w:r w:rsidRPr="0064558F">
        <w:rPr>
          <w:rFonts w:ascii="Calibri" w:hAnsi="Calibri" w:cs="Calibri"/>
          <w:sz w:val="22"/>
          <w:szCs w:val="22"/>
        </w:rPr>
        <w:lastRenderedPageBreak/>
        <w:t>A mandatory minimum 95% ‘pass through’ of funding to schools and early years’ providers</w:t>
      </w:r>
    </w:p>
    <w:p w14:paraId="7F03475F" w14:textId="5FCF4641" w:rsidR="00A50338" w:rsidRPr="0064558F" w:rsidRDefault="00A50338" w:rsidP="006048AD">
      <w:pPr>
        <w:pStyle w:val="ListParagraph"/>
        <w:numPr>
          <w:ilvl w:val="0"/>
          <w:numId w:val="16"/>
        </w:numPr>
        <w:rPr>
          <w:rFonts w:ascii="Calibri" w:hAnsi="Calibri" w:cs="Calibri"/>
          <w:sz w:val="22"/>
          <w:szCs w:val="22"/>
        </w:rPr>
      </w:pPr>
      <w:r w:rsidRPr="0064558F">
        <w:rPr>
          <w:rFonts w:ascii="Calibri" w:hAnsi="Calibri" w:cs="Calibri"/>
          <w:sz w:val="22"/>
          <w:szCs w:val="22"/>
        </w:rPr>
        <w:t>A maximum of 5% central retention</w:t>
      </w:r>
    </w:p>
    <w:p w14:paraId="5186FD9F" w14:textId="41F1AD70" w:rsidR="00A02CFC" w:rsidRPr="0064558F" w:rsidRDefault="00A02CFC" w:rsidP="006048AD">
      <w:pPr>
        <w:pStyle w:val="ListParagraph"/>
        <w:numPr>
          <w:ilvl w:val="1"/>
          <w:numId w:val="32"/>
        </w:numPr>
        <w:rPr>
          <w:rFonts w:ascii="Calibri" w:hAnsi="Calibri" w:cs="Calibri"/>
          <w:color w:val="000000" w:themeColor="text1"/>
          <w:sz w:val="22"/>
          <w:szCs w:val="22"/>
        </w:rPr>
      </w:pPr>
      <w:r w:rsidRPr="0064558F">
        <w:rPr>
          <w:rFonts w:ascii="Calibri" w:hAnsi="Calibri" w:cs="Calibri"/>
          <w:color w:val="000000" w:themeColor="text1"/>
          <w:sz w:val="22"/>
          <w:szCs w:val="22"/>
        </w:rPr>
        <w:t>The final indicative budget is based on</w:t>
      </w:r>
      <w:r w:rsidR="00E81ADF" w:rsidRPr="0064558F">
        <w:rPr>
          <w:rFonts w:ascii="Calibri" w:hAnsi="Calibri" w:cs="Calibri"/>
          <w:color w:val="000000" w:themeColor="text1"/>
          <w:sz w:val="22"/>
          <w:szCs w:val="22"/>
        </w:rPr>
        <w:t xml:space="preserve"> estimates from</w:t>
      </w:r>
      <w:r w:rsidRPr="0064558F">
        <w:rPr>
          <w:rFonts w:ascii="Calibri" w:hAnsi="Calibri" w:cs="Calibri"/>
          <w:color w:val="000000" w:themeColor="text1"/>
          <w:sz w:val="22"/>
          <w:szCs w:val="22"/>
        </w:rPr>
        <w:t xml:space="preserve"> a combination of the DfE Dedicated Schools Grant (DSG) EYNFF allocations published in December 2021 and local intelligence of actual reported number of hours delivered during 2021-2022. This is usually calculated by taking the funded hours from the Summer and Autumn funding blocks in the previous year, dividing by 9 then multiplying by 12. </w:t>
      </w:r>
    </w:p>
    <w:p w14:paraId="085F8AFF" w14:textId="4A7A7D21" w:rsidR="0064558F" w:rsidRDefault="003804D7" w:rsidP="006048AD">
      <w:pPr>
        <w:pStyle w:val="ListParagraph"/>
        <w:numPr>
          <w:ilvl w:val="1"/>
          <w:numId w:val="32"/>
        </w:numPr>
        <w:rPr>
          <w:rFonts w:ascii="Calibri" w:hAnsi="Calibri" w:cs="Calibri"/>
          <w:color w:val="000000" w:themeColor="text1"/>
          <w:sz w:val="22"/>
          <w:szCs w:val="22"/>
        </w:rPr>
      </w:pPr>
      <w:r w:rsidRPr="0064558F">
        <w:rPr>
          <w:rFonts w:ascii="Calibri" w:hAnsi="Calibri" w:cs="Calibri"/>
          <w:color w:val="000000" w:themeColor="text1"/>
          <w:sz w:val="22"/>
          <w:szCs w:val="22"/>
        </w:rPr>
        <w:t>Local authorities DSG</w:t>
      </w:r>
      <w:r w:rsidR="00A02CFC" w:rsidRPr="0064558F">
        <w:rPr>
          <w:rFonts w:ascii="Calibri" w:hAnsi="Calibri" w:cs="Calibri"/>
          <w:color w:val="000000" w:themeColor="text1"/>
          <w:sz w:val="22"/>
          <w:szCs w:val="22"/>
        </w:rPr>
        <w:t xml:space="preserve"> EYNFF is calculated based on the number of hours’ children are taking up du</w:t>
      </w:r>
      <w:r w:rsidR="00E81ADF" w:rsidRPr="0064558F">
        <w:rPr>
          <w:rFonts w:ascii="Calibri" w:hAnsi="Calibri" w:cs="Calibri"/>
          <w:color w:val="000000" w:themeColor="text1"/>
          <w:sz w:val="22"/>
          <w:szCs w:val="22"/>
        </w:rPr>
        <w:t xml:space="preserve">ring census week, January 2021 creating an assumption of uptake. </w:t>
      </w:r>
      <w:r w:rsidR="0064558F" w:rsidRPr="0064558F">
        <w:rPr>
          <w:rFonts w:ascii="Calibri" w:hAnsi="Calibri" w:cs="Calibri"/>
          <w:color w:val="000000" w:themeColor="text1"/>
          <w:sz w:val="22"/>
          <w:szCs w:val="22"/>
        </w:rPr>
        <w:t xml:space="preserve">All hours and financial amounts are indicative in this report. </w:t>
      </w:r>
      <w:r w:rsidR="00E81ADF" w:rsidRPr="0064558F">
        <w:rPr>
          <w:rFonts w:ascii="Calibri" w:hAnsi="Calibri" w:cs="Calibri"/>
          <w:color w:val="000000" w:themeColor="text1"/>
          <w:sz w:val="22"/>
          <w:szCs w:val="22"/>
        </w:rPr>
        <w:t>This is f</w:t>
      </w:r>
      <w:r w:rsidR="00041EF2" w:rsidRPr="0064558F">
        <w:rPr>
          <w:rFonts w:ascii="Calibri" w:hAnsi="Calibri" w:cs="Calibri"/>
          <w:color w:val="000000" w:themeColor="text1"/>
          <w:sz w:val="22"/>
          <w:szCs w:val="22"/>
        </w:rPr>
        <w:t xml:space="preserve">ollowed by an adjustment </w:t>
      </w:r>
      <w:r w:rsidR="00E81ADF" w:rsidRPr="0064558F">
        <w:rPr>
          <w:rFonts w:ascii="Calibri" w:hAnsi="Calibri" w:cs="Calibri"/>
          <w:color w:val="000000" w:themeColor="text1"/>
          <w:sz w:val="22"/>
          <w:szCs w:val="22"/>
        </w:rPr>
        <w:t>in July should there be any movement in the number of places reported through headcount. This is to cover any additional expenditure</w:t>
      </w:r>
      <w:r w:rsidR="00E81ADF" w:rsidRPr="00E81ADF">
        <w:rPr>
          <w:rFonts w:ascii="Calibri" w:hAnsi="Calibri" w:cs="Calibri"/>
          <w:color w:val="000000" w:themeColor="text1"/>
          <w:sz w:val="22"/>
          <w:szCs w:val="22"/>
        </w:rPr>
        <w:t xml:space="preserve"> where numbe</w:t>
      </w:r>
      <w:r w:rsidR="00E81ADF">
        <w:rPr>
          <w:rFonts w:ascii="Calibri" w:hAnsi="Calibri" w:cs="Calibri"/>
          <w:color w:val="000000" w:themeColor="text1"/>
          <w:sz w:val="22"/>
          <w:szCs w:val="22"/>
        </w:rPr>
        <w:t>r of eligible children increase</w:t>
      </w:r>
      <w:r w:rsidR="00E81ADF" w:rsidRPr="00E81ADF">
        <w:rPr>
          <w:rFonts w:ascii="Calibri" w:hAnsi="Calibri" w:cs="Calibri"/>
          <w:color w:val="000000" w:themeColor="text1"/>
          <w:sz w:val="22"/>
          <w:szCs w:val="22"/>
        </w:rPr>
        <w:t xml:space="preserve"> beyond the original census allocation (new settings, increased numbers at settings)</w:t>
      </w:r>
      <w:r w:rsidR="0064558F">
        <w:rPr>
          <w:rFonts w:ascii="Calibri" w:hAnsi="Calibri" w:cs="Calibri"/>
          <w:color w:val="000000" w:themeColor="text1"/>
          <w:sz w:val="22"/>
          <w:szCs w:val="22"/>
        </w:rPr>
        <w:t xml:space="preserve"> or a reduction due to covid, closure of settings or changes to the demographics</w:t>
      </w:r>
      <w:r w:rsidR="00E81ADF" w:rsidRPr="00E81ADF">
        <w:rPr>
          <w:rFonts w:ascii="Calibri" w:hAnsi="Calibri" w:cs="Calibri"/>
          <w:color w:val="000000" w:themeColor="text1"/>
          <w:sz w:val="22"/>
          <w:szCs w:val="22"/>
        </w:rPr>
        <w:t xml:space="preserve">. Any variations will be reported to the DfE and may result in an adjustment in the form of clawback </w:t>
      </w:r>
      <w:r w:rsidR="00E81ADF">
        <w:rPr>
          <w:rFonts w:ascii="Calibri" w:hAnsi="Calibri" w:cs="Calibri"/>
          <w:color w:val="000000" w:themeColor="text1"/>
          <w:sz w:val="22"/>
          <w:szCs w:val="22"/>
        </w:rPr>
        <w:t xml:space="preserve">of unused funding </w:t>
      </w:r>
      <w:r w:rsidR="00E81ADF" w:rsidRPr="00E81ADF">
        <w:rPr>
          <w:rFonts w:ascii="Calibri" w:hAnsi="Calibri" w:cs="Calibri"/>
          <w:color w:val="000000" w:themeColor="text1"/>
          <w:sz w:val="22"/>
          <w:szCs w:val="22"/>
        </w:rPr>
        <w:t>or additional payment</w:t>
      </w:r>
      <w:r w:rsidR="0064558F">
        <w:rPr>
          <w:rFonts w:ascii="Calibri" w:hAnsi="Calibri" w:cs="Calibri"/>
          <w:color w:val="000000" w:themeColor="text1"/>
          <w:sz w:val="22"/>
          <w:szCs w:val="22"/>
        </w:rPr>
        <w:t>s</w:t>
      </w:r>
      <w:r w:rsidR="00E81ADF">
        <w:rPr>
          <w:rFonts w:ascii="Calibri" w:hAnsi="Calibri" w:cs="Calibri"/>
          <w:color w:val="000000" w:themeColor="text1"/>
          <w:sz w:val="22"/>
          <w:szCs w:val="22"/>
        </w:rPr>
        <w:t xml:space="preserve"> for new </w:t>
      </w:r>
      <w:r w:rsidR="0064558F">
        <w:rPr>
          <w:rFonts w:ascii="Calibri" w:hAnsi="Calibri" w:cs="Calibri"/>
          <w:color w:val="000000" w:themeColor="text1"/>
          <w:sz w:val="22"/>
          <w:szCs w:val="22"/>
        </w:rPr>
        <w:t xml:space="preserve">childcare </w:t>
      </w:r>
      <w:r w:rsidR="00E81ADF">
        <w:rPr>
          <w:rFonts w:ascii="Calibri" w:hAnsi="Calibri" w:cs="Calibri"/>
          <w:color w:val="000000" w:themeColor="text1"/>
          <w:sz w:val="22"/>
          <w:szCs w:val="22"/>
        </w:rPr>
        <w:t>places</w:t>
      </w:r>
      <w:r w:rsidR="00E81ADF" w:rsidRPr="00E81ADF">
        <w:rPr>
          <w:rFonts w:ascii="Calibri" w:hAnsi="Calibri" w:cs="Calibri"/>
          <w:color w:val="000000" w:themeColor="text1"/>
          <w:sz w:val="22"/>
          <w:szCs w:val="22"/>
        </w:rPr>
        <w:t xml:space="preserve">. </w:t>
      </w:r>
    </w:p>
    <w:p w14:paraId="42BC9A46" w14:textId="0919A0AD" w:rsidR="00A02CFC" w:rsidRDefault="00E81ADF" w:rsidP="006048AD">
      <w:pPr>
        <w:pStyle w:val="ListParagraph"/>
        <w:numPr>
          <w:ilvl w:val="1"/>
          <w:numId w:val="32"/>
        </w:numPr>
        <w:rPr>
          <w:rFonts w:ascii="Calibri" w:hAnsi="Calibri" w:cs="Calibri"/>
          <w:color w:val="000000" w:themeColor="text1"/>
          <w:sz w:val="22"/>
          <w:szCs w:val="22"/>
        </w:rPr>
      </w:pPr>
      <w:r w:rsidRPr="00E81ADF">
        <w:rPr>
          <w:rFonts w:ascii="Calibri" w:hAnsi="Calibri" w:cs="Calibri"/>
          <w:color w:val="000000" w:themeColor="text1"/>
          <w:sz w:val="22"/>
          <w:szCs w:val="22"/>
        </w:rPr>
        <w:t xml:space="preserve">The final outturn figures for 2022-2023 EYNFF Block will be published in July 2022 following reconciliation of January 2021 Census data.  </w:t>
      </w:r>
      <w:r w:rsidR="006048AD">
        <w:rPr>
          <w:rFonts w:ascii="Calibri" w:hAnsi="Calibri" w:cs="Calibri"/>
          <w:color w:val="000000" w:themeColor="text1"/>
          <w:sz w:val="22"/>
          <w:szCs w:val="22"/>
        </w:rPr>
        <w:br/>
      </w:r>
    </w:p>
    <w:p w14:paraId="508DE317" w14:textId="561CE340" w:rsidR="00A50338" w:rsidRPr="00675910" w:rsidRDefault="00A02CFC" w:rsidP="006048AD">
      <w:pPr>
        <w:pStyle w:val="Heading2"/>
        <w:numPr>
          <w:ilvl w:val="0"/>
          <w:numId w:val="4"/>
        </w:numPr>
        <w:rPr>
          <w:i/>
        </w:rPr>
      </w:pPr>
      <w:r w:rsidRPr="0039609B">
        <w:t>Budget update 2022-23 and recommendations</w:t>
      </w:r>
      <w:r w:rsidR="006048AD">
        <w:br/>
      </w:r>
    </w:p>
    <w:p w14:paraId="685ED830" w14:textId="03160224" w:rsidR="00C90674" w:rsidRDefault="00A02CFC" w:rsidP="00C90674">
      <w:pPr>
        <w:pStyle w:val="ListParagraph"/>
        <w:numPr>
          <w:ilvl w:val="1"/>
          <w:numId w:val="4"/>
        </w:numPr>
        <w:rPr>
          <w:rFonts w:ascii="Calibri" w:hAnsi="Calibri" w:cs="Calibri"/>
          <w:color w:val="000000" w:themeColor="text1"/>
          <w:sz w:val="22"/>
          <w:szCs w:val="22"/>
        </w:rPr>
      </w:pPr>
      <w:r w:rsidRPr="00A02CFC">
        <w:rPr>
          <w:rFonts w:ascii="Calibri" w:hAnsi="Calibri" w:cs="Calibri"/>
          <w:color w:val="000000" w:themeColor="text1"/>
          <w:sz w:val="22"/>
          <w:szCs w:val="22"/>
        </w:rPr>
        <w:t xml:space="preserve">Multiple options and variables were worked through, based on projected hours for funding using </w:t>
      </w:r>
      <w:r w:rsidR="00BA4C29">
        <w:rPr>
          <w:rFonts w:ascii="Calibri" w:hAnsi="Calibri" w:cs="Calibri"/>
          <w:color w:val="000000" w:themeColor="text1"/>
          <w:sz w:val="22"/>
          <w:szCs w:val="22"/>
        </w:rPr>
        <w:t xml:space="preserve">EYNFF DSG allocations, </w:t>
      </w:r>
      <w:r w:rsidRPr="00A02CFC">
        <w:rPr>
          <w:rFonts w:ascii="Calibri" w:hAnsi="Calibri" w:cs="Calibri"/>
          <w:color w:val="000000" w:themeColor="text1"/>
          <w:sz w:val="22"/>
          <w:szCs w:val="22"/>
        </w:rPr>
        <w:t xml:space="preserve">previous years’ </w:t>
      </w:r>
      <w:proofErr w:type="gramStart"/>
      <w:r w:rsidRPr="00A02CFC">
        <w:rPr>
          <w:rFonts w:ascii="Calibri" w:hAnsi="Calibri" w:cs="Calibri"/>
          <w:color w:val="000000" w:themeColor="text1"/>
          <w:sz w:val="22"/>
          <w:szCs w:val="22"/>
        </w:rPr>
        <w:t>uptake</w:t>
      </w:r>
      <w:proofErr w:type="gramEnd"/>
      <w:r w:rsidRPr="00A02CFC">
        <w:rPr>
          <w:rFonts w:ascii="Calibri" w:hAnsi="Calibri" w:cs="Calibri"/>
          <w:color w:val="000000" w:themeColor="text1"/>
          <w:sz w:val="22"/>
          <w:szCs w:val="22"/>
        </w:rPr>
        <w:t xml:space="preserve"> and an assessment of trajectory for the upcoming year taking into account political and local changes such as Covid. The chosen option is deemed the best option available to continue balancing the commitment to passport as much as financially viable with internal expenditure. </w:t>
      </w:r>
    </w:p>
    <w:p w14:paraId="635A22AE" w14:textId="05E06CEA" w:rsidR="00C24ED9" w:rsidRDefault="00C24ED9" w:rsidP="00C90674">
      <w:pPr>
        <w:pStyle w:val="ListParagraph"/>
        <w:numPr>
          <w:ilvl w:val="1"/>
          <w:numId w:val="4"/>
        </w:numPr>
        <w:rPr>
          <w:rFonts w:ascii="Calibri" w:hAnsi="Calibri" w:cs="Calibri"/>
          <w:color w:val="000000" w:themeColor="text1"/>
          <w:sz w:val="22"/>
          <w:szCs w:val="22"/>
        </w:rPr>
      </w:pPr>
      <w:r>
        <w:rPr>
          <w:rFonts w:ascii="Calibri" w:hAnsi="Calibri" w:cs="Calibri"/>
          <w:color w:val="000000" w:themeColor="text1"/>
          <w:sz w:val="22"/>
          <w:szCs w:val="22"/>
        </w:rPr>
        <w:t>Underspend</w:t>
      </w:r>
      <w:r w:rsidR="002F5A31">
        <w:rPr>
          <w:rFonts w:ascii="Calibri" w:hAnsi="Calibri" w:cs="Calibri"/>
          <w:color w:val="000000" w:themeColor="text1"/>
          <w:sz w:val="22"/>
          <w:szCs w:val="22"/>
        </w:rPr>
        <w:t xml:space="preserve"> as per </w:t>
      </w:r>
      <w:r w:rsidR="006E4734">
        <w:rPr>
          <w:rFonts w:ascii="Calibri" w:hAnsi="Calibri" w:cs="Calibri"/>
          <w:color w:val="000000" w:themeColor="text1"/>
          <w:sz w:val="22"/>
          <w:szCs w:val="22"/>
        </w:rPr>
        <w:t xml:space="preserve">DSG </w:t>
      </w:r>
      <w:r w:rsidR="002F5A31">
        <w:rPr>
          <w:rFonts w:ascii="Calibri" w:hAnsi="Calibri" w:cs="Calibri"/>
          <w:color w:val="000000" w:themeColor="text1"/>
          <w:sz w:val="22"/>
          <w:szCs w:val="22"/>
        </w:rPr>
        <w:t>outturn report</w:t>
      </w:r>
      <w:r w:rsidR="006E4734">
        <w:rPr>
          <w:rFonts w:ascii="Calibri" w:hAnsi="Calibri" w:cs="Calibri"/>
          <w:color w:val="000000" w:themeColor="text1"/>
          <w:sz w:val="22"/>
          <w:szCs w:val="22"/>
        </w:rPr>
        <w:t>.</w:t>
      </w:r>
    </w:p>
    <w:p w14:paraId="6BDFABA0" w14:textId="1D1B2763" w:rsidR="00C90674" w:rsidRPr="00BA4C29" w:rsidRDefault="0064558F" w:rsidP="00C90674">
      <w:pPr>
        <w:pStyle w:val="ListParagraph"/>
        <w:numPr>
          <w:ilvl w:val="1"/>
          <w:numId w:val="4"/>
        </w:numPr>
        <w:rPr>
          <w:rFonts w:ascii="Calibri" w:hAnsi="Calibri" w:cs="Calibri"/>
          <w:color w:val="000000" w:themeColor="text1"/>
          <w:sz w:val="22"/>
          <w:szCs w:val="22"/>
        </w:rPr>
      </w:pPr>
      <w:r>
        <w:rPr>
          <w:rFonts w:ascii="Calibri" w:hAnsi="Calibri" w:cs="Calibri"/>
          <w:color w:val="000000" w:themeColor="text1"/>
          <w:sz w:val="22"/>
          <w:szCs w:val="22"/>
        </w:rPr>
        <w:t>LB</w:t>
      </w:r>
      <w:r w:rsidR="00C90674" w:rsidRPr="00BA4C29">
        <w:rPr>
          <w:rFonts w:ascii="Calibri" w:hAnsi="Calibri" w:cs="Calibri"/>
          <w:color w:val="000000" w:themeColor="text1"/>
          <w:sz w:val="22"/>
          <w:szCs w:val="22"/>
        </w:rPr>
        <w:t>TH received an increase in the base rate for</w:t>
      </w:r>
      <w:r w:rsidR="00C90674">
        <w:rPr>
          <w:rFonts w:ascii="Calibri" w:hAnsi="Calibri" w:cs="Calibri"/>
          <w:color w:val="000000" w:themeColor="text1"/>
          <w:sz w:val="22"/>
          <w:szCs w:val="22"/>
        </w:rPr>
        <w:t xml:space="preserve"> the 2-year-old base rate, EYPP and DAF.</w:t>
      </w:r>
      <w:r w:rsidR="00C90674" w:rsidRPr="00BA4C29">
        <w:rPr>
          <w:rFonts w:ascii="Calibri" w:hAnsi="Calibri" w:cs="Calibri"/>
          <w:color w:val="000000" w:themeColor="text1"/>
          <w:sz w:val="22"/>
          <w:szCs w:val="22"/>
        </w:rPr>
        <w:t xml:space="preserve"> T</w:t>
      </w:r>
      <w:r w:rsidR="00C90674">
        <w:rPr>
          <w:rFonts w:ascii="Calibri" w:hAnsi="Calibri" w:cs="Calibri"/>
          <w:color w:val="000000" w:themeColor="text1"/>
          <w:sz w:val="22"/>
          <w:szCs w:val="22"/>
        </w:rPr>
        <w:t>he</w:t>
      </w:r>
      <w:r w:rsidR="00C90674" w:rsidRPr="00BA4C29">
        <w:rPr>
          <w:rFonts w:ascii="Calibri" w:hAnsi="Calibri" w:cs="Calibri"/>
          <w:color w:val="000000" w:themeColor="text1"/>
          <w:sz w:val="22"/>
          <w:szCs w:val="22"/>
        </w:rPr>
        <w:t xml:space="preserve"> remaining entitlements remain the same as in 2021-2022.</w:t>
      </w:r>
    </w:p>
    <w:p w14:paraId="7DA1D221" w14:textId="0CDAFEC7" w:rsidR="00C90674" w:rsidRPr="00C90674" w:rsidRDefault="00C90674" w:rsidP="00C90674">
      <w:pPr>
        <w:pStyle w:val="ListParagraph"/>
        <w:ind w:left="792"/>
        <w:rPr>
          <w:rFonts w:ascii="Calibri" w:hAnsi="Calibri" w:cs="Calibri"/>
          <w:b/>
          <w:color w:val="000000" w:themeColor="text1"/>
          <w:sz w:val="22"/>
          <w:szCs w:val="22"/>
        </w:rPr>
      </w:pPr>
      <w:r w:rsidRPr="00AB04FA">
        <w:rPr>
          <w:rFonts w:ascii="Calibri" w:hAnsi="Calibri" w:cs="Calibri"/>
          <w:b/>
          <w:color w:val="000000" w:themeColor="text1"/>
          <w:sz w:val="22"/>
          <w:szCs w:val="22"/>
        </w:rPr>
        <w:t>Table1: EYNFF published increase</w:t>
      </w:r>
      <w:r>
        <w:rPr>
          <w:rFonts w:ascii="Calibri" w:hAnsi="Calibri" w:cs="Calibri"/>
          <w:b/>
          <w:color w:val="000000" w:themeColor="text1"/>
          <w:sz w:val="22"/>
          <w:szCs w:val="22"/>
        </w:rPr>
        <w:t>:</w:t>
      </w:r>
    </w:p>
    <w:tbl>
      <w:tblPr>
        <w:tblStyle w:val="GridTable4-Accent1"/>
        <w:tblW w:w="0" w:type="auto"/>
        <w:jc w:val="center"/>
        <w:tblLook w:val="04A0" w:firstRow="1" w:lastRow="0" w:firstColumn="1" w:lastColumn="0" w:noHBand="0" w:noVBand="1"/>
      </w:tblPr>
      <w:tblGrid>
        <w:gridCol w:w="2122"/>
        <w:gridCol w:w="1275"/>
        <w:gridCol w:w="1276"/>
      </w:tblGrid>
      <w:tr w:rsidR="001B20F1" w:rsidRPr="001B20F1" w14:paraId="5A03D6E1" w14:textId="77777777" w:rsidTr="0064558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2" w:type="dxa"/>
          </w:tcPr>
          <w:p w14:paraId="5B24D86B" w14:textId="77777777" w:rsidR="00C90674" w:rsidRPr="001B20F1" w:rsidRDefault="00C90674" w:rsidP="00DE5FC1">
            <w:pPr>
              <w:jc w:val="both"/>
              <w:rPr>
                <w:rFonts w:ascii="Calibri" w:hAnsi="Calibri" w:cs="Calibri"/>
                <w:color w:val="auto"/>
                <w:sz w:val="22"/>
                <w:szCs w:val="22"/>
              </w:rPr>
            </w:pPr>
            <w:r w:rsidRPr="001B20F1">
              <w:rPr>
                <w:rFonts w:ascii="Calibri" w:hAnsi="Calibri" w:cs="Calibri"/>
                <w:color w:val="auto"/>
                <w:sz w:val="22"/>
                <w:szCs w:val="22"/>
              </w:rPr>
              <w:t>Funded Entitlement</w:t>
            </w:r>
          </w:p>
        </w:tc>
        <w:tc>
          <w:tcPr>
            <w:tcW w:w="1275" w:type="dxa"/>
          </w:tcPr>
          <w:p w14:paraId="2F8F76BC" w14:textId="77777777" w:rsidR="00C90674" w:rsidRPr="001B20F1" w:rsidRDefault="00C90674" w:rsidP="00C9067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1B20F1">
              <w:rPr>
                <w:rFonts w:ascii="Calibri" w:hAnsi="Calibri" w:cs="Calibri"/>
                <w:color w:val="auto"/>
                <w:sz w:val="22"/>
                <w:szCs w:val="22"/>
              </w:rPr>
              <w:t>2021-2022</w:t>
            </w:r>
          </w:p>
        </w:tc>
        <w:tc>
          <w:tcPr>
            <w:tcW w:w="1276" w:type="dxa"/>
          </w:tcPr>
          <w:p w14:paraId="2DCAD96C" w14:textId="77777777" w:rsidR="00C90674" w:rsidRPr="001B20F1" w:rsidRDefault="00C90674" w:rsidP="00C9067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1B20F1">
              <w:rPr>
                <w:rFonts w:ascii="Calibri" w:hAnsi="Calibri" w:cs="Calibri"/>
                <w:color w:val="auto"/>
                <w:sz w:val="22"/>
                <w:szCs w:val="22"/>
              </w:rPr>
              <w:t>2022-2023</w:t>
            </w:r>
          </w:p>
        </w:tc>
      </w:tr>
      <w:tr w:rsidR="001B20F1" w:rsidRPr="001B20F1" w14:paraId="43657DC9" w14:textId="77777777" w:rsidTr="0064558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2" w:type="dxa"/>
          </w:tcPr>
          <w:p w14:paraId="60575CFD" w14:textId="77777777" w:rsidR="00C90674" w:rsidRPr="001B20F1" w:rsidRDefault="00C90674" w:rsidP="00DE5FC1">
            <w:pPr>
              <w:jc w:val="both"/>
              <w:rPr>
                <w:rFonts w:ascii="Calibri" w:hAnsi="Calibri" w:cs="Calibri"/>
                <w:sz w:val="22"/>
                <w:szCs w:val="22"/>
              </w:rPr>
            </w:pPr>
            <w:proofErr w:type="gramStart"/>
            <w:r w:rsidRPr="001B20F1">
              <w:rPr>
                <w:rFonts w:ascii="Calibri" w:hAnsi="Calibri" w:cs="Calibri"/>
                <w:sz w:val="22"/>
                <w:szCs w:val="22"/>
              </w:rPr>
              <w:t>2 Year old</w:t>
            </w:r>
            <w:proofErr w:type="gramEnd"/>
            <w:r w:rsidRPr="001B20F1">
              <w:rPr>
                <w:rFonts w:ascii="Calibri" w:hAnsi="Calibri" w:cs="Calibri"/>
                <w:sz w:val="22"/>
                <w:szCs w:val="22"/>
              </w:rPr>
              <w:t xml:space="preserve"> base rate</w:t>
            </w:r>
          </w:p>
        </w:tc>
        <w:tc>
          <w:tcPr>
            <w:tcW w:w="1275" w:type="dxa"/>
          </w:tcPr>
          <w:p w14:paraId="12973B4B" w14:textId="77777777" w:rsidR="00C90674" w:rsidRPr="001B20F1" w:rsidRDefault="00C90674" w:rsidP="00C9067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1B20F1">
              <w:rPr>
                <w:rFonts w:ascii="Calibri" w:hAnsi="Calibri" w:cs="Calibri"/>
                <w:sz w:val="22"/>
                <w:szCs w:val="22"/>
              </w:rPr>
              <w:t>£6.66</w:t>
            </w:r>
          </w:p>
        </w:tc>
        <w:tc>
          <w:tcPr>
            <w:tcW w:w="1276" w:type="dxa"/>
          </w:tcPr>
          <w:p w14:paraId="4ECA5681" w14:textId="77777777" w:rsidR="00C90674" w:rsidRPr="001B20F1" w:rsidRDefault="00C90674" w:rsidP="00C9067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1B20F1">
              <w:rPr>
                <w:rFonts w:ascii="Calibri" w:hAnsi="Calibri" w:cs="Calibri"/>
                <w:sz w:val="22"/>
                <w:szCs w:val="22"/>
              </w:rPr>
              <w:t>£6.87</w:t>
            </w:r>
          </w:p>
        </w:tc>
      </w:tr>
      <w:tr w:rsidR="001B20F1" w:rsidRPr="001B20F1" w14:paraId="2C9E49C9" w14:textId="77777777" w:rsidTr="0064558F">
        <w:trPr>
          <w:jc w:val="center"/>
        </w:trPr>
        <w:tc>
          <w:tcPr>
            <w:cnfStyle w:val="001000000000" w:firstRow="0" w:lastRow="0" w:firstColumn="1" w:lastColumn="0" w:oddVBand="0" w:evenVBand="0" w:oddHBand="0" w:evenHBand="0" w:firstRowFirstColumn="0" w:firstRowLastColumn="0" w:lastRowFirstColumn="0" w:lastRowLastColumn="0"/>
            <w:tcW w:w="2122" w:type="dxa"/>
          </w:tcPr>
          <w:p w14:paraId="27976994" w14:textId="77777777" w:rsidR="00C90674" w:rsidRPr="001B20F1" w:rsidRDefault="00C90674" w:rsidP="00DE5FC1">
            <w:pPr>
              <w:rPr>
                <w:rFonts w:ascii="Calibri" w:hAnsi="Calibri" w:cs="Calibri"/>
                <w:sz w:val="22"/>
                <w:szCs w:val="22"/>
              </w:rPr>
            </w:pPr>
            <w:r w:rsidRPr="001B20F1">
              <w:rPr>
                <w:rFonts w:ascii="Calibri" w:hAnsi="Calibri" w:cs="Calibri"/>
                <w:sz w:val="22"/>
                <w:szCs w:val="22"/>
              </w:rPr>
              <w:t>EYPP</w:t>
            </w:r>
          </w:p>
        </w:tc>
        <w:tc>
          <w:tcPr>
            <w:tcW w:w="1275" w:type="dxa"/>
          </w:tcPr>
          <w:p w14:paraId="76BA1945" w14:textId="77777777" w:rsidR="00C90674" w:rsidRPr="001B20F1" w:rsidRDefault="00C90674" w:rsidP="00C906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1B20F1">
              <w:rPr>
                <w:rFonts w:ascii="Calibri" w:hAnsi="Calibri" w:cs="Calibri"/>
                <w:sz w:val="22"/>
                <w:szCs w:val="22"/>
              </w:rPr>
              <w:t>£0.53</w:t>
            </w:r>
          </w:p>
        </w:tc>
        <w:tc>
          <w:tcPr>
            <w:tcW w:w="1276" w:type="dxa"/>
          </w:tcPr>
          <w:p w14:paraId="5C686958" w14:textId="77777777" w:rsidR="00C90674" w:rsidRPr="001B20F1" w:rsidRDefault="00C90674" w:rsidP="00C906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1B20F1">
              <w:rPr>
                <w:rFonts w:ascii="Calibri" w:hAnsi="Calibri" w:cs="Calibri"/>
                <w:sz w:val="22"/>
                <w:szCs w:val="22"/>
              </w:rPr>
              <w:t>£0.60</w:t>
            </w:r>
          </w:p>
        </w:tc>
      </w:tr>
      <w:tr w:rsidR="001B20F1" w:rsidRPr="001B20F1" w14:paraId="2DDCAB89" w14:textId="77777777" w:rsidTr="0064558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2" w:type="dxa"/>
          </w:tcPr>
          <w:p w14:paraId="4F815E50" w14:textId="77777777" w:rsidR="00C90674" w:rsidRPr="001B20F1" w:rsidRDefault="00C90674" w:rsidP="00DE5FC1">
            <w:pPr>
              <w:rPr>
                <w:rFonts w:ascii="Calibri" w:hAnsi="Calibri" w:cs="Calibri"/>
                <w:sz w:val="22"/>
                <w:szCs w:val="22"/>
              </w:rPr>
            </w:pPr>
            <w:r w:rsidRPr="001B20F1">
              <w:rPr>
                <w:rFonts w:ascii="Calibri" w:hAnsi="Calibri" w:cs="Calibri"/>
                <w:sz w:val="22"/>
                <w:szCs w:val="22"/>
              </w:rPr>
              <w:t>DAF</w:t>
            </w:r>
          </w:p>
        </w:tc>
        <w:tc>
          <w:tcPr>
            <w:tcW w:w="1275" w:type="dxa"/>
          </w:tcPr>
          <w:p w14:paraId="310C090B" w14:textId="77777777" w:rsidR="00C90674" w:rsidRPr="001B20F1" w:rsidRDefault="00C90674" w:rsidP="00C9067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1B20F1">
              <w:rPr>
                <w:rFonts w:ascii="Calibri" w:hAnsi="Calibri" w:cs="Calibri"/>
                <w:sz w:val="22"/>
                <w:szCs w:val="22"/>
              </w:rPr>
              <w:t>£615</w:t>
            </w:r>
          </w:p>
        </w:tc>
        <w:tc>
          <w:tcPr>
            <w:tcW w:w="1276" w:type="dxa"/>
          </w:tcPr>
          <w:p w14:paraId="35C3A6A4" w14:textId="77777777" w:rsidR="00C90674" w:rsidRPr="001B20F1" w:rsidRDefault="00C90674" w:rsidP="00C9067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1B20F1">
              <w:rPr>
                <w:rFonts w:ascii="Calibri" w:hAnsi="Calibri" w:cs="Calibri"/>
                <w:sz w:val="22"/>
                <w:szCs w:val="22"/>
              </w:rPr>
              <w:t>£800</w:t>
            </w:r>
          </w:p>
        </w:tc>
      </w:tr>
    </w:tbl>
    <w:p w14:paraId="1C61B4E7" w14:textId="389C76F3" w:rsidR="00C90674" w:rsidRDefault="00C90674" w:rsidP="00C90674">
      <w:pPr>
        <w:pStyle w:val="ListParagraph"/>
        <w:ind w:left="792"/>
        <w:rPr>
          <w:rFonts w:ascii="Calibri" w:hAnsi="Calibri" w:cs="Calibri"/>
          <w:color w:val="000000" w:themeColor="text1"/>
          <w:sz w:val="22"/>
          <w:szCs w:val="22"/>
        </w:rPr>
      </w:pPr>
    </w:p>
    <w:p w14:paraId="5FED2B43" w14:textId="6925767C" w:rsidR="0039609B" w:rsidRPr="0064558F" w:rsidRDefault="00C90674" w:rsidP="0064558F">
      <w:pPr>
        <w:pStyle w:val="ListParagraph"/>
        <w:numPr>
          <w:ilvl w:val="1"/>
          <w:numId w:val="4"/>
        </w:numPr>
        <w:rPr>
          <w:rFonts w:ascii="Calibri" w:hAnsi="Calibri" w:cs="Calibri"/>
          <w:color w:val="000000" w:themeColor="text1"/>
          <w:sz w:val="22"/>
          <w:szCs w:val="22"/>
        </w:rPr>
      </w:pPr>
      <w:r>
        <w:rPr>
          <w:rFonts w:ascii="Calibri" w:hAnsi="Calibri" w:cs="Calibri"/>
          <w:color w:val="000000" w:themeColor="text1"/>
          <w:sz w:val="22"/>
          <w:szCs w:val="22"/>
        </w:rPr>
        <w:t xml:space="preserve">The final indicative budget </w:t>
      </w:r>
      <w:r w:rsidRPr="00C90674">
        <w:rPr>
          <w:rFonts w:ascii="Calibri" w:hAnsi="Calibri" w:cs="Calibri"/>
          <w:color w:val="000000" w:themeColor="text1"/>
          <w:sz w:val="22"/>
          <w:szCs w:val="22"/>
        </w:rPr>
        <w:t xml:space="preserve">based on </w:t>
      </w:r>
      <w:r w:rsidR="0064558F">
        <w:rPr>
          <w:rFonts w:ascii="Calibri" w:hAnsi="Calibri" w:cs="Calibri"/>
          <w:color w:val="000000" w:themeColor="text1"/>
          <w:sz w:val="22"/>
          <w:szCs w:val="22"/>
        </w:rPr>
        <w:t>DSG EY</w:t>
      </w:r>
      <w:r w:rsidR="006E4734">
        <w:rPr>
          <w:rFonts w:ascii="Calibri" w:hAnsi="Calibri" w:cs="Calibri"/>
          <w:color w:val="000000" w:themeColor="text1"/>
          <w:sz w:val="22"/>
          <w:szCs w:val="22"/>
        </w:rPr>
        <w:t>NF</w:t>
      </w:r>
      <w:r w:rsidR="007563A9">
        <w:rPr>
          <w:rFonts w:ascii="Calibri" w:hAnsi="Calibri" w:cs="Calibri"/>
          <w:color w:val="000000" w:themeColor="text1"/>
          <w:sz w:val="22"/>
          <w:szCs w:val="22"/>
        </w:rPr>
        <w:t>F</w:t>
      </w:r>
      <w:r w:rsidR="0064558F">
        <w:rPr>
          <w:rFonts w:ascii="Calibri" w:hAnsi="Calibri" w:cs="Calibri"/>
          <w:color w:val="000000" w:themeColor="text1"/>
          <w:sz w:val="22"/>
          <w:szCs w:val="22"/>
        </w:rPr>
        <w:t xml:space="preserve"> formula is as follows:</w:t>
      </w:r>
    </w:p>
    <w:p w14:paraId="1AA96C93" w14:textId="2A2004FD" w:rsidR="0039609B" w:rsidRPr="00AB04FA" w:rsidRDefault="00AB04FA" w:rsidP="004E12A6">
      <w:pPr>
        <w:pStyle w:val="ListParagraph"/>
        <w:jc w:val="both"/>
        <w:rPr>
          <w:rFonts w:ascii="Calibri" w:hAnsi="Calibri" w:cs="Calibri"/>
          <w:b/>
          <w:color w:val="000000" w:themeColor="text1"/>
          <w:sz w:val="22"/>
          <w:szCs w:val="22"/>
        </w:rPr>
      </w:pPr>
      <w:r w:rsidRPr="00AB04FA">
        <w:rPr>
          <w:rFonts w:ascii="Calibri" w:hAnsi="Calibri" w:cs="Calibri"/>
          <w:b/>
          <w:color w:val="000000" w:themeColor="text1"/>
          <w:sz w:val="22"/>
          <w:szCs w:val="22"/>
        </w:rPr>
        <w:t xml:space="preserve">Table 2: Proposed and comparative base rates </w:t>
      </w:r>
      <w:r>
        <w:rPr>
          <w:rFonts w:ascii="Calibri" w:hAnsi="Calibri" w:cs="Calibri"/>
          <w:b/>
          <w:color w:val="000000" w:themeColor="text1"/>
          <w:sz w:val="22"/>
          <w:szCs w:val="22"/>
        </w:rPr>
        <w:t>per hour, per child:</w:t>
      </w:r>
    </w:p>
    <w:tbl>
      <w:tblPr>
        <w:tblStyle w:val="GridTable4-Accent1"/>
        <w:tblW w:w="8637" w:type="dxa"/>
        <w:jc w:val="center"/>
        <w:tblLook w:val="04A0" w:firstRow="1" w:lastRow="0" w:firstColumn="1" w:lastColumn="0" w:noHBand="0" w:noVBand="1"/>
      </w:tblPr>
      <w:tblGrid>
        <w:gridCol w:w="3539"/>
        <w:gridCol w:w="1417"/>
        <w:gridCol w:w="3681"/>
      </w:tblGrid>
      <w:tr w:rsidR="001B20F1" w:rsidRPr="001B20F1" w14:paraId="64E4957A" w14:textId="77777777" w:rsidTr="00FB07D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Pr>
          <w:p w14:paraId="1EAAB6B8" w14:textId="77777777" w:rsidR="00FB07DA" w:rsidRPr="001B20F1" w:rsidRDefault="00FB07DA" w:rsidP="00DE5FC1">
            <w:pPr>
              <w:jc w:val="both"/>
              <w:rPr>
                <w:rFonts w:ascii="Calibri" w:hAnsi="Calibri" w:cs="Calibri"/>
                <w:color w:val="auto"/>
                <w:sz w:val="22"/>
                <w:szCs w:val="22"/>
              </w:rPr>
            </w:pPr>
            <w:r w:rsidRPr="001B20F1">
              <w:rPr>
                <w:rFonts w:ascii="Calibri" w:hAnsi="Calibri" w:cs="Calibri"/>
                <w:color w:val="auto"/>
                <w:sz w:val="22"/>
                <w:szCs w:val="22"/>
              </w:rPr>
              <w:t>Funded Entitlement</w:t>
            </w:r>
          </w:p>
        </w:tc>
        <w:tc>
          <w:tcPr>
            <w:tcW w:w="1417" w:type="dxa"/>
          </w:tcPr>
          <w:p w14:paraId="5AA4E287" w14:textId="77777777" w:rsidR="00FB07DA" w:rsidRPr="001B20F1" w:rsidRDefault="00FB07DA" w:rsidP="00C9067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1B20F1">
              <w:rPr>
                <w:rFonts w:ascii="Calibri" w:hAnsi="Calibri" w:cs="Calibri"/>
                <w:color w:val="auto"/>
                <w:sz w:val="22"/>
                <w:szCs w:val="22"/>
              </w:rPr>
              <w:t>2021-2022</w:t>
            </w:r>
          </w:p>
        </w:tc>
        <w:tc>
          <w:tcPr>
            <w:tcW w:w="3681" w:type="dxa"/>
          </w:tcPr>
          <w:p w14:paraId="02933854" w14:textId="77777777" w:rsidR="00FB07DA" w:rsidRPr="001B20F1" w:rsidRDefault="00FB07DA" w:rsidP="00C9067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1B20F1">
              <w:rPr>
                <w:rFonts w:ascii="Calibri" w:hAnsi="Calibri" w:cs="Calibri"/>
                <w:color w:val="auto"/>
                <w:sz w:val="22"/>
                <w:szCs w:val="22"/>
              </w:rPr>
              <w:t>2022-2023</w:t>
            </w:r>
          </w:p>
        </w:tc>
      </w:tr>
      <w:tr w:rsidR="00FB07DA" w:rsidRPr="00741395" w14:paraId="7E6EFE06" w14:textId="77777777" w:rsidTr="00FB07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Pr>
          <w:p w14:paraId="3047548C" w14:textId="77777777" w:rsidR="00FB07DA" w:rsidRPr="00741395" w:rsidRDefault="00FB07DA" w:rsidP="00DE5FC1">
            <w:pPr>
              <w:jc w:val="both"/>
              <w:rPr>
                <w:rFonts w:ascii="Calibri" w:hAnsi="Calibri" w:cs="Calibri"/>
                <w:color w:val="000000" w:themeColor="text1"/>
                <w:sz w:val="22"/>
                <w:szCs w:val="22"/>
              </w:rPr>
            </w:pPr>
            <w:proofErr w:type="gramStart"/>
            <w:r w:rsidRPr="00741395">
              <w:rPr>
                <w:rFonts w:ascii="Calibri" w:hAnsi="Calibri" w:cs="Calibri"/>
                <w:color w:val="000000" w:themeColor="text1"/>
                <w:sz w:val="22"/>
                <w:szCs w:val="22"/>
              </w:rPr>
              <w:t>2 Year old</w:t>
            </w:r>
            <w:proofErr w:type="gramEnd"/>
            <w:r w:rsidRPr="00741395">
              <w:rPr>
                <w:rFonts w:ascii="Calibri" w:hAnsi="Calibri" w:cs="Calibri"/>
                <w:color w:val="000000" w:themeColor="text1"/>
                <w:sz w:val="22"/>
                <w:szCs w:val="22"/>
              </w:rPr>
              <w:t xml:space="preserve"> base rate</w:t>
            </w:r>
          </w:p>
        </w:tc>
        <w:tc>
          <w:tcPr>
            <w:tcW w:w="1417" w:type="dxa"/>
          </w:tcPr>
          <w:p w14:paraId="3636FBFF" w14:textId="77777777" w:rsidR="00FB07DA" w:rsidRPr="00741395" w:rsidRDefault="00FB07DA" w:rsidP="00C9067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741395">
              <w:rPr>
                <w:rFonts w:ascii="Calibri" w:hAnsi="Calibri" w:cs="Calibri"/>
                <w:color w:val="000000" w:themeColor="text1"/>
                <w:sz w:val="22"/>
                <w:szCs w:val="22"/>
              </w:rPr>
              <w:t>£6.58</w:t>
            </w:r>
          </w:p>
        </w:tc>
        <w:tc>
          <w:tcPr>
            <w:tcW w:w="3681" w:type="dxa"/>
          </w:tcPr>
          <w:p w14:paraId="766E3EE0" w14:textId="78752C5C" w:rsidR="00FB07DA" w:rsidRPr="00741395" w:rsidRDefault="00FB07DA" w:rsidP="00C9067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Pr>
                <w:rFonts w:ascii="Calibri" w:hAnsi="Calibri" w:cs="Calibri"/>
                <w:color w:val="000000" w:themeColor="text1"/>
                <w:sz w:val="22"/>
                <w:szCs w:val="22"/>
              </w:rPr>
              <w:t>6.79*</w:t>
            </w:r>
          </w:p>
        </w:tc>
      </w:tr>
      <w:tr w:rsidR="00FB07DA" w:rsidRPr="00741395" w14:paraId="3DE6D12A" w14:textId="77777777" w:rsidTr="00FB07DA">
        <w:trPr>
          <w:jc w:val="center"/>
        </w:trPr>
        <w:tc>
          <w:tcPr>
            <w:cnfStyle w:val="001000000000" w:firstRow="0" w:lastRow="0" w:firstColumn="1" w:lastColumn="0" w:oddVBand="0" w:evenVBand="0" w:oddHBand="0" w:evenHBand="0" w:firstRowFirstColumn="0" w:firstRowLastColumn="0" w:lastRowFirstColumn="0" w:lastRowLastColumn="0"/>
            <w:tcW w:w="3539" w:type="dxa"/>
          </w:tcPr>
          <w:p w14:paraId="031426B1" w14:textId="77777777" w:rsidR="00FB07DA" w:rsidRPr="00741395" w:rsidRDefault="00FB07DA" w:rsidP="00DE5FC1">
            <w:pPr>
              <w:rPr>
                <w:rFonts w:ascii="Calibri" w:hAnsi="Calibri" w:cs="Calibri"/>
                <w:color w:val="000000" w:themeColor="text1"/>
                <w:sz w:val="22"/>
                <w:szCs w:val="22"/>
              </w:rPr>
            </w:pPr>
            <w:r w:rsidRPr="00741395">
              <w:rPr>
                <w:rFonts w:ascii="Calibri" w:hAnsi="Calibri" w:cs="Calibri"/>
                <w:color w:val="000000" w:themeColor="text1"/>
                <w:sz w:val="22"/>
                <w:szCs w:val="22"/>
              </w:rPr>
              <w:t>Universal and Extended Entitlement</w:t>
            </w:r>
          </w:p>
        </w:tc>
        <w:tc>
          <w:tcPr>
            <w:tcW w:w="1417" w:type="dxa"/>
          </w:tcPr>
          <w:p w14:paraId="6FA93000" w14:textId="77777777" w:rsidR="00FB07DA" w:rsidRPr="00741395" w:rsidRDefault="00FB07DA" w:rsidP="00C906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741395">
              <w:rPr>
                <w:rFonts w:ascii="Calibri" w:hAnsi="Calibri" w:cs="Calibri"/>
                <w:color w:val="000000" w:themeColor="text1"/>
                <w:sz w:val="22"/>
                <w:szCs w:val="22"/>
              </w:rPr>
              <w:t>£7.16</w:t>
            </w:r>
          </w:p>
        </w:tc>
        <w:tc>
          <w:tcPr>
            <w:tcW w:w="3681" w:type="dxa"/>
          </w:tcPr>
          <w:p w14:paraId="48A35AFF" w14:textId="0F40541F" w:rsidR="00FB07DA" w:rsidRPr="00741395" w:rsidRDefault="00FB07DA" w:rsidP="00C906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Pr>
                <w:rFonts w:ascii="Calibri" w:hAnsi="Calibri" w:cs="Calibri"/>
                <w:color w:val="000000" w:themeColor="text1"/>
                <w:sz w:val="22"/>
                <w:szCs w:val="22"/>
              </w:rPr>
              <w:t>£7.16**</w:t>
            </w:r>
          </w:p>
        </w:tc>
      </w:tr>
      <w:tr w:rsidR="00FB07DA" w:rsidRPr="00741395" w14:paraId="3A06D19D" w14:textId="77777777" w:rsidTr="00FB07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Pr>
          <w:p w14:paraId="5AF2FAA5" w14:textId="77777777" w:rsidR="00FB07DA" w:rsidRPr="00741395" w:rsidRDefault="00FB07DA" w:rsidP="00DE5FC1">
            <w:pPr>
              <w:rPr>
                <w:rFonts w:ascii="Calibri" w:hAnsi="Calibri" w:cs="Calibri"/>
                <w:color w:val="000000" w:themeColor="text1"/>
                <w:sz w:val="22"/>
                <w:szCs w:val="22"/>
              </w:rPr>
            </w:pPr>
            <w:r w:rsidRPr="00741395">
              <w:rPr>
                <w:rFonts w:ascii="Calibri" w:hAnsi="Calibri" w:cs="Calibri"/>
                <w:color w:val="000000" w:themeColor="text1"/>
                <w:sz w:val="22"/>
                <w:szCs w:val="22"/>
              </w:rPr>
              <w:t>EYPP</w:t>
            </w:r>
          </w:p>
        </w:tc>
        <w:tc>
          <w:tcPr>
            <w:tcW w:w="1417" w:type="dxa"/>
          </w:tcPr>
          <w:p w14:paraId="5C99BFB9" w14:textId="77777777" w:rsidR="00FB07DA" w:rsidRPr="00741395" w:rsidRDefault="00FB07DA" w:rsidP="00C9067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741395">
              <w:rPr>
                <w:rFonts w:ascii="Calibri" w:hAnsi="Calibri" w:cs="Calibri"/>
                <w:color w:val="000000" w:themeColor="text1"/>
                <w:sz w:val="22"/>
                <w:szCs w:val="22"/>
              </w:rPr>
              <w:t>£0.53</w:t>
            </w:r>
          </w:p>
        </w:tc>
        <w:tc>
          <w:tcPr>
            <w:tcW w:w="3681" w:type="dxa"/>
          </w:tcPr>
          <w:p w14:paraId="115D0EA0" w14:textId="7D9FF32E" w:rsidR="00FB07DA" w:rsidRPr="00741395" w:rsidRDefault="00FB07DA" w:rsidP="00C9067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Pr>
                <w:rFonts w:ascii="Calibri" w:hAnsi="Calibri" w:cs="Calibri"/>
                <w:color w:val="000000" w:themeColor="text1"/>
                <w:sz w:val="22"/>
                <w:szCs w:val="22"/>
              </w:rPr>
              <w:t>£0.60</w:t>
            </w:r>
          </w:p>
        </w:tc>
      </w:tr>
      <w:tr w:rsidR="00FB07DA" w:rsidRPr="00741395" w14:paraId="7CA30213" w14:textId="77777777" w:rsidTr="00FB07DA">
        <w:trPr>
          <w:jc w:val="center"/>
        </w:trPr>
        <w:tc>
          <w:tcPr>
            <w:cnfStyle w:val="001000000000" w:firstRow="0" w:lastRow="0" w:firstColumn="1" w:lastColumn="0" w:oddVBand="0" w:evenVBand="0" w:oddHBand="0" w:evenHBand="0" w:firstRowFirstColumn="0" w:firstRowLastColumn="0" w:lastRowFirstColumn="0" w:lastRowLastColumn="0"/>
            <w:tcW w:w="3539" w:type="dxa"/>
          </w:tcPr>
          <w:p w14:paraId="32A4446F" w14:textId="77777777" w:rsidR="00FB07DA" w:rsidRPr="00741395" w:rsidRDefault="00FB07DA" w:rsidP="00DE5FC1">
            <w:pPr>
              <w:rPr>
                <w:rFonts w:ascii="Calibri" w:hAnsi="Calibri" w:cs="Calibri"/>
                <w:color w:val="000000" w:themeColor="text1"/>
                <w:sz w:val="22"/>
                <w:szCs w:val="22"/>
              </w:rPr>
            </w:pPr>
            <w:r w:rsidRPr="00741395">
              <w:rPr>
                <w:rFonts w:ascii="Calibri" w:hAnsi="Calibri" w:cs="Calibri"/>
                <w:color w:val="000000" w:themeColor="text1"/>
                <w:sz w:val="22"/>
                <w:szCs w:val="22"/>
              </w:rPr>
              <w:t>Deprivation</w:t>
            </w:r>
          </w:p>
        </w:tc>
        <w:tc>
          <w:tcPr>
            <w:tcW w:w="1417" w:type="dxa"/>
          </w:tcPr>
          <w:p w14:paraId="19CBF387" w14:textId="77777777" w:rsidR="00FB07DA" w:rsidRPr="00741395" w:rsidRDefault="00FB07DA" w:rsidP="00C906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741395">
              <w:rPr>
                <w:rFonts w:ascii="Calibri" w:hAnsi="Calibri" w:cs="Calibri"/>
                <w:color w:val="000000" w:themeColor="text1"/>
                <w:sz w:val="22"/>
                <w:szCs w:val="22"/>
              </w:rPr>
              <w:t>£0.30</w:t>
            </w:r>
          </w:p>
        </w:tc>
        <w:tc>
          <w:tcPr>
            <w:tcW w:w="3681" w:type="dxa"/>
          </w:tcPr>
          <w:p w14:paraId="404A476D" w14:textId="106BC103" w:rsidR="00FB07DA" w:rsidRPr="00741395" w:rsidRDefault="00FB07DA" w:rsidP="00C906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Pr>
                <w:rFonts w:ascii="Calibri" w:hAnsi="Calibri" w:cs="Calibri"/>
                <w:color w:val="000000" w:themeColor="text1"/>
                <w:sz w:val="22"/>
                <w:szCs w:val="22"/>
              </w:rPr>
              <w:t>£0.30</w:t>
            </w:r>
          </w:p>
        </w:tc>
      </w:tr>
      <w:tr w:rsidR="00FB07DA" w:rsidRPr="00741395" w14:paraId="710C76E3" w14:textId="77777777" w:rsidTr="00FB07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Pr>
          <w:p w14:paraId="14939F2C" w14:textId="77777777" w:rsidR="00FB07DA" w:rsidRPr="00741395" w:rsidRDefault="00FB07DA" w:rsidP="00DE5FC1">
            <w:pPr>
              <w:rPr>
                <w:rFonts w:ascii="Calibri" w:hAnsi="Calibri" w:cs="Calibri"/>
                <w:color w:val="000000" w:themeColor="text1"/>
                <w:sz w:val="22"/>
                <w:szCs w:val="22"/>
              </w:rPr>
            </w:pPr>
            <w:r w:rsidRPr="00741395">
              <w:rPr>
                <w:rFonts w:ascii="Calibri" w:hAnsi="Calibri" w:cs="Calibri"/>
                <w:color w:val="000000" w:themeColor="text1"/>
                <w:sz w:val="22"/>
                <w:szCs w:val="22"/>
              </w:rPr>
              <w:t>DAF</w:t>
            </w:r>
          </w:p>
        </w:tc>
        <w:tc>
          <w:tcPr>
            <w:tcW w:w="1417" w:type="dxa"/>
          </w:tcPr>
          <w:p w14:paraId="13BB9479" w14:textId="77777777" w:rsidR="00FB07DA" w:rsidRPr="00741395" w:rsidRDefault="00FB07DA" w:rsidP="00C9067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741395">
              <w:rPr>
                <w:rFonts w:ascii="Calibri" w:hAnsi="Calibri" w:cs="Calibri"/>
                <w:color w:val="000000" w:themeColor="text1"/>
                <w:sz w:val="22"/>
                <w:szCs w:val="22"/>
              </w:rPr>
              <w:t>£615</w:t>
            </w:r>
          </w:p>
        </w:tc>
        <w:tc>
          <w:tcPr>
            <w:tcW w:w="3681" w:type="dxa"/>
          </w:tcPr>
          <w:p w14:paraId="1E3BA3ED" w14:textId="3794417C" w:rsidR="00FB07DA" w:rsidRPr="00741395" w:rsidRDefault="00FB07DA" w:rsidP="00C9067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Pr>
                <w:rFonts w:ascii="Calibri" w:hAnsi="Calibri" w:cs="Calibri"/>
                <w:color w:val="000000" w:themeColor="text1"/>
                <w:sz w:val="22"/>
                <w:szCs w:val="22"/>
              </w:rPr>
              <w:t>£800</w:t>
            </w:r>
          </w:p>
        </w:tc>
      </w:tr>
    </w:tbl>
    <w:p w14:paraId="5EBFB12F" w14:textId="4EA7474E" w:rsidR="004E12A6" w:rsidRPr="00C90674" w:rsidRDefault="00FB07DA" w:rsidP="00FB07DA">
      <w:pPr>
        <w:pStyle w:val="ListParagraph"/>
        <w:ind w:left="1069"/>
        <w:jc w:val="both"/>
        <w:rPr>
          <w:rFonts w:ascii="Calibri" w:hAnsi="Calibri" w:cs="Calibri"/>
          <w:color w:val="000000" w:themeColor="text1"/>
          <w:sz w:val="22"/>
          <w:szCs w:val="22"/>
        </w:rPr>
      </w:pPr>
      <w:r>
        <w:rPr>
          <w:rFonts w:ascii="Calibri" w:hAnsi="Calibri" w:cs="Calibri"/>
          <w:color w:val="000000" w:themeColor="text1"/>
          <w:sz w:val="22"/>
          <w:szCs w:val="22"/>
        </w:rPr>
        <w:t>*Passport the full 21 p to the sector received from the DfE *</w:t>
      </w:r>
      <w:r w:rsidR="00C90674">
        <w:rPr>
          <w:rFonts w:ascii="Calibri" w:hAnsi="Calibri" w:cs="Calibri"/>
          <w:color w:val="000000" w:themeColor="text1"/>
          <w:sz w:val="22"/>
          <w:szCs w:val="22"/>
        </w:rPr>
        <w:t>*No change from 2021-2022</w:t>
      </w:r>
    </w:p>
    <w:p w14:paraId="0BFFC621" w14:textId="77777777" w:rsidR="00A44C15" w:rsidRDefault="00A44C15" w:rsidP="00A44C15">
      <w:pPr>
        <w:pStyle w:val="ListParagraph"/>
        <w:ind w:left="792"/>
        <w:jc w:val="both"/>
        <w:rPr>
          <w:rFonts w:ascii="Calibri" w:hAnsi="Calibri" w:cs="Calibri"/>
          <w:color w:val="000000" w:themeColor="text1"/>
          <w:sz w:val="22"/>
          <w:szCs w:val="22"/>
        </w:rPr>
      </w:pPr>
    </w:p>
    <w:p w14:paraId="139959FF" w14:textId="4C74033C" w:rsidR="00C24ED9" w:rsidRPr="00C24ED9" w:rsidRDefault="00C24ED9" w:rsidP="00C24ED9">
      <w:pPr>
        <w:pStyle w:val="ListParagraph"/>
        <w:numPr>
          <w:ilvl w:val="1"/>
          <w:numId w:val="4"/>
        </w:numPr>
        <w:rPr>
          <w:rFonts w:ascii="Calibri" w:hAnsi="Calibri" w:cs="Calibri"/>
          <w:color w:val="000000" w:themeColor="text1"/>
          <w:sz w:val="22"/>
          <w:szCs w:val="22"/>
        </w:rPr>
      </w:pPr>
      <w:r w:rsidRPr="00C24ED9">
        <w:rPr>
          <w:rFonts w:ascii="Calibri" w:hAnsi="Calibri" w:cs="Calibri"/>
          <w:color w:val="000000" w:themeColor="text1"/>
          <w:sz w:val="22"/>
          <w:szCs w:val="22"/>
        </w:rPr>
        <w:t>Since the introduction of the EYNFF, local authorities have received supplementary funding for maintained nursery schools (MNS) on top of their EYNFF allocation and is based on a per child formula. This is to protect their MNS funding at their 2016-17 level for the universal 15 hours.</w:t>
      </w:r>
    </w:p>
    <w:p w14:paraId="783EF09E" w14:textId="6579337E" w:rsidR="00DE5FC1" w:rsidRDefault="00DE5FC1" w:rsidP="00DE5FC1">
      <w:pPr>
        <w:pStyle w:val="ListParagraph"/>
        <w:numPr>
          <w:ilvl w:val="1"/>
          <w:numId w:val="4"/>
        </w:numPr>
        <w:jc w:val="both"/>
        <w:rPr>
          <w:rFonts w:ascii="Calibri" w:hAnsi="Calibri" w:cs="Calibri"/>
          <w:color w:val="000000" w:themeColor="text1"/>
          <w:sz w:val="22"/>
          <w:szCs w:val="22"/>
        </w:rPr>
      </w:pPr>
      <w:r w:rsidRPr="00DE5FC1">
        <w:rPr>
          <w:rFonts w:ascii="Calibri" w:hAnsi="Calibri" w:cs="Calibri"/>
          <w:color w:val="000000" w:themeColor="text1"/>
          <w:sz w:val="22"/>
          <w:szCs w:val="22"/>
        </w:rPr>
        <w:lastRenderedPageBreak/>
        <w:t xml:space="preserve">Funding will be paid to </w:t>
      </w:r>
      <w:r w:rsidR="00255A71">
        <w:rPr>
          <w:rFonts w:ascii="Calibri" w:hAnsi="Calibri" w:cs="Calibri"/>
          <w:color w:val="000000" w:themeColor="text1"/>
          <w:sz w:val="22"/>
          <w:szCs w:val="22"/>
        </w:rPr>
        <w:t>Maintained Nu</w:t>
      </w:r>
      <w:r w:rsidR="00BD0BBC">
        <w:rPr>
          <w:rFonts w:ascii="Calibri" w:hAnsi="Calibri" w:cs="Calibri"/>
          <w:color w:val="000000" w:themeColor="text1"/>
          <w:sz w:val="22"/>
          <w:szCs w:val="22"/>
        </w:rPr>
        <w:t>rsery Schools within the regular</w:t>
      </w:r>
      <w:r w:rsidRPr="00DE5FC1">
        <w:rPr>
          <w:rFonts w:ascii="Calibri" w:hAnsi="Calibri" w:cs="Calibri"/>
          <w:color w:val="000000" w:themeColor="text1"/>
          <w:sz w:val="22"/>
          <w:szCs w:val="22"/>
        </w:rPr>
        <w:t xml:space="preserve"> payments per </w:t>
      </w:r>
      <w:r w:rsidR="00255A71">
        <w:rPr>
          <w:rFonts w:ascii="Calibri" w:hAnsi="Calibri" w:cs="Calibri"/>
          <w:color w:val="000000" w:themeColor="text1"/>
          <w:sz w:val="22"/>
          <w:szCs w:val="22"/>
        </w:rPr>
        <w:t>year</w:t>
      </w:r>
      <w:r w:rsidRPr="00DE5FC1">
        <w:rPr>
          <w:rFonts w:ascii="Calibri" w:hAnsi="Calibri" w:cs="Calibri"/>
          <w:color w:val="000000" w:themeColor="text1"/>
          <w:sz w:val="22"/>
          <w:szCs w:val="22"/>
        </w:rPr>
        <w:t xml:space="preserve">. </w:t>
      </w:r>
      <w:r w:rsidR="00FB07DA">
        <w:rPr>
          <w:rFonts w:ascii="Calibri" w:hAnsi="Calibri" w:cs="Calibri"/>
          <w:color w:val="000000" w:themeColor="text1"/>
          <w:sz w:val="22"/>
          <w:szCs w:val="22"/>
        </w:rPr>
        <w:t xml:space="preserve">There has been a </w:t>
      </w:r>
      <w:r w:rsidR="00C24ED9">
        <w:rPr>
          <w:rFonts w:ascii="Calibri" w:hAnsi="Calibri" w:cs="Calibri"/>
          <w:color w:val="000000" w:themeColor="text1"/>
          <w:sz w:val="22"/>
          <w:szCs w:val="22"/>
        </w:rPr>
        <w:t>9% decrease (</w:t>
      </w:r>
      <w:r w:rsidR="00A64C60">
        <w:rPr>
          <w:rFonts w:ascii="Calibri" w:hAnsi="Calibri" w:cs="Calibri"/>
          <w:color w:val="000000" w:themeColor="text1"/>
          <w:sz w:val="22"/>
          <w:szCs w:val="22"/>
        </w:rPr>
        <w:t>£52,</w:t>
      </w:r>
      <w:r w:rsidR="00A64C60" w:rsidRPr="00C24ED9">
        <w:rPr>
          <w:rFonts w:ascii="Calibri" w:hAnsi="Calibri" w:cs="Calibri"/>
          <w:color w:val="000000" w:themeColor="text1"/>
          <w:sz w:val="22"/>
          <w:szCs w:val="22"/>
        </w:rPr>
        <w:t>873</w:t>
      </w:r>
      <w:r w:rsidR="00C24ED9">
        <w:rPr>
          <w:rFonts w:ascii="Calibri" w:hAnsi="Calibri" w:cs="Calibri"/>
          <w:color w:val="000000" w:themeColor="text1"/>
          <w:sz w:val="22"/>
          <w:szCs w:val="22"/>
        </w:rPr>
        <w:t>) due to a reduction of children</w:t>
      </w:r>
      <w:r w:rsidR="00FB07DA" w:rsidRPr="00C24ED9">
        <w:rPr>
          <w:rFonts w:ascii="Calibri" w:hAnsi="Calibri" w:cs="Calibri"/>
          <w:color w:val="000000" w:themeColor="text1"/>
          <w:sz w:val="22"/>
          <w:szCs w:val="22"/>
        </w:rPr>
        <w:t>,</w:t>
      </w:r>
      <w:r w:rsidR="00FB07DA">
        <w:rPr>
          <w:rFonts w:ascii="Calibri" w:hAnsi="Calibri" w:cs="Calibri"/>
          <w:color w:val="000000" w:themeColor="text1"/>
          <w:sz w:val="22"/>
          <w:szCs w:val="22"/>
        </w:rPr>
        <w:t xml:space="preserve"> however, LBTH will commit to allocate the same amount per MNS as last year and this will be met by</w:t>
      </w:r>
      <w:r w:rsidR="00C24ED9">
        <w:rPr>
          <w:rFonts w:ascii="Calibri" w:hAnsi="Calibri" w:cs="Calibri"/>
          <w:color w:val="000000" w:themeColor="text1"/>
          <w:sz w:val="22"/>
          <w:szCs w:val="22"/>
        </w:rPr>
        <w:t xml:space="preserve"> the underspend. </w:t>
      </w:r>
      <w:r w:rsidR="00FB07DA">
        <w:rPr>
          <w:rFonts w:ascii="Calibri" w:hAnsi="Calibri" w:cs="Calibri"/>
          <w:color w:val="000000" w:themeColor="text1"/>
          <w:sz w:val="22"/>
          <w:szCs w:val="22"/>
        </w:rPr>
        <w:t xml:space="preserve"> </w:t>
      </w:r>
    </w:p>
    <w:p w14:paraId="4B8F8CA8" w14:textId="77777777" w:rsidR="00C50587" w:rsidRDefault="00C50587" w:rsidP="00C50587">
      <w:pPr>
        <w:pStyle w:val="ListParagraph"/>
        <w:ind w:left="792"/>
        <w:jc w:val="both"/>
        <w:rPr>
          <w:rFonts w:ascii="Calibri" w:hAnsi="Calibri" w:cs="Calibri"/>
          <w:color w:val="000000" w:themeColor="text1"/>
          <w:sz w:val="22"/>
          <w:szCs w:val="22"/>
        </w:rPr>
      </w:pPr>
    </w:p>
    <w:p w14:paraId="5CA8F111" w14:textId="77777777" w:rsidR="00C50587" w:rsidRDefault="00C50587" w:rsidP="00C50587">
      <w:pPr>
        <w:pStyle w:val="ListParagraph"/>
        <w:ind w:left="792"/>
        <w:jc w:val="both"/>
        <w:rPr>
          <w:rFonts w:ascii="Calibri" w:hAnsi="Calibri" w:cs="Calibri"/>
          <w:color w:val="000000" w:themeColor="text1"/>
          <w:sz w:val="22"/>
          <w:szCs w:val="22"/>
        </w:rPr>
      </w:pPr>
    </w:p>
    <w:p w14:paraId="01CBF898" w14:textId="77777777" w:rsidR="00C50587" w:rsidRDefault="00C50587" w:rsidP="00C50587">
      <w:pPr>
        <w:pStyle w:val="ListParagraph"/>
        <w:ind w:left="792"/>
        <w:jc w:val="both"/>
        <w:rPr>
          <w:rFonts w:ascii="Calibri" w:hAnsi="Calibri" w:cs="Calibri"/>
          <w:color w:val="000000" w:themeColor="text1"/>
          <w:sz w:val="22"/>
          <w:szCs w:val="22"/>
        </w:rPr>
      </w:pPr>
    </w:p>
    <w:p w14:paraId="59805A56" w14:textId="76BD5721" w:rsidR="00F52702" w:rsidRPr="00F52702" w:rsidRDefault="00F52702" w:rsidP="00F52702">
      <w:pPr>
        <w:pStyle w:val="ListParagraph"/>
        <w:ind w:left="792"/>
        <w:jc w:val="both"/>
        <w:rPr>
          <w:rFonts w:ascii="Calibri" w:hAnsi="Calibri" w:cs="Calibri"/>
          <w:b/>
          <w:color w:val="000000" w:themeColor="text1"/>
          <w:sz w:val="22"/>
          <w:szCs w:val="22"/>
        </w:rPr>
      </w:pPr>
      <w:r w:rsidRPr="00F52702">
        <w:rPr>
          <w:rFonts w:ascii="Calibri" w:hAnsi="Calibri" w:cs="Calibri"/>
          <w:b/>
          <w:color w:val="000000" w:themeColor="text1"/>
          <w:sz w:val="22"/>
          <w:szCs w:val="22"/>
        </w:rPr>
        <w:t>Table 3: The 2022-2023 allocation MNS Budget</w:t>
      </w:r>
    </w:p>
    <w:tbl>
      <w:tblPr>
        <w:tblStyle w:val="GridTable4-Accent11"/>
        <w:tblW w:w="0" w:type="auto"/>
        <w:tblInd w:w="846" w:type="dxa"/>
        <w:tblLayout w:type="fixed"/>
        <w:tblLook w:val="01E0" w:firstRow="1" w:lastRow="1" w:firstColumn="1" w:lastColumn="1" w:noHBand="0" w:noVBand="0"/>
      </w:tblPr>
      <w:tblGrid>
        <w:gridCol w:w="2410"/>
        <w:gridCol w:w="2268"/>
        <w:gridCol w:w="2693"/>
      </w:tblGrid>
      <w:tr w:rsidR="00F52702" w:rsidRPr="00DE5FC1" w14:paraId="536ABC2E" w14:textId="77777777" w:rsidTr="007C43F5">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10" w:type="dxa"/>
          </w:tcPr>
          <w:p w14:paraId="2E860D9E" w14:textId="3372ED4A" w:rsidR="00F52702" w:rsidRPr="00DE5FC1" w:rsidRDefault="00F52702" w:rsidP="007871B2">
            <w:pPr>
              <w:pStyle w:val="TableParagraph"/>
              <w:spacing w:line="240" w:lineRule="auto"/>
              <w:jc w:val="left"/>
              <w:rPr>
                <w:color w:val="auto"/>
              </w:rPr>
            </w:pPr>
            <w:r>
              <w:rPr>
                <w:color w:val="auto"/>
              </w:rPr>
              <w:t>MNS Nam</w:t>
            </w:r>
            <w:r w:rsidR="007C43F5">
              <w:rPr>
                <w:color w:val="auto"/>
              </w:rPr>
              <w:t>e</w:t>
            </w:r>
          </w:p>
        </w:tc>
        <w:tc>
          <w:tcPr>
            <w:cnfStyle w:val="000010000000" w:firstRow="0" w:lastRow="0" w:firstColumn="0" w:lastColumn="0" w:oddVBand="1" w:evenVBand="0" w:oddHBand="0" w:evenHBand="0" w:firstRowFirstColumn="0" w:firstRowLastColumn="0" w:lastRowFirstColumn="0" w:lastRowLastColumn="0"/>
            <w:tcW w:w="2268" w:type="dxa"/>
            <w:hideMark/>
          </w:tcPr>
          <w:p w14:paraId="12195A0C" w14:textId="0B6358B0" w:rsidR="00F52702" w:rsidRPr="00DE5FC1" w:rsidRDefault="00F52702" w:rsidP="007C43F5">
            <w:pPr>
              <w:pStyle w:val="TableParagraph"/>
              <w:ind w:left="108"/>
              <w:jc w:val="left"/>
              <w:rPr>
                <w:color w:val="auto"/>
              </w:rPr>
            </w:pPr>
            <w:r w:rsidRPr="00DE5FC1">
              <w:rPr>
                <w:color w:val="auto"/>
              </w:rPr>
              <w:t>2021-2022 Budget</w:t>
            </w:r>
          </w:p>
        </w:tc>
        <w:tc>
          <w:tcPr>
            <w:cnfStyle w:val="000100000000" w:firstRow="0" w:lastRow="0" w:firstColumn="0" w:lastColumn="1" w:oddVBand="0" w:evenVBand="0" w:oddHBand="0" w:evenHBand="0" w:firstRowFirstColumn="0" w:firstRowLastColumn="0" w:lastRowFirstColumn="0" w:lastRowLastColumn="0"/>
            <w:tcW w:w="2693" w:type="dxa"/>
            <w:hideMark/>
          </w:tcPr>
          <w:p w14:paraId="2A066C05" w14:textId="2C694A1A" w:rsidR="00F52702" w:rsidRPr="00DE5FC1" w:rsidRDefault="00F52702" w:rsidP="007C43F5">
            <w:pPr>
              <w:pStyle w:val="TableParagraph"/>
              <w:spacing w:line="240" w:lineRule="auto"/>
              <w:ind w:left="109" w:right="282"/>
              <w:jc w:val="left"/>
              <w:rPr>
                <w:color w:val="auto"/>
              </w:rPr>
            </w:pPr>
            <w:r>
              <w:rPr>
                <w:color w:val="auto"/>
              </w:rPr>
              <w:t xml:space="preserve">Budget </w:t>
            </w:r>
            <w:r w:rsidRPr="00DE5FC1">
              <w:rPr>
                <w:color w:val="auto"/>
              </w:rPr>
              <w:t>2022-2023</w:t>
            </w:r>
          </w:p>
        </w:tc>
      </w:tr>
      <w:tr w:rsidR="00F52702" w:rsidRPr="00DE5FC1" w14:paraId="31E54B66" w14:textId="77777777" w:rsidTr="00F5270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410" w:type="dxa"/>
            <w:hideMark/>
          </w:tcPr>
          <w:p w14:paraId="40C20BAD" w14:textId="77777777" w:rsidR="00F52702" w:rsidRPr="00DE5FC1" w:rsidRDefault="00F52702" w:rsidP="00F52702">
            <w:pPr>
              <w:pStyle w:val="TableParagraph"/>
              <w:ind w:left="107"/>
              <w:jc w:val="left"/>
            </w:pPr>
            <w:r>
              <w:t>Alice Model</w:t>
            </w:r>
          </w:p>
        </w:tc>
        <w:tc>
          <w:tcPr>
            <w:cnfStyle w:val="000010000000" w:firstRow="0" w:lastRow="0" w:firstColumn="0" w:lastColumn="0" w:oddVBand="1" w:evenVBand="0" w:oddHBand="0" w:evenHBand="0" w:firstRowFirstColumn="0" w:firstRowLastColumn="0" w:lastRowFirstColumn="0" w:lastRowLastColumn="0"/>
            <w:tcW w:w="2268" w:type="dxa"/>
            <w:hideMark/>
          </w:tcPr>
          <w:p w14:paraId="6F46B2F4" w14:textId="77777777" w:rsidR="00F52702" w:rsidRPr="00DE5FC1" w:rsidRDefault="00F52702" w:rsidP="007871B2">
            <w:pPr>
              <w:pStyle w:val="TableParagraph"/>
              <w:ind w:right="94"/>
              <w:jc w:val="center"/>
            </w:pPr>
            <w:r w:rsidRPr="00DE5FC1">
              <w:t>£</w:t>
            </w:r>
            <w:r>
              <w:t>95,000</w:t>
            </w:r>
          </w:p>
        </w:tc>
        <w:tc>
          <w:tcPr>
            <w:cnfStyle w:val="000100000000" w:firstRow="0" w:lastRow="0" w:firstColumn="0" w:lastColumn="1" w:oddVBand="0" w:evenVBand="0" w:oddHBand="0" w:evenHBand="0" w:firstRowFirstColumn="0" w:firstRowLastColumn="0" w:lastRowFirstColumn="0" w:lastRowLastColumn="0"/>
            <w:tcW w:w="2693" w:type="dxa"/>
            <w:hideMark/>
          </w:tcPr>
          <w:p w14:paraId="064C22F2" w14:textId="77777777" w:rsidR="00F52702" w:rsidRPr="00F52702" w:rsidRDefault="00F52702" w:rsidP="007871B2">
            <w:pPr>
              <w:pStyle w:val="TableParagraph"/>
              <w:ind w:right="92"/>
              <w:jc w:val="center"/>
              <w:rPr>
                <w:b w:val="0"/>
              </w:rPr>
            </w:pPr>
            <w:r w:rsidRPr="00F52702">
              <w:rPr>
                <w:b w:val="0"/>
              </w:rPr>
              <w:t>£95,000</w:t>
            </w:r>
          </w:p>
        </w:tc>
      </w:tr>
      <w:tr w:rsidR="00F52702" w:rsidRPr="00DE5FC1" w14:paraId="4C87AFD1" w14:textId="77777777" w:rsidTr="00F52702">
        <w:trPr>
          <w:trHeight w:val="287"/>
        </w:trPr>
        <w:tc>
          <w:tcPr>
            <w:cnfStyle w:val="001000000000" w:firstRow="0" w:lastRow="0" w:firstColumn="1" w:lastColumn="0" w:oddVBand="0" w:evenVBand="0" w:oddHBand="0" w:evenHBand="0" w:firstRowFirstColumn="0" w:firstRowLastColumn="0" w:lastRowFirstColumn="0" w:lastRowLastColumn="0"/>
            <w:tcW w:w="2410" w:type="dxa"/>
            <w:hideMark/>
          </w:tcPr>
          <w:p w14:paraId="448A4559" w14:textId="17D60022" w:rsidR="00F52702" w:rsidRPr="00DE5FC1" w:rsidRDefault="00F52702" w:rsidP="00F52702">
            <w:pPr>
              <w:pStyle w:val="TableParagraph"/>
              <w:ind w:left="107"/>
              <w:jc w:val="left"/>
            </w:pPr>
            <w:r>
              <w:t>Children’s House</w:t>
            </w:r>
          </w:p>
        </w:tc>
        <w:tc>
          <w:tcPr>
            <w:cnfStyle w:val="000010000000" w:firstRow="0" w:lastRow="0" w:firstColumn="0" w:lastColumn="0" w:oddVBand="1" w:evenVBand="0" w:oddHBand="0" w:evenHBand="0" w:firstRowFirstColumn="0" w:firstRowLastColumn="0" w:lastRowFirstColumn="0" w:lastRowLastColumn="0"/>
            <w:tcW w:w="2268" w:type="dxa"/>
            <w:hideMark/>
          </w:tcPr>
          <w:p w14:paraId="07933124" w14:textId="31D72D44" w:rsidR="00F52702" w:rsidRPr="00DE5FC1" w:rsidRDefault="00F52702" w:rsidP="007871B2">
            <w:pPr>
              <w:pStyle w:val="TableParagraph"/>
              <w:ind w:right="94"/>
              <w:jc w:val="center"/>
            </w:pPr>
            <w:r w:rsidRPr="00DE5FC1">
              <w:t>£</w:t>
            </w:r>
            <w:r w:rsidR="00257FDE">
              <w:t>95,000</w:t>
            </w:r>
          </w:p>
        </w:tc>
        <w:tc>
          <w:tcPr>
            <w:cnfStyle w:val="000100000000" w:firstRow="0" w:lastRow="0" w:firstColumn="0" w:lastColumn="1" w:oddVBand="0" w:evenVBand="0" w:oddHBand="0" w:evenHBand="0" w:firstRowFirstColumn="0" w:firstRowLastColumn="0" w:lastRowFirstColumn="0" w:lastRowLastColumn="0"/>
            <w:tcW w:w="2693" w:type="dxa"/>
            <w:hideMark/>
          </w:tcPr>
          <w:p w14:paraId="34D0E255" w14:textId="34B7D428" w:rsidR="00F52702" w:rsidRPr="00F52702" w:rsidRDefault="00F52702" w:rsidP="007871B2">
            <w:pPr>
              <w:pStyle w:val="TableParagraph"/>
              <w:ind w:right="92"/>
              <w:jc w:val="center"/>
              <w:rPr>
                <w:b w:val="0"/>
              </w:rPr>
            </w:pPr>
            <w:r w:rsidRPr="00F52702">
              <w:rPr>
                <w:b w:val="0"/>
              </w:rPr>
              <w:t>£</w:t>
            </w:r>
            <w:r w:rsidR="00A61428">
              <w:rPr>
                <w:b w:val="0"/>
              </w:rPr>
              <w:t>95,000</w:t>
            </w:r>
          </w:p>
        </w:tc>
      </w:tr>
      <w:tr w:rsidR="00F52702" w:rsidRPr="00DE5FC1" w14:paraId="16AB847E" w14:textId="77777777" w:rsidTr="00F5270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410" w:type="dxa"/>
            <w:hideMark/>
          </w:tcPr>
          <w:p w14:paraId="0C70D612" w14:textId="3E77DFEB" w:rsidR="00F52702" w:rsidRPr="00DE5FC1" w:rsidRDefault="00F52702" w:rsidP="00F52702">
            <w:pPr>
              <w:pStyle w:val="TableParagraph"/>
              <w:ind w:left="107"/>
              <w:jc w:val="left"/>
            </w:pPr>
            <w:r>
              <w:t>Harry Roberts</w:t>
            </w:r>
            <w:r w:rsidR="00257FDE">
              <w:t>*</w:t>
            </w:r>
          </w:p>
        </w:tc>
        <w:tc>
          <w:tcPr>
            <w:cnfStyle w:val="000010000000" w:firstRow="0" w:lastRow="0" w:firstColumn="0" w:lastColumn="0" w:oddVBand="1" w:evenVBand="0" w:oddHBand="0" w:evenHBand="0" w:firstRowFirstColumn="0" w:firstRowLastColumn="0" w:lastRowFirstColumn="0" w:lastRowLastColumn="0"/>
            <w:tcW w:w="2268" w:type="dxa"/>
            <w:hideMark/>
          </w:tcPr>
          <w:p w14:paraId="5FD12EA7" w14:textId="77777777" w:rsidR="00F52702" w:rsidRPr="00DE5FC1" w:rsidRDefault="00F52702" w:rsidP="007871B2">
            <w:pPr>
              <w:pStyle w:val="TableParagraph"/>
              <w:ind w:right="94"/>
              <w:jc w:val="center"/>
            </w:pPr>
            <w:r w:rsidRPr="00DE5FC1">
              <w:t>£</w:t>
            </w:r>
            <w:r>
              <w:t>95,000</w:t>
            </w:r>
          </w:p>
        </w:tc>
        <w:tc>
          <w:tcPr>
            <w:cnfStyle w:val="000100000000" w:firstRow="0" w:lastRow="0" w:firstColumn="0" w:lastColumn="1" w:oddVBand="0" w:evenVBand="0" w:oddHBand="0" w:evenHBand="0" w:firstRowFirstColumn="0" w:firstRowLastColumn="0" w:lastRowFirstColumn="0" w:lastRowLastColumn="0"/>
            <w:tcW w:w="2693" w:type="dxa"/>
            <w:hideMark/>
          </w:tcPr>
          <w:p w14:paraId="76F7ACC2" w14:textId="77777777" w:rsidR="00F52702" w:rsidRPr="00F52702" w:rsidRDefault="00F52702" w:rsidP="007871B2">
            <w:pPr>
              <w:pStyle w:val="TableParagraph"/>
              <w:ind w:right="92"/>
              <w:jc w:val="center"/>
              <w:rPr>
                <w:b w:val="0"/>
              </w:rPr>
            </w:pPr>
            <w:r w:rsidRPr="00F52702">
              <w:rPr>
                <w:b w:val="0"/>
              </w:rPr>
              <w:t>£95,000</w:t>
            </w:r>
          </w:p>
        </w:tc>
      </w:tr>
      <w:tr w:rsidR="00F52702" w:rsidRPr="00DE5FC1" w14:paraId="2365B2C6" w14:textId="77777777" w:rsidTr="00F52702">
        <w:trPr>
          <w:trHeight w:val="285"/>
        </w:trPr>
        <w:tc>
          <w:tcPr>
            <w:cnfStyle w:val="001000000000" w:firstRow="0" w:lastRow="0" w:firstColumn="1" w:lastColumn="0" w:oddVBand="0" w:evenVBand="0" w:oddHBand="0" w:evenHBand="0" w:firstRowFirstColumn="0" w:firstRowLastColumn="0" w:lastRowFirstColumn="0" w:lastRowLastColumn="0"/>
            <w:tcW w:w="2410" w:type="dxa"/>
            <w:hideMark/>
          </w:tcPr>
          <w:p w14:paraId="4D068C8C" w14:textId="0B52C43F" w:rsidR="00F52702" w:rsidRPr="00DE5FC1" w:rsidRDefault="00F52702" w:rsidP="00F52702">
            <w:pPr>
              <w:pStyle w:val="TableParagraph"/>
              <w:ind w:left="107"/>
              <w:jc w:val="left"/>
            </w:pPr>
            <w:r>
              <w:t>Rachel Keelin</w:t>
            </w:r>
            <w:r w:rsidR="00A61428">
              <w:t>g</w:t>
            </w:r>
          </w:p>
        </w:tc>
        <w:tc>
          <w:tcPr>
            <w:cnfStyle w:val="000010000000" w:firstRow="0" w:lastRow="0" w:firstColumn="0" w:lastColumn="0" w:oddVBand="1" w:evenVBand="0" w:oddHBand="0" w:evenHBand="0" w:firstRowFirstColumn="0" w:firstRowLastColumn="0" w:lastRowFirstColumn="0" w:lastRowLastColumn="0"/>
            <w:tcW w:w="2268" w:type="dxa"/>
            <w:hideMark/>
          </w:tcPr>
          <w:p w14:paraId="0F4AA83C" w14:textId="77777777" w:rsidR="00F52702" w:rsidRPr="00DE5FC1" w:rsidRDefault="00F52702" w:rsidP="007871B2">
            <w:pPr>
              <w:pStyle w:val="TableParagraph"/>
              <w:ind w:right="94"/>
              <w:jc w:val="center"/>
            </w:pPr>
            <w:r w:rsidRPr="00DE5FC1">
              <w:t>£</w:t>
            </w:r>
            <w:r>
              <w:t>95,000</w:t>
            </w:r>
          </w:p>
        </w:tc>
        <w:tc>
          <w:tcPr>
            <w:cnfStyle w:val="000100000000" w:firstRow="0" w:lastRow="0" w:firstColumn="0" w:lastColumn="1" w:oddVBand="0" w:evenVBand="0" w:oddHBand="0" w:evenHBand="0" w:firstRowFirstColumn="0" w:firstRowLastColumn="0" w:lastRowFirstColumn="0" w:lastRowLastColumn="0"/>
            <w:tcW w:w="2693" w:type="dxa"/>
            <w:hideMark/>
          </w:tcPr>
          <w:p w14:paraId="3E24C350" w14:textId="77777777" w:rsidR="00F52702" w:rsidRPr="00F52702" w:rsidRDefault="00F52702" w:rsidP="007871B2">
            <w:pPr>
              <w:pStyle w:val="TableParagraph"/>
              <w:ind w:right="92"/>
              <w:jc w:val="center"/>
              <w:rPr>
                <w:b w:val="0"/>
              </w:rPr>
            </w:pPr>
            <w:r w:rsidRPr="00F52702">
              <w:rPr>
                <w:b w:val="0"/>
              </w:rPr>
              <w:t>£95,000</w:t>
            </w:r>
          </w:p>
        </w:tc>
      </w:tr>
      <w:tr w:rsidR="00F52702" w:rsidRPr="00DE5FC1" w14:paraId="7685E858" w14:textId="77777777" w:rsidTr="00F52702">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410" w:type="dxa"/>
            <w:hideMark/>
          </w:tcPr>
          <w:p w14:paraId="0F882030" w14:textId="77777777" w:rsidR="00F52702" w:rsidRPr="00DE5FC1" w:rsidRDefault="00F52702" w:rsidP="00F52702">
            <w:pPr>
              <w:pStyle w:val="TableParagraph"/>
              <w:ind w:left="107"/>
              <w:jc w:val="left"/>
            </w:pPr>
            <w:r>
              <w:t>Old Church**</w:t>
            </w:r>
          </w:p>
        </w:tc>
        <w:tc>
          <w:tcPr>
            <w:cnfStyle w:val="000010000000" w:firstRow="0" w:lastRow="0" w:firstColumn="0" w:lastColumn="0" w:oddVBand="1" w:evenVBand="0" w:oddHBand="0" w:evenHBand="0" w:firstRowFirstColumn="0" w:firstRowLastColumn="0" w:lastRowFirstColumn="0" w:lastRowLastColumn="0"/>
            <w:tcW w:w="2268" w:type="dxa"/>
            <w:hideMark/>
          </w:tcPr>
          <w:p w14:paraId="74478523" w14:textId="77E585AB" w:rsidR="00F52702" w:rsidRPr="00DE5FC1" w:rsidRDefault="00F52702" w:rsidP="007871B2">
            <w:pPr>
              <w:pStyle w:val="TableParagraph"/>
              <w:ind w:right="94"/>
              <w:jc w:val="center"/>
            </w:pPr>
            <w:r w:rsidRPr="00DE5FC1">
              <w:t>£</w:t>
            </w:r>
            <w:r w:rsidR="00257FDE">
              <w:t>120,00</w:t>
            </w:r>
            <w:r w:rsidR="00A61428">
              <w:t>0</w:t>
            </w:r>
          </w:p>
        </w:tc>
        <w:tc>
          <w:tcPr>
            <w:cnfStyle w:val="000100000000" w:firstRow="0" w:lastRow="0" w:firstColumn="0" w:lastColumn="1" w:oddVBand="0" w:evenVBand="0" w:oddHBand="0" w:evenHBand="0" w:firstRowFirstColumn="0" w:firstRowLastColumn="0" w:lastRowFirstColumn="0" w:lastRowLastColumn="0"/>
            <w:tcW w:w="2693" w:type="dxa"/>
            <w:hideMark/>
          </w:tcPr>
          <w:p w14:paraId="76CB764A" w14:textId="013F63D5" w:rsidR="00F52702" w:rsidRPr="00F52702" w:rsidRDefault="00F52702" w:rsidP="007871B2">
            <w:pPr>
              <w:pStyle w:val="TableParagraph"/>
              <w:ind w:right="92"/>
              <w:jc w:val="center"/>
              <w:rPr>
                <w:b w:val="0"/>
              </w:rPr>
            </w:pPr>
            <w:r w:rsidRPr="00F52702">
              <w:rPr>
                <w:b w:val="0"/>
              </w:rPr>
              <w:t>£</w:t>
            </w:r>
            <w:r w:rsidR="00257FDE">
              <w:rPr>
                <w:b w:val="0"/>
              </w:rPr>
              <w:t>120,</w:t>
            </w:r>
            <w:r w:rsidR="00A61428">
              <w:rPr>
                <w:b w:val="0"/>
              </w:rPr>
              <w:t>0</w:t>
            </w:r>
            <w:r w:rsidR="00257FDE">
              <w:rPr>
                <w:b w:val="0"/>
              </w:rPr>
              <w:t>00</w:t>
            </w:r>
          </w:p>
        </w:tc>
      </w:tr>
      <w:tr w:rsidR="00F52702" w:rsidRPr="00DE5FC1" w14:paraId="11D0F507" w14:textId="77777777" w:rsidTr="00F52702">
        <w:trPr>
          <w:trHeight w:val="285"/>
        </w:trPr>
        <w:tc>
          <w:tcPr>
            <w:cnfStyle w:val="001000000000" w:firstRow="0" w:lastRow="0" w:firstColumn="1" w:lastColumn="0" w:oddVBand="0" w:evenVBand="0" w:oddHBand="0" w:evenHBand="0" w:firstRowFirstColumn="0" w:firstRowLastColumn="0" w:lastRowFirstColumn="0" w:lastRowLastColumn="0"/>
            <w:tcW w:w="2410" w:type="dxa"/>
          </w:tcPr>
          <w:p w14:paraId="0A2F74BA" w14:textId="77777777" w:rsidR="00F52702" w:rsidRPr="00DE5FC1" w:rsidRDefault="00F52702" w:rsidP="00F52702">
            <w:pPr>
              <w:pStyle w:val="TableParagraph"/>
              <w:spacing w:line="266" w:lineRule="exact"/>
              <w:ind w:left="107"/>
              <w:jc w:val="left"/>
            </w:pPr>
            <w:r>
              <w:t>Total:</w:t>
            </w:r>
          </w:p>
        </w:tc>
        <w:tc>
          <w:tcPr>
            <w:cnfStyle w:val="000010000000" w:firstRow="0" w:lastRow="0" w:firstColumn="0" w:lastColumn="0" w:oddVBand="1" w:evenVBand="0" w:oddHBand="0" w:evenHBand="0" w:firstRowFirstColumn="0" w:firstRowLastColumn="0" w:lastRowFirstColumn="0" w:lastRowLastColumn="0"/>
            <w:tcW w:w="2268" w:type="dxa"/>
          </w:tcPr>
          <w:p w14:paraId="599DC7AE" w14:textId="77777777" w:rsidR="00F52702" w:rsidRPr="00DE5FC1" w:rsidRDefault="00F52702" w:rsidP="007871B2">
            <w:pPr>
              <w:pStyle w:val="TableParagraph"/>
              <w:spacing w:line="266" w:lineRule="exact"/>
              <w:ind w:right="94"/>
              <w:jc w:val="center"/>
            </w:pPr>
            <w:r>
              <w:t>£578,322</w:t>
            </w:r>
          </w:p>
        </w:tc>
        <w:tc>
          <w:tcPr>
            <w:cnfStyle w:val="000100000000" w:firstRow="0" w:lastRow="0" w:firstColumn="0" w:lastColumn="1" w:oddVBand="0" w:evenVBand="0" w:oddHBand="0" w:evenHBand="0" w:firstRowFirstColumn="0" w:firstRowLastColumn="0" w:lastRowFirstColumn="0" w:lastRowLastColumn="0"/>
            <w:tcW w:w="2693" w:type="dxa"/>
          </w:tcPr>
          <w:p w14:paraId="15023C53" w14:textId="77777777" w:rsidR="00F52702" w:rsidRPr="00F52702" w:rsidRDefault="00F52702" w:rsidP="007871B2">
            <w:pPr>
              <w:jc w:val="center"/>
              <w:rPr>
                <w:rFonts w:ascii="Calibri" w:hAnsi="Calibri" w:cs="Calibri"/>
                <w:b w:val="0"/>
                <w:color w:val="000000"/>
                <w:sz w:val="22"/>
                <w:szCs w:val="22"/>
              </w:rPr>
            </w:pPr>
            <w:r w:rsidRPr="00F52702">
              <w:rPr>
                <w:rFonts w:ascii="Calibri" w:hAnsi="Calibri" w:cs="Calibri"/>
                <w:b w:val="0"/>
                <w:color w:val="000000"/>
                <w:sz w:val="22"/>
                <w:szCs w:val="22"/>
              </w:rPr>
              <w:t>£525,449</w:t>
            </w:r>
          </w:p>
        </w:tc>
      </w:tr>
      <w:tr w:rsidR="00F52702" w:rsidRPr="00DE5FC1" w14:paraId="762E4AB4" w14:textId="77777777" w:rsidTr="00F5270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410" w:type="dxa"/>
          </w:tcPr>
          <w:p w14:paraId="1854BBDA" w14:textId="77777777" w:rsidR="00F52702" w:rsidRDefault="00F52702" w:rsidP="00F52702">
            <w:pPr>
              <w:pStyle w:val="TableParagraph"/>
              <w:spacing w:line="266" w:lineRule="exact"/>
              <w:ind w:left="107"/>
              <w:jc w:val="left"/>
            </w:pPr>
            <w:r w:rsidRPr="00F52702">
              <w:t>Top up from underspend</w:t>
            </w:r>
          </w:p>
        </w:tc>
        <w:tc>
          <w:tcPr>
            <w:cnfStyle w:val="000010000000" w:firstRow="0" w:lastRow="0" w:firstColumn="0" w:lastColumn="0" w:oddVBand="1" w:evenVBand="0" w:oddHBand="0" w:evenHBand="0" w:firstRowFirstColumn="0" w:firstRowLastColumn="0" w:lastRowFirstColumn="0" w:lastRowLastColumn="0"/>
            <w:tcW w:w="2268" w:type="dxa"/>
          </w:tcPr>
          <w:p w14:paraId="05B7576A" w14:textId="4C03E9B7" w:rsidR="00F52702" w:rsidRDefault="007C43F5" w:rsidP="007871B2">
            <w:pPr>
              <w:pStyle w:val="TableParagraph"/>
              <w:spacing w:line="266" w:lineRule="exact"/>
              <w:ind w:right="94"/>
              <w:jc w:val="center"/>
            </w:pPr>
            <w:r>
              <w:t>£0</w:t>
            </w:r>
          </w:p>
        </w:tc>
        <w:tc>
          <w:tcPr>
            <w:cnfStyle w:val="000100000000" w:firstRow="0" w:lastRow="0" w:firstColumn="0" w:lastColumn="1" w:oddVBand="0" w:evenVBand="0" w:oddHBand="0" w:evenHBand="0" w:firstRowFirstColumn="0" w:firstRowLastColumn="0" w:lastRowFirstColumn="0" w:lastRowLastColumn="0"/>
            <w:tcW w:w="2693" w:type="dxa"/>
          </w:tcPr>
          <w:p w14:paraId="65A14058" w14:textId="77777777" w:rsidR="00F52702" w:rsidRPr="00F52702" w:rsidRDefault="00F52702" w:rsidP="007871B2">
            <w:pPr>
              <w:jc w:val="center"/>
              <w:rPr>
                <w:rFonts w:ascii="Calibri" w:hAnsi="Calibri" w:cs="Calibri"/>
                <w:b w:val="0"/>
                <w:color w:val="000000"/>
                <w:sz w:val="22"/>
                <w:szCs w:val="22"/>
              </w:rPr>
            </w:pPr>
            <w:r w:rsidRPr="00F52702">
              <w:rPr>
                <w:rFonts w:ascii="Calibri" w:hAnsi="Calibri" w:cs="Calibri"/>
                <w:b w:val="0"/>
                <w:color w:val="000000"/>
                <w:sz w:val="22"/>
                <w:szCs w:val="22"/>
              </w:rPr>
              <w:t>£52,873</w:t>
            </w:r>
          </w:p>
        </w:tc>
      </w:tr>
      <w:tr w:rsidR="00F52702" w:rsidRPr="00DE5FC1" w14:paraId="7147C5E7" w14:textId="77777777" w:rsidTr="00F52702">
        <w:trPr>
          <w:cnfStyle w:val="010000000000" w:firstRow="0" w:lastRow="1"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410" w:type="dxa"/>
          </w:tcPr>
          <w:p w14:paraId="68F4DA51" w14:textId="77777777" w:rsidR="00F52702" w:rsidRPr="00F52702" w:rsidRDefault="00F52702" w:rsidP="00F52702">
            <w:pPr>
              <w:pStyle w:val="TableParagraph"/>
              <w:spacing w:line="266" w:lineRule="exact"/>
              <w:ind w:left="107"/>
              <w:jc w:val="left"/>
            </w:pPr>
            <w:r>
              <w:t>Total:</w:t>
            </w:r>
          </w:p>
        </w:tc>
        <w:tc>
          <w:tcPr>
            <w:cnfStyle w:val="000010000000" w:firstRow="0" w:lastRow="0" w:firstColumn="0" w:lastColumn="0" w:oddVBand="1" w:evenVBand="0" w:oddHBand="0" w:evenHBand="0" w:firstRowFirstColumn="0" w:firstRowLastColumn="0" w:lastRowFirstColumn="0" w:lastRowLastColumn="0"/>
            <w:tcW w:w="2268" w:type="dxa"/>
          </w:tcPr>
          <w:p w14:paraId="14684A3E" w14:textId="77777777" w:rsidR="00F52702" w:rsidRDefault="00F52702" w:rsidP="007871B2">
            <w:pPr>
              <w:pStyle w:val="TableParagraph"/>
              <w:spacing w:line="266" w:lineRule="exact"/>
              <w:ind w:right="94"/>
              <w:jc w:val="center"/>
            </w:pPr>
          </w:p>
        </w:tc>
        <w:tc>
          <w:tcPr>
            <w:cnfStyle w:val="000100000000" w:firstRow="0" w:lastRow="0" w:firstColumn="0" w:lastColumn="1" w:oddVBand="0" w:evenVBand="0" w:oddHBand="0" w:evenHBand="0" w:firstRowFirstColumn="0" w:firstRowLastColumn="0" w:lastRowFirstColumn="0" w:lastRowLastColumn="0"/>
            <w:tcW w:w="2693" w:type="dxa"/>
          </w:tcPr>
          <w:p w14:paraId="7FF4E6D0" w14:textId="77777777" w:rsidR="00F52702" w:rsidRDefault="00F52702" w:rsidP="007871B2">
            <w:pPr>
              <w:jc w:val="center"/>
              <w:rPr>
                <w:rFonts w:ascii="Calibri" w:hAnsi="Calibri" w:cs="Calibri"/>
                <w:color w:val="000000"/>
                <w:sz w:val="22"/>
                <w:szCs w:val="22"/>
              </w:rPr>
            </w:pPr>
            <w:r>
              <w:rPr>
                <w:rFonts w:ascii="Calibri" w:hAnsi="Calibri" w:cs="Calibri"/>
                <w:color w:val="000000"/>
                <w:sz w:val="22"/>
                <w:szCs w:val="22"/>
              </w:rPr>
              <w:t>£</w:t>
            </w:r>
            <w:r w:rsidRPr="00F52702">
              <w:rPr>
                <w:rFonts w:ascii="Calibri" w:hAnsi="Calibri" w:cs="Calibri"/>
                <w:color w:val="000000"/>
                <w:sz w:val="22"/>
                <w:szCs w:val="22"/>
              </w:rPr>
              <w:t>578,322</w:t>
            </w:r>
          </w:p>
        </w:tc>
      </w:tr>
    </w:tbl>
    <w:p w14:paraId="5703CBE5" w14:textId="77777777" w:rsidR="00F52702" w:rsidRDefault="00F52702" w:rsidP="00F52702">
      <w:pPr>
        <w:pStyle w:val="ListParagraph"/>
        <w:ind w:left="1440"/>
        <w:rPr>
          <w:rFonts w:ascii="Calibri" w:hAnsi="Calibri" w:cs="Calibri"/>
          <w:sz w:val="22"/>
          <w:szCs w:val="22"/>
        </w:rPr>
      </w:pPr>
      <w:r>
        <w:rPr>
          <w:rFonts w:ascii="Calibri" w:hAnsi="Calibri" w:cs="Calibri"/>
          <w:sz w:val="22"/>
          <w:szCs w:val="22"/>
        </w:rPr>
        <w:t xml:space="preserve">*Cease as a MNS in January 2022 ** Cease as a </w:t>
      </w:r>
      <w:proofErr w:type="spellStart"/>
      <w:r>
        <w:rPr>
          <w:rFonts w:ascii="Calibri" w:hAnsi="Calibri" w:cs="Calibri"/>
          <w:sz w:val="22"/>
          <w:szCs w:val="22"/>
        </w:rPr>
        <w:t>mns</w:t>
      </w:r>
      <w:proofErr w:type="spellEnd"/>
      <w:r>
        <w:rPr>
          <w:rFonts w:ascii="Calibri" w:hAnsi="Calibri" w:cs="Calibri"/>
          <w:sz w:val="22"/>
          <w:szCs w:val="22"/>
        </w:rPr>
        <w:t xml:space="preserve"> in September 2022</w:t>
      </w:r>
    </w:p>
    <w:p w14:paraId="378AA7F4" w14:textId="77777777" w:rsidR="00F52702" w:rsidRPr="00DE5FC1" w:rsidRDefault="00F52702" w:rsidP="00F52702">
      <w:pPr>
        <w:pStyle w:val="ListParagraph"/>
        <w:ind w:left="792"/>
        <w:jc w:val="both"/>
        <w:rPr>
          <w:rFonts w:ascii="Calibri" w:hAnsi="Calibri" w:cs="Calibri"/>
          <w:color w:val="000000" w:themeColor="text1"/>
          <w:sz w:val="22"/>
          <w:szCs w:val="22"/>
        </w:rPr>
      </w:pPr>
    </w:p>
    <w:p w14:paraId="18F34EDD" w14:textId="51B2C82F" w:rsidR="004E12A6" w:rsidRDefault="004E12A6" w:rsidP="00DF7AB0">
      <w:pPr>
        <w:pStyle w:val="ListParagraph"/>
        <w:numPr>
          <w:ilvl w:val="1"/>
          <w:numId w:val="4"/>
        </w:numPr>
        <w:jc w:val="both"/>
        <w:rPr>
          <w:rFonts w:ascii="Calibri" w:hAnsi="Calibri" w:cs="Calibri"/>
          <w:color w:val="000000" w:themeColor="text1"/>
          <w:sz w:val="22"/>
          <w:szCs w:val="22"/>
        </w:rPr>
      </w:pPr>
      <w:r w:rsidRPr="004E12A6">
        <w:rPr>
          <w:rFonts w:ascii="Calibri" w:hAnsi="Calibri" w:cs="Calibri"/>
          <w:color w:val="000000" w:themeColor="text1"/>
          <w:sz w:val="22"/>
          <w:szCs w:val="22"/>
        </w:rPr>
        <w:t>Central Retained B</w:t>
      </w:r>
      <w:r w:rsidR="003804D7">
        <w:rPr>
          <w:rFonts w:ascii="Calibri" w:hAnsi="Calibri" w:cs="Calibri"/>
          <w:color w:val="000000" w:themeColor="text1"/>
          <w:sz w:val="22"/>
          <w:szCs w:val="22"/>
        </w:rPr>
        <w:t xml:space="preserve">udget is calculated using a </w:t>
      </w:r>
      <w:r w:rsidR="00B51C8E">
        <w:rPr>
          <w:rFonts w:ascii="Calibri" w:hAnsi="Calibri" w:cs="Calibri"/>
          <w:color w:val="000000" w:themeColor="text1"/>
          <w:sz w:val="22"/>
          <w:szCs w:val="22"/>
        </w:rPr>
        <w:t>formula set by the DfE</w:t>
      </w:r>
      <w:r w:rsidRPr="004E12A6">
        <w:rPr>
          <w:rFonts w:ascii="Calibri" w:hAnsi="Calibri" w:cs="Calibri"/>
          <w:color w:val="000000" w:themeColor="text1"/>
          <w:sz w:val="22"/>
          <w:szCs w:val="22"/>
        </w:rPr>
        <w:t xml:space="preserve"> and it calculates the projected hours and linked income from the DfE.</w:t>
      </w:r>
    </w:p>
    <w:p w14:paraId="100D1932" w14:textId="70E892D7" w:rsidR="00DF7AB0" w:rsidRPr="00AB04FA" w:rsidRDefault="00AB04FA" w:rsidP="00DF7AB0">
      <w:pPr>
        <w:pStyle w:val="ListParagraph"/>
        <w:jc w:val="both"/>
        <w:rPr>
          <w:rFonts w:ascii="Calibri" w:hAnsi="Calibri" w:cs="Calibri"/>
          <w:b/>
          <w:color w:val="000000" w:themeColor="text1"/>
          <w:sz w:val="22"/>
          <w:szCs w:val="22"/>
        </w:rPr>
      </w:pPr>
      <w:r w:rsidRPr="00AB04FA">
        <w:rPr>
          <w:rFonts w:ascii="Calibri" w:hAnsi="Calibri" w:cs="Calibri"/>
          <w:b/>
          <w:color w:val="000000" w:themeColor="text1"/>
          <w:sz w:val="22"/>
          <w:szCs w:val="22"/>
        </w:rPr>
        <w:t>Table 3: Formula used to calculate the central retained budget:</w:t>
      </w:r>
      <w:r w:rsidR="00B22D1B">
        <w:rPr>
          <w:rFonts w:ascii="Calibri" w:hAnsi="Calibri" w:cs="Calibri"/>
          <w:b/>
          <w:color w:val="000000" w:themeColor="text1"/>
          <w:sz w:val="22"/>
          <w:szCs w:val="22"/>
        </w:rPr>
        <w:t xml:space="preserve"> </w:t>
      </w:r>
    </w:p>
    <w:tbl>
      <w:tblPr>
        <w:tblStyle w:val="GridTable4-Accent11"/>
        <w:tblW w:w="0" w:type="auto"/>
        <w:jc w:val="center"/>
        <w:tblLook w:val="04A0" w:firstRow="1" w:lastRow="0" w:firstColumn="1" w:lastColumn="0" w:noHBand="0" w:noVBand="1"/>
      </w:tblPr>
      <w:tblGrid>
        <w:gridCol w:w="5534"/>
        <w:gridCol w:w="1974"/>
      </w:tblGrid>
      <w:tr w:rsidR="001B20F1" w:rsidRPr="001B20F1" w14:paraId="1600B0BD" w14:textId="77777777" w:rsidTr="00C9067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34" w:type="dxa"/>
          </w:tcPr>
          <w:p w14:paraId="04354F8D" w14:textId="77777777" w:rsidR="004E12A6" w:rsidRPr="001B20F1" w:rsidRDefault="004E12A6" w:rsidP="004E12A6">
            <w:pPr>
              <w:jc w:val="both"/>
              <w:rPr>
                <w:rFonts w:ascii="Calibri" w:hAnsi="Calibri"/>
                <w:color w:val="auto"/>
                <w:sz w:val="22"/>
                <w:szCs w:val="22"/>
              </w:rPr>
            </w:pPr>
            <w:r w:rsidRPr="001B20F1">
              <w:rPr>
                <w:rFonts w:ascii="Calibri" w:hAnsi="Calibri"/>
                <w:color w:val="auto"/>
                <w:sz w:val="22"/>
                <w:szCs w:val="22"/>
              </w:rPr>
              <w:t>Funding Entitlement</w:t>
            </w:r>
          </w:p>
        </w:tc>
        <w:tc>
          <w:tcPr>
            <w:tcW w:w="1974" w:type="dxa"/>
          </w:tcPr>
          <w:p w14:paraId="0C39871A" w14:textId="77777777" w:rsidR="004E12A6" w:rsidRPr="001B20F1" w:rsidRDefault="004E12A6" w:rsidP="004E12A6">
            <w:pPr>
              <w:jc w:val="both"/>
              <w:cnfStyle w:val="100000000000" w:firstRow="1" w:lastRow="0" w:firstColumn="0" w:lastColumn="0" w:oddVBand="0" w:evenVBand="0" w:oddHBand="0" w:evenHBand="0" w:firstRowFirstColumn="0" w:firstRowLastColumn="0" w:lastRowFirstColumn="0" w:lastRowLastColumn="0"/>
              <w:rPr>
                <w:rFonts w:ascii="Calibri" w:hAnsi="Calibri"/>
                <w:color w:val="auto"/>
                <w:sz w:val="22"/>
                <w:szCs w:val="22"/>
              </w:rPr>
            </w:pPr>
            <w:r w:rsidRPr="001B20F1">
              <w:rPr>
                <w:rFonts w:ascii="Calibri" w:hAnsi="Calibri"/>
                <w:color w:val="auto"/>
                <w:sz w:val="22"/>
                <w:szCs w:val="22"/>
              </w:rPr>
              <w:t>£</w:t>
            </w:r>
          </w:p>
        </w:tc>
      </w:tr>
      <w:tr w:rsidR="004E12A6" w:rsidRPr="004E12A6" w14:paraId="23BE61E2" w14:textId="77777777" w:rsidTr="00FB07DA">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5534" w:type="dxa"/>
          </w:tcPr>
          <w:p w14:paraId="3388F04B" w14:textId="77777777" w:rsidR="004E12A6" w:rsidRPr="004E12A6" w:rsidRDefault="004E12A6" w:rsidP="004E12A6">
            <w:pPr>
              <w:jc w:val="both"/>
              <w:rPr>
                <w:rFonts w:ascii="Calibri" w:hAnsi="Calibri"/>
                <w:sz w:val="22"/>
                <w:szCs w:val="22"/>
              </w:rPr>
            </w:pPr>
            <w:r w:rsidRPr="004E12A6">
              <w:rPr>
                <w:rFonts w:ascii="Calibri" w:hAnsi="Calibri"/>
                <w:sz w:val="22"/>
                <w:szCs w:val="22"/>
              </w:rPr>
              <w:t>Universal Entitlement</w:t>
            </w:r>
          </w:p>
        </w:tc>
        <w:tc>
          <w:tcPr>
            <w:tcW w:w="1974" w:type="dxa"/>
          </w:tcPr>
          <w:p w14:paraId="2777387A" w14:textId="49EDDF30" w:rsidR="004E12A6" w:rsidRPr="004E12A6" w:rsidRDefault="004E12A6" w:rsidP="00F52702">
            <w:pPr>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4E12A6">
              <w:rPr>
                <w:rFonts w:ascii="Calibri" w:hAnsi="Calibri" w:cs="Calibri"/>
                <w:color w:val="000000"/>
                <w:sz w:val="22"/>
                <w:szCs w:val="22"/>
              </w:rPr>
              <w:t>£</w:t>
            </w:r>
            <w:r w:rsidR="00FB07DA">
              <w:rPr>
                <w:rFonts w:ascii="Calibri" w:hAnsi="Calibri" w:cs="Calibri"/>
                <w:color w:val="000000"/>
                <w:sz w:val="22"/>
                <w:szCs w:val="22"/>
              </w:rPr>
              <w:t>20,338,432</w:t>
            </w:r>
          </w:p>
        </w:tc>
      </w:tr>
      <w:tr w:rsidR="004E12A6" w:rsidRPr="004E12A6" w14:paraId="478B24B4" w14:textId="77777777" w:rsidTr="00C90674">
        <w:trPr>
          <w:jc w:val="center"/>
        </w:trPr>
        <w:tc>
          <w:tcPr>
            <w:cnfStyle w:val="001000000000" w:firstRow="0" w:lastRow="0" w:firstColumn="1" w:lastColumn="0" w:oddVBand="0" w:evenVBand="0" w:oddHBand="0" w:evenHBand="0" w:firstRowFirstColumn="0" w:firstRowLastColumn="0" w:lastRowFirstColumn="0" w:lastRowLastColumn="0"/>
            <w:tcW w:w="5534" w:type="dxa"/>
          </w:tcPr>
          <w:p w14:paraId="59BDF277" w14:textId="77777777" w:rsidR="004E12A6" w:rsidRPr="004E12A6" w:rsidRDefault="004E12A6" w:rsidP="004E12A6">
            <w:pPr>
              <w:jc w:val="both"/>
              <w:rPr>
                <w:rFonts w:ascii="Calibri" w:hAnsi="Calibri"/>
                <w:sz w:val="22"/>
                <w:szCs w:val="22"/>
              </w:rPr>
            </w:pPr>
            <w:r w:rsidRPr="004E12A6">
              <w:rPr>
                <w:rFonts w:ascii="Calibri" w:hAnsi="Calibri"/>
                <w:sz w:val="22"/>
                <w:szCs w:val="22"/>
              </w:rPr>
              <w:t>Extended Entitlement</w:t>
            </w:r>
          </w:p>
        </w:tc>
        <w:tc>
          <w:tcPr>
            <w:tcW w:w="1974" w:type="dxa"/>
          </w:tcPr>
          <w:p w14:paraId="670BB77D" w14:textId="6E444281" w:rsidR="004E12A6" w:rsidRPr="004E12A6" w:rsidRDefault="004E12A6" w:rsidP="00F52702">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4E12A6">
              <w:rPr>
                <w:rFonts w:ascii="Calibri" w:hAnsi="Calibri" w:cs="Calibri"/>
                <w:color w:val="000000"/>
                <w:sz w:val="22"/>
                <w:szCs w:val="22"/>
              </w:rPr>
              <w:t>£</w:t>
            </w:r>
            <w:r w:rsidR="00FB07DA">
              <w:rPr>
                <w:rFonts w:ascii="Calibri" w:hAnsi="Calibri" w:cs="Calibri"/>
                <w:color w:val="000000"/>
                <w:sz w:val="22"/>
                <w:szCs w:val="22"/>
              </w:rPr>
              <w:t>4,323,970</w:t>
            </w:r>
          </w:p>
        </w:tc>
      </w:tr>
      <w:tr w:rsidR="004E12A6" w:rsidRPr="004E12A6" w14:paraId="49B81435" w14:textId="77777777" w:rsidTr="00C9067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34" w:type="dxa"/>
          </w:tcPr>
          <w:p w14:paraId="400BF59E" w14:textId="77777777" w:rsidR="004E12A6" w:rsidRPr="004E12A6" w:rsidRDefault="004E12A6" w:rsidP="004E12A6">
            <w:pPr>
              <w:jc w:val="right"/>
              <w:rPr>
                <w:rFonts w:ascii="Calibri" w:hAnsi="Calibri"/>
                <w:sz w:val="22"/>
                <w:szCs w:val="22"/>
              </w:rPr>
            </w:pPr>
            <w:r w:rsidRPr="004E12A6">
              <w:rPr>
                <w:rFonts w:ascii="Calibri" w:hAnsi="Calibri"/>
                <w:sz w:val="22"/>
                <w:szCs w:val="22"/>
              </w:rPr>
              <w:t>Total combined</w:t>
            </w:r>
          </w:p>
        </w:tc>
        <w:tc>
          <w:tcPr>
            <w:tcW w:w="1974" w:type="dxa"/>
          </w:tcPr>
          <w:p w14:paraId="25DA7B47" w14:textId="7757F6AD" w:rsidR="004E12A6" w:rsidRPr="004E12A6" w:rsidRDefault="004E12A6" w:rsidP="00F52702">
            <w:pPr>
              <w:jc w:val="center"/>
              <w:cnfStyle w:val="000000100000" w:firstRow="0" w:lastRow="0" w:firstColumn="0" w:lastColumn="0" w:oddVBand="0" w:evenVBand="0" w:oddHBand="1" w:evenHBand="0" w:firstRowFirstColumn="0" w:firstRowLastColumn="0" w:lastRowFirstColumn="0" w:lastRowLastColumn="0"/>
              <w:rPr>
                <w:rFonts w:ascii="Calibri" w:hAnsi="Calibri"/>
                <w:b/>
                <w:sz w:val="22"/>
                <w:szCs w:val="22"/>
              </w:rPr>
            </w:pPr>
            <w:r w:rsidRPr="00F52702">
              <w:rPr>
                <w:rFonts w:ascii="Calibri" w:hAnsi="Calibri" w:cs="Calibri"/>
                <w:color w:val="000000"/>
                <w:sz w:val="22"/>
                <w:szCs w:val="22"/>
              </w:rPr>
              <w:t>£</w:t>
            </w:r>
            <w:r w:rsidR="00FB07DA">
              <w:rPr>
                <w:rFonts w:ascii="Calibri" w:hAnsi="Calibri" w:cs="Calibri"/>
                <w:color w:val="000000"/>
                <w:sz w:val="22"/>
                <w:szCs w:val="22"/>
              </w:rPr>
              <w:t>24,662,402</w:t>
            </w:r>
          </w:p>
        </w:tc>
      </w:tr>
      <w:tr w:rsidR="004E12A6" w:rsidRPr="004E12A6" w14:paraId="57FC88A9" w14:textId="77777777" w:rsidTr="00C90674">
        <w:trPr>
          <w:jc w:val="center"/>
        </w:trPr>
        <w:tc>
          <w:tcPr>
            <w:cnfStyle w:val="001000000000" w:firstRow="0" w:lastRow="0" w:firstColumn="1" w:lastColumn="0" w:oddVBand="0" w:evenVBand="0" w:oddHBand="0" w:evenHBand="0" w:firstRowFirstColumn="0" w:firstRowLastColumn="0" w:lastRowFirstColumn="0" w:lastRowLastColumn="0"/>
            <w:tcW w:w="5534" w:type="dxa"/>
          </w:tcPr>
          <w:p w14:paraId="35EBFEAF" w14:textId="33069935" w:rsidR="004E12A6" w:rsidRPr="004E12A6" w:rsidRDefault="004E12A6" w:rsidP="004E12A6">
            <w:pPr>
              <w:jc w:val="both"/>
              <w:rPr>
                <w:rFonts w:ascii="Calibri" w:hAnsi="Calibri"/>
                <w:sz w:val="22"/>
                <w:szCs w:val="22"/>
              </w:rPr>
            </w:pPr>
            <w:r w:rsidRPr="004E12A6">
              <w:rPr>
                <w:rFonts w:ascii="Calibri" w:hAnsi="Calibri"/>
                <w:sz w:val="22"/>
                <w:szCs w:val="22"/>
              </w:rPr>
              <w:t xml:space="preserve">Percentage </w:t>
            </w:r>
            <w:r>
              <w:rPr>
                <w:rFonts w:ascii="Calibri" w:hAnsi="Calibri"/>
                <w:sz w:val="22"/>
                <w:szCs w:val="22"/>
              </w:rPr>
              <w:t>5%</w:t>
            </w:r>
          </w:p>
        </w:tc>
        <w:tc>
          <w:tcPr>
            <w:tcW w:w="1974" w:type="dxa"/>
          </w:tcPr>
          <w:p w14:paraId="399659B7" w14:textId="689ECE6E" w:rsidR="004E12A6" w:rsidRPr="00F52702" w:rsidRDefault="003804D7" w:rsidP="00F527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22"/>
                <w:szCs w:val="22"/>
              </w:rPr>
            </w:pPr>
            <w:r w:rsidRPr="00F52702">
              <w:rPr>
                <w:rFonts w:ascii="Calibri" w:hAnsi="Calibri" w:cs="Calibri"/>
                <w:bCs/>
                <w:color w:val="000000"/>
                <w:sz w:val="22"/>
                <w:szCs w:val="22"/>
              </w:rPr>
              <w:t>£</w:t>
            </w:r>
            <w:r w:rsidR="00FB07DA" w:rsidRPr="00F52702">
              <w:rPr>
                <w:rFonts w:ascii="Calibri" w:hAnsi="Calibri" w:cs="Calibri"/>
                <w:bCs/>
                <w:color w:val="000000"/>
                <w:sz w:val="22"/>
                <w:szCs w:val="22"/>
              </w:rPr>
              <w:t>1,233,120</w:t>
            </w:r>
          </w:p>
        </w:tc>
      </w:tr>
      <w:tr w:rsidR="00FB07DA" w:rsidRPr="004E12A6" w14:paraId="6287068A" w14:textId="77777777" w:rsidTr="00C9067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34" w:type="dxa"/>
          </w:tcPr>
          <w:p w14:paraId="2F9D15CA" w14:textId="45AF3759" w:rsidR="00FB07DA" w:rsidRPr="004E12A6" w:rsidRDefault="00FB07DA" w:rsidP="004E12A6">
            <w:pPr>
              <w:jc w:val="both"/>
              <w:rPr>
                <w:rFonts w:ascii="Calibri" w:hAnsi="Calibri"/>
                <w:sz w:val="22"/>
                <w:szCs w:val="22"/>
              </w:rPr>
            </w:pPr>
            <w:r>
              <w:rPr>
                <w:rFonts w:ascii="Calibri" w:hAnsi="Calibri"/>
                <w:sz w:val="22"/>
                <w:szCs w:val="22"/>
              </w:rPr>
              <w:t>Underspend</w:t>
            </w:r>
          </w:p>
        </w:tc>
        <w:tc>
          <w:tcPr>
            <w:tcW w:w="1974" w:type="dxa"/>
          </w:tcPr>
          <w:p w14:paraId="3859A7CC" w14:textId="0B217117" w:rsidR="00FB07DA" w:rsidRPr="00F52702" w:rsidRDefault="00FB07DA" w:rsidP="00F527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22"/>
                <w:szCs w:val="22"/>
              </w:rPr>
            </w:pPr>
            <w:r w:rsidRPr="00F52702">
              <w:rPr>
                <w:rFonts w:ascii="Calibri" w:hAnsi="Calibri" w:cs="Calibri"/>
                <w:bCs/>
                <w:color w:val="000000"/>
                <w:sz w:val="22"/>
                <w:szCs w:val="22"/>
              </w:rPr>
              <w:t>£158,080</w:t>
            </w:r>
          </w:p>
        </w:tc>
      </w:tr>
      <w:tr w:rsidR="00FB07DA" w:rsidRPr="004E12A6" w14:paraId="1F5DCCD5" w14:textId="77777777" w:rsidTr="00C90674">
        <w:trPr>
          <w:jc w:val="center"/>
        </w:trPr>
        <w:tc>
          <w:tcPr>
            <w:cnfStyle w:val="001000000000" w:firstRow="0" w:lastRow="0" w:firstColumn="1" w:lastColumn="0" w:oddVBand="0" w:evenVBand="0" w:oddHBand="0" w:evenHBand="0" w:firstRowFirstColumn="0" w:firstRowLastColumn="0" w:lastRowFirstColumn="0" w:lastRowLastColumn="0"/>
            <w:tcW w:w="5534" w:type="dxa"/>
          </w:tcPr>
          <w:p w14:paraId="07C620CB" w14:textId="50D1BB66" w:rsidR="00FB07DA" w:rsidRDefault="00FB07DA" w:rsidP="004E12A6">
            <w:pPr>
              <w:jc w:val="both"/>
              <w:rPr>
                <w:rFonts w:ascii="Calibri" w:hAnsi="Calibri"/>
                <w:sz w:val="22"/>
                <w:szCs w:val="22"/>
              </w:rPr>
            </w:pPr>
            <w:r>
              <w:rPr>
                <w:rFonts w:ascii="Calibri" w:hAnsi="Calibri"/>
                <w:sz w:val="22"/>
                <w:szCs w:val="22"/>
              </w:rPr>
              <w:t>Total centrally retained budget</w:t>
            </w:r>
          </w:p>
        </w:tc>
        <w:tc>
          <w:tcPr>
            <w:tcW w:w="1974" w:type="dxa"/>
          </w:tcPr>
          <w:p w14:paraId="56E4B76E" w14:textId="02871D3F" w:rsidR="00FB07DA" w:rsidRPr="00F52702" w:rsidRDefault="00FB07DA" w:rsidP="00F527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sidRPr="00F52702">
              <w:rPr>
                <w:rFonts w:ascii="Calibri" w:hAnsi="Calibri" w:cs="Calibri"/>
                <w:b/>
                <w:color w:val="000000"/>
                <w:sz w:val="22"/>
                <w:szCs w:val="22"/>
              </w:rPr>
              <w:t>£1,391,200</w:t>
            </w:r>
          </w:p>
        </w:tc>
      </w:tr>
    </w:tbl>
    <w:p w14:paraId="5A41BAA2" w14:textId="0847CBC2" w:rsidR="004E12A6" w:rsidRPr="00B22D1B" w:rsidRDefault="004E12A6" w:rsidP="00B22D1B">
      <w:pPr>
        <w:jc w:val="both"/>
        <w:rPr>
          <w:rFonts w:ascii="Calibri" w:hAnsi="Calibri" w:cs="Calibri"/>
          <w:color w:val="000000" w:themeColor="text1"/>
          <w:sz w:val="22"/>
          <w:szCs w:val="22"/>
        </w:rPr>
      </w:pPr>
    </w:p>
    <w:p w14:paraId="1D16390B" w14:textId="18C4C3B6" w:rsidR="00AB04FA" w:rsidRPr="00A64C60" w:rsidRDefault="00B51C8E" w:rsidP="00B51C8E">
      <w:pPr>
        <w:pStyle w:val="ListParagraph"/>
        <w:numPr>
          <w:ilvl w:val="1"/>
          <w:numId w:val="4"/>
        </w:numPr>
        <w:jc w:val="both"/>
        <w:rPr>
          <w:rFonts w:ascii="Calibri" w:hAnsi="Calibri" w:cs="Calibri"/>
          <w:color w:val="000000" w:themeColor="text1"/>
          <w:sz w:val="22"/>
          <w:szCs w:val="22"/>
        </w:rPr>
      </w:pPr>
      <w:r w:rsidRPr="00B51C8E">
        <w:rPr>
          <w:rFonts w:ascii="Calibri" w:hAnsi="Calibri" w:cs="Calibri"/>
          <w:color w:val="000000" w:themeColor="text1"/>
          <w:sz w:val="22"/>
          <w:szCs w:val="22"/>
        </w:rPr>
        <w:t>The calculated central retained budget for 2022-20</w:t>
      </w:r>
      <w:r>
        <w:rPr>
          <w:rFonts w:ascii="Calibri" w:hAnsi="Calibri" w:cs="Calibri"/>
          <w:color w:val="000000" w:themeColor="text1"/>
          <w:sz w:val="22"/>
          <w:szCs w:val="22"/>
        </w:rPr>
        <w:t>23 at current levels would be</w:t>
      </w:r>
      <w:r w:rsidRPr="00B51C8E">
        <w:rPr>
          <w:rFonts w:ascii="Calibri" w:hAnsi="Calibri" w:cs="Calibri"/>
          <w:color w:val="000000" w:themeColor="text1"/>
          <w:sz w:val="22"/>
          <w:szCs w:val="22"/>
        </w:rPr>
        <w:t xml:space="preserve"> £1,233,120 however, due to an underspend from the previous years, it is proposed that this will remain at £1,391,200 to retain services as set out in the restructure.  This will enable LBTH to fully meets its statutory duties as per the Childcare Acts of 2006 and 2016, specifically regarding:</w:t>
      </w:r>
    </w:p>
    <w:p w14:paraId="78970C98" w14:textId="355A97E5" w:rsidR="00AB04FA" w:rsidRDefault="00A64C60" w:rsidP="00AB04FA">
      <w:pPr>
        <w:pStyle w:val="ListParagraph"/>
        <w:numPr>
          <w:ilvl w:val="0"/>
          <w:numId w:val="34"/>
        </w:numPr>
        <w:jc w:val="both"/>
        <w:rPr>
          <w:rFonts w:ascii="Calibri" w:hAnsi="Calibri" w:cs="Calibri"/>
          <w:color w:val="000000" w:themeColor="text1"/>
          <w:sz w:val="22"/>
          <w:szCs w:val="22"/>
        </w:rPr>
      </w:pPr>
      <w:r>
        <w:rPr>
          <w:rFonts w:ascii="Calibri" w:hAnsi="Calibri" w:cs="Calibri"/>
          <w:color w:val="000000" w:themeColor="text1"/>
          <w:sz w:val="22"/>
          <w:szCs w:val="22"/>
        </w:rPr>
        <w:t>Securing</w:t>
      </w:r>
      <w:r w:rsidR="00AB04FA" w:rsidRPr="004E12A6">
        <w:rPr>
          <w:rFonts w:ascii="Calibri" w:hAnsi="Calibri" w:cs="Calibri"/>
          <w:color w:val="000000" w:themeColor="text1"/>
          <w:sz w:val="22"/>
          <w:szCs w:val="22"/>
        </w:rPr>
        <w:t xml:space="preserve"> sufficient </w:t>
      </w:r>
      <w:r>
        <w:rPr>
          <w:rFonts w:ascii="Calibri" w:hAnsi="Calibri" w:cs="Calibri"/>
          <w:color w:val="000000" w:themeColor="text1"/>
          <w:sz w:val="22"/>
          <w:szCs w:val="22"/>
        </w:rPr>
        <w:t xml:space="preserve">high quality </w:t>
      </w:r>
      <w:r w:rsidR="00AB04FA" w:rsidRPr="004E12A6">
        <w:rPr>
          <w:rFonts w:ascii="Calibri" w:hAnsi="Calibri" w:cs="Calibri"/>
          <w:color w:val="000000" w:themeColor="text1"/>
          <w:sz w:val="22"/>
          <w:szCs w:val="22"/>
        </w:rPr>
        <w:t xml:space="preserve">Early Education and Childcare for all those wishing to access </w:t>
      </w:r>
      <w:r>
        <w:rPr>
          <w:rFonts w:ascii="Calibri" w:hAnsi="Calibri" w:cs="Calibri"/>
          <w:color w:val="000000" w:themeColor="text1"/>
          <w:sz w:val="22"/>
          <w:szCs w:val="22"/>
        </w:rPr>
        <w:t>funded entitlements</w:t>
      </w:r>
      <w:r w:rsidR="008326C7">
        <w:rPr>
          <w:rFonts w:ascii="Calibri" w:hAnsi="Calibri" w:cs="Calibri"/>
          <w:color w:val="000000" w:themeColor="text1"/>
          <w:sz w:val="22"/>
          <w:szCs w:val="22"/>
        </w:rPr>
        <w:t xml:space="preserve"> and provision</w:t>
      </w:r>
    </w:p>
    <w:p w14:paraId="6E84E7AF" w14:textId="51D059ED" w:rsidR="00AB04FA" w:rsidRPr="00A64C60" w:rsidRDefault="00A64C60" w:rsidP="00A64C60">
      <w:pPr>
        <w:pStyle w:val="ListParagraph"/>
        <w:numPr>
          <w:ilvl w:val="0"/>
          <w:numId w:val="34"/>
        </w:numPr>
        <w:jc w:val="both"/>
        <w:rPr>
          <w:rFonts w:ascii="Calibri" w:hAnsi="Calibri" w:cs="Calibri"/>
          <w:color w:val="000000" w:themeColor="text1"/>
          <w:sz w:val="22"/>
          <w:szCs w:val="22"/>
        </w:rPr>
      </w:pPr>
      <w:r w:rsidRPr="00A64C60">
        <w:rPr>
          <w:rFonts w:ascii="Calibri" w:hAnsi="Calibri" w:cs="Calibri"/>
          <w:color w:val="000000" w:themeColor="text1"/>
          <w:sz w:val="22"/>
          <w:szCs w:val="22"/>
        </w:rPr>
        <w:t>P</w:t>
      </w:r>
      <w:r>
        <w:rPr>
          <w:rFonts w:ascii="Calibri" w:hAnsi="Calibri" w:cs="Calibri"/>
          <w:color w:val="000000" w:themeColor="text1"/>
          <w:sz w:val="22"/>
          <w:szCs w:val="22"/>
        </w:rPr>
        <w:t>roviding</w:t>
      </w:r>
      <w:r w:rsidR="00AB04FA" w:rsidRPr="00A64C60">
        <w:rPr>
          <w:rFonts w:ascii="Calibri" w:hAnsi="Calibri" w:cs="Calibri"/>
          <w:color w:val="000000" w:themeColor="text1"/>
          <w:sz w:val="22"/>
          <w:szCs w:val="22"/>
        </w:rPr>
        <w:t xml:space="preserve"> information, advice and assistance to parents/carers and prospective parents/carers</w:t>
      </w:r>
    </w:p>
    <w:p w14:paraId="72FA76E8" w14:textId="0C1CEEF4" w:rsidR="00A64C60" w:rsidRDefault="00A64C60" w:rsidP="00A64C60">
      <w:pPr>
        <w:pStyle w:val="ListParagraph"/>
        <w:numPr>
          <w:ilvl w:val="0"/>
          <w:numId w:val="34"/>
        </w:numPr>
        <w:jc w:val="both"/>
        <w:rPr>
          <w:rFonts w:ascii="Calibri" w:hAnsi="Calibri" w:cs="Calibri"/>
          <w:color w:val="000000" w:themeColor="text1"/>
          <w:sz w:val="22"/>
          <w:szCs w:val="22"/>
        </w:rPr>
      </w:pPr>
      <w:r>
        <w:rPr>
          <w:rFonts w:ascii="Calibri" w:hAnsi="Calibri" w:cs="Calibri"/>
          <w:color w:val="000000" w:themeColor="text1"/>
          <w:sz w:val="22"/>
          <w:szCs w:val="22"/>
        </w:rPr>
        <w:t>Providing</w:t>
      </w:r>
      <w:r w:rsidR="00AB04FA" w:rsidRPr="00DF7AB0">
        <w:rPr>
          <w:rFonts w:ascii="Calibri" w:hAnsi="Calibri" w:cs="Calibri"/>
          <w:color w:val="000000" w:themeColor="text1"/>
          <w:sz w:val="22"/>
          <w:szCs w:val="22"/>
        </w:rPr>
        <w:t xml:space="preserve"> information, advice and training to </w:t>
      </w:r>
      <w:r w:rsidR="008326C7">
        <w:rPr>
          <w:rFonts w:ascii="Calibri" w:hAnsi="Calibri" w:cs="Calibri"/>
          <w:color w:val="000000" w:themeColor="text1"/>
          <w:sz w:val="22"/>
          <w:szCs w:val="22"/>
        </w:rPr>
        <w:t xml:space="preserve">the </w:t>
      </w:r>
      <w:r w:rsidR="00AB04FA" w:rsidRPr="00DF7AB0">
        <w:rPr>
          <w:rFonts w:ascii="Calibri" w:hAnsi="Calibri" w:cs="Calibri"/>
          <w:color w:val="000000" w:themeColor="text1"/>
          <w:sz w:val="22"/>
          <w:szCs w:val="22"/>
        </w:rPr>
        <w:t>Early E</w:t>
      </w:r>
      <w:r w:rsidR="008326C7">
        <w:rPr>
          <w:rFonts w:ascii="Calibri" w:hAnsi="Calibri" w:cs="Calibri"/>
          <w:color w:val="000000" w:themeColor="text1"/>
          <w:sz w:val="22"/>
          <w:szCs w:val="22"/>
        </w:rPr>
        <w:t>ducation and Childcare sector</w:t>
      </w:r>
    </w:p>
    <w:p w14:paraId="06AB3027" w14:textId="78A8391C" w:rsidR="00AB04FA" w:rsidRPr="00A64C60" w:rsidRDefault="00A64C60" w:rsidP="00A64C60">
      <w:pPr>
        <w:pStyle w:val="ListParagraph"/>
        <w:numPr>
          <w:ilvl w:val="0"/>
          <w:numId w:val="34"/>
        </w:numPr>
        <w:jc w:val="both"/>
        <w:rPr>
          <w:rFonts w:ascii="Calibri" w:hAnsi="Calibri" w:cs="Calibri"/>
          <w:color w:val="000000" w:themeColor="text1"/>
          <w:sz w:val="22"/>
          <w:szCs w:val="22"/>
        </w:rPr>
      </w:pPr>
      <w:r>
        <w:rPr>
          <w:rFonts w:ascii="Calibri" w:hAnsi="Calibri" w:cs="Calibri"/>
          <w:color w:val="000000" w:themeColor="text1"/>
          <w:sz w:val="22"/>
          <w:szCs w:val="22"/>
        </w:rPr>
        <w:t>Providing q</w:t>
      </w:r>
      <w:r w:rsidR="00AB04FA" w:rsidRPr="00A64C60">
        <w:rPr>
          <w:rFonts w:ascii="Calibri" w:hAnsi="Calibri" w:cs="Calibri"/>
          <w:sz w:val="22"/>
          <w:szCs w:val="22"/>
        </w:rPr>
        <w:t xml:space="preserve">uality improvement </w:t>
      </w:r>
      <w:r>
        <w:rPr>
          <w:rFonts w:ascii="Calibri" w:hAnsi="Calibri" w:cs="Calibri"/>
          <w:sz w:val="22"/>
          <w:szCs w:val="22"/>
        </w:rPr>
        <w:t xml:space="preserve">support for early education and </w:t>
      </w:r>
      <w:r w:rsidR="00AB04FA" w:rsidRPr="00A64C60">
        <w:rPr>
          <w:rFonts w:ascii="Calibri" w:hAnsi="Calibri" w:cs="Calibri"/>
          <w:sz w:val="22"/>
          <w:szCs w:val="22"/>
        </w:rPr>
        <w:t>childcare</w:t>
      </w:r>
      <w:r>
        <w:rPr>
          <w:rFonts w:ascii="Calibri" w:hAnsi="Calibri" w:cs="Calibri"/>
          <w:sz w:val="22"/>
          <w:szCs w:val="22"/>
        </w:rPr>
        <w:t xml:space="preserve"> sector</w:t>
      </w:r>
    </w:p>
    <w:p w14:paraId="20CFB571" w14:textId="6066E2AF" w:rsidR="00AB04FA" w:rsidRPr="0039609B" w:rsidRDefault="00A64C60" w:rsidP="00AB04FA">
      <w:pPr>
        <w:pStyle w:val="ListParagraph"/>
        <w:numPr>
          <w:ilvl w:val="0"/>
          <w:numId w:val="34"/>
        </w:numPr>
        <w:jc w:val="both"/>
        <w:rPr>
          <w:rFonts w:ascii="Calibri" w:hAnsi="Calibri" w:cs="Calibri"/>
          <w:color w:val="000000" w:themeColor="text1"/>
          <w:sz w:val="22"/>
          <w:szCs w:val="22"/>
        </w:rPr>
      </w:pPr>
      <w:r>
        <w:rPr>
          <w:rFonts w:ascii="Calibri" w:hAnsi="Calibri" w:cs="Calibri"/>
          <w:sz w:val="22"/>
          <w:szCs w:val="22"/>
        </w:rPr>
        <w:t>Providing i</w:t>
      </w:r>
      <w:r w:rsidR="00AB04FA" w:rsidRPr="0039609B">
        <w:rPr>
          <w:rFonts w:ascii="Calibri" w:hAnsi="Calibri" w:cs="Calibri"/>
          <w:sz w:val="22"/>
          <w:szCs w:val="22"/>
        </w:rPr>
        <w:t xml:space="preserve">nclusion support for </w:t>
      </w:r>
      <w:r>
        <w:rPr>
          <w:rFonts w:ascii="Calibri" w:hAnsi="Calibri" w:cs="Calibri"/>
          <w:sz w:val="22"/>
          <w:szCs w:val="22"/>
        </w:rPr>
        <w:t xml:space="preserve">PVI </w:t>
      </w:r>
      <w:r w:rsidR="00AB04FA" w:rsidRPr="0039609B">
        <w:rPr>
          <w:rFonts w:ascii="Calibri" w:hAnsi="Calibri" w:cs="Calibri"/>
          <w:sz w:val="22"/>
          <w:szCs w:val="22"/>
        </w:rPr>
        <w:t>childcare settings in line with th</w:t>
      </w:r>
      <w:r w:rsidR="008326C7">
        <w:rPr>
          <w:rFonts w:ascii="Calibri" w:hAnsi="Calibri" w:cs="Calibri"/>
          <w:sz w:val="22"/>
          <w:szCs w:val="22"/>
        </w:rPr>
        <w:t>e SEND Code of Practice</w:t>
      </w:r>
    </w:p>
    <w:p w14:paraId="14687030" w14:textId="1B5E49B9" w:rsidR="002578B4" w:rsidRPr="00B22D1B" w:rsidRDefault="00AB04FA" w:rsidP="000B1E4E">
      <w:pPr>
        <w:pStyle w:val="ListParagraph"/>
        <w:numPr>
          <w:ilvl w:val="1"/>
          <w:numId w:val="4"/>
        </w:numPr>
        <w:jc w:val="both"/>
        <w:rPr>
          <w:rFonts w:ascii="Calibri" w:hAnsi="Calibri" w:cs="Calibri"/>
          <w:color w:val="000000" w:themeColor="text1"/>
          <w:sz w:val="22"/>
          <w:szCs w:val="22"/>
        </w:rPr>
      </w:pPr>
      <w:r>
        <w:rPr>
          <w:rFonts w:ascii="Calibri" w:hAnsi="Calibri" w:cs="Calibri"/>
          <w:sz w:val="22"/>
          <w:szCs w:val="22"/>
        </w:rPr>
        <w:t xml:space="preserve">Table </w:t>
      </w:r>
      <w:r w:rsidR="000B1E4E" w:rsidRPr="00AB04FA">
        <w:rPr>
          <w:rFonts w:ascii="Calibri" w:hAnsi="Calibri" w:cs="Calibri"/>
          <w:sz w:val="22"/>
          <w:szCs w:val="22"/>
        </w:rPr>
        <w:t xml:space="preserve">below shows the </w:t>
      </w:r>
      <w:r>
        <w:rPr>
          <w:rFonts w:ascii="Calibri" w:hAnsi="Calibri" w:cs="Calibri"/>
          <w:sz w:val="22"/>
          <w:szCs w:val="22"/>
        </w:rPr>
        <w:t>2021-22</w:t>
      </w:r>
      <w:r w:rsidR="000B1E4E" w:rsidRPr="00AB04FA">
        <w:rPr>
          <w:rFonts w:ascii="Calibri" w:hAnsi="Calibri" w:cs="Calibri"/>
          <w:sz w:val="22"/>
          <w:szCs w:val="22"/>
        </w:rPr>
        <w:t xml:space="preserve"> budget </w:t>
      </w:r>
      <w:r w:rsidR="00EF44C8" w:rsidRPr="00AB04FA">
        <w:rPr>
          <w:rFonts w:ascii="Calibri" w:hAnsi="Calibri" w:cs="Calibri"/>
          <w:sz w:val="22"/>
          <w:szCs w:val="22"/>
        </w:rPr>
        <w:t xml:space="preserve">expenditure </w:t>
      </w:r>
      <w:r w:rsidR="00E17D09" w:rsidRPr="00AB04FA">
        <w:rPr>
          <w:rFonts w:ascii="Calibri" w:hAnsi="Calibri" w:cs="Calibri"/>
          <w:sz w:val="22"/>
          <w:szCs w:val="22"/>
        </w:rPr>
        <w:t>for</w:t>
      </w:r>
      <w:r w:rsidR="000B1E4E" w:rsidRPr="00AB04FA">
        <w:rPr>
          <w:rFonts w:ascii="Calibri" w:hAnsi="Calibri" w:cs="Calibri"/>
          <w:sz w:val="22"/>
          <w:szCs w:val="22"/>
        </w:rPr>
        <w:t xml:space="preserve"> the Early Years </w:t>
      </w:r>
      <w:r>
        <w:rPr>
          <w:rFonts w:ascii="Calibri" w:hAnsi="Calibri" w:cs="Calibri"/>
          <w:sz w:val="22"/>
          <w:szCs w:val="22"/>
        </w:rPr>
        <w:t>central retained budget</w:t>
      </w:r>
      <w:r w:rsidR="000B1E4E" w:rsidRPr="00AB04FA">
        <w:rPr>
          <w:rFonts w:ascii="Calibri" w:hAnsi="Calibri" w:cs="Calibri"/>
          <w:sz w:val="22"/>
          <w:szCs w:val="22"/>
        </w:rPr>
        <w:t>.</w:t>
      </w:r>
    </w:p>
    <w:p w14:paraId="56BC9EA3" w14:textId="5864B5F8" w:rsidR="002578B4" w:rsidRDefault="00AB04FA" w:rsidP="00B22D1B">
      <w:pPr>
        <w:ind w:left="720"/>
        <w:rPr>
          <w:rFonts w:ascii="Calibri" w:hAnsi="Calibri" w:cs="Calibri"/>
          <w:b/>
          <w:bCs/>
          <w:color w:val="000000"/>
          <w:sz w:val="22"/>
          <w:szCs w:val="22"/>
        </w:rPr>
      </w:pPr>
      <w:r>
        <w:rPr>
          <w:rFonts w:ascii="Calibri" w:hAnsi="Calibri" w:cs="Calibri"/>
          <w:b/>
          <w:bCs/>
          <w:color w:val="000000"/>
          <w:sz w:val="22"/>
          <w:szCs w:val="22"/>
        </w:rPr>
        <w:t>Table 4</w:t>
      </w:r>
      <w:r w:rsidR="002578B4" w:rsidRPr="00741395">
        <w:rPr>
          <w:rFonts w:ascii="Calibri" w:hAnsi="Calibri" w:cs="Calibri"/>
          <w:b/>
          <w:bCs/>
          <w:color w:val="000000"/>
          <w:sz w:val="22"/>
          <w:szCs w:val="22"/>
        </w:rPr>
        <w:t xml:space="preserve">: Forum </w:t>
      </w:r>
      <w:r w:rsidR="00776327">
        <w:rPr>
          <w:rFonts w:ascii="Calibri" w:hAnsi="Calibri" w:cs="Calibri"/>
          <w:b/>
          <w:bCs/>
          <w:color w:val="000000"/>
          <w:sz w:val="22"/>
          <w:szCs w:val="22"/>
        </w:rPr>
        <w:t xml:space="preserve">to be </w:t>
      </w:r>
      <w:r w:rsidR="002578B4" w:rsidRPr="00741395">
        <w:rPr>
          <w:rFonts w:ascii="Calibri" w:hAnsi="Calibri" w:cs="Calibri"/>
          <w:b/>
          <w:bCs/>
          <w:color w:val="000000"/>
          <w:sz w:val="22"/>
          <w:szCs w:val="22"/>
        </w:rPr>
        <w:t>Agreed Cen</w:t>
      </w:r>
      <w:r w:rsidR="00776327">
        <w:rPr>
          <w:rFonts w:ascii="Calibri" w:hAnsi="Calibri" w:cs="Calibri"/>
          <w:b/>
          <w:bCs/>
          <w:color w:val="000000"/>
          <w:sz w:val="22"/>
          <w:szCs w:val="22"/>
        </w:rPr>
        <w:t>trally Retained Budgets 2022-2023</w:t>
      </w:r>
    </w:p>
    <w:tbl>
      <w:tblPr>
        <w:tblStyle w:val="GridTable4-Accent11"/>
        <w:tblW w:w="6206" w:type="dxa"/>
        <w:jc w:val="center"/>
        <w:tblLook w:val="04A0" w:firstRow="1" w:lastRow="0" w:firstColumn="1" w:lastColumn="0" w:noHBand="0" w:noVBand="1"/>
      </w:tblPr>
      <w:tblGrid>
        <w:gridCol w:w="641"/>
        <w:gridCol w:w="4197"/>
        <w:gridCol w:w="1368"/>
      </w:tblGrid>
      <w:tr w:rsidR="001B20F1" w:rsidRPr="001B20F1" w14:paraId="7DD7F2A7" w14:textId="40FAE3E1" w:rsidTr="0077632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1" w:type="dxa"/>
          </w:tcPr>
          <w:p w14:paraId="0C85D6D9" w14:textId="6F4D34F2" w:rsidR="00776327" w:rsidRPr="001B20F1" w:rsidRDefault="00776327" w:rsidP="00CA254B">
            <w:pPr>
              <w:jc w:val="center"/>
              <w:rPr>
                <w:rFonts w:ascii="Calibri" w:hAnsi="Calibri"/>
                <w:color w:val="auto"/>
                <w:sz w:val="22"/>
                <w:szCs w:val="22"/>
              </w:rPr>
            </w:pPr>
            <w:r w:rsidRPr="001B20F1">
              <w:rPr>
                <w:rFonts w:ascii="Calibri" w:hAnsi="Calibri"/>
                <w:color w:val="auto"/>
                <w:sz w:val="22"/>
                <w:szCs w:val="22"/>
              </w:rPr>
              <w:t>Item</w:t>
            </w:r>
          </w:p>
        </w:tc>
        <w:tc>
          <w:tcPr>
            <w:tcW w:w="4197" w:type="dxa"/>
          </w:tcPr>
          <w:p w14:paraId="058FEF32" w14:textId="24CF12B2" w:rsidR="00776327" w:rsidRPr="001B20F1" w:rsidRDefault="00776327" w:rsidP="00DE5FC1">
            <w:pPr>
              <w:jc w:val="both"/>
              <w:cnfStyle w:val="100000000000" w:firstRow="1" w:lastRow="0" w:firstColumn="0" w:lastColumn="0" w:oddVBand="0" w:evenVBand="0" w:oddHBand="0" w:evenHBand="0" w:firstRowFirstColumn="0" w:firstRowLastColumn="0" w:lastRowFirstColumn="0" w:lastRowLastColumn="0"/>
              <w:rPr>
                <w:rFonts w:ascii="Calibri" w:hAnsi="Calibri"/>
                <w:color w:val="auto"/>
                <w:sz w:val="22"/>
                <w:szCs w:val="22"/>
              </w:rPr>
            </w:pPr>
            <w:r w:rsidRPr="001B20F1">
              <w:rPr>
                <w:rFonts w:ascii="Calibri" w:hAnsi="Calibri"/>
                <w:color w:val="auto"/>
                <w:sz w:val="22"/>
                <w:szCs w:val="22"/>
              </w:rPr>
              <w:t>Description</w:t>
            </w:r>
          </w:p>
        </w:tc>
        <w:tc>
          <w:tcPr>
            <w:tcW w:w="1368" w:type="dxa"/>
          </w:tcPr>
          <w:p w14:paraId="7404F910" w14:textId="1758DAA2" w:rsidR="00776327" w:rsidRPr="001B20F1" w:rsidRDefault="00776327" w:rsidP="00DE5FC1">
            <w:pPr>
              <w:jc w:val="both"/>
              <w:cnfStyle w:val="100000000000" w:firstRow="1" w:lastRow="0" w:firstColumn="0" w:lastColumn="0" w:oddVBand="0" w:evenVBand="0" w:oddHBand="0" w:evenHBand="0" w:firstRowFirstColumn="0" w:firstRowLastColumn="0" w:lastRowFirstColumn="0" w:lastRowLastColumn="0"/>
              <w:rPr>
                <w:rFonts w:ascii="Calibri" w:hAnsi="Calibri"/>
                <w:b w:val="0"/>
                <w:bCs w:val="0"/>
                <w:color w:val="auto"/>
                <w:sz w:val="22"/>
                <w:szCs w:val="22"/>
              </w:rPr>
            </w:pPr>
            <w:r w:rsidRPr="001B20F1">
              <w:rPr>
                <w:rFonts w:ascii="Calibri" w:hAnsi="Calibri"/>
                <w:b w:val="0"/>
                <w:bCs w:val="0"/>
                <w:color w:val="auto"/>
                <w:sz w:val="22"/>
                <w:szCs w:val="22"/>
              </w:rPr>
              <w:t>Budget 2021-2022</w:t>
            </w:r>
          </w:p>
        </w:tc>
      </w:tr>
      <w:tr w:rsidR="00776327" w:rsidRPr="004E12A6" w14:paraId="7AAC01E1" w14:textId="7DD3E234" w:rsidTr="007763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1" w:type="dxa"/>
          </w:tcPr>
          <w:p w14:paraId="6084F849" w14:textId="54516A1A" w:rsidR="00776327" w:rsidRPr="004E12A6" w:rsidRDefault="00776327" w:rsidP="00CA254B">
            <w:pPr>
              <w:jc w:val="center"/>
              <w:rPr>
                <w:rFonts w:ascii="Calibri" w:hAnsi="Calibri"/>
                <w:sz w:val="22"/>
                <w:szCs w:val="22"/>
              </w:rPr>
            </w:pPr>
            <w:r>
              <w:rPr>
                <w:rFonts w:ascii="Calibri" w:hAnsi="Calibri"/>
                <w:sz w:val="22"/>
                <w:szCs w:val="22"/>
              </w:rPr>
              <w:t>a)</w:t>
            </w:r>
          </w:p>
        </w:tc>
        <w:tc>
          <w:tcPr>
            <w:tcW w:w="4197" w:type="dxa"/>
          </w:tcPr>
          <w:p w14:paraId="68360007" w14:textId="410766E6" w:rsidR="00776327" w:rsidRPr="00776327" w:rsidRDefault="00776327" w:rsidP="00DE5FC1">
            <w:pPr>
              <w:jc w:val="both"/>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776327">
              <w:rPr>
                <w:rFonts w:ascii="Calibri" w:hAnsi="Calibri" w:cs="Calibri"/>
                <w:bCs/>
                <w:color w:val="000000"/>
                <w:sz w:val="22"/>
                <w:szCs w:val="22"/>
              </w:rPr>
              <w:t>Staffing and associated oncosts</w:t>
            </w:r>
          </w:p>
        </w:tc>
        <w:tc>
          <w:tcPr>
            <w:tcW w:w="1368" w:type="dxa"/>
          </w:tcPr>
          <w:p w14:paraId="4499EDC9" w14:textId="24E2C0D1" w:rsidR="00776327" w:rsidRPr="004E12A6" w:rsidRDefault="00776327" w:rsidP="007C43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£1,301,300</w:t>
            </w:r>
          </w:p>
        </w:tc>
      </w:tr>
      <w:tr w:rsidR="00776327" w:rsidRPr="004E12A6" w14:paraId="3CB525CD" w14:textId="60440C76" w:rsidTr="00776327">
        <w:trPr>
          <w:jc w:val="center"/>
        </w:trPr>
        <w:tc>
          <w:tcPr>
            <w:cnfStyle w:val="001000000000" w:firstRow="0" w:lastRow="0" w:firstColumn="1" w:lastColumn="0" w:oddVBand="0" w:evenVBand="0" w:oddHBand="0" w:evenHBand="0" w:firstRowFirstColumn="0" w:firstRowLastColumn="0" w:lastRowFirstColumn="0" w:lastRowLastColumn="0"/>
            <w:tcW w:w="641" w:type="dxa"/>
          </w:tcPr>
          <w:p w14:paraId="33D0FFD0" w14:textId="463CD15B" w:rsidR="00776327" w:rsidRPr="004E12A6" w:rsidRDefault="00776327" w:rsidP="00CA254B">
            <w:pPr>
              <w:jc w:val="center"/>
              <w:rPr>
                <w:rFonts w:ascii="Calibri" w:hAnsi="Calibri"/>
                <w:sz w:val="22"/>
                <w:szCs w:val="22"/>
              </w:rPr>
            </w:pPr>
            <w:r>
              <w:rPr>
                <w:rFonts w:ascii="Calibri" w:hAnsi="Calibri"/>
                <w:sz w:val="22"/>
                <w:szCs w:val="22"/>
              </w:rPr>
              <w:lastRenderedPageBreak/>
              <w:t>b)</w:t>
            </w:r>
          </w:p>
        </w:tc>
        <w:tc>
          <w:tcPr>
            <w:tcW w:w="4197" w:type="dxa"/>
          </w:tcPr>
          <w:p w14:paraId="73F297C4" w14:textId="3937AF17" w:rsidR="00776327" w:rsidRPr="00776327" w:rsidRDefault="00776327" w:rsidP="008C74EB">
            <w:pPr>
              <w:jc w:val="both"/>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76327">
              <w:rPr>
                <w:rFonts w:ascii="Calibri" w:hAnsi="Calibri" w:cs="Calibri"/>
                <w:bCs/>
                <w:color w:val="000000"/>
                <w:sz w:val="22"/>
                <w:szCs w:val="22"/>
              </w:rPr>
              <w:t>Delivery costs and internal charges</w:t>
            </w:r>
          </w:p>
        </w:tc>
        <w:tc>
          <w:tcPr>
            <w:tcW w:w="1368" w:type="dxa"/>
          </w:tcPr>
          <w:p w14:paraId="2D9EFFE8" w14:textId="4C28074C" w:rsidR="00776327" w:rsidRPr="004E12A6" w:rsidRDefault="00776327" w:rsidP="007C43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£89,900</w:t>
            </w:r>
          </w:p>
        </w:tc>
      </w:tr>
      <w:tr w:rsidR="00776327" w:rsidRPr="004E12A6" w14:paraId="32B90E2B" w14:textId="0E4DF823" w:rsidTr="007763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1" w:type="dxa"/>
          </w:tcPr>
          <w:p w14:paraId="4508D904" w14:textId="77777777" w:rsidR="00776327" w:rsidRDefault="00776327" w:rsidP="00CA254B">
            <w:pPr>
              <w:jc w:val="center"/>
              <w:rPr>
                <w:rFonts w:ascii="Calibri" w:hAnsi="Calibri"/>
                <w:sz w:val="22"/>
                <w:szCs w:val="22"/>
              </w:rPr>
            </w:pPr>
          </w:p>
        </w:tc>
        <w:tc>
          <w:tcPr>
            <w:tcW w:w="4197" w:type="dxa"/>
          </w:tcPr>
          <w:p w14:paraId="7F7A4B70" w14:textId="1F3E8333" w:rsidR="00776327" w:rsidRPr="004E12A6" w:rsidRDefault="00776327" w:rsidP="00CA254B">
            <w:pPr>
              <w:jc w:val="right"/>
              <w:cnfStyle w:val="000000100000" w:firstRow="0" w:lastRow="0" w:firstColumn="0" w:lastColumn="0" w:oddVBand="0" w:evenVBand="0" w:oddHBand="1" w:evenHBand="0" w:firstRowFirstColumn="0" w:firstRowLastColumn="0" w:lastRowFirstColumn="0" w:lastRowLastColumn="0"/>
              <w:rPr>
                <w:rFonts w:ascii="Calibri" w:hAnsi="Calibri"/>
                <w:b/>
                <w:sz w:val="22"/>
                <w:szCs w:val="22"/>
              </w:rPr>
            </w:pPr>
            <w:r>
              <w:rPr>
                <w:rFonts w:ascii="Calibri" w:hAnsi="Calibri"/>
                <w:b/>
                <w:sz w:val="22"/>
                <w:szCs w:val="22"/>
              </w:rPr>
              <w:t>Total from DSG EYNFF:</w:t>
            </w:r>
          </w:p>
        </w:tc>
        <w:tc>
          <w:tcPr>
            <w:tcW w:w="1368" w:type="dxa"/>
          </w:tcPr>
          <w:p w14:paraId="603504F2" w14:textId="5A0B6B77" w:rsidR="00776327" w:rsidRPr="007C43F5" w:rsidRDefault="00776327" w:rsidP="007C43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2"/>
                <w:szCs w:val="22"/>
              </w:rPr>
            </w:pPr>
            <w:r w:rsidRPr="007C43F5">
              <w:rPr>
                <w:rFonts w:ascii="Calibri" w:hAnsi="Calibri" w:cs="Calibri"/>
                <w:b/>
                <w:color w:val="000000"/>
                <w:sz w:val="22"/>
                <w:szCs w:val="22"/>
              </w:rPr>
              <w:t>£</w:t>
            </w:r>
            <w:r w:rsidR="00B51C8E" w:rsidRPr="007C43F5">
              <w:rPr>
                <w:rFonts w:ascii="Calibri" w:hAnsi="Calibri" w:cs="Calibri"/>
                <w:b/>
                <w:color w:val="000000"/>
                <w:sz w:val="22"/>
                <w:szCs w:val="22"/>
              </w:rPr>
              <w:t>1,391,200</w:t>
            </w:r>
          </w:p>
        </w:tc>
      </w:tr>
    </w:tbl>
    <w:p w14:paraId="2E4B3F4B" w14:textId="20F09F22" w:rsidR="00A47A0D" w:rsidRPr="00741395" w:rsidRDefault="00A47A0D" w:rsidP="006048AD">
      <w:pPr>
        <w:pStyle w:val="Heading2"/>
      </w:pPr>
    </w:p>
    <w:p w14:paraId="0D40B51F" w14:textId="29E40126" w:rsidR="00773628" w:rsidRPr="00741395" w:rsidRDefault="00773628" w:rsidP="006048AD">
      <w:pPr>
        <w:pStyle w:val="Heading2"/>
        <w:numPr>
          <w:ilvl w:val="0"/>
          <w:numId w:val="4"/>
        </w:numPr>
      </w:pPr>
      <w:r w:rsidRPr="00741395">
        <w:t xml:space="preserve">Conclusions </w:t>
      </w:r>
      <w:r w:rsidR="007C43F5">
        <w:t>and Vote</w:t>
      </w:r>
    </w:p>
    <w:p w14:paraId="6608441B" w14:textId="775367AB" w:rsidR="00DF7AB0" w:rsidRPr="00B22D1B" w:rsidRDefault="00773628" w:rsidP="00B22D1B">
      <w:pPr>
        <w:spacing w:after="120"/>
        <w:rPr>
          <w:rFonts w:ascii="Calibri" w:hAnsi="Calibri" w:cs="Calibri"/>
          <w:sz w:val="22"/>
          <w:szCs w:val="22"/>
        </w:rPr>
      </w:pPr>
      <w:r w:rsidRPr="00741395">
        <w:rPr>
          <w:rFonts w:ascii="Calibri" w:hAnsi="Calibri" w:cs="Calibri"/>
          <w:sz w:val="22"/>
          <w:szCs w:val="22"/>
        </w:rPr>
        <w:t>This paper updates and consults with Schools Forum on the proposed funding arrangements for early years for 202</w:t>
      </w:r>
      <w:r w:rsidR="00DF7AB0">
        <w:rPr>
          <w:rFonts w:ascii="Calibri" w:hAnsi="Calibri" w:cs="Calibri"/>
          <w:sz w:val="22"/>
          <w:szCs w:val="22"/>
        </w:rPr>
        <w:t>2</w:t>
      </w:r>
      <w:r w:rsidR="00BA02C4" w:rsidRPr="00741395">
        <w:rPr>
          <w:rFonts w:ascii="Calibri" w:hAnsi="Calibri" w:cs="Calibri"/>
          <w:sz w:val="22"/>
          <w:szCs w:val="22"/>
        </w:rPr>
        <w:t>-2</w:t>
      </w:r>
      <w:r w:rsidR="00DF7AB0">
        <w:rPr>
          <w:rFonts w:ascii="Calibri" w:hAnsi="Calibri" w:cs="Calibri"/>
          <w:sz w:val="22"/>
          <w:szCs w:val="22"/>
        </w:rPr>
        <w:t>023</w:t>
      </w:r>
      <w:r w:rsidRPr="00741395">
        <w:rPr>
          <w:rFonts w:ascii="Calibri" w:hAnsi="Calibri" w:cs="Calibri"/>
          <w:sz w:val="22"/>
          <w:szCs w:val="22"/>
        </w:rPr>
        <w:t xml:space="preserve"> and seeks agreement on the overall central</w:t>
      </w:r>
      <w:r w:rsidR="00776327">
        <w:rPr>
          <w:rFonts w:ascii="Calibri" w:hAnsi="Calibri" w:cs="Calibri"/>
          <w:sz w:val="22"/>
          <w:szCs w:val="22"/>
        </w:rPr>
        <w:t>ly retained</w:t>
      </w:r>
      <w:r w:rsidRPr="00741395">
        <w:rPr>
          <w:rFonts w:ascii="Calibri" w:hAnsi="Calibri" w:cs="Calibri"/>
          <w:sz w:val="22"/>
          <w:szCs w:val="22"/>
        </w:rPr>
        <w:t xml:space="preserve"> spend</w:t>
      </w:r>
      <w:r w:rsidR="00776327">
        <w:rPr>
          <w:rFonts w:ascii="Calibri" w:hAnsi="Calibri" w:cs="Calibri"/>
          <w:sz w:val="22"/>
          <w:szCs w:val="22"/>
        </w:rPr>
        <w:t xml:space="preserve"> of 5%</w:t>
      </w:r>
      <w:r w:rsidR="00611DEE" w:rsidRPr="00741395">
        <w:rPr>
          <w:rFonts w:ascii="Calibri" w:hAnsi="Calibri" w:cs="Calibri"/>
          <w:sz w:val="22"/>
          <w:szCs w:val="22"/>
        </w:rPr>
        <w:t xml:space="preserve">.  </w:t>
      </w:r>
    </w:p>
    <w:p w14:paraId="0C443493" w14:textId="7EB0B9F2" w:rsidR="00DF7AB0" w:rsidRPr="00741395" w:rsidRDefault="00DF7AB0" w:rsidP="006048AD">
      <w:pPr>
        <w:pStyle w:val="Heading2"/>
      </w:pPr>
      <w:r w:rsidRPr="00741395">
        <w:t xml:space="preserve">Contact Details of </w:t>
      </w:r>
      <w:r>
        <w:t>Head of Early Years (Interim)</w:t>
      </w:r>
    </w:p>
    <w:p w14:paraId="2FA1B4FC" w14:textId="77777777" w:rsidR="00DF7AB0" w:rsidRPr="00741395" w:rsidRDefault="00DF7AB0" w:rsidP="00DF7AB0">
      <w:pPr>
        <w:spacing w:after="120"/>
        <w:rPr>
          <w:rFonts w:ascii="Calibri" w:hAnsi="Calibri" w:cs="Calibri"/>
          <w:sz w:val="22"/>
          <w:szCs w:val="22"/>
        </w:rPr>
      </w:pPr>
      <w:r w:rsidRPr="00741395">
        <w:rPr>
          <w:rFonts w:ascii="Calibri" w:hAnsi="Calibri" w:cs="Calibri"/>
          <w:sz w:val="22"/>
          <w:szCs w:val="22"/>
        </w:rPr>
        <w:t xml:space="preserve">If you have any queries or comments in advance of the </w:t>
      </w:r>
      <w:proofErr w:type="gramStart"/>
      <w:r w:rsidRPr="00741395">
        <w:rPr>
          <w:rFonts w:ascii="Calibri" w:hAnsi="Calibri" w:cs="Calibri"/>
          <w:sz w:val="22"/>
          <w:szCs w:val="22"/>
        </w:rPr>
        <w:t>Schools</w:t>
      </w:r>
      <w:proofErr w:type="gramEnd"/>
      <w:r w:rsidRPr="00741395">
        <w:rPr>
          <w:rFonts w:ascii="Calibri" w:hAnsi="Calibri" w:cs="Calibri"/>
          <w:sz w:val="22"/>
          <w:szCs w:val="22"/>
        </w:rPr>
        <w:t xml:space="preserve"> Forum meeting about this report, please contact: </w:t>
      </w:r>
    </w:p>
    <w:p w14:paraId="69A8F4C2" w14:textId="2026A62E" w:rsidR="00DF7AB0" w:rsidRPr="00741395" w:rsidRDefault="00DF7AB0" w:rsidP="00F52702">
      <w:pPr>
        <w:jc w:val="both"/>
        <w:rPr>
          <w:rFonts w:ascii="Calibri" w:hAnsi="Calibri" w:cs="Calibri"/>
          <w:sz w:val="22"/>
          <w:szCs w:val="22"/>
        </w:rPr>
      </w:pPr>
      <w:r w:rsidRPr="00741395">
        <w:rPr>
          <w:rFonts w:ascii="Calibri" w:hAnsi="Calibri" w:cs="Calibri"/>
          <w:sz w:val="22"/>
          <w:szCs w:val="22"/>
        </w:rPr>
        <w:t xml:space="preserve">Name: </w:t>
      </w:r>
      <w:r>
        <w:rPr>
          <w:rFonts w:ascii="Calibri" w:hAnsi="Calibri" w:cs="Calibri"/>
          <w:sz w:val="22"/>
          <w:szCs w:val="22"/>
        </w:rPr>
        <w:t>Jess Milne, Head of Early Years (Interim)</w:t>
      </w:r>
    </w:p>
    <w:p w14:paraId="11C2AA6E" w14:textId="3F10537D" w:rsidR="00DF7AB0" w:rsidRPr="00741395" w:rsidRDefault="00DF7AB0" w:rsidP="00F52702">
      <w:pPr>
        <w:jc w:val="both"/>
        <w:rPr>
          <w:rFonts w:ascii="Calibri" w:hAnsi="Calibri" w:cs="Calibri"/>
          <w:sz w:val="22"/>
          <w:szCs w:val="22"/>
        </w:rPr>
      </w:pPr>
      <w:r>
        <w:rPr>
          <w:rFonts w:ascii="Calibri" w:hAnsi="Calibri" w:cs="Calibri"/>
          <w:sz w:val="22"/>
          <w:szCs w:val="22"/>
        </w:rPr>
        <w:t>Telephone Number: 07759-118657</w:t>
      </w:r>
    </w:p>
    <w:p w14:paraId="741107FD" w14:textId="4FB0F650" w:rsidR="00DF7AB0" w:rsidRPr="00741395" w:rsidRDefault="00DF7AB0" w:rsidP="00F52702">
      <w:pPr>
        <w:jc w:val="both"/>
        <w:rPr>
          <w:rFonts w:ascii="Calibri" w:hAnsi="Calibri" w:cs="Calibri"/>
          <w:sz w:val="22"/>
          <w:szCs w:val="22"/>
        </w:rPr>
      </w:pPr>
      <w:r w:rsidRPr="00741395">
        <w:rPr>
          <w:rFonts w:ascii="Calibri" w:hAnsi="Calibri" w:cs="Calibri"/>
          <w:sz w:val="22"/>
          <w:szCs w:val="22"/>
        </w:rPr>
        <w:t xml:space="preserve">Email Address: </w:t>
      </w:r>
      <w:hyperlink r:id="rId8" w:history="1">
        <w:r w:rsidRPr="00FB1C2B">
          <w:rPr>
            <w:rStyle w:val="Hyperlink"/>
            <w:rFonts w:ascii="Calibri" w:hAnsi="Calibri" w:cs="Calibri"/>
            <w:sz w:val="22"/>
            <w:szCs w:val="22"/>
          </w:rPr>
          <w:t>jess.milne@towerhamlets.gov.uk</w:t>
        </w:r>
      </w:hyperlink>
      <w:r w:rsidRPr="00741395">
        <w:rPr>
          <w:rFonts w:ascii="Calibri" w:hAnsi="Calibri" w:cs="Calibri"/>
          <w:sz w:val="22"/>
          <w:szCs w:val="22"/>
        </w:rPr>
        <w:t xml:space="preserve"> </w:t>
      </w:r>
    </w:p>
    <w:p w14:paraId="69AA0306" w14:textId="77777777" w:rsidR="00DF7AB0" w:rsidRDefault="00DF7AB0" w:rsidP="00611DEE">
      <w:pPr>
        <w:ind w:left="720"/>
        <w:rPr>
          <w:rFonts w:ascii="Calibri" w:hAnsi="Calibri" w:cs="Calibri"/>
          <w:sz w:val="22"/>
          <w:szCs w:val="22"/>
        </w:rPr>
      </w:pPr>
    </w:p>
    <w:p w14:paraId="02EB4710" w14:textId="6451DFE3" w:rsidR="002F1379" w:rsidRDefault="002F1379" w:rsidP="00DF7AB0">
      <w:pPr>
        <w:rPr>
          <w:rFonts w:ascii="Calibri" w:hAnsi="Calibri" w:cs="Calibri"/>
          <w:sz w:val="22"/>
          <w:szCs w:val="22"/>
        </w:rPr>
      </w:pPr>
    </w:p>
    <w:p w14:paraId="3406EB0C" w14:textId="7F96550D" w:rsidR="00CA254B" w:rsidRDefault="00CA254B" w:rsidP="00DF7AB0">
      <w:pPr>
        <w:rPr>
          <w:rFonts w:ascii="Calibri" w:hAnsi="Calibri" w:cs="Calibri"/>
          <w:sz w:val="22"/>
          <w:szCs w:val="22"/>
        </w:rPr>
      </w:pPr>
    </w:p>
    <w:p w14:paraId="4549D679" w14:textId="04EF9805" w:rsidR="00CA254B" w:rsidRDefault="00CA254B" w:rsidP="00DF7AB0">
      <w:pPr>
        <w:rPr>
          <w:rFonts w:ascii="Calibri" w:hAnsi="Calibri" w:cs="Calibri"/>
          <w:sz w:val="22"/>
          <w:szCs w:val="22"/>
        </w:rPr>
      </w:pPr>
    </w:p>
    <w:p w14:paraId="4AEBC917" w14:textId="5E361952" w:rsidR="00CA254B" w:rsidRDefault="00CA254B" w:rsidP="00DF7AB0">
      <w:pPr>
        <w:rPr>
          <w:rFonts w:ascii="Calibri" w:hAnsi="Calibri" w:cs="Calibri"/>
          <w:sz w:val="22"/>
          <w:szCs w:val="22"/>
        </w:rPr>
      </w:pPr>
    </w:p>
    <w:p w14:paraId="17E9DED5" w14:textId="356C629C" w:rsidR="00CA254B" w:rsidRDefault="00CA254B" w:rsidP="00DF7AB0">
      <w:pPr>
        <w:rPr>
          <w:rFonts w:ascii="Calibri" w:hAnsi="Calibri" w:cs="Calibri"/>
          <w:sz w:val="22"/>
          <w:szCs w:val="22"/>
        </w:rPr>
      </w:pPr>
    </w:p>
    <w:p w14:paraId="1A0FC7A0" w14:textId="6D8605DF" w:rsidR="00B22D1B" w:rsidRDefault="00B22D1B" w:rsidP="00DF7AB0">
      <w:pPr>
        <w:rPr>
          <w:rFonts w:ascii="Calibri" w:hAnsi="Calibri" w:cs="Calibri"/>
          <w:sz w:val="22"/>
          <w:szCs w:val="22"/>
        </w:rPr>
      </w:pPr>
    </w:p>
    <w:p w14:paraId="0BD90226" w14:textId="77777777" w:rsidR="00B22D1B" w:rsidRPr="00B22D1B" w:rsidRDefault="00B22D1B" w:rsidP="00B22D1B">
      <w:pPr>
        <w:rPr>
          <w:rFonts w:ascii="Calibri" w:hAnsi="Calibri" w:cs="Calibri"/>
          <w:sz w:val="22"/>
          <w:szCs w:val="22"/>
        </w:rPr>
      </w:pPr>
    </w:p>
    <w:p w14:paraId="2D506273" w14:textId="77777777" w:rsidR="00B22D1B" w:rsidRPr="00B22D1B" w:rsidRDefault="00B22D1B" w:rsidP="00B22D1B">
      <w:pPr>
        <w:rPr>
          <w:rFonts w:ascii="Calibri" w:hAnsi="Calibri" w:cs="Calibri"/>
          <w:sz w:val="22"/>
          <w:szCs w:val="22"/>
        </w:rPr>
      </w:pPr>
    </w:p>
    <w:p w14:paraId="76A15253" w14:textId="77777777" w:rsidR="00B22D1B" w:rsidRPr="00B22D1B" w:rsidRDefault="00B22D1B" w:rsidP="00B22D1B">
      <w:pPr>
        <w:rPr>
          <w:rFonts w:ascii="Calibri" w:hAnsi="Calibri" w:cs="Calibri"/>
          <w:sz w:val="22"/>
          <w:szCs w:val="22"/>
        </w:rPr>
      </w:pPr>
    </w:p>
    <w:p w14:paraId="2756795B" w14:textId="77777777" w:rsidR="00B22D1B" w:rsidRPr="00B22D1B" w:rsidRDefault="00B22D1B" w:rsidP="00B22D1B">
      <w:pPr>
        <w:rPr>
          <w:rFonts w:ascii="Calibri" w:hAnsi="Calibri" w:cs="Calibri"/>
          <w:sz w:val="22"/>
          <w:szCs w:val="22"/>
        </w:rPr>
      </w:pPr>
    </w:p>
    <w:p w14:paraId="636D765B" w14:textId="77777777" w:rsidR="00B22D1B" w:rsidRPr="00B22D1B" w:rsidRDefault="00B22D1B" w:rsidP="00B22D1B">
      <w:pPr>
        <w:rPr>
          <w:rFonts w:ascii="Calibri" w:hAnsi="Calibri" w:cs="Calibri"/>
          <w:sz w:val="22"/>
          <w:szCs w:val="22"/>
        </w:rPr>
      </w:pPr>
    </w:p>
    <w:p w14:paraId="4DD2D4E4" w14:textId="77777777" w:rsidR="00B22D1B" w:rsidRPr="00B22D1B" w:rsidRDefault="00B22D1B" w:rsidP="00B22D1B">
      <w:pPr>
        <w:rPr>
          <w:rFonts w:ascii="Calibri" w:hAnsi="Calibri" w:cs="Calibri"/>
          <w:sz w:val="22"/>
          <w:szCs w:val="22"/>
        </w:rPr>
      </w:pPr>
    </w:p>
    <w:p w14:paraId="614CEBE6" w14:textId="77777777" w:rsidR="00B22D1B" w:rsidRPr="00B22D1B" w:rsidRDefault="00B22D1B" w:rsidP="00B22D1B">
      <w:pPr>
        <w:rPr>
          <w:rFonts w:ascii="Calibri" w:hAnsi="Calibri" w:cs="Calibri"/>
          <w:sz w:val="22"/>
          <w:szCs w:val="22"/>
        </w:rPr>
      </w:pPr>
    </w:p>
    <w:p w14:paraId="055E228E" w14:textId="77777777" w:rsidR="00B22D1B" w:rsidRPr="00B22D1B" w:rsidRDefault="00B22D1B" w:rsidP="00B22D1B">
      <w:pPr>
        <w:rPr>
          <w:rFonts w:ascii="Calibri" w:hAnsi="Calibri" w:cs="Calibri"/>
          <w:sz w:val="22"/>
          <w:szCs w:val="22"/>
        </w:rPr>
      </w:pPr>
    </w:p>
    <w:p w14:paraId="1874F86A" w14:textId="77777777" w:rsidR="00B22D1B" w:rsidRPr="00B22D1B" w:rsidRDefault="00B22D1B" w:rsidP="00B22D1B">
      <w:pPr>
        <w:rPr>
          <w:rFonts w:ascii="Calibri" w:hAnsi="Calibri" w:cs="Calibri"/>
          <w:sz w:val="22"/>
          <w:szCs w:val="22"/>
        </w:rPr>
      </w:pPr>
    </w:p>
    <w:p w14:paraId="4BA11733" w14:textId="77777777" w:rsidR="00B22D1B" w:rsidRPr="00B22D1B" w:rsidRDefault="00B22D1B" w:rsidP="00B22D1B">
      <w:pPr>
        <w:rPr>
          <w:rFonts w:ascii="Calibri" w:hAnsi="Calibri" w:cs="Calibri"/>
          <w:sz w:val="22"/>
          <w:szCs w:val="22"/>
        </w:rPr>
      </w:pPr>
    </w:p>
    <w:p w14:paraId="73F3459D" w14:textId="77777777" w:rsidR="00B22D1B" w:rsidRPr="00B22D1B" w:rsidRDefault="00B22D1B" w:rsidP="00B22D1B">
      <w:pPr>
        <w:rPr>
          <w:rFonts w:ascii="Calibri" w:hAnsi="Calibri" w:cs="Calibri"/>
          <w:sz w:val="22"/>
          <w:szCs w:val="22"/>
        </w:rPr>
      </w:pPr>
    </w:p>
    <w:p w14:paraId="7E4C5C76" w14:textId="77777777" w:rsidR="00B22D1B" w:rsidRPr="00B22D1B" w:rsidRDefault="00B22D1B" w:rsidP="00B22D1B">
      <w:pPr>
        <w:rPr>
          <w:rFonts w:ascii="Calibri" w:hAnsi="Calibri" w:cs="Calibri"/>
          <w:sz w:val="22"/>
          <w:szCs w:val="22"/>
        </w:rPr>
      </w:pPr>
    </w:p>
    <w:p w14:paraId="30267DD6" w14:textId="77777777" w:rsidR="00B22D1B" w:rsidRPr="00B22D1B" w:rsidRDefault="00B22D1B" w:rsidP="00B22D1B">
      <w:pPr>
        <w:rPr>
          <w:rFonts w:ascii="Calibri" w:hAnsi="Calibri" w:cs="Calibri"/>
          <w:sz w:val="22"/>
          <w:szCs w:val="22"/>
        </w:rPr>
      </w:pPr>
    </w:p>
    <w:p w14:paraId="21254650" w14:textId="77777777" w:rsidR="00B22D1B" w:rsidRPr="00B22D1B" w:rsidRDefault="00B22D1B" w:rsidP="00B22D1B">
      <w:pPr>
        <w:rPr>
          <w:rFonts w:ascii="Calibri" w:hAnsi="Calibri" w:cs="Calibri"/>
          <w:sz w:val="22"/>
          <w:szCs w:val="22"/>
        </w:rPr>
      </w:pPr>
    </w:p>
    <w:p w14:paraId="62ACBFFC" w14:textId="77777777" w:rsidR="00B22D1B" w:rsidRPr="00B22D1B" w:rsidRDefault="00B22D1B" w:rsidP="00B22D1B">
      <w:pPr>
        <w:rPr>
          <w:rFonts w:ascii="Calibri" w:hAnsi="Calibri" w:cs="Calibri"/>
          <w:sz w:val="22"/>
          <w:szCs w:val="22"/>
        </w:rPr>
      </w:pPr>
    </w:p>
    <w:p w14:paraId="0454BD6D" w14:textId="77777777" w:rsidR="00B22D1B" w:rsidRPr="00B22D1B" w:rsidRDefault="00B22D1B" w:rsidP="00B22D1B">
      <w:pPr>
        <w:rPr>
          <w:rFonts w:ascii="Calibri" w:hAnsi="Calibri" w:cs="Calibri"/>
          <w:sz w:val="22"/>
          <w:szCs w:val="22"/>
        </w:rPr>
      </w:pPr>
    </w:p>
    <w:p w14:paraId="3A26558E" w14:textId="77777777" w:rsidR="00B22D1B" w:rsidRPr="00B22D1B" w:rsidRDefault="00B22D1B" w:rsidP="00B22D1B">
      <w:pPr>
        <w:rPr>
          <w:rFonts w:ascii="Calibri" w:hAnsi="Calibri" w:cs="Calibri"/>
          <w:sz w:val="22"/>
          <w:szCs w:val="22"/>
        </w:rPr>
      </w:pPr>
    </w:p>
    <w:p w14:paraId="63B3AA44" w14:textId="77777777" w:rsidR="00B22D1B" w:rsidRPr="00B22D1B" w:rsidRDefault="00B22D1B" w:rsidP="00B22D1B">
      <w:pPr>
        <w:rPr>
          <w:rFonts w:ascii="Calibri" w:hAnsi="Calibri" w:cs="Calibri"/>
          <w:sz w:val="22"/>
          <w:szCs w:val="22"/>
        </w:rPr>
      </w:pPr>
    </w:p>
    <w:p w14:paraId="20CDFF53" w14:textId="77777777" w:rsidR="00B22D1B" w:rsidRPr="00B22D1B" w:rsidRDefault="00B22D1B" w:rsidP="00B22D1B">
      <w:pPr>
        <w:rPr>
          <w:rFonts w:ascii="Calibri" w:hAnsi="Calibri" w:cs="Calibri"/>
          <w:sz w:val="22"/>
          <w:szCs w:val="22"/>
        </w:rPr>
      </w:pPr>
    </w:p>
    <w:p w14:paraId="4A10B6C7" w14:textId="77777777" w:rsidR="00B22D1B" w:rsidRPr="00B22D1B" w:rsidRDefault="00B22D1B" w:rsidP="00B22D1B">
      <w:pPr>
        <w:rPr>
          <w:rFonts w:ascii="Calibri" w:hAnsi="Calibri" w:cs="Calibri"/>
          <w:sz w:val="22"/>
          <w:szCs w:val="22"/>
        </w:rPr>
      </w:pPr>
    </w:p>
    <w:p w14:paraId="145E25A2" w14:textId="77777777" w:rsidR="00B22D1B" w:rsidRPr="00B22D1B" w:rsidRDefault="00B22D1B" w:rsidP="00B22D1B">
      <w:pPr>
        <w:rPr>
          <w:rFonts w:ascii="Calibri" w:hAnsi="Calibri" w:cs="Calibri"/>
          <w:sz w:val="22"/>
          <w:szCs w:val="22"/>
        </w:rPr>
      </w:pPr>
    </w:p>
    <w:p w14:paraId="105BB61F" w14:textId="77777777" w:rsidR="00B22D1B" w:rsidRPr="00B22D1B" w:rsidRDefault="00B22D1B" w:rsidP="00B22D1B">
      <w:pPr>
        <w:rPr>
          <w:rFonts w:ascii="Calibri" w:hAnsi="Calibri" w:cs="Calibri"/>
          <w:sz w:val="22"/>
          <w:szCs w:val="22"/>
        </w:rPr>
      </w:pPr>
    </w:p>
    <w:p w14:paraId="59D20EBF" w14:textId="77777777" w:rsidR="00B22D1B" w:rsidRPr="00B22D1B" w:rsidRDefault="00B22D1B" w:rsidP="00B22D1B">
      <w:pPr>
        <w:rPr>
          <w:rFonts w:ascii="Calibri" w:hAnsi="Calibri" w:cs="Calibri"/>
          <w:sz w:val="22"/>
          <w:szCs w:val="22"/>
        </w:rPr>
      </w:pPr>
    </w:p>
    <w:p w14:paraId="499C3745" w14:textId="18908694" w:rsidR="00B22D1B" w:rsidRDefault="00B22D1B" w:rsidP="00B22D1B">
      <w:pPr>
        <w:rPr>
          <w:rFonts w:ascii="Calibri" w:hAnsi="Calibri" w:cs="Calibri"/>
          <w:sz w:val="22"/>
          <w:szCs w:val="22"/>
        </w:rPr>
      </w:pPr>
    </w:p>
    <w:p w14:paraId="7B8796F5" w14:textId="0D2E5E14" w:rsidR="00CA254B" w:rsidRDefault="00B22D1B" w:rsidP="00B22D1B">
      <w:pPr>
        <w:tabs>
          <w:tab w:val="left" w:pos="1404"/>
        </w:tabs>
        <w:rPr>
          <w:rFonts w:ascii="Calibri" w:hAnsi="Calibri" w:cs="Calibri"/>
          <w:sz w:val="22"/>
          <w:szCs w:val="22"/>
        </w:rPr>
      </w:pPr>
      <w:r>
        <w:rPr>
          <w:rFonts w:ascii="Calibri" w:hAnsi="Calibri" w:cs="Calibri"/>
          <w:sz w:val="22"/>
          <w:szCs w:val="22"/>
        </w:rPr>
        <w:tab/>
      </w:r>
    </w:p>
    <w:p w14:paraId="46DBEFE5" w14:textId="3E682AEA" w:rsidR="00B22D1B" w:rsidRDefault="00B22D1B" w:rsidP="00B22D1B">
      <w:pPr>
        <w:tabs>
          <w:tab w:val="left" w:pos="1404"/>
        </w:tabs>
        <w:rPr>
          <w:rFonts w:ascii="Calibri" w:hAnsi="Calibri" w:cs="Calibri"/>
          <w:sz w:val="22"/>
          <w:szCs w:val="22"/>
        </w:rPr>
      </w:pPr>
    </w:p>
    <w:p w14:paraId="3D432E7F" w14:textId="6924F95D" w:rsidR="00B22D1B" w:rsidRDefault="00B22D1B" w:rsidP="00B22D1B">
      <w:pPr>
        <w:tabs>
          <w:tab w:val="left" w:pos="1404"/>
        </w:tabs>
        <w:rPr>
          <w:rFonts w:ascii="Calibri" w:hAnsi="Calibri" w:cs="Calibri"/>
          <w:sz w:val="22"/>
          <w:szCs w:val="22"/>
        </w:rPr>
      </w:pPr>
    </w:p>
    <w:p w14:paraId="2226A0A1" w14:textId="77777777" w:rsidR="00B22D1B" w:rsidRPr="00B22D1B" w:rsidRDefault="00B22D1B" w:rsidP="00B22D1B">
      <w:pPr>
        <w:rPr>
          <w:rFonts w:ascii="Calibri" w:hAnsi="Calibri" w:cs="Calibri"/>
          <w:sz w:val="22"/>
          <w:szCs w:val="22"/>
        </w:rPr>
      </w:pPr>
    </w:p>
    <w:p w14:paraId="25A561E4" w14:textId="77777777" w:rsidR="00B22D1B" w:rsidRPr="00B22D1B" w:rsidRDefault="00B22D1B" w:rsidP="00B22D1B">
      <w:pPr>
        <w:rPr>
          <w:rFonts w:ascii="Calibri" w:hAnsi="Calibri" w:cs="Calibri"/>
          <w:sz w:val="22"/>
          <w:szCs w:val="22"/>
        </w:rPr>
      </w:pPr>
    </w:p>
    <w:p w14:paraId="4A7F4405" w14:textId="5573804B" w:rsidR="00B22D1B" w:rsidRDefault="00B22D1B" w:rsidP="00B22D1B">
      <w:pPr>
        <w:rPr>
          <w:rFonts w:ascii="Calibri" w:hAnsi="Calibri" w:cs="Calibri"/>
          <w:sz w:val="22"/>
          <w:szCs w:val="22"/>
        </w:rPr>
      </w:pPr>
    </w:p>
    <w:p w14:paraId="2A62CE2B" w14:textId="77777777" w:rsidR="00B22D1B" w:rsidRDefault="00B22D1B" w:rsidP="00B22D1B">
      <w:pPr>
        <w:rPr>
          <w:rFonts w:ascii="Calibri" w:hAnsi="Calibri" w:cs="Calibri"/>
          <w:sz w:val="22"/>
          <w:szCs w:val="22"/>
        </w:rPr>
        <w:sectPr w:rsidR="00B22D1B" w:rsidSect="00675910">
          <w:headerReference w:type="default" r:id="rId9"/>
          <w:footerReference w:type="default" r:id="rId10"/>
          <w:pgSz w:w="11906" w:h="16838" w:code="9"/>
          <w:pgMar w:top="1503" w:right="1418" w:bottom="1440" w:left="1418" w:header="709" w:footer="709" w:gutter="0"/>
          <w:cols w:space="708"/>
          <w:docGrid w:linePitch="360"/>
        </w:sectPr>
      </w:pPr>
    </w:p>
    <w:p w14:paraId="4E123107" w14:textId="1F3FE037" w:rsidR="00B22D1B" w:rsidRDefault="00B22D1B" w:rsidP="00B22D1B">
      <w:pPr>
        <w:rPr>
          <w:rFonts w:ascii="Calibri" w:hAnsi="Calibri" w:cs="Calibri"/>
          <w:b/>
          <w:sz w:val="22"/>
          <w:szCs w:val="22"/>
        </w:rPr>
      </w:pPr>
      <w:r w:rsidRPr="00661932">
        <w:rPr>
          <w:rFonts w:ascii="Calibri" w:hAnsi="Calibri" w:cs="Calibri"/>
          <w:b/>
          <w:sz w:val="22"/>
          <w:szCs w:val="22"/>
        </w:rPr>
        <w:lastRenderedPageBreak/>
        <w:t>Appendix 1</w:t>
      </w:r>
    </w:p>
    <w:p w14:paraId="70896828" w14:textId="77777777" w:rsidR="002D78AF" w:rsidRPr="00661932" w:rsidRDefault="002D78AF" w:rsidP="00B22D1B">
      <w:pPr>
        <w:rPr>
          <w:rFonts w:ascii="Calibri" w:hAnsi="Calibri" w:cs="Calibri"/>
          <w:b/>
          <w:sz w:val="22"/>
          <w:szCs w:val="22"/>
        </w:rPr>
      </w:pPr>
    </w:p>
    <w:p w14:paraId="24DBC721" w14:textId="76BC7A81" w:rsidR="00B22D1B" w:rsidRDefault="00B22D1B" w:rsidP="00B22D1B">
      <w:pPr>
        <w:rPr>
          <w:rFonts w:ascii="Calibri" w:hAnsi="Calibri" w:cs="Calibri"/>
          <w:sz w:val="22"/>
          <w:szCs w:val="22"/>
        </w:rPr>
      </w:pPr>
    </w:p>
    <w:p w14:paraId="37B4ABDD" w14:textId="55F36840" w:rsidR="00B22D1B" w:rsidRDefault="00B22D1B" w:rsidP="00B22D1B">
      <w:pPr>
        <w:rPr>
          <w:rFonts w:ascii="Calibri" w:hAnsi="Calibri" w:cs="Calibri"/>
          <w:sz w:val="22"/>
          <w:szCs w:val="22"/>
        </w:rPr>
      </w:pPr>
    </w:p>
    <w:p w14:paraId="75F35230" w14:textId="113DCB97" w:rsidR="00DE5FC1" w:rsidRDefault="00DE5FC1" w:rsidP="00B22D1B">
      <w:pPr>
        <w:rPr>
          <w:rFonts w:ascii="Calibri" w:hAnsi="Calibri" w:cs="Calibri"/>
          <w:sz w:val="22"/>
          <w:szCs w:val="22"/>
        </w:rPr>
      </w:pPr>
    </w:p>
    <w:p w14:paraId="0AB8228C" w14:textId="3EEDA37A" w:rsidR="00DE5FC1" w:rsidRDefault="00DE5FC1" w:rsidP="00B22D1B">
      <w:pPr>
        <w:rPr>
          <w:rFonts w:ascii="Calibri" w:hAnsi="Calibri" w:cs="Calibri"/>
          <w:sz w:val="22"/>
          <w:szCs w:val="22"/>
        </w:rPr>
      </w:pPr>
    </w:p>
    <w:p w14:paraId="3DA564B3" w14:textId="1CC340A1" w:rsidR="00DE5FC1" w:rsidRDefault="00DE5FC1" w:rsidP="00B22D1B">
      <w:pPr>
        <w:rPr>
          <w:rFonts w:ascii="Calibri" w:hAnsi="Calibri" w:cs="Calibri"/>
          <w:sz w:val="22"/>
          <w:szCs w:val="22"/>
        </w:rPr>
      </w:pPr>
    </w:p>
    <w:p w14:paraId="10D4B168" w14:textId="5A8FEA38" w:rsidR="00F52702" w:rsidRPr="002D78AF" w:rsidRDefault="00F52702" w:rsidP="002D78AF">
      <w:pPr>
        <w:rPr>
          <w:rFonts w:ascii="Calibri" w:hAnsi="Calibri" w:cs="Calibri"/>
          <w:sz w:val="22"/>
          <w:szCs w:val="22"/>
        </w:rPr>
      </w:pPr>
    </w:p>
    <w:sectPr w:rsidR="00F52702" w:rsidRPr="002D78AF" w:rsidSect="00B22D1B">
      <w:pgSz w:w="16838" w:h="11906" w:orient="landscape" w:code="9"/>
      <w:pgMar w:top="1418" w:right="1440" w:bottom="1418" w:left="150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8DF15" w14:textId="77777777" w:rsidR="00FC3702" w:rsidRDefault="00FC3702">
      <w:r>
        <w:separator/>
      </w:r>
    </w:p>
  </w:endnote>
  <w:endnote w:type="continuationSeparator" w:id="0">
    <w:p w14:paraId="428BDF52" w14:textId="77777777" w:rsidR="00FC3702" w:rsidRDefault="00FC3702">
      <w:r>
        <w:continuationSeparator/>
      </w:r>
    </w:p>
  </w:endnote>
  <w:endnote w:type="continuationNotice" w:id="1">
    <w:p w14:paraId="12BFC23C" w14:textId="77777777" w:rsidR="00FC3702" w:rsidRDefault="00FC37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03222" w14:textId="1CFF311F" w:rsidR="00DE5FC1" w:rsidRDefault="00DE5FC1">
    <w:pPr>
      <w:pStyle w:val="Footer"/>
      <w:jc w:val="center"/>
      <w:rPr>
        <w:b/>
      </w:rPr>
    </w:pPr>
    <w:r>
      <w:rPr>
        <w:rStyle w:val="PageNumber"/>
        <w:b/>
      </w:rPr>
      <w:fldChar w:fldCharType="begin"/>
    </w:r>
    <w:r>
      <w:rPr>
        <w:rStyle w:val="PageNumber"/>
        <w:b/>
      </w:rPr>
      <w:instrText xml:space="preserve"> PAGE </w:instrText>
    </w:r>
    <w:r>
      <w:rPr>
        <w:rStyle w:val="PageNumber"/>
        <w:b/>
      </w:rPr>
      <w:fldChar w:fldCharType="separate"/>
    </w:r>
    <w:r w:rsidR="00090146">
      <w:rPr>
        <w:rStyle w:val="PageNumber"/>
        <w:b/>
        <w:noProof/>
      </w:rPr>
      <w:t>3</w:t>
    </w:r>
    <w:r>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CE832" w14:textId="77777777" w:rsidR="00FC3702" w:rsidRDefault="00FC3702">
      <w:r>
        <w:separator/>
      </w:r>
    </w:p>
  </w:footnote>
  <w:footnote w:type="continuationSeparator" w:id="0">
    <w:p w14:paraId="0BC095A4" w14:textId="77777777" w:rsidR="00FC3702" w:rsidRDefault="00FC3702">
      <w:r>
        <w:continuationSeparator/>
      </w:r>
    </w:p>
  </w:footnote>
  <w:footnote w:type="continuationNotice" w:id="1">
    <w:p w14:paraId="131795BC" w14:textId="77777777" w:rsidR="00FC3702" w:rsidRDefault="00FC37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0C5A" w14:textId="60939E17" w:rsidR="00DE5FC1" w:rsidRDefault="00DE5FC1">
    <w:pPr>
      <w:pStyle w:val="Header"/>
    </w:pPr>
    <w:r w:rsidRPr="00ED7730">
      <w:ptab w:relativeTo="margin" w:alignment="center" w:leader="none"/>
    </w:r>
    <w:r>
      <w:t>Schools Forum – 12 January 2021</w:t>
    </w:r>
  </w:p>
  <w:p w14:paraId="5E5F9C21" w14:textId="77777777" w:rsidR="00DE5FC1" w:rsidRDefault="00DE5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5B4"/>
    <w:multiLevelType w:val="hybridMultilevel"/>
    <w:tmpl w:val="F494905C"/>
    <w:lvl w:ilvl="0" w:tplc="08090001">
      <w:start w:val="1"/>
      <w:numFmt w:val="bullet"/>
      <w:lvlText w:val=""/>
      <w:lvlJc w:val="left"/>
      <w:pPr>
        <w:ind w:left="8025" w:hanging="360"/>
      </w:pPr>
      <w:rPr>
        <w:rFonts w:ascii="Symbol" w:hAnsi="Symbol" w:hint="default"/>
      </w:rPr>
    </w:lvl>
    <w:lvl w:ilvl="1" w:tplc="08090003">
      <w:start w:val="1"/>
      <w:numFmt w:val="bullet"/>
      <w:lvlText w:val="o"/>
      <w:lvlJc w:val="left"/>
      <w:pPr>
        <w:ind w:left="8745" w:hanging="360"/>
      </w:pPr>
      <w:rPr>
        <w:rFonts w:ascii="Courier New" w:hAnsi="Courier New" w:cs="Courier New" w:hint="default"/>
      </w:rPr>
    </w:lvl>
    <w:lvl w:ilvl="2" w:tplc="08090005">
      <w:start w:val="1"/>
      <w:numFmt w:val="bullet"/>
      <w:lvlText w:val=""/>
      <w:lvlJc w:val="left"/>
      <w:pPr>
        <w:ind w:left="9465" w:hanging="360"/>
      </w:pPr>
      <w:rPr>
        <w:rFonts w:ascii="Wingdings" w:hAnsi="Wingdings" w:hint="default"/>
      </w:rPr>
    </w:lvl>
    <w:lvl w:ilvl="3" w:tplc="08090001">
      <w:start w:val="1"/>
      <w:numFmt w:val="bullet"/>
      <w:lvlText w:val=""/>
      <w:lvlJc w:val="left"/>
      <w:pPr>
        <w:ind w:left="10185" w:hanging="360"/>
      </w:pPr>
      <w:rPr>
        <w:rFonts w:ascii="Symbol" w:hAnsi="Symbol" w:hint="default"/>
      </w:rPr>
    </w:lvl>
    <w:lvl w:ilvl="4" w:tplc="08090003">
      <w:start w:val="1"/>
      <w:numFmt w:val="bullet"/>
      <w:lvlText w:val="o"/>
      <w:lvlJc w:val="left"/>
      <w:pPr>
        <w:ind w:left="10905" w:hanging="360"/>
      </w:pPr>
      <w:rPr>
        <w:rFonts w:ascii="Courier New" w:hAnsi="Courier New" w:cs="Courier New" w:hint="default"/>
      </w:rPr>
    </w:lvl>
    <w:lvl w:ilvl="5" w:tplc="08090005">
      <w:start w:val="1"/>
      <w:numFmt w:val="bullet"/>
      <w:lvlText w:val=""/>
      <w:lvlJc w:val="left"/>
      <w:pPr>
        <w:ind w:left="11625" w:hanging="360"/>
      </w:pPr>
      <w:rPr>
        <w:rFonts w:ascii="Wingdings" w:hAnsi="Wingdings" w:hint="default"/>
      </w:rPr>
    </w:lvl>
    <w:lvl w:ilvl="6" w:tplc="08090001">
      <w:start w:val="1"/>
      <w:numFmt w:val="bullet"/>
      <w:lvlText w:val=""/>
      <w:lvlJc w:val="left"/>
      <w:pPr>
        <w:ind w:left="12345" w:hanging="360"/>
      </w:pPr>
      <w:rPr>
        <w:rFonts w:ascii="Symbol" w:hAnsi="Symbol" w:hint="default"/>
      </w:rPr>
    </w:lvl>
    <w:lvl w:ilvl="7" w:tplc="08090003">
      <w:start w:val="1"/>
      <w:numFmt w:val="bullet"/>
      <w:lvlText w:val="o"/>
      <w:lvlJc w:val="left"/>
      <w:pPr>
        <w:ind w:left="13065" w:hanging="360"/>
      </w:pPr>
      <w:rPr>
        <w:rFonts w:ascii="Courier New" w:hAnsi="Courier New" w:cs="Courier New" w:hint="default"/>
      </w:rPr>
    </w:lvl>
    <w:lvl w:ilvl="8" w:tplc="08090005">
      <w:start w:val="1"/>
      <w:numFmt w:val="bullet"/>
      <w:lvlText w:val=""/>
      <w:lvlJc w:val="left"/>
      <w:pPr>
        <w:ind w:left="13785" w:hanging="360"/>
      </w:pPr>
      <w:rPr>
        <w:rFonts w:ascii="Wingdings" w:hAnsi="Wingdings" w:hint="default"/>
      </w:rPr>
    </w:lvl>
  </w:abstractNum>
  <w:abstractNum w:abstractNumId="1" w15:restartNumberingAfterBreak="0">
    <w:nsid w:val="08322164"/>
    <w:multiLevelType w:val="hybridMultilevel"/>
    <w:tmpl w:val="28EEA05A"/>
    <w:lvl w:ilvl="0" w:tplc="BE240FA8">
      <w:start w:val="1"/>
      <w:numFmt w:val="decimal"/>
      <w:lvlText w:val="%1."/>
      <w:lvlJc w:val="left"/>
      <w:pPr>
        <w:ind w:left="788" w:hanging="360"/>
      </w:pPr>
      <w:rPr>
        <w:b w:val="0"/>
      </w:rPr>
    </w:lvl>
    <w:lvl w:ilvl="1" w:tplc="282A3826">
      <w:start w:val="1"/>
      <w:numFmt w:val="lowerLetter"/>
      <w:lvlText w:val="%2."/>
      <w:lvlJc w:val="left"/>
      <w:pPr>
        <w:ind w:left="1508" w:hanging="360"/>
      </w:pPr>
      <w:rPr>
        <w:b w:val="0"/>
      </w:r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2" w15:restartNumberingAfterBreak="0">
    <w:nsid w:val="0841575B"/>
    <w:multiLevelType w:val="hybridMultilevel"/>
    <w:tmpl w:val="EDDCB4A8"/>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3" w15:restartNumberingAfterBreak="0">
    <w:nsid w:val="0B672EA2"/>
    <w:multiLevelType w:val="hybridMultilevel"/>
    <w:tmpl w:val="51303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AB4BCC"/>
    <w:multiLevelType w:val="hybridMultilevel"/>
    <w:tmpl w:val="0C14AE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741E6"/>
    <w:multiLevelType w:val="multilevel"/>
    <w:tmpl w:val="19A8AED2"/>
    <w:lvl w:ilvl="0">
      <w:start w:val="1"/>
      <w:numFmt w:val="decimal"/>
      <w:lvlText w:val="%1."/>
      <w:lvlJc w:val="left"/>
      <w:pPr>
        <w:ind w:left="720" w:hanging="360"/>
      </w:pPr>
    </w:lvl>
    <w:lvl w:ilvl="1">
      <w:start w:val="1"/>
      <w:numFmt w:val="decimal"/>
      <w:isLgl/>
      <w:lvlText w:val="%1.%2"/>
      <w:lvlJc w:val="left"/>
      <w:pPr>
        <w:ind w:left="765" w:hanging="40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BF2FCC"/>
    <w:multiLevelType w:val="hybridMultilevel"/>
    <w:tmpl w:val="F32EABBA"/>
    <w:lvl w:ilvl="0" w:tplc="A5F0580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0C1E4B"/>
    <w:multiLevelType w:val="hybridMultilevel"/>
    <w:tmpl w:val="95D6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214B6FA6"/>
    <w:multiLevelType w:val="hybridMultilevel"/>
    <w:tmpl w:val="1BA03E02"/>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52B2489"/>
    <w:multiLevelType w:val="hybridMultilevel"/>
    <w:tmpl w:val="A3466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693229"/>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77739A"/>
    <w:multiLevelType w:val="hybridMultilevel"/>
    <w:tmpl w:val="4120F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0E1C25"/>
    <w:multiLevelType w:val="hybridMultilevel"/>
    <w:tmpl w:val="ADB47C2C"/>
    <w:lvl w:ilvl="0" w:tplc="260E64CA">
      <w:start w:val="1"/>
      <w:numFmt w:val="bullet"/>
      <w:lvlText w:val=""/>
      <w:lvlJc w:val="left"/>
      <w:pPr>
        <w:ind w:left="360" w:hanging="360"/>
      </w:pPr>
      <w:rPr>
        <w:rFonts w:ascii="Symbol" w:hAnsi="Symbol" w:hint="default"/>
        <w:color w:val="auto"/>
      </w:rPr>
    </w:lvl>
    <w:lvl w:ilvl="1" w:tplc="1A463746">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33B9C"/>
    <w:multiLevelType w:val="hybridMultilevel"/>
    <w:tmpl w:val="6FAA2C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364360"/>
    <w:multiLevelType w:val="hybridMultilevel"/>
    <w:tmpl w:val="FF783F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011F70"/>
    <w:multiLevelType w:val="multilevel"/>
    <w:tmpl w:val="403ED94C"/>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3D617FA8"/>
    <w:multiLevelType w:val="hybridMultilevel"/>
    <w:tmpl w:val="92122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3935BA"/>
    <w:multiLevelType w:val="hybridMultilevel"/>
    <w:tmpl w:val="C786144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9" w15:restartNumberingAfterBreak="0">
    <w:nsid w:val="4016531D"/>
    <w:multiLevelType w:val="hybridMultilevel"/>
    <w:tmpl w:val="85081AD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0" w15:restartNumberingAfterBreak="0">
    <w:nsid w:val="44856CBD"/>
    <w:multiLevelType w:val="hybridMultilevel"/>
    <w:tmpl w:val="B84CBA7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BD687D"/>
    <w:multiLevelType w:val="hybridMultilevel"/>
    <w:tmpl w:val="7E8095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B8038F4"/>
    <w:multiLevelType w:val="multilevel"/>
    <w:tmpl w:val="45E4B6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0562EC7"/>
    <w:multiLevelType w:val="hybridMultilevel"/>
    <w:tmpl w:val="A23E9816"/>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24" w15:restartNumberingAfterBreak="0">
    <w:nsid w:val="582F528A"/>
    <w:multiLevelType w:val="hybridMultilevel"/>
    <w:tmpl w:val="A19098D4"/>
    <w:lvl w:ilvl="0" w:tplc="08090019">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5" w15:restartNumberingAfterBreak="0">
    <w:nsid w:val="5BAF00D1"/>
    <w:multiLevelType w:val="multilevel"/>
    <w:tmpl w:val="19A8AED2"/>
    <w:lvl w:ilvl="0">
      <w:start w:val="1"/>
      <w:numFmt w:val="decimal"/>
      <w:lvlText w:val="%1."/>
      <w:lvlJc w:val="left"/>
      <w:pPr>
        <w:ind w:left="720" w:hanging="360"/>
      </w:pPr>
    </w:lvl>
    <w:lvl w:ilvl="1">
      <w:start w:val="1"/>
      <w:numFmt w:val="decimal"/>
      <w:isLgl/>
      <w:lvlText w:val="%1.%2"/>
      <w:lvlJc w:val="left"/>
      <w:pPr>
        <w:ind w:left="765" w:hanging="40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19734AB"/>
    <w:multiLevelType w:val="hybridMultilevel"/>
    <w:tmpl w:val="672A2176"/>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7" w15:restartNumberingAfterBreak="0">
    <w:nsid w:val="63770FD1"/>
    <w:multiLevelType w:val="hybridMultilevel"/>
    <w:tmpl w:val="F2AC388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EF55AC"/>
    <w:multiLevelType w:val="hybridMultilevel"/>
    <w:tmpl w:val="CF825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EF033C6"/>
    <w:multiLevelType w:val="hybridMultilevel"/>
    <w:tmpl w:val="8ED0301C"/>
    <w:lvl w:ilvl="0" w:tplc="285A59A6">
      <w:start w:val="1"/>
      <w:numFmt w:val="bullet"/>
      <w:lvlText w:val=""/>
      <w:lvlJc w:val="left"/>
      <w:pPr>
        <w:ind w:left="720" w:hanging="360"/>
      </w:pPr>
      <w:rPr>
        <w:rFonts w:ascii="Symbol" w:hAnsi="Symbol" w:hint="default"/>
        <w:color w:val="95B3D7" w:themeColor="accent1"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63770C"/>
    <w:multiLevelType w:val="hybridMultilevel"/>
    <w:tmpl w:val="24F634B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723D5E25"/>
    <w:multiLevelType w:val="multilevel"/>
    <w:tmpl w:val="D77A1F46"/>
    <w:lvl w:ilvl="0">
      <w:start w:val="1"/>
      <w:numFmt w:val="decimal"/>
      <w:lvlText w:val="%1"/>
      <w:lvlJc w:val="left"/>
      <w:pPr>
        <w:ind w:left="720" w:hanging="72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2" w15:restartNumberingAfterBreak="0">
    <w:nsid w:val="7B082655"/>
    <w:multiLevelType w:val="hybridMultilevel"/>
    <w:tmpl w:val="A636026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3" w15:restartNumberingAfterBreak="0">
    <w:nsid w:val="7B4B4F27"/>
    <w:multiLevelType w:val="hybridMultilevel"/>
    <w:tmpl w:val="B582EA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516B4C"/>
    <w:multiLevelType w:val="hybridMultilevel"/>
    <w:tmpl w:val="FF783F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AD2CFC"/>
    <w:multiLevelType w:val="multilevel"/>
    <w:tmpl w:val="637CFC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
  </w:num>
  <w:num w:numId="3">
    <w:abstractNumId w:val="25"/>
  </w:num>
  <w:num w:numId="4">
    <w:abstractNumId w:val="35"/>
  </w:num>
  <w:num w:numId="5">
    <w:abstractNumId w:val="24"/>
  </w:num>
  <w:num w:numId="6">
    <w:abstractNumId w:val="6"/>
  </w:num>
  <w:num w:numId="7">
    <w:abstractNumId w:val="11"/>
  </w:num>
  <w:num w:numId="8">
    <w:abstractNumId w:val="13"/>
  </w:num>
  <w:num w:numId="9">
    <w:abstractNumId w:val="23"/>
  </w:num>
  <w:num w:numId="10">
    <w:abstractNumId w:val="30"/>
  </w:num>
  <w:num w:numId="11">
    <w:abstractNumId w:val="0"/>
  </w:num>
  <w:num w:numId="12">
    <w:abstractNumId w:val="9"/>
  </w:num>
  <w:num w:numId="13">
    <w:abstractNumId w:val="17"/>
  </w:num>
  <w:num w:numId="14">
    <w:abstractNumId w:val="4"/>
  </w:num>
  <w:num w:numId="15">
    <w:abstractNumId w:val="19"/>
  </w:num>
  <w:num w:numId="16">
    <w:abstractNumId w:val="32"/>
  </w:num>
  <w:num w:numId="17">
    <w:abstractNumId w:val="2"/>
  </w:num>
  <w:num w:numId="18">
    <w:abstractNumId w:val="26"/>
  </w:num>
  <w:num w:numId="19">
    <w:abstractNumId w:val="28"/>
  </w:num>
  <w:num w:numId="20">
    <w:abstractNumId w:val="16"/>
  </w:num>
  <w:num w:numId="21">
    <w:abstractNumId w:val="34"/>
  </w:num>
  <w:num w:numId="22">
    <w:abstractNumId w:val="15"/>
  </w:num>
  <w:num w:numId="23">
    <w:abstractNumId w:val="7"/>
  </w:num>
  <w:num w:numId="24">
    <w:abstractNumId w:val="10"/>
  </w:num>
  <w:num w:numId="25">
    <w:abstractNumId w:val="3"/>
  </w:num>
  <w:num w:numId="26">
    <w:abstractNumId w:val="27"/>
  </w:num>
  <w:num w:numId="27">
    <w:abstractNumId w:val="20"/>
  </w:num>
  <w:num w:numId="28">
    <w:abstractNumId w:val="12"/>
  </w:num>
  <w:num w:numId="29">
    <w:abstractNumId w:val="18"/>
  </w:num>
  <w:num w:numId="30">
    <w:abstractNumId w:val="33"/>
  </w:num>
  <w:num w:numId="31">
    <w:abstractNumId w:val="5"/>
  </w:num>
  <w:num w:numId="32">
    <w:abstractNumId w:val="31"/>
  </w:num>
  <w:num w:numId="33">
    <w:abstractNumId w:val="29"/>
  </w:num>
  <w:num w:numId="34">
    <w:abstractNumId w:val="21"/>
  </w:num>
  <w:num w:numId="35">
    <w:abstractNumId w:val="14"/>
  </w:num>
  <w:num w:numId="36">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AC3"/>
    <w:rsid w:val="00002531"/>
    <w:rsid w:val="000076C8"/>
    <w:rsid w:val="000079CF"/>
    <w:rsid w:val="00010134"/>
    <w:rsid w:val="000106AF"/>
    <w:rsid w:val="00011A38"/>
    <w:rsid w:val="0001228D"/>
    <w:rsid w:val="00014128"/>
    <w:rsid w:val="0001437F"/>
    <w:rsid w:val="000149FD"/>
    <w:rsid w:val="00023F62"/>
    <w:rsid w:val="00025F55"/>
    <w:rsid w:val="00026A03"/>
    <w:rsid w:val="00026D76"/>
    <w:rsid w:val="00030F6F"/>
    <w:rsid w:val="000339DC"/>
    <w:rsid w:val="00036092"/>
    <w:rsid w:val="00040DD4"/>
    <w:rsid w:val="00041E9D"/>
    <w:rsid w:val="00041EF2"/>
    <w:rsid w:val="00044BF9"/>
    <w:rsid w:val="00046FCB"/>
    <w:rsid w:val="000524DD"/>
    <w:rsid w:val="0005284B"/>
    <w:rsid w:val="00053B81"/>
    <w:rsid w:val="0006017B"/>
    <w:rsid w:val="00060FED"/>
    <w:rsid w:val="00070933"/>
    <w:rsid w:val="0007256E"/>
    <w:rsid w:val="000733AD"/>
    <w:rsid w:val="00074483"/>
    <w:rsid w:val="00075FCC"/>
    <w:rsid w:val="00077299"/>
    <w:rsid w:val="00080770"/>
    <w:rsid w:val="00082139"/>
    <w:rsid w:val="00083BBE"/>
    <w:rsid w:val="000848C7"/>
    <w:rsid w:val="00087E04"/>
    <w:rsid w:val="00090146"/>
    <w:rsid w:val="000906A2"/>
    <w:rsid w:val="00092413"/>
    <w:rsid w:val="00094FB8"/>
    <w:rsid w:val="000A2234"/>
    <w:rsid w:val="000A7872"/>
    <w:rsid w:val="000A78CA"/>
    <w:rsid w:val="000A7A7A"/>
    <w:rsid w:val="000B00E7"/>
    <w:rsid w:val="000B1E4E"/>
    <w:rsid w:val="000C1387"/>
    <w:rsid w:val="000C14FF"/>
    <w:rsid w:val="000C6E50"/>
    <w:rsid w:val="000D0594"/>
    <w:rsid w:val="000D3037"/>
    <w:rsid w:val="000D5510"/>
    <w:rsid w:val="000D6FF5"/>
    <w:rsid w:val="000D7F04"/>
    <w:rsid w:val="000E153F"/>
    <w:rsid w:val="000E7C2D"/>
    <w:rsid w:val="000F0BCB"/>
    <w:rsid w:val="000F1054"/>
    <w:rsid w:val="000F7C03"/>
    <w:rsid w:val="00102CEB"/>
    <w:rsid w:val="00104B75"/>
    <w:rsid w:val="001050CB"/>
    <w:rsid w:val="00105935"/>
    <w:rsid w:val="00110AE1"/>
    <w:rsid w:val="00110C08"/>
    <w:rsid w:val="00112247"/>
    <w:rsid w:val="00122461"/>
    <w:rsid w:val="001228A0"/>
    <w:rsid w:val="00125730"/>
    <w:rsid w:val="00126384"/>
    <w:rsid w:val="00127374"/>
    <w:rsid w:val="00131EEB"/>
    <w:rsid w:val="00132316"/>
    <w:rsid w:val="0013261A"/>
    <w:rsid w:val="00133AC3"/>
    <w:rsid w:val="00136B95"/>
    <w:rsid w:val="001445AD"/>
    <w:rsid w:val="00146058"/>
    <w:rsid w:val="00151AD1"/>
    <w:rsid w:val="00152F4B"/>
    <w:rsid w:val="001535BF"/>
    <w:rsid w:val="00157831"/>
    <w:rsid w:val="00160047"/>
    <w:rsid w:val="001619A7"/>
    <w:rsid w:val="001637DD"/>
    <w:rsid w:val="001638D3"/>
    <w:rsid w:val="00164E09"/>
    <w:rsid w:val="00171274"/>
    <w:rsid w:val="00174CDA"/>
    <w:rsid w:val="00177800"/>
    <w:rsid w:val="00183789"/>
    <w:rsid w:val="00184A94"/>
    <w:rsid w:val="00184DD1"/>
    <w:rsid w:val="0019143A"/>
    <w:rsid w:val="00191A18"/>
    <w:rsid w:val="00191AE2"/>
    <w:rsid w:val="00196A2B"/>
    <w:rsid w:val="001A1E64"/>
    <w:rsid w:val="001A2886"/>
    <w:rsid w:val="001A3939"/>
    <w:rsid w:val="001A3DE9"/>
    <w:rsid w:val="001A4069"/>
    <w:rsid w:val="001A74CC"/>
    <w:rsid w:val="001B1591"/>
    <w:rsid w:val="001B20F1"/>
    <w:rsid w:val="001B259F"/>
    <w:rsid w:val="001B44A2"/>
    <w:rsid w:val="001B481B"/>
    <w:rsid w:val="001B66A4"/>
    <w:rsid w:val="001C0093"/>
    <w:rsid w:val="001C1360"/>
    <w:rsid w:val="001C209A"/>
    <w:rsid w:val="001C6F21"/>
    <w:rsid w:val="001D32A0"/>
    <w:rsid w:val="001D4975"/>
    <w:rsid w:val="001D6BA4"/>
    <w:rsid w:val="001E0569"/>
    <w:rsid w:val="001E4116"/>
    <w:rsid w:val="001E472B"/>
    <w:rsid w:val="001E70F6"/>
    <w:rsid w:val="001F3436"/>
    <w:rsid w:val="001F66E2"/>
    <w:rsid w:val="00205496"/>
    <w:rsid w:val="00212E55"/>
    <w:rsid w:val="002204C8"/>
    <w:rsid w:val="00221B84"/>
    <w:rsid w:val="002246CA"/>
    <w:rsid w:val="00227A06"/>
    <w:rsid w:val="00231641"/>
    <w:rsid w:val="002374A3"/>
    <w:rsid w:val="00237990"/>
    <w:rsid w:val="00242DAA"/>
    <w:rsid w:val="00246254"/>
    <w:rsid w:val="002467C4"/>
    <w:rsid w:val="00247157"/>
    <w:rsid w:val="00253B34"/>
    <w:rsid w:val="00255A71"/>
    <w:rsid w:val="00256938"/>
    <w:rsid w:val="002578B4"/>
    <w:rsid w:val="00257D10"/>
    <w:rsid w:val="00257FDE"/>
    <w:rsid w:val="0026062F"/>
    <w:rsid w:val="0026098B"/>
    <w:rsid w:val="00263590"/>
    <w:rsid w:val="00263DD7"/>
    <w:rsid w:val="002640E1"/>
    <w:rsid w:val="00264249"/>
    <w:rsid w:val="00266DE2"/>
    <w:rsid w:val="00270810"/>
    <w:rsid w:val="0027650C"/>
    <w:rsid w:val="00281FD7"/>
    <w:rsid w:val="00287892"/>
    <w:rsid w:val="00287DBD"/>
    <w:rsid w:val="0029022D"/>
    <w:rsid w:val="00290DA3"/>
    <w:rsid w:val="00291476"/>
    <w:rsid w:val="0029323C"/>
    <w:rsid w:val="002958F1"/>
    <w:rsid w:val="002A097D"/>
    <w:rsid w:val="002A18E2"/>
    <w:rsid w:val="002A69DC"/>
    <w:rsid w:val="002A734B"/>
    <w:rsid w:val="002B4510"/>
    <w:rsid w:val="002B5AFA"/>
    <w:rsid w:val="002B6662"/>
    <w:rsid w:val="002B6E47"/>
    <w:rsid w:val="002C128C"/>
    <w:rsid w:val="002C54E5"/>
    <w:rsid w:val="002C7F70"/>
    <w:rsid w:val="002D3279"/>
    <w:rsid w:val="002D6578"/>
    <w:rsid w:val="002D6897"/>
    <w:rsid w:val="002D76A6"/>
    <w:rsid w:val="002D78AF"/>
    <w:rsid w:val="002D7D56"/>
    <w:rsid w:val="002E356B"/>
    <w:rsid w:val="002E4201"/>
    <w:rsid w:val="002E44F4"/>
    <w:rsid w:val="002F1379"/>
    <w:rsid w:val="002F33BA"/>
    <w:rsid w:val="002F4FB8"/>
    <w:rsid w:val="002F55A8"/>
    <w:rsid w:val="002F5A31"/>
    <w:rsid w:val="002F653C"/>
    <w:rsid w:val="00300352"/>
    <w:rsid w:val="00303AAD"/>
    <w:rsid w:val="00303E97"/>
    <w:rsid w:val="003044B1"/>
    <w:rsid w:val="0030490E"/>
    <w:rsid w:val="00304E15"/>
    <w:rsid w:val="0030545F"/>
    <w:rsid w:val="00314D6B"/>
    <w:rsid w:val="00321179"/>
    <w:rsid w:val="00322E4D"/>
    <w:rsid w:val="00326947"/>
    <w:rsid w:val="003322EA"/>
    <w:rsid w:val="00332F26"/>
    <w:rsid w:val="0034098B"/>
    <w:rsid w:val="00340F9D"/>
    <w:rsid w:val="00341922"/>
    <w:rsid w:val="00351F12"/>
    <w:rsid w:val="003531BB"/>
    <w:rsid w:val="003564B6"/>
    <w:rsid w:val="0036088C"/>
    <w:rsid w:val="00361F94"/>
    <w:rsid w:val="0036522D"/>
    <w:rsid w:val="003716C2"/>
    <w:rsid w:val="003728FD"/>
    <w:rsid w:val="00372FAC"/>
    <w:rsid w:val="00376C69"/>
    <w:rsid w:val="003804D7"/>
    <w:rsid w:val="0038092B"/>
    <w:rsid w:val="0038332C"/>
    <w:rsid w:val="003867AC"/>
    <w:rsid w:val="00391317"/>
    <w:rsid w:val="003920CB"/>
    <w:rsid w:val="003925D5"/>
    <w:rsid w:val="0039609B"/>
    <w:rsid w:val="00397511"/>
    <w:rsid w:val="003B02E6"/>
    <w:rsid w:val="003B2548"/>
    <w:rsid w:val="003B3B0E"/>
    <w:rsid w:val="003B6B2D"/>
    <w:rsid w:val="003B700C"/>
    <w:rsid w:val="003B7037"/>
    <w:rsid w:val="003B7621"/>
    <w:rsid w:val="003B7A09"/>
    <w:rsid w:val="003C0D3A"/>
    <w:rsid w:val="003C130C"/>
    <w:rsid w:val="003C1B70"/>
    <w:rsid w:val="003C1C0B"/>
    <w:rsid w:val="003C1F00"/>
    <w:rsid w:val="003C4300"/>
    <w:rsid w:val="003C5464"/>
    <w:rsid w:val="003D08B1"/>
    <w:rsid w:val="003D17BC"/>
    <w:rsid w:val="003D20DD"/>
    <w:rsid w:val="003D29D2"/>
    <w:rsid w:val="003D435E"/>
    <w:rsid w:val="003D4611"/>
    <w:rsid w:val="003D73EA"/>
    <w:rsid w:val="003D7518"/>
    <w:rsid w:val="003E00BB"/>
    <w:rsid w:val="003E479B"/>
    <w:rsid w:val="003E784F"/>
    <w:rsid w:val="003F6553"/>
    <w:rsid w:val="003F6C5A"/>
    <w:rsid w:val="004047FF"/>
    <w:rsid w:val="00405862"/>
    <w:rsid w:val="00405B39"/>
    <w:rsid w:val="00407F2D"/>
    <w:rsid w:val="00410D37"/>
    <w:rsid w:val="00410FB8"/>
    <w:rsid w:val="00411EEB"/>
    <w:rsid w:val="00415C71"/>
    <w:rsid w:val="00417466"/>
    <w:rsid w:val="00421266"/>
    <w:rsid w:val="004218FF"/>
    <w:rsid w:val="004256EA"/>
    <w:rsid w:val="00427EC4"/>
    <w:rsid w:val="00432FE8"/>
    <w:rsid w:val="00434EDA"/>
    <w:rsid w:val="00443F9A"/>
    <w:rsid w:val="00444227"/>
    <w:rsid w:val="00444C0E"/>
    <w:rsid w:val="00446519"/>
    <w:rsid w:val="004478AE"/>
    <w:rsid w:val="00447E7C"/>
    <w:rsid w:val="004503C6"/>
    <w:rsid w:val="0045059B"/>
    <w:rsid w:val="00450CC0"/>
    <w:rsid w:val="00451CF7"/>
    <w:rsid w:val="00451E0F"/>
    <w:rsid w:val="004541FA"/>
    <w:rsid w:val="00456E78"/>
    <w:rsid w:val="00457148"/>
    <w:rsid w:val="00457528"/>
    <w:rsid w:val="0046014D"/>
    <w:rsid w:val="00462520"/>
    <w:rsid w:val="00465312"/>
    <w:rsid w:val="00465C43"/>
    <w:rsid w:val="0046718D"/>
    <w:rsid w:val="00467F55"/>
    <w:rsid w:val="004705A1"/>
    <w:rsid w:val="004706BD"/>
    <w:rsid w:val="004725DF"/>
    <w:rsid w:val="00472F71"/>
    <w:rsid w:val="004763CD"/>
    <w:rsid w:val="004801FF"/>
    <w:rsid w:val="00481721"/>
    <w:rsid w:val="00483B59"/>
    <w:rsid w:val="004841F6"/>
    <w:rsid w:val="00484430"/>
    <w:rsid w:val="004862AC"/>
    <w:rsid w:val="004862E0"/>
    <w:rsid w:val="00486492"/>
    <w:rsid w:val="00487DC0"/>
    <w:rsid w:val="0049679A"/>
    <w:rsid w:val="004A0F22"/>
    <w:rsid w:val="004A208D"/>
    <w:rsid w:val="004A2E94"/>
    <w:rsid w:val="004B19B1"/>
    <w:rsid w:val="004B6ED7"/>
    <w:rsid w:val="004C11CF"/>
    <w:rsid w:val="004C34C0"/>
    <w:rsid w:val="004C672C"/>
    <w:rsid w:val="004D0FAF"/>
    <w:rsid w:val="004D4FF7"/>
    <w:rsid w:val="004D6011"/>
    <w:rsid w:val="004D7D73"/>
    <w:rsid w:val="004E12A6"/>
    <w:rsid w:val="004E1577"/>
    <w:rsid w:val="004E4ED2"/>
    <w:rsid w:val="004E5782"/>
    <w:rsid w:val="004F1E38"/>
    <w:rsid w:val="004F67E3"/>
    <w:rsid w:val="00501776"/>
    <w:rsid w:val="00502101"/>
    <w:rsid w:val="00505930"/>
    <w:rsid w:val="0050651C"/>
    <w:rsid w:val="005065B0"/>
    <w:rsid w:val="00507F16"/>
    <w:rsid w:val="00510168"/>
    <w:rsid w:val="005210A6"/>
    <w:rsid w:val="00522D3B"/>
    <w:rsid w:val="00523D7C"/>
    <w:rsid w:val="00534FB2"/>
    <w:rsid w:val="0054015A"/>
    <w:rsid w:val="00540291"/>
    <w:rsid w:val="0054170C"/>
    <w:rsid w:val="00545A21"/>
    <w:rsid w:val="00545F96"/>
    <w:rsid w:val="00547F36"/>
    <w:rsid w:val="00550232"/>
    <w:rsid w:val="00550AD9"/>
    <w:rsid w:val="00550F52"/>
    <w:rsid w:val="00552A9D"/>
    <w:rsid w:val="00552D0C"/>
    <w:rsid w:val="00554009"/>
    <w:rsid w:val="00555D14"/>
    <w:rsid w:val="00555D8D"/>
    <w:rsid w:val="00556BC3"/>
    <w:rsid w:val="00561C65"/>
    <w:rsid w:val="00565A0D"/>
    <w:rsid w:val="00565F48"/>
    <w:rsid w:val="005672AA"/>
    <w:rsid w:val="00570929"/>
    <w:rsid w:val="00571F1C"/>
    <w:rsid w:val="00572E2A"/>
    <w:rsid w:val="00580113"/>
    <w:rsid w:val="00581CFC"/>
    <w:rsid w:val="00582A23"/>
    <w:rsid w:val="005840FC"/>
    <w:rsid w:val="00584A63"/>
    <w:rsid w:val="00586F2C"/>
    <w:rsid w:val="005934AD"/>
    <w:rsid w:val="005A2910"/>
    <w:rsid w:val="005A29F4"/>
    <w:rsid w:val="005A3C4D"/>
    <w:rsid w:val="005C06C6"/>
    <w:rsid w:val="005C1778"/>
    <w:rsid w:val="005C226F"/>
    <w:rsid w:val="005C484B"/>
    <w:rsid w:val="005C584D"/>
    <w:rsid w:val="005D0687"/>
    <w:rsid w:val="005D29C0"/>
    <w:rsid w:val="005D46B1"/>
    <w:rsid w:val="005D57DA"/>
    <w:rsid w:val="005D5CDC"/>
    <w:rsid w:val="005E12B9"/>
    <w:rsid w:val="005E269A"/>
    <w:rsid w:val="005E7603"/>
    <w:rsid w:val="005E7859"/>
    <w:rsid w:val="005E7EBC"/>
    <w:rsid w:val="005F0F0E"/>
    <w:rsid w:val="005F1CE0"/>
    <w:rsid w:val="005F1EFF"/>
    <w:rsid w:val="005F399C"/>
    <w:rsid w:val="005F739A"/>
    <w:rsid w:val="005F7713"/>
    <w:rsid w:val="00601345"/>
    <w:rsid w:val="00602FA9"/>
    <w:rsid w:val="00603459"/>
    <w:rsid w:val="006048AD"/>
    <w:rsid w:val="00604DF8"/>
    <w:rsid w:val="00607A57"/>
    <w:rsid w:val="00610C3E"/>
    <w:rsid w:val="00610DC3"/>
    <w:rsid w:val="00611B3F"/>
    <w:rsid w:val="00611DEE"/>
    <w:rsid w:val="006134FA"/>
    <w:rsid w:val="00613717"/>
    <w:rsid w:val="00616733"/>
    <w:rsid w:val="006254AF"/>
    <w:rsid w:val="00625C62"/>
    <w:rsid w:val="00626097"/>
    <w:rsid w:val="006303E8"/>
    <w:rsid w:val="0064558F"/>
    <w:rsid w:val="00645F8F"/>
    <w:rsid w:val="0064633D"/>
    <w:rsid w:val="0064655C"/>
    <w:rsid w:val="00646D3B"/>
    <w:rsid w:val="006511CC"/>
    <w:rsid w:val="0065202F"/>
    <w:rsid w:val="00655831"/>
    <w:rsid w:val="00660345"/>
    <w:rsid w:val="00661932"/>
    <w:rsid w:val="00664ED4"/>
    <w:rsid w:val="006706BB"/>
    <w:rsid w:val="00671CCB"/>
    <w:rsid w:val="00672FE1"/>
    <w:rsid w:val="0067369D"/>
    <w:rsid w:val="00673A87"/>
    <w:rsid w:val="00673E2E"/>
    <w:rsid w:val="00674AD4"/>
    <w:rsid w:val="00675758"/>
    <w:rsid w:val="00675910"/>
    <w:rsid w:val="00686A7F"/>
    <w:rsid w:val="00690471"/>
    <w:rsid w:val="00695F0A"/>
    <w:rsid w:val="00697114"/>
    <w:rsid w:val="0069748F"/>
    <w:rsid w:val="006A01FE"/>
    <w:rsid w:val="006A0A6A"/>
    <w:rsid w:val="006A1227"/>
    <w:rsid w:val="006A1261"/>
    <w:rsid w:val="006A5F0B"/>
    <w:rsid w:val="006B15C2"/>
    <w:rsid w:val="006B73B9"/>
    <w:rsid w:val="006C3030"/>
    <w:rsid w:val="006C3E43"/>
    <w:rsid w:val="006C4C0F"/>
    <w:rsid w:val="006C5A01"/>
    <w:rsid w:val="006C5DF1"/>
    <w:rsid w:val="006C608F"/>
    <w:rsid w:val="006C63CE"/>
    <w:rsid w:val="006C6470"/>
    <w:rsid w:val="006C75C1"/>
    <w:rsid w:val="006C7A55"/>
    <w:rsid w:val="006D33DC"/>
    <w:rsid w:val="006D455C"/>
    <w:rsid w:val="006D64E4"/>
    <w:rsid w:val="006E4734"/>
    <w:rsid w:val="006F119E"/>
    <w:rsid w:val="006F1734"/>
    <w:rsid w:val="006F2AAB"/>
    <w:rsid w:val="006F2E0C"/>
    <w:rsid w:val="006F3529"/>
    <w:rsid w:val="006F3ED5"/>
    <w:rsid w:val="006F615C"/>
    <w:rsid w:val="006F7F4E"/>
    <w:rsid w:val="007047E2"/>
    <w:rsid w:val="0070740D"/>
    <w:rsid w:val="0071067E"/>
    <w:rsid w:val="00715428"/>
    <w:rsid w:val="00715552"/>
    <w:rsid w:val="007214EB"/>
    <w:rsid w:val="007303C1"/>
    <w:rsid w:val="00731910"/>
    <w:rsid w:val="00734345"/>
    <w:rsid w:val="00740345"/>
    <w:rsid w:val="00741395"/>
    <w:rsid w:val="007420EE"/>
    <w:rsid w:val="007443D5"/>
    <w:rsid w:val="0075549E"/>
    <w:rsid w:val="00755561"/>
    <w:rsid w:val="007563A9"/>
    <w:rsid w:val="00764A57"/>
    <w:rsid w:val="007654C8"/>
    <w:rsid w:val="00773628"/>
    <w:rsid w:val="00775279"/>
    <w:rsid w:val="00775B33"/>
    <w:rsid w:val="00776327"/>
    <w:rsid w:val="00777C75"/>
    <w:rsid w:val="0078151E"/>
    <w:rsid w:val="007819DF"/>
    <w:rsid w:val="007830A0"/>
    <w:rsid w:val="00793F85"/>
    <w:rsid w:val="00796423"/>
    <w:rsid w:val="007976AC"/>
    <w:rsid w:val="00797C2F"/>
    <w:rsid w:val="007B0235"/>
    <w:rsid w:val="007B06B5"/>
    <w:rsid w:val="007B20BA"/>
    <w:rsid w:val="007B267B"/>
    <w:rsid w:val="007B52CA"/>
    <w:rsid w:val="007B6A6E"/>
    <w:rsid w:val="007C0808"/>
    <w:rsid w:val="007C1A9C"/>
    <w:rsid w:val="007C31A3"/>
    <w:rsid w:val="007C43F5"/>
    <w:rsid w:val="007C5374"/>
    <w:rsid w:val="007D00A9"/>
    <w:rsid w:val="007D04CB"/>
    <w:rsid w:val="007D0E5A"/>
    <w:rsid w:val="007D0F85"/>
    <w:rsid w:val="007D15CC"/>
    <w:rsid w:val="007D1FD3"/>
    <w:rsid w:val="007D3E13"/>
    <w:rsid w:val="007D695C"/>
    <w:rsid w:val="007E0602"/>
    <w:rsid w:val="007E4B79"/>
    <w:rsid w:val="007F442C"/>
    <w:rsid w:val="007F598E"/>
    <w:rsid w:val="007F68E4"/>
    <w:rsid w:val="008016EC"/>
    <w:rsid w:val="008059CF"/>
    <w:rsid w:val="00805A54"/>
    <w:rsid w:val="00805B79"/>
    <w:rsid w:val="008113A1"/>
    <w:rsid w:val="00811614"/>
    <w:rsid w:val="00811C62"/>
    <w:rsid w:val="00813196"/>
    <w:rsid w:val="00816F02"/>
    <w:rsid w:val="008220AB"/>
    <w:rsid w:val="008230E2"/>
    <w:rsid w:val="0082686D"/>
    <w:rsid w:val="008276F5"/>
    <w:rsid w:val="00827831"/>
    <w:rsid w:val="0082783F"/>
    <w:rsid w:val="00830781"/>
    <w:rsid w:val="0083113B"/>
    <w:rsid w:val="008311F6"/>
    <w:rsid w:val="00832541"/>
    <w:rsid w:val="008326C7"/>
    <w:rsid w:val="00833A23"/>
    <w:rsid w:val="00840B1F"/>
    <w:rsid w:val="00840D9D"/>
    <w:rsid w:val="0084126C"/>
    <w:rsid w:val="008415CA"/>
    <w:rsid w:val="00841F9F"/>
    <w:rsid w:val="00842A36"/>
    <w:rsid w:val="00843CA0"/>
    <w:rsid w:val="0084421A"/>
    <w:rsid w:val="00851352"/>
    <w:rsid w:val="00851B78"/>
    <w:rsid w:val="00852AD4"/>
    <w:rsid w:val="00853979"/>
    <w:rsid w:val="008551AC"/>
    <w:rsid w:val="00860514"/>
    <w:rsid w:val="0086243D"/>
    <w:rsid w:val="00862649"/>
    <w:rsid w:val="00875173"/>
    <w:rsid w:val="00875BAD"/>
    <w:rsid w:val="00876D9E"/>
    <w:rsid w:val="008779FF"/>
    <w:rsid w:val="00884935"/>
    <w:rsid w:val="00887A6A"/>
    <w:rsid w:val="008918D0"/>
    <w:rsid w:val="00892737"/>
    <w:rsid w:val="0089533B"/>
    <w:rsid w:val="00897094"/>
    <w:rsid w:val="008A5AAC"/>
    <w:rsid w:val="008A63F2"/>
    <w:rsid w:val="008B2D9D"/>
    <w:rsid w:val="008B3A21"/>
    <w:rsid w:val="008B4BF9"/>
    <w:rsid w:val="008C0499"/>
    <w:rsid w:val="008C10D0"/>
    <w:rsid w:val="008C1863"/>
    <w:rsid w:val="008C2214"/>
    <w:rsid w:val="008C223D"/>
    <w:rsid w:val="008C3A06"/>
    <w:rsid w:val="008C589A"/>
    <w:rsid w:val="008C6C9C"/>
    <w:rsid w:val="008C709C"/>
    <w:rsid w:val="008C74EB"/>
    <w:rsid w:val="008D05A5"/>
    <w:rsid w:val="008D3826"/>
    <w:rsid w:val="008D795D"/>
    <w:rsid w:val="008E4D27"/>
    <w:rsid w:val="008E7125"/>
    <w:rsid w:val="008F09FF"/>
    <w:rsid w:val="008F1F04"/>
    <w:rsid w:val="008F308F"/>
    <w:rsid w:val="008F3578"/>
    <w:rsid w:val="008F63B2"/>
    <w:rsid w:val="00900E0D"/>
    <w:rsid w:val="00901311"/>
    <w:rsid w:val="00901921"/>
    <w:rsid w:val="00903441"/>
    <w:rsid w:val="00903D0B"/>
    <w:rsid w:val="00910F12"/>
    <w:rsid w:val="00913C44"/>
    <w:rsid w:val="00913C73"/>
    <w:rsid w:val="00920A5B"/>
    <w:rsid w:val="00921BF5"/>
    <w:rsid w:val="009239D1"/>
    <w:rsid w:val="00924CCC"/>
    <w:rsid w:val="009261F8"/>
    <w:rsid w:val="009324CE"/>
    <w:rsid w:val="00933146"/>
    <w:rsid w:val="00935A6D"/>
    <w:rsid w:val="00937126"/>
    <w:rsid w:val="009376B7"/>
    <w:rsid w:val="00942FFE"/>
    <w:rsid w:val="00943E68"/>
    <w:rsid w:val="00951E60"/>
    <w:rsid w:val="0096294A"/>
    <w:rsid w:val="00965C59"/>
    <w:rsid w:val="00967412"/>
    <w:rsid w:val="0097070D"/>
    <w:rsid w:val="00974443"/>
    <w:rsid w:val="009759E5"/>
    <w:rsid w:val="00977FE3"/>
    <w:rsid w:val="00982C1A"/>
    <w:rsid w:val="009836A0"/>
    <w:rsid w:val="00983BE3"/>
    <w:rsid w:val="00984585"/>
    <w:rsid w:val="00986028"/>
    <w:rsid w:val="009874FC"/>
    <w:rsid w:val="00995FE0"/>
    <w:rsid w:val="00997F21"/>
    <w:rsid w:val="009A3DD9"/>
    <w:rsid w:val="009A6B26"/>
    <w:rsid w:val="009B0557"/>
    <w:rsid w:val="009B5F87"/>
    <w:rsid w:val="009C4BC9"/>
    <w:rsid w:val="009C6A63"/>
    <w:rsid w:val="009D02BA"/>
    <w:rsid w:val="009D1EBC"/>
    <w:rsid w:val="009D2763"/>
    <w:rsid w:val="009D3DB9"/>
    <w:rsid w:val="009D654A"/>
    <w:rsid w:val="009D7EF1"/>
    <w:rsid w:val="009E2CE1"/>
    <w:rsid w:val="009F0DD3"/>
    <w:rsid w:val="009F1BE2"/>
    <w:rsid w:val="00A021D0"/>
    <w:rsid w:val="00A0264B"/>
    <w:rsid w:val="00A029DB"/>
    <w:rsid w:val="00A02CFC"/>
    <w:rsid w:val="00A06423"/>
    <w:rsid w:val="00A07CD4"/>
    <w:rsid w:val="00A142E2"/>
    <w:rsid w:val="00A171B3"/>
    <w:rsid w:val="00A270FB"/>
    <w:rsid w:val="00A3092C"/>
    <w:rsid w:val="00A34184"/>
    <w:rsid w:val="00A35101"/>
    <w:rsid w:val="00A37785"/>
    <w:rsid w:val="00A4191B"/>
    <w:rsid w:val="00A41FDD"/>
    <w:rsid w:val="00A423E2"/>
    <w:rsid w:val="00A44C15"/>
    <w:rsid w:val="00A4607D"/>
    <w:rsid w:val="00A46BC0"/>
    <w:rsid w:val="00A47A0D"/>
    <w:rsid w:val="00A47AD0"/>
    <w:rsid w:val="00A50338"/>
    <w:rsid w:val="00A52A1B"/>
    <w:rsid w:val="00A52DCE"/>
    <w:rsid w:val="00A53D66"/>
    <w:rsid w:val="00A60D80"/>
    <w:rsid w:val="00A61428"/>
    <w:rsid w:val="00A638EF"/>
    <w:rsid w:val="00A64C60"/>
    <w:rsid w:val="00A67E07"/>
    <w:rsid w:val="00A7074D"/>
    <w:rsid w:val="00A70D06"/>
    <w:rsid w:val="00A71AB3"/>
    <w:rsid w:val="00A73B6A"/>
    <w:rsid w:val="00A869BA"/>
    <w:rsid w:val="00A90D5D"/>
    <w:rsid w:val="00A90DE9"/>
    <w:rsid w:val="00A91654"/>
    <w:rsid w:val="00A9242E"/>
    <w:rsid w:val="00A95177"/>
    <w:rsid w:val="00A954C5"/>
    <w:rsid w:val="00A97D34"/>
    <w:rsid w:val="00AA2510"/>
    <w:rsid w:val="00AA31AA"/>
    <w:rsid w:val="00AB04FA"/>
    <w:rsid w:val="00AB1459"/>
    <w:rsid w:val="00AB7124"/>
    <w:rsid w:val="00AC418C"/>
    <w:rsid w:val="00AC481F"/>
    <w:rsid w:val="00AC5046"/>
    <w:rsid w:val="00AC6895"/>
    <w:rsid w:val="00AC6E99"/>
    <w:rsid w:val="00AD07DF"/>
    <w:rsid w:val="00AD467E"/>
    <w:rsid w:val="00AD5D3D"/>
    <w:rsid w:val="00AD6E2C"/>
    <w:rsid w:val="00AE11AF"/>
    <w:rsid w:val="00AE2D02"/>
    <w:rsid w:val="00AF0DEB"/>
    <w:rsid w:val="00AF4000"/>
    <w:rsid w:val="00AF4619"/>
    <w:rsid w:val="00AF6781"/>
    <w:rsid w:val="00AF72A6"/>
    <w:rsid w:val="00B006AA"/>
    <w:rsid w:val="00B00BFF"/>
    <w:rsid w:val="00B14E69"/>
    <w:rsid w:val="00B156F5"/>
    <w:rsid w:val="00B17520"/>
    <w:rsid w:val="00B20B09"/>
    <w:rsid w:val="00B22D1B"/>
    <w:rsid w:val="00B23309"/>
    <w:rsid w:val="00B265D3"/>
    <w:rsid w:val="00B324D8"/>
    <w:rsid w:val="00B35C52"/>
    <w:rsid w:val="00B42738"/>
    <w:rsid w:val="00B42912"/>
    <w:rsid w:val="00B42D06"/>
    <w:rsid w:val="00B42EF0"/>
    <w:rsid w:val="00B4534F"/>
    <w:rsid w:val="00B51BA6"/>
    <w:rsid w:val="00B51C8E"/>
    <w:rsid w:val="00B52078"/>
    <w:rsid w:val="00B57BC9"/>
    <w:rsid w:val="00B57F41"/>
    <w:rsid w:val="00B60546"/>
    <w:rsid w:val="00B61622"/>
    <w:rsid w:val="00B62473"/>
    <w:rsid w:val="00B63F5E"/>
    <w:rsid w:val="00B676D3"/>
    <w:rsid w:val="00B7111E"/>
    <w:rsid w:val="00B72338"/>
    <w:rsid w:val="00B7237F"/>
    <w:rsid w:val="00B72793"/>
    <w:rsid w:val="00B72BE2"/>
    <w:rsid w:val="00B756B4"/>
    <w:rsid w:val="00B82BF3"/>
    <w:rsid w:val="00B83052"/>
    <w:rsid w:val="00B8684F"/>
    <w:rsid w:val="00B87DE5"/>
    <w:rsid w:val="00B91F4A"/>
    <w:rsid w:val="00BA02C4"/>
    <w:rsid w:val="00BA4C29"/>
    <w:rsid w:val="00BA4D2F"/>
    <w:rsid w:val="00BA5748"/>
    <w:rsid w:val="00BB00C3"/>
    <w:rsid w:val="00BB0A45"/>
    <w:rsid w:val="00BB2F65"/>
    <w:rsid w:val="00BB4758"/>
    <w:rsid w:val="00BB5F8D"/>
    <w:rsid w:val="00BC510D"/>
    <w:rsid w:val="00BD02A8"/>
    <w:rsid w:val="00BD0BBC"/>
    <w:rsid w:val="00BD0C88"/>
    <w:rsid w:val="00BD1077"/>
    <w:rsid w:val="00BD2F97"/>
    <w:rsid w:val="00BD3FCA"/>
    <w:rsid w:val="00BD403B"/>
    <w:rsid w:val="00BD4FD7"/>
    <w:rsid w:val="00BE0855"/>
    <w:rsid w:val="00BE3436"/>
    <w:rsid w:val="00BE77CC"/>
    <w:rsid w:val="00BF0554"/>
    <w:rsid w:val="00BF12DE"/>
    <w:rsid w:val="00BF53AF"/>
    <w:rsid w:val="00BF6E7C"/>
    <w:rsid w:val="00BF73A1"/>
    <w:rsid w:val="00BF75F9"/>
    <w:rsid w:val="00C12ABE"/>
    <w:rsid w:val="00C13A3C"/>
    <w:rsid w:val="00C14058"/>
    <w:rsid w:val="00C201BC"/>
    <w:rsid w:val="00C2074C"/>
    <w:rsid w:val="00C20840"/>
    <w:rsid w:val="00C208EC"/>
    <w:rsid w:val="00C21CE7"/>
    <w:rsid w:val="00C237BB"/>
    <w:rsid w:val="00C24ED9"/>
    <w:rsid w:val="00C26020"/>
    <w:rsid w:val="00C26414"/>
    <w:rsid w:val="00C31AF1"/>
    <w:rsid w:val="00C33AB2"/>
    <w:rsid w:val="00C36824"/>
    <w:rsid w:val="00C40D4B"/>
    <w:rsid w:val="00C43608"/>
    <w:rsid w:val="00C44B19"/>
    <w:rsid w:val="00C44D56"/>
    <w:rsid w:val="00C50111"/>
    <w:rsid w:val="00C50587"/>
    <w:rsid w:val="00C51271"/>
    <w:rsid w:val="00C56941"/>
    <w:rsid w:val="00C617F8"/>
    <w:rsid w:val="00C636D1"/>
    <w:rsid w:val="00C66217"/>
    <w:rsid w:val="00C679E6"/>
    <w:rsid w:val="00C67FDD"/>
    <w:rsid w:val="00C72642"/>
    <w:rsid w:val="00C74EA1"/>
    <w:rsid w:val="00C768A7"/>
    <w:rsid w:val="00C777AD"/>
    <w:rsid w:val="00C80C78"/>
    <w:rsid w:val="00C81B0D"/>
    <w:rsid w:val="00C83A68"/>
    <w:rsid w:val="00C85CF0"/>
    <w:rsid w:val="00C90674"/>
    <w:rsid w:val="00C90FFA"/>
    <w:rsid w:val="00C95A30"/>
    <w:rsid w:val="00C96AD7"/>
    <w:rsid w:val="00CA100A"/>
    <w:rsid w:val="00CA254B"/>
    <w:rsid w:val="00CA4964"/>
    <w:rsid w:val="00CA7969"/>
    <w:rsid w:val="00CB1C77"/>
    <w:rsid w:val="00CB440D"/>
    <w:rsid w:val="00CB458A"/>
    <w:rsid w:val="00CB46AE"/>
    <w:rsid w:val="00CB6556"/>
    <w:rsid w:val="00CB758B"/>
    <w:rsid w:val="00CC3237"/>
    <w:rsid w:val="00CC433E"/>
    <w:rsid w:val="00CC73F0"/>
    <w:rsid w:val="00CD0D8A"/>
    <w:rsid w:val="00CD0DC8"/>
    <w:rsid w:val="00CD1BDC"/>
    <w:rsid w:val="00CD2C9C"/>
    <w:rsid w:val="00CD551C"/>
    <w:rsid w:val="00CD7503"/>
    <w:rsid w:val="00CD764A"/>
    <w:rsid w:val="00CE22AC"/>
    <w:rsid w:val="00CE4ABC"/>
    <w:rsid w:val="00CF1CF1"/>
    <w:rsid w:val="00CF2A2E"/>
    <w:rsid w:val="00CF2E07"/>
    <w:rsid w:val="00CF341E"/>
    <w:rsid w:val="00CF36A1"/>
    <w:rsid w:val="00D00362"/>
    <w:rsid w:val="00D02F19"/>
    <w:rsid w:val="00D116DF"/>
    <w:rsid w:val="00D15641"/>
    <w:rsid w:val="00D16550"/>
    <w:rsid w:val="00D21D09"/>
    <w:rsid w:val="00D252B9"/>
    <w:rsid w:val="00D25CD7"/>
    <w:rsid w:val="00D2769E"/>
    <w:rsid w:val="00D32FE6"/>
    <w:rsid w:val="00D3423A"/>
    <w:rsid w:val="00D37178"/>
    <w:rsid w:val="00D37CAC"/>
    <w:rsid w:val="00D4115F"/>
    <w:rsid w:val="00D436FE"/>
    <w:rsid w:val="00D46204"/>
    <w:rsid w:val="00D4650C"/>
    <w:rsid w:val="00D50D35"/>
    <w:rsid w:val="00D51535"/>
    <w:rsid w:val="00D51743"/>
    <w:rsid w:val="00D57B73"/>
    <w:rsid w:val="00D61F50"/>
    <w:rsid w:val="00D62A1F"/>
    <w:rsid w:val="00D67E99"/>
    <w:rsid w:val="00D702AB"/>
    <w:rsid w:val="00D7115A"/>
    <w:rsid w:val="00D728E7"/>
    <w:rsid w:val="00D74697"/>
    <w:rsid w:val="00D74A37"/>
    <w:rsid w:val="00D76549"/>
    <w:rsid w:val="00D77378"/>
    <w:rsid w:val="00D84641"/>
    <w:rsid w:val="00D86424"/>
    <w:rsid w:val="00D9243F"/>
    <w:rsid w:val="00D957DD"/>
    <w:rsid w:val="00DA01F3"/>
    <w:rsid w:val="00DA22DF"/>
    <w:rsid w:val="00DB3C20"/>
    <w:rsid w:val="00DB542D"/>
    <w:rsid w:val="00DC2677"/>
    <w:rsid w:val="00DC5FA6"/>
    <w:rsid w:val="00DD39B8"/>
    <w:rsid w:val="00DD6C98"/>
    <w:rsid w:val="00DD6F8E"/>
    <w:rsid w:val="00DE16B5"/>
    <w:rsid w:val="00DE17CC"/>
    <w:rsid w:val="00DE5FC1"/>
    <w:rsid w:val="00DE733C"/>
    <w:rsid w:val="00DF4A2D"/>
    <w:rsid w:val="00DF7909"/>
    <w:rsid w:val="00DF7AB0"/>
    <w:rsid w:val="00DF7CEF"/>
    <w:rsid w:val="00E00944"/>
    <w:rsid w:val="00E0420C"/>
    <w:rsid w:val="00E0439D"/>
    <w:rsid w:val="00E1326C"/>
    <w:rsid w:val="00E17D09"/>
    <w:rsid w:val="00E21E4C"/>
    <w:rsid w:val="00E221C2"/>
    <w:rsid w:val="00E26D0A"/>
    <w:rsid w:val="00E27D56"/>
    <w:rsid w:val="00E301F8"/>
    <w:rsid w:val="00E313D6"/>
    <w:rsid w:val="00E332A9"/>
    <w:rsid w:val="00E348DF"/>
    <w:rsid w:val="00E36F58"/>
    <w:rsid w:val="00E37077"/>
    <w:rsid w:val="00E42B21"/>
    <w:rsid w:val="00E45A92"/>
    <w:rsid w:val="00E47E99"/>
    <w:rsid w:val="00E50D60"/>
    <w:rsid w:val="00E552A8"/>
    <w:rsid w:val="00E56071"/>
    <w:rsid w:val="00E56F53"/>
    <w:rsid w:val="00E57250"/>
    <w:rsid w:val="00E6044F"/>
    <w:rsid w:val="00E6124D"/>
    <w:rsid w:val="00E67ECA"/>
    <w:rsid w:val="00E708C4"/>
    <w:rsid w:val="00E71852"/>
    <w:rsid w:val="00E735AF"/>
    <w:rsid w:val="00E7421C"/>
    <w:rsid w:val="00E81ADF"/>
    <w:rsid w:val="00E8363A"/>
    <w:rsid w:val="00E85D74"/>
    <w:rsid w:val="00E87631"/>
    <w:rsid w:val="00E91E00"/>
    <w:rsid w:val="00E93F8D"/>
    <w:rsid w:val="00E95427"/>
    <w:rsid w:val="00E968CD"/>
    <w:rsid w:val="00EA70E2"/>
    <w:rsid w:val="00EA72FD"/>
    <w:rsid w:val="00EB2573"/>
    <w:rsid w:val="00EB7424"/>
    <w:rsid w:val="00EC1781"/>
    <w:rsid w:val="00EC21D9"/>
    <w:rsid w:val="00ED2DA2"/>
    <w:rsid w:val="00ED48E9"/>
    <w:rsid w:val="00ED6471"/>
    <w:rsid w:val="00ED7730"/>
    <w:rsid w:val="00EE2209"/>
    <w:rsid w:val="00EE3C29"/>
    <w:rsid w:val="00EE4660"/>
    <w:rsid w:val="00EE5A0F"/>
    <w:rsid w:val="00EF05F1"/>
    <w:rsid w:val="00EF0FE3"/>
    <w:rsid w:val="00EF144A"/>
    <w:rsid w:val="00EF1BE7"/>
    <w:rsid w:val="00EF2266"/>
    <w:rsid w:val="00EF318C"/>
    <w:rsid w:val="00EF3E73"/>
    <w:rsid w:val="00EF4132"/>
    <w:rsid w:val="00EF44C8"/>
    <w:rsid w:val="00EF78DD"/>
    <w:rsid w:val="00F01125"/>
    <w:rsid w:val="00F013C6"/>
    <w:rsid w:val="00F02156"/>
    <w:rsid w:val="00F05971"/>
    <w:rsid w:val="00F05E02"/>
    <w:rsid w:val="00F12833"/>
    <w:rsid w:val="00F1431A"/>
    <w:rsid w:val="00F2140C"/>
    <w:rsid w:val="00F22F45"/>
    <w:rsid w:val="00F2331E"/>
    <w:rsid w:val="00F24751"/>
    <w:rsid w:val="00F24C42"/>
    <w:rsid w:val="00F25E81"/>
    <w:rsid w:val="00F30356"/>
    <w:rsid w:val="00F30C26"/>
    <w:rsid w:val="00F325BC"/>
    <w:rsid w:val="00F33DE2"/>
    <w:rsid w:val="00F341D4"/>
    <w:rsid w:val="00F413F5"/>
    <w:rsid w:val="00F4337F"/>
    <w:rsid w:val="00F44713"/>
    <w:rsid w:val="00F474E9"/>
    <w:rsid w:val="00F501DD"/>
    <w:rsid w:val="00F503A4"/>
    <w:rsid w:val="00F50B6B"/>
    <w:rsid w:val="00F51BA2"/>
    <w:rsid w:val="00F51D07"/>
    <w:rsid w:val="00F52702"/>
    <w:rsid w:val="00F530A2"/>
    <w:rsid w:val="00F5344E"/>
    <w:rsid w:val="00F601D7"/>
    <w:rsid w:val="00F6086C"/>
    <w:rsid w:val="00F61F89"/>
    <w:rsid w:val="00F66526"/>
    <w:rsid w:val="00F6765F"/>
    <w:rsid w:val="00F67EAC"/>
    <w:rsid w:val="00F7468C"/>
    <w:rsid w:val="00F75550"/>
    <w:rsid w:val="00F8304B"/>
    <w:rsid w:val="00F85518"/>
    <w:rsid w:val="00F91B89"/>
    <w:rsid w:val="00F9418A"/>
    <w:rsid w:val="00F95A14"/>
    <w:rsid w:val="00F97971"/>
    <w:rsid w:val="00FA0601"/>
    <w:rsid w:val="00FA6BBD"/>
    <w:rsid w:val="00FA7D95"/>
    <w:rsid w:val="00FB07DA"/>
    <w:rsid w:val="00FB1C19"/>
    <w:rsid w:val="00FB205E"/>
    <w:rsid w:val="00FC1F05"/>
    <w:rsid w:val="00FC333A"/>
    <w:rsid w:val="00FC3702"/>
    <w:rsid w:val="00FC5F65"/>
    <w:rsid w:val="00FD149A"/>
    <w:rsid w:val="00FD189B"/>
    <w:rsid w:val="00FD424E"/>
    <w:rsid w:val="00FD622C"/>
    <w:rsid w:val="00FE0176"/>
    <w:rsid w:val="00FE1AA1"/>
    <w:rsid w:val="00FE1E66"/>
    <w:rsid w:val="00FE2524"/>
    <w:rsid w:val="00FE323D"/>
    <w:rsid w:val="00FE7B5E"/>
    <w:rsid w:val="00FF19BC"/>
    <w:rsid w:val="00FF27F5"/>
    <w:rsid w:val="00FF40CA"/>
    <w:rsid w:val="00FF56F2"/>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2B5971"/>
  <w15:docId w15:val="{DBF55566-1B1F-453F-BC63-DE51CC2E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2702"/>
    <w:rPr>
      <w:rFonts w:ascii="Arial" w:hAnsi="Arial"/>
      <w:sz w:val="24"/>
      <w:szCs w:val="24"/>
    </w:rPr>
  </w:style>
  <w:style w:type="paragraph" w:styleId="Heading1">
    <w:name w:val="heading 1"/>
    <w:aliases w:val="Numbered - 1"/>
    <w:basedOn w:val="Normal"/>
    <w:next w:val="Normal"/>
    <w:qFormat/>
    <w:rsid w:val="003322EA"/>
    <w:pPr>
      <w:keepNext/>
      <w:keepLines/>
      <w:widowControl w:val="0"/>
      <w:spacing w:before="240" w:after="240"/>
      <w:outlineLvl w:val="0"/>
    </w:pPr>
    <w:rPr>
      <w:b/>
      <w:kern w:val="28"/>
      <w:sz w:val="22"/>
      <w:szCs w:val="20"/>
      <w:lang w:eastAsia="en-US"/>
    </w:rPr>
  </w:style>
  <w:style w:type="paragraph" w:styleId="Heading2">
    <w:name w:val="heading 2"/>
    <w:basedOn w:val="Normal"/>
    <w:next w:val="Normal"/>
    <w:link w:val="Heading2Char"/>
    <w:qFormat/>
    <w:rsid w:val="006048AD"/>
    <w:pPr>
      <w:outlineLvl w:val="1"/>
    </w:pPr>
    <w:rPr>
      <w:rFonts w:ascii="Calibri" w:hAnsi="Calibri" w:cs="Calibri"/>
      <w:b/>
      <w:sz w:val="28"/>
      <w:szCs w:val="28"/>
    </w:rPr>
  </w:style>
  <w:style w:type="paragraph" w:styleId="Heading3">
    <w:name w:val="heading 3"/>
    <w:basedOn w:val="Normal"/>
    <w:next w:val="Normal"/>
    <w:link w:val="Heading3Char"/>
    <w:semiHidden/>
    <w:unhideWhenUsed/>
    <w:qFormat/>
    <w:rsid w:val="000B1E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0B1E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0B1E4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StyleArial">
    <w:name w:val="Style Arial"/>
    <w:basedOn w:val="Normal"/>
    <w:rsid w:val="002246CA"/>
    <w:pPr>
      <w:spacing w:after="120"/>
    </w:pPr>
    <w:rPr>
      <w:rFonts w:cs="Arial"/>
      <w:sz w:val="28"/>
      <w:szCs w:val="20"/>
      <w:lang w:eastAsia="en-US"/>
    </w:rPr>
  </w:style>
  <w:style w:type="paragraph" w:customStyle="1" w:styleId="Default">
    <w:name w:val="Default"/>
    <w:rsid w:val="00CD0D8A"/>
    <w:pPr>
      <w:autoSpaceDE w:val="0"/>
      <w:autoSpaceDN w:val="0"/>
      <w:adjustRightInd w:val="0"/>
    </w:pPr>
    <w:rPr>
      <w:color w:val="000000"/>
      <w:sz w:val="24"/>
      <w:szCs w:val="24"/>
    </w:rPr>
  </w:style>
  <w:style w:type="paragraph" w:customStyle="1" w:styleId="DfESOutNumbered">
    <w:name w:val="DfESOutNumbered"/>
    <w:basedOn w:val="Normal"/>
    <w:rsid w:val="00FE323D"/>
    <w:pPr>
      <w:widowControl w:val="0"/>
      <w:numPr>
        <w:numId w:val="1"/>
      </w:numPr>
      <w:overflowPunct w:val="0"/>
      <w:autoSpaceDE w:val="0"/>
      <w:autoSpaceDN w:val="0"/>
      <w:adjustRightInd w:val="0"/>
      <w:spacing w:after="240"/>
      <w:textAlignment w:val="baseline"/>
    </w:pPr>
    <w:rPr>
      <w:rFonts w:cs="Arial"/>
      <w:sz w:val="22"/>
      <w:szCs w:val="20"/>
      <w:lang w:eastAsia="en-US"/>
    </w:rPr>
  </w:style>
  <w:style w:type="paragraph" w:styleId="BodyTextIndent">
    <w:name w:val="Body Text Indent"/>
    <w:basedOn w:val="Normal"/>
    <w:rsid w:val="003D08B1"/>
    <w:pPr>
      <w:tabs>
        <w:tab w:val="left" w:pos="360"/>
      </w:tabs>
      <w:spacing w:after="120"/>
      <w:ind w:left="360" w:hanging="360"/>
    </w:pPr>
    <w:rPr>
      <w:sz w:val="22"/>
      <w:szCs w:val="20"/>
      <w:lang w:val="en-US" w:eastAsia="en-US"/>
    </w:rPr>
  </w:style>
  <w:style w:type="character" w:styleId="Strong">
    <w:name w:val="Strong"/>
    <w:qFormat/>
    <w:rsid w:val="00D46204"/>
    <w:rPr>
      <w:b/>
      <w:bCs/>
    </w:rPr>
  </w:style>
  <w:style w:type="paragraph" w:styleId="BodyText">
    <w:name w:val="Body Text"/>
    <w:basedOn w:val="Normal"/>
    <w:rsid w:val="003322EA"/>
    <w:pPr>
      <w:spacing w:after="120"/>
    </w:pPr>
  </w:style>
  <w:style w:type="character" w:customStyle="1" w:styleId="endsenrhsennumparatext">
    <w:name w:val="ends enrhs ennumparatext"/>
    <w:basedOn w:val="DefaultParagraphFont"/>
    <w:rsid w:val="004503C6"/>
  </w:style>
  <w:style w:type="character" w:styleId="Hyperlink">
    <w:name w:val="Hyperlink"/>
    <w:rsid w:val="004503C6"/>
    <w:rPr>
      <w:color w:val="0000FF"/>
      <w:u w:val="single"/>
    </w:rPr>
  </w:style>
  <w:style w:type="paragraph" w:styleId="Revision">
    <w:name w:val="Revision"/>
    <w:hidden/>
    <w:uiPriority w:val="99"/>
    <w:semiHidden/>
    <w:rsid w:val="003044B1"/>
    <w:rPr>
      <w:rFonts w:ascii="Arial" w:hAnsi="Arial"/>
      <w:sz w:val="24"/>
      <w:szCs w:val="24"/>
    </w:rPr>
  </w:style>
  <w:style w:type="character" w:customStyle="1" w:styleId="HeaderChar">
    <w:name w:val="Header Char"/>
    <w:basedOn w:val="DefaultParagraphFont"/>
    <w:link w:val="Header"/>
    <w:uiPriority w:val="99"/>
    <w:rsid w:val="003044B1"/>
    <w:rPr>
      <w:rFonts w:ascii="Arial" w:hAnsi="Arial"/>
      <w:sz w:val="24"/>
      <w:szCs w:val="24"/>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link w:val="ListParagraphChar"/>
    <w:uiPriority w:val="34"/>
    <w:qFormat/>
    <w:rsid w:val="00BF75F9"/>
    <w:pPr>
      <w:ind w:left="720"/>
      <w:contextualSpacing/>
    </w:pPr>
  </w:style>
  <w:style w:type="paragraph" w:customStyle="1" w:styleId="N3">
    <w:name w:val="N3"/>
    <w:basedOn w:val="Normal"/>
    <w:rsid w:val="004801FF"/>
    <w:pPr>
      <w:tabs>
        <w:tab w:val="num" w:pos="1440"/>
      </w:tabs>
      <w:spacing w:before="80" w:line="220" w:lineRule="atLeast"/>
      <w:ind w:left="1224" w:hanging="504"/>
      <w:jc w:val="both"/>
    </w:pPr>
    <w:rPr>
      <w:rFonts w:ascii="Times New Roman" w:hAnsi="Times New Roman"/>
      <w:sz w:val="21"/>
      <w:szCs w:val="20"/>
      <w:lang w:eastAsia="en-US"/>
    </w:rPr>
  </w:style>
  <w:style w:type="paragraph" w:styleId="FootnoteText">
    <w:name w:val="footnote text"/>
    <w:basedOn w:val="Normal"/>
    <w:link w:val="FootnoteTextChar"/>
    <w:rsid w:val="00C40D4B"/>
    <w:rPr>
      <w:sz w:val="20"/>
      <w:szCs w:val="20"/>
    </w:rPr>
  </w:style>
  <w:style w:type="character" w:customStyle="1" w:styleId="FootnoteTextChar">
    <w:name w:val="Footnote Text Char"/>
    <w:basedOn w:val="DefaultParagraphFont"/>
    <w:link w:val="FootnoteText"/>
    <w:rsid w:val="00C40D4B"/>
    <w:rPr>
      <w:rFonts w:ascii="Arial" w:hAnsi="Arial"/>
    </w:rPr>
  </w:style>
  <w:style w:type="character" w:styleId="FootnoteReference">
    <w:name w:val="footnote reference"/>
    <w:basedOn w:val="DefaultParagraphFont"/>
    <w:rsid w:val="00C40D4B"/>
    <w:rPr>
      <w:vertAlign w:val="superscript"/>
    </w:rPr>
  </w:style>
  <w:style w:type="table" w:customStyle="1" w:styleId="TableGrid1">
    <w:name w:val="Table Grid1"/>
    <w:basedOn w:val="TableNormal"/>
    <w:next w:val="TableGrid"/>
    <w:uiPriority w:val="59"/>
    <w:rsid w:val="00C264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F5 List Paragraph Char,Bullet Points Char,MAIN CONTENT Char,List Paragraph12 Char,Bullet Style Char"/>
    <w:basedOn w:val="DefaultParagraphFont"/>
    <w:link w:val="ListParagraph"/>
    <w:uiPriority w:val="34"/>
    <w:rsid w:val="00D116DF"/>
    <w:rPr>
      <w:rFonts w:ascii="Arial" w:hAnsi="Arial"/>
      <w:sz w:val="24"/>
      <w:szCs w:val="24"/>
    </w:rPr>
  </w:style>
  <w:style w:type="paragraph" w:styleId="NoSpacing">
    <w:name w:val="No Spacing"/>
    <w:basedOn w:val="Normal"/>
    <w:link w:val="NoSpacingChar"/>
    <w:uiPriority w:val="1"/>
    <w:qFormat/>
    <w:rsid w:val="000B1E4E"/>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0B1E4E"/>
    <w:rPr>
      <w:rFonts w:asciiTheme="minorHAnsi" w:eastAsiaTheme="minorEastAsia" w:hAnsiTheme="minorHAnsi" w:cstheme="minorBidi"/>
      <w:sz w:val="22"/>
      <w:szCs w:val="22"/>
      <w:lang w:eastAsia="en-US"/>
    </w:rPr>
  </w:style>
  <w:style w:type="character" w:customStyle="1" w:styleId="Heading3Char">
    <w:name w:val="Heading 3 Char"/>
    <w:basedOn w:val="DefaultParagraphFont"/>
    <w:link w:val="Heading3"/>
    <w:semiHidden/>
    <w:rsid w:val="000B1E4E"/>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0B1E4E"/>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0B1E4E"/>
    <w:rPr>
      <w:rFonts w:asciiTheme="majorHAnsi" w:eastAsiaTheme="majorEastAsia" w:hAnsiTheme="majorHAnsi" w:cstheme="majorBidi"/>
      <w:color w:val="243F60" w:themeColor="accent1" w:themeShade="7F"/>
      <w:sz w:val="24"/>
      <w:szCs w:val="24"/>
    </w:rPr>
  </w:style>
  <w:style w:type="paragraph" w:styleId="Subtitle">
    <w:name w:val="Subtitle"/>
    <w:basedOn w:val="Normal"/>
    <w:next w:val="Normal"/>
    <w:link w:val="SubtitleChar"/>
    <w:qFormat/>
    <w:rsid w:val="0077362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773628"/>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semiHidden/>
    <w:unhideWhenUsed/>
    <w:rsid w:val="000076C8"/>
    <w:rPr>
      <w:sz w:val="16"/>
      <w:szCs w:val="16"/>
    </w:rPr>
  </w:style>
  <w:style w:type="paragraph" w:styleId="CommentText">
    <w:name w:val="annotation text"/>
    <w:basedOn w:val="Normal"/>
    <w:link w:val="CommentTextChar"/>
    <w:semiHidden/>
    <w:unhideWhenUsed/>
    <w:rsid w:val="000076C8"/>
    <w:rPr>
      <w:sz w:val="20"/>
      <w:szCs w:val="20"/>
    </w:rPr>
  </w:style>
  <w:style w:type="character" w:customStyle="1" w:styleId="CommentTextChar">
    <w:name w:val="Comment Text Char"/>
    <w:basedOn w:val="DefaultParagraphFont"/>
    <w:link w:val="CommentText"/>
    <w:semiHidden/>
    <w:rsid w:val="000076C8"/>
    <w:rPr>
      <w:rFonts w:ascii="Arial" w:hAnsi="Arial"/>
    </w:rPr>
  </w:style>
  <w:style w:type="paragraph" w:styleId="CommentSubject">
    <w:name w:val="annotation subject"/>
    <w:basedOn w:val="CommentText"/>
    <w:next w:val="CommentText"/>
    <w:link w:val="CommentSubjectChar"/>
    <w:semiHidden/>
    <w:unhideWhenUsed/>
    <w:rsid w:val="000076C8"/>
    <w:rPr>
      <w:b/>
      <w:bCs/>
    </w:rPr>
  </w:style>
  <w:style w:type="character" w:customStyle="1" w:styleId="CommentSubjectChar">
    <w:name w:val="Comment Subject Char"/>
    <w:basedOn w:val="CommentTextChar"/>
    <w:link w:val="CommentSubject"/>
    <w:semiHidden/>
    <w:rsid w:val="000076C8"/>
    <w:rPr>
      <w:rFonts w:ascii="Arial" w:hAnsi="Arial"/>
      <w:b/>
      <w:bCs/>
    </w:rPr>
  </w:style>
  <w:style w:type="table" w:styleId="GridTable4-Accent1">
    <w:name w:val="Grid Table 4 Accent 1"/>
    <w:basedOn w:val="TableNormal"/>
    <w:uiPriority w:val="49"/>
    <w:rsid w:val="00A50338"/>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next w:val="GridTable4-Accent1"/>
    <w:uiPriority w:val="49"/>
    <w:rsid w:val="004E12A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Heading2Char">
    <w:name w:val="Heading 2 Char"/>
    <w:basedOn w:val="DefaultParagraphFont"/>
    <w:link w:val="Heading2"/>
    <w:rsid w:val="006048AD"/>
    <w:rPr>
      <w:rFonts w:ascii="Calibri" w:hAnsi="Calibri" w:cs="Calibri"/>
      <w:b/>
      <w:sz w:val="28"/>
      <w:szCs w:val="28"/>
    </w:rPr>
  </w:style>
  <w:style w:type="paragraph" w:customStyle="1" w:styleId="TableParagraph">
    <w:name w:val="Table Paragraph"/>
    <w:basedOn w:val="Normal"/>
    <w:uiPriority w:val="1"/>
    <w:qFormat/>
    <w:rsid w:val="00DE5FC1"/>
    <w:pPr>
      <w:widowControl w:val="0"/>
      <w:autoSpaceDE w:val="0"/>
      <w:autoSpaceDN w:val="0"/>
      <w:spacing w:line="265" w:lineRule="exact"/>
      <w:jc w:val="right"/>
    </w:pPr>
    <w:rPr>
      <w:rFonts w:ascii="Calibri" w:eastAsia="Calibri" w:hAnsi="Calibri" w:cs="Calibri"/>
      <w:sz w:val="22"/>
      <w:szCs w:val="22"/>
      <w:lang w:val="en-US" w:eastAsia="en-US" w:bidi="en-US"/>
    </w:rPr>
  </w:style>
  <w:style w:type="paragraph" w:styleId="Title">
    <w:name w:val="Title"/>
    <w:basedOn w:val="Normal"/>
    <w:next w:val="Normal"/>
    <w:link w:val="TitleChar"/>
    <w:qFormat/>
    <w:rsid w:val="006048AD"/>
    <w:rPr>
      <w:rFonts w:ascii="Calibri" w:hAnsi="Calibri" w:cs="Calibri"/>
      <w:b/>
      <w:bCs/>
      <w:sz w:val="32"/>
      <w:szCs w:val="32"/>
    </w:rPr>
  </w:style>
  <w:style w:type="character" w:customStyle="1" w:styleId="TitleChar">
    <w:name w:val="Title Char"/>
    <w:basedOn w:val="DefaultParagraphFont"/>
    <w:link w:val="Title"/>
    <w:rsid w:val="006048AD"/>
    <w:rPr>
      <w:rFonts w:ascii="Calibri" w:hAnsi="Calibri" w:cs="Calibr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216">
      <w:bodyDiv w:val="1"/>
      <w:marLeft w:val="0"/>
      <w:marRight w:val="0"/>
      <w:marTop w:val="0"/>
      <w:marBottom w:val="0"/>
      <w:divBdr>
        <w:top w:val="none" w:sz="0" w:space="0" w:color="auto"/>
        <w:left w:val="none" w:sz="0" w:space="0" w:color="auto"/>
        <w:bottom w:val="none" w:sz="0" w:space="0" w:color="auto"/>
        <w:right w:val="none" w:sz="0" w:space="0" w:color="auto"/>
      </w:divBdr>
    </w:div>
    <w:div w:id="89594378">
      <w:bodyDiv w:val="1"/>
      <w:marLeft w:val="0"/>
      <w:marRight w:val="0"/>
      <w:marTop w:val="0"/>
      <w:marBottom w:val="0"/>
      <w:divBdr>
        <w:top w:val="none" w:sz="0" w:space="0" w:color="auto"/>
        <w:left w:val="none" w:sz="0" w:space="0" w:color="auto"/>
        <w:bottom w:val="none" w:sz="0" w:space="0" w:color="auto"/>
        <w:right w:val="none" w:sz="0" w:space="0" w:color="auto"/>
      </w:divBdr>
    </w:div>
    <w:div w:id="123545071">
      <w:bodyDiv w:val="1"/>
      <w:marLeft w:val="0"/>
      <w:marRight w:val="0"/>
      <w:marTop w:val="0"/>
      <w:marBottom w:val="0"/>
      <w:divBdr>
        <w:top w:val="none" w:sz="0" w:space="0" w:color="auto"/>
        <w:left w:val="none" w:sz="0" w:space="0" w:color="auto"/>
        <w:bottom w:val="none" w:sz="0" w:space="0" w:color="auto"/>
        <w:right w:val="none" w:sz="0" w:space="0" w:color="auto"/>
      </w:divBdr>
    </w:div>
    <w:div w:id="160433036">
      <w:bodyDiv w:val="1"/>
      <w:marLeft w:val="0"/>
      <w:marRight w:val="0"/>
      <w:marTop w:val="0"/>
      <w:marBottom w:val="0"/>
      <w:divBdr>
        <w:top w:val="none" w:sz="0" w:space="0" w:color="auto"/>
        <w:left w:val="none" w:sz="0" w:space="0" w:color="auto"/>
        <w:bottom w:val="none" w:sz="0" w:space="0" w:color="auto"/>
        <w:right w:val="none" w:sz="0" w:space="0" w:color="auto"/>
      </w:divBdr>
    </w:div>
    <w:div w:id="166987668">
      <w:bodyDiv w:val="1"/>
      <w:marLeft w:val="0"/>
      <w:marRight w:val="0"/>
      <w:marTop w:val="0"/>
      <w:marBottom w:val="0"/>
      <w:divBdr>
        <w:top w:val="none" w:sz="0" w:space="0" w:color="auto"/>
        <w:left w:val="none" w:sz="0" w:space="0" w:color="auto"/>
        <w:bottom w:val="none" w:sz="0" w:space="0" w:color="auto"/>
        <w:right w:val="none" w:sz="0" w:space="0" w:color="auto"/>
      </w:divBdr>
    </w:div>
    <w:div w:id="325137862">
      <w:bodyDiv w:val="1"/>
      <w:marLeft w:val="0"/>
      <w:marRight w:val="0"/>
      <w:marTop w:val="0"/>
      <w:marBottom w:val="0"/>
      <w:divBdr>
        <w:top w:val="none" w:sz="0" w:space="0" w:color="auto"/>
        <w:left w:val="none" w:sz="0" w:space="0" w:color="auto"/>
        <w:bottom w:val="none" w:sz="0" w:space="0" w:color="auto"/>
        <w:right w:val="none" w:sz="0" w:space="0" w:color="auto"/>
      </w:divBdr>
    </w:div>
    <w:div w:id="415053442">
      <w:bodyDiv w:val="1"/>
      <w:marLeft w:val="0"/>
      <w:marRight w:val="0"/>
      <w:marTop w:val="0"/>
      <w:marBottom w:val="0"/>
      <w:divBdr>
        <w:top w:val="none" w:sz="0" w:space="0" w:color="auto"/>
        <w:left w:val="none" w:sz="0" w:space="0" w:color="auto"/>
        <w:bottom w:val="none" w:sz="0" w:space="0" w:color="auto"/>
        <w:right w:val="none" w:sz="0" w:space="0" w:color="auto"/>
      </w:divBdr>
    </w:div>
    <w:div w:id="427700498">
      <w:bodyDiv w:val="1"/>
      <w:marLeft w:val="0"/>
      <w:marRight w:val="0"/>
      <w:marTop w:val="0"/>
      <w:marBottom w:val="0"/>
      <w:divBdr>
        <w:top w:val="none" w:sz="0" w:space="0" w:color="auto"/>
        <w:left w:val="none" w:sz="0" w:space="0" w:color="auto"/>
        <w:bottom w:val="none" w:sz="0" w:space="0" w:color="auto"/>
        <w:right w:val="none" w:sz="0" w:space="0" w:color="auto"/>
      </w:divBdr>
    </w:div>
    <w:div w:id="446510770">
      <w:bodyDiv w:val="1"/>
      <w:marLeft w:val="0"/>
      <w:marRight w:val="0"/>
      <w:marTop w:val="0"/>
      <w:marBottom w:val="0"/>
      <w:divBdr>
        <w:top w:val="none" w:sz="0" w:space="0" w:color="auto"/>
        <w:left w:val="none" w:sz="0" w:space="0" w:color="auto"/>
        <w:bottom w:val="none" w:sz="0" w:space="0" w:color="auto"/>
        <w:right w:val="none" w:sz="0" w:space="0" w:color="auto"/>
      </w:divBdr>
    </w:div>
    <w:div w:id="509226230">
      <w:bodyDiv w:val="1"/>
      <w:marLeft w:val="0"/>
      <w:marRight w:val="0"/>
      <w:marTop w:val="0"/>
      <w:marBottom w:val="0"/>
      <w:divBdr>
        <w:top w:val="none" w:sz="0" w:space="0" w:color="auto"/>
        <w:left w:val="none" w:sz="0" w:space="0" w:color="auto"/>
        <w:bottom w:val="none" w:sz="0" w:space="0" w:color="auto"/>
        <w:right w:val="none" w:sz="0" w:space="0" w:color="auto"/>
      </w:divBdr>
    </w:div>
    <w:div w:id="603533794">
      <w:bodyDiv w:val="1"/>
      <w:marLeft w:val="0"/>
      <w:marRight w:val="0"/>
      <w:marTop w:val="0"/>
      <w:marBottom w:val="0"/>
      <w:divBdr>
        <w:top w:val="none" w:sz="0" w:space="0" w:color="auto"/>
        <w:left w:val="none" w:sz="0" w:space="0" w:color="auto"/>
        <w:bottom w:val="none" w:sz="0" w:space="0" w:color="auto"/>
        <w:right w:val="none" w:sz="0" w:space="0" w:color="auto"/>
      </w:divBdr>
    </w:div>
    <w:div w:id="630719211">
      <w:bodyDiv w:val="1"/>
      <w:marLeft w:val="0"/>
      <w:marRight w:val="0"/>
      <w:marTop w:val="0"/>
      <w:marBottom w:val="0"/>
      <w:divBdr>
        <w:top w:val="none" w:sz="0" w:space="0" w:color="auto"/>
        <w:left w:val="none" w:sz="0" w:space="0" w:color="auto"/>
        <w:bottom w:val="none" w:sz="0" w:space="0" w:color="auto"/>
        <w:right w:val="none" w:sz="0" w:space="0" w:color="auto"/>
      </w:divBdr>
    </w:div>
    <w:div w:id="773280844">
      <w:bodyDiv w:val="1"/>
      <w:marLeft w:val="0"/>
      <w:marRight w:val="0"/>
      <w:marTop w:val="0"/>
      <w:marBottom w:val="0"/>
      <w:divBdr>
        <w:top w:val="none" w:sz="0" w:space="0" w:color="auto"/>
        <w:left w:val="none" w:sz="0" w:space="0" w:color="auto"/>
        <w:bottom w:val="none" w:sz="0" w:space="0" w:color="auto"/>
        <w:right w:val="none" w:sz="0" w:space="0" w:color="auto"/>
      </w:divBdr>
    </w:div>
    <w:div w:id="809127403">
      <w:bodyDiv w:val="1"/>
      <w:marLeft w:val="0"/>
      <w:marRight w:val="0"/>
      <w:marTop w:val="0"/>
      <w:marBottom w:val="0"/>
      <w:divBdr>
        <w:top w:val="none" w:sz="0" w:space="0" w:color="auto"/>
        <w:left w:val="none" w:sz="0" w:space="0" w:color="auto"/>
        <w:bottom w:val="none" w:sz="0" w:space="0" w:color="auto"/>
        <w:right w:val="none" w:sz="0" w:space="0" w:color="auto"/>
      </w:divBdr>
    </w:div>
    <w:div w:id="811874710">
      <w:bodyDiv w:val="1"/>
      <w:marLeft w:val="0"/>
      <w:marRight w:val="0"/>
      <w:marTop w:val="0"/>
      <w:marBottom w:val="0"/>
      <w:divBdr>
        <w:top w:val="none" w:sz="0" w:space="0" w:color="auto"/>
        <w:left w:val="none" w:sz="0" w:space="0" w:color="auto"/>
        <w:bottom w:val="none" w:sz="0" w:space="0" w:color="auto"/>
        <w:right w:val="none" w:sz="0" w:space="0" w:color="auto"/>
      </w:divBdr>
    </w:div>
    <w:div w:id="982854105">
      <w:bodyDiv w:val="1"/>
      <w:marLeft w:val="0"/>
      <w:marRight w:val="0"/>
      <w:marTop w:val="0"/>
      <w:marBottom w:val="0"/>
      <w:divBdr>
        <w:top w:val="none" w:sz="0" w:space="0" w:color="auto"/>
        <w:left w:val="none" w:sz="0" w:space="0" w:color="auto"/>
        <w:bottom w:val="none" w:sz="0" w:space="0" w:color="auto"/>
        <w:right w:val="none" w:sz="0" w:space="0" w:color="auto"/>
      </w:divBdr>
    </w:div>
    <w:div w:id="1121917077">
      <w:bodyDiv w:val="1"/>
      <w:marLeft w:val="0"/>
      <w:marRight w:val="0"/>
      <w:marTop w:val="0"/>
      <w:marBottom w:val="0"/>
      <w:divBdr>
        <w:top w:val="none" w:sz="0" w:space="0" w:color="auto"/>
        <w:left w:val="none" w:sz="0" w:space="0" w:color="auto"/>
        <w:bottom w:val="none" w:sz="0" w:space="0" w:color="auto"/>
        <w:right w:val="none" w:sz="0" w:space="0" w:color="auto"/>
      </w:divBdr>
    </w:div>
    <w:div w:id="1196579573">
      <w:bodyDiv w:val="1"/>
      <w:marLeft w:val="0"/>
      <w:marRight w:val="0"/>
      <w:marTop w:val="0"/>
      <w:marBottom w:val="0"/>
      <w:divBdr>
        <w:top w:val="none" w:sz="0" w:space="0" w:color="auto"/>
        <w:left w:val="none" w:sz="0" w:space="0" w:color="auto"/>
        <w:bottom w:val="none" w:sz="0" w:space="0" w:color="auto"/>
        <w:right w:val="none" w:sz="0" w:space="0" w:color="auto"/>
      </w:divBdr>
    </w:div>
    <w:div w:id="1272250847">
      <w:bodyDiv w:val="1"/>
      <w:marLeft w:val="0"/>
      <w:marRight w:val="0"/>
      <w:marTop w:val="0"/>
      <w:marBottom w:val="0"/>
      <w:divBdr>
        <w:top w:val="none" w:sz="0" w:space="0" w:color="auto"/>
        <w:left w:val="none" w:sz="0" w:space="0" w:color="auto"/>
        <w:bottom w:val="none" w:sz="0" w:space="0" w:color="auto"/>
        <w:right w:val="none" w:sz="0" w:space="0" w:color="auto"/>
      </w:divBdr>
    </w:div>
    <w:div w:id="1292860967">
      <w:bodyDiv w:val="1"/>
      <w:marLeft w:val="0"/>
      <w:marRight w:val="0"/>
      <w:marTop w:val="0"/>
      <w:marBottom w:val="0"/>
      <w:divBdr>
        <w:top w:val="none" w:sz="0" w:space="0" w:color="auto"/>
        <w:left w:val="none" w:sz="0" w:space="0" w:color="auto"/>
        <w:bottom w:val="none" w:sz="0" w:space="0" w:color="auto"/>
        <w:right w:val="none" w:sz="0" w:space="0" w:color="auto"/>
      </w:divBdr>
    </w:div>
    <w:div w:id="1299458805">
      <w:bodyDiv w:val="1"/>
      <w:marLeft w:val="0"/>
      <w:marRight w:val="0"/>
      <w:marTop w:val="0"/>
      <w:marBottom w:val="0"/>
      <w:divBdr>
        <w:top w:val="none" w:sz="0" w:space="0" w:color="auto"/>
        <w:left w:val="none" w:sz="0" w:space="0" w:color="auto"/>
        <w:bottom w:val="none" w:sz="0" w:space="0" w:color="auto"/>
        <w:right w:val="none" w:sz="0" w:space="0" w:color="auto"/>
      </w:divBdr>
    </w:div>
    <w:div w:id="1360160750">
      <w:bodyDiv w:val="1"/>
      <w:marLeft w:val="0"/>
      <w:marRight w:val="0"/>
      <w:marTop w:val="0"/>
      <w:marBottom w:val="0"/>
      <w:divBdr>
        <w:top w:val="none" w:sz="0" w:space="0" w:color="auto"/>
        <w:left w:val="none" w:sz="0" w:space="0" w:color="auto"/>
        <w:bottom w:val="none" w:sz="0" w:space="0" w:color="auto"/>
        <w:right w:val="none" w:sz="0" w:space="0" w:color="auto"/>
      </w:divBdr>
    </w:div>
    <w:div w:id="1393387858">
      <w:bodyDiv w:val="1"/>
      <w:marLeft w:val="0"/>
      <w:marRight w:val="0"/>
      <w:marTop w:val="0"/>
      <w:marBottom w:val="0"/>
      <w:divBdr>
        <w:top w:val="none" w:sz="0" w:space="0" w:color="auto"/>
        <w:left w:val="none" w:sz="0" w:space="0" w:color="auto"/>
        <w:bottom w:val="none" w:sz="0" w:space="0" w:color="auto"/>
        <w:right w:val="none" w:sz="0" w:space="0" w:color="auto"/>
      </w:divBdr>
    </w:div>
    <w:div w:id="1433814841">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60841147">
      <w:bodyDiv w:val="1"/>
      <w:marLeft w:val="0"/>
      <w:marRight w:val="0"/>
      <w:marTop w:val="0"/>
      <w:marBottom w:val="0"/>
      <w:divBdr>
        <w:top w:val="none" w:sz="0" w:space="0" w:color="auto"/>
        <w:left w:val="none" w:sz="0" w:space="0" w:color="auto"/>
        <w:bottom w:val="none" w:sz="0" w:space="0" w:color="auto"/>
        <w:right w:val="none" w:sz="0" w:space="0" w:color="auto"/>
      </w:divBdr>
    </w:div>
    <w:div w:id="1687748885">
      <w:bodyDiv w:val="1"/>
      <w:marLeft w:val="0"/>
      <w:marRight w:val="0"/>
      <w:marTop w:val="0"/>
      <w:marBottom w:val="0"/>
      <w:divBdr>
        <w:top w:val="none" w:sz="0" w:space="0" w:color="auto"/>
        <w:left w:val="none" w:sz="0" w:space="0" w:color="auto"/>
        <w:bottom w:val="none" w:sz="0" w:space="0" w:color="auto"/>
        <w:right w:val="none" w:sz="0" w:space="0" w:color="auto"/>
      </w:divBdr>
    </w:div>
    <w:div w:id="1736975334">
      <w:bodyDiv w:val="1"/>
      <w:marLeft w:val="0"/>
      <w:marRight w:val="0"/>
      <w:marTop w:val="0"/>
      <w:marBottom w:val="0"/>
      <w:divBdr>
        <w:top w:val="none" w:sz="0" w:space="0" w:color="auto"/>
        <w:left w:val="none" w:sz="0" w:space="0" w:color="auto"/>
        <w:bottom w:val="none" w:sz="0" w:space="0" w:color="auto"/>
        <w:right w:val="none" w:sz="0" w:space="0" w:color="auto"/>
      </w:divBdr>
    </w:div>
    <w:div w:id="1743595907">
      <w:bodyDiv w:val="1"/>
      <w:marLeft w:val="0"/>
      <w:marRight w:val="0"/>
      <w:marTop w:val="0"/>
      <w:marBottom w:val="0"/>
      <w:divBdr>
        <w:top w:val="none" w:sz="0" w:space="0" w:color="auto"/>
        <w:left w:val="none" w:sz="0" w:space="0" w:color="auto"/>
        <w:bottom w:val="none" w:sz="0" w:space="0" w:color="auto"/>
        <w:right w:val="none" w:sz="0" w:space="0" w:color="auto"/>
      </w:divBdr>
    </w:div>
    <w:div w:id="1774519381">
      <w:bodyDiv w:val="1"/>
      <w:marLeft w:val="0"/>
      <w:marRight w:val="0"/>
      <w:marTop w:val="0"/>
      <w:marBottom w:val="0"/>
      <w:divBdr>
        <w:top w:val="none" w:sz="0" w:space="0" w:color="auto"/>
        <w:left w:val="none" w:sz="0" w:space="0" w:color="auto"/>
        <w:bottom w:val="none" w:sz="0" w:space="0" w:color="auto"/>
        <w:right w:val="none" w:sz="0" w:space="0" w:color="auto"/>
      </w:divBdr>
    </w:div>
    <w:div w:id="1790053945">
      <w:bodyDiv w:val="1"/>
      <w:marLeft w:val="0"/>
      <w:marRight w:val="0"/>
      <w:marTop w:val="0"/>
      <w:marBottom w:val="0"/>
      <w:divBdr>
        <w:top w:val="none" w:sz="0" w:space="0" w:color="auto"/>
        <w:left w:val="none" w:sz="0" w:space="0" w:color="auto"/>
        <w:bottom w:val="none" w:sz="0" w:space="0" w:color="auto"/>
        <w:right w:val="none" w:sz="0" w:space="0" w:color="auto"/>
      </w:divBdr>
    </w:div>
    <w:div w:id="1794444396">
      <w:bodyDiv w:val="1"/>
      <w:marLeft w:val="0"/>
      <w:marRight w:val="0"/>
      <w:marTop w:val="0"/>
      <w:marBottom w:val="0"/>
      <w:divBdr>
        <w:top w:val="none" w:sz="0" w:space="0" w:color="auto"/>
        <w:left w:val="none" w:sz="0" w:space="0" w:color="auto"/>
        <w:bottom w:val="none" w:sz="0" w:space="0" w:color="auto"/>
        <w:right w:val="none" w:sz="0" w:space="0" w:color="auto"/>
      </w:divBdr>
    </w:div>
    <w:div w:id="1832401249">
      <w:bodyDiv w:val="1"/>
      <w:marLeft w:val="0"/>
      <w:marRight w:val="0"/>
      <w:marTop w:val="0"/>
      <w:marBottom w:val="0"/>
      <w:divBdr>
        <w:top w:val="none" w:sz="0" w:space="0" w:color="auto"/>
        <w:left w:val="none" w:sz="0" w:space="0" w:color="auto"/>
        <w:bottom w:val="none" w:sz="0" w:space="0" w:color="auto"/>
        <w:right w:val="none" w:sz="0" w:space="0" w:color="auto"/>
      </w:divBdr>
    </w:div>
    <w:div w:id="1843272650">
      <w:bodyDiv w:val="1"/>
      <w:marLeft w:val="0"/>
      <w:marRight w:val="0"/>
      <w:marTop w:val="0"/>
      <w:marBottom w:val="0"/>
      <w:divBdr>
        <w:top w:val="none" w:sz="0" w:space="0" w:color="auto"/>
        <w:left w:val="none" w:sz="0" w:space="0" w:color="auto"/>
        <w:bottom w:val="none" w:sz="0" w:space="0" w:color="auto"/>
        <w:right w:val="none" w:sz="0" w:space="0" w:color="auto"/>
      </w:divBdr>
    </w:div>
    <w:div w:id="1864784510">
      <w:bodyDiv w:val="1"/>
      <w:marLeft w:val="0"/>
      <w:marRight w:val="0"/>
      <w:marTop w:val="0"/>
      <w:marBottom w:val="0"/>
      <w:divBdr>
        <w:top w:val="none" w:sz="0" w:space="0" w:color="auto"/>
        <w:left w:val="none" w:sz="0" w:space="0" w:color="auto"/>
        <w:bottom w:val="none" w:sz="0" w:space="0" w:color="auto"/>
        <w:right w:val="none" w:sz="0" w:space="0" w:color="auto"/>
      </w:divBdr>
    </w:div>
    <w:div w:id="21211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ss.milne@towerhamlets.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F2A7B-EDEC-46CC-93D3-654F31834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1358</Words>
  <Characters>7021</Characters>
  <Application>Microsoft Office Word</Application>
  <DocSecurity>0</DocSecurity>
  <Lines>242</Lines>
  <Paragraphs>119</Paragraphs>
  <ScaleCrop>false</ScaleCrop>
  <HeadingPairs>
    <vt:vector size="2" baseType="variant">
      <vt:variant>
        <vt:lpstr>Title</vt:lpstr>
      </vt:variant>
      <vt:variant>
        <vt:i4>1</vt:i4>
      </vt:variant>
    </vt:vector>
  </HeadingPairs>
  <TitlesOfParts>
    <vt:vector size="1" baseType="lpstr">
      <vt:lpstr>Early Years Block Funding 2021-22</vt:lpstr>
    </vt:vector>
  </TitlesOfParts>
  <Company>London Borough of Tower Hamlets</Company>
  <LinksUpToDate>false</LinksUpToDate>
  <CharactersWithSpaces>8260</CharactersWithSpaces>
  <SharedDoc>false</SharedDoc>
  <HLinks>
    <vt:vector size="12" baseType="variant">
      <vt:variant>
        <vt:i4>5636214</vt:i4>
      </vt:variant>
      <vt:variant>
        <vt:i4>3</vt:i4>
      </vt:variant>
      <vt:variant>
        <vt:i4>0</vt:i4>
      </vt:variant>
      <vt:variant>
        <vt:i4>5</vt:i4>
      </vt:variant>
      <vt:variant>
        <vt:lpwstr>mailto:Abdul.quddus@towerhamlets.gov.uk</vt:lpwstr>
      </vt:variant>
      <vt:variant>
        <vt:lpwstr/>
      </vt:variant>
      <vt:variant>
        <vt:i4>720935</vt:i4>
      </vt:variant>
      <vt:variant>
        <vt:i4>0</vt:i4>
      </vt:variant>
      <vt:variant>
        <vt:i4>0</vt:i4>
      </vt:variant>
      <vt:variant>
        <vt:i4>5</vt:i4>
      </vt:variant>
      <vt:variant>
        <vt:lpwstr>mailto:pauline.hoare@towerhamlets.gov.uk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Block Funding 2021-22</dc:title>
  <dc:subject/>
  <dc:creator>Jess Milne</dc:creator>
  <cp:keywords/>
  <cp:lastModifiedBy>Phillip Nduoyo</cp:lastModifiedBy>
  <cp:revision>2</cp:revision>
  <cp:lastPrinted>2020-01-07T19:06:00Z</cp:lastPrinted>
  <dcterms:created xsi:type="dcterms:W3CDTF">2022-11-01T15:27:00Z</dcterms:created>
  <dcterms:modified xsi:type="dcterms:W3CDTF">2022-11-01T15:27:00Z</dcterms:modified>
</cp:coreProperties>
</file>