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3.xml" ContentType="application/vnd.openxmlformats-officedocument.drawingml.chartshapes+xml"/>
  <Override PartName="/word/charts/chart6.xml" ContentType="application/vnd.openxmlformats-officedocument.drawingml.chart+xml"/>
  <Override PartName="/word/drawings/drawing4.xml" ContentType="application/vnd.openxmlformats-officedocument.drawingml.chartshapes+xml"/>
  <Override PartName="/word/charts/chart7.xml" ContentType="application/vnd.openxmlformats-officedocument.drawingml.chart+xml"/>
  <Override PartName="/word/drawings/drawing5.xml" ContentType="application/vnd.openxmlformats-officedocument.drawingml.chartshapes+xml"/>
  <Override PartName="/word/charts/chart8.xml" ContentType="application/vnd.openxmlformats-officedocument.drawingml.chart+xml"/>
  <Override PartName="/word/drawings/drawing6.xml" ContentType="application/vnd.openxmlformats-officedocument.drawingml.chartshapes+xml"/>
  <Override PartName="/word/charts/chart9.xml" ContentType="application/vnd.openxmlformats-officedocument.drawingml.chart+xml"/>
  <Override PartName="/word/drawings/drawing7.xml" ContentType="application/vnd.openxmlformats-officedocument.drawingml.chartshapes+xml"/>
  <Override PartName="/word/charts/chart10.xml" ContentType="application/vnd.openxmlformats-officedocument.drawingml.chart+xml"/>
  <Override PartName="/word/drawings/drawing8.xml" ContentType="application/vnd.openxmlformats-officedocument.drawingml.chartshapes+xml"/>
  <Override PartName="/word/charts/chart11.xml" ContentType="application/vnd.openxmlformats-officedocument.drawingml.chart+xml"/>
  <Override PartName="/word/drawings/drawing9.xml" ContentType="application/vnd.openxmlformats-officedocument.drawingml.chartshapes+xml"/>
  <Override PartName="/word/charts/chart12.xml" ContentType="application/vnd.openxmlformats-officedocument.drawingml.chart+xml"/>
  <Override PartName="/word/drawings/drawing10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85" w:rsidRPr="00346238" w:rsidRDefault="00D87E84" w:rsidP="00D30A85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THHF -</w:t>
      </w:r>
      <w:r w:rsidR="00D30A85" w:rsidRPr="00346238">
        <w:rPr>
          <w:rFonts w:asciiTheme="minorHAnsi" w:hAnsiTheme="minorHAnsi"/>
          <w:b/>
          <w:sz w:val="28"/>
          <w:szCs w:val="28"/>
        </w:rPr>
        <w:t xml:space="preserve"> Benchmarking Report</w:t>
      </w:r>
      <w:r w:rsidR="00567727" w:rsidRPr="00346238">
        <w:rPr>
          <w:rFonts w:asciiTheme="minorHAnsi" w:hAnsiTheme="minorHAnsi"/>
          <w:b/>
          <w:sz w:val="28"/>
          <w:szCs w:val="28"/>
        </w:rPr>
        <w:t xml:space="preserve">  </w:t>
      </w:r>
      <w:r w:rsidR="008D1A54">
        <w:rPr>
          <w:rFonts w:asciiTheme="minorHAnsi" w:hAnsiTheme="minorHAnsi"/>
          <w:b/>
          <w:sz w:val="28"/>
          <w:szCs w:val="28"/>
        </w:rPr>
        <w:t xml:space="preserve"> -   Q</w:t>
      </w:r>
      <w:r w:rsidR="00BD5E18">
        <w:rPr>
          <w:rFonts w:asciiTheme="minorHAnsi" w:hAnsiTheme="minorHAnsi"/>
          <w:b/>
          <w:sz w:val="28"/>
          <w:szCs w:val="28"/>
        </w:rPr>
        <w:t>4</w:t>
      </w:r>
      <w:r w:rsidR="009B0F73" w:rsidRPr="00346238">
        <w:rPr>
          <w:rFonts w:asciiTheme="minorHAnsi" w:hAnsiTheme="minorHAnsi"/>
          <w:b/>
          <w:sz w:val="28"/>
          <w:szCs w:val="28"/>
        </w:rPr>
        <w:t xml:space="preserve"> (2016/17)</w:t>
      </w:r>
      <w:r w:rsidR="00567727" w:rsidRPr="00346238">
        <w:rPr>
          <w:rFonts w:asciiTheme="minorHAnsi" w:hAnsiTheme="minorHAnsi"/>
          <w:b/>
          <w:sz w:val="28"/>
          <w:szCs w:val="28"/>
        </w:rPr>
        <w:t xml:space="preserve">             </w:t>
      </w:r>
      <w:r w:rsidR="00B9629A">
        <w:rPr>
          <w:rFonts w:asciiTheme="minorHAnsi" w:hAnsiTheme="minorHAnsi"/>
          <w:b/>
          <w:sz w:val="28"/>
          <w:szCs w:val="28"/>
        </w:rPr>
        <w:t xml:space="preserve">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6"/>
      </w:tblGrid>
      <w:tr w:rsidR="002E48AA" w:rsidTr="00346238">
        <w:trPr>
          <w:trHeight w:val="3650"/>
        </w:trPr>
        <w:tc>
          <w:tcPr>
            <w:tcW w:w="15026" w:type="dxa"/>
          </w:tcPr>
          <w:p w:rsidR="002E48AA" w:rsidRPr="008217CD" w:rsidRDefault="002E48AA" w:rsidP="00FE7019">
            <w:pPr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8217CD">
              <w:rPr>
                <w:noProof/>
                <w:color w:val="FF0000"/>
                <w:highlight w:val="green"/>
                <w:shd w:val="clear" w:color="auto" w:fill="00B050"/>
              </w:rPr>
              <w:drawing>
                <wp:inline distT="0" distB="0" distL="0" distR="0" wp14:anchorId="606C0E24" wp14:editId="2C675A64">
                  <wp:extent cx="8654903" cy="1392865"/>
                  <wp:effectExtent l="0" t="0" r="0" b="0"/>
                  <wp:docPr id="24" name="Chart 2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tbl>
            <w:tblPr>
              <w:tblW w:w="12615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9"/>
              <w:gridCol w:w="4819"/>
              <w:gridCol w:w="1701"/>
              <w:gridCol w:w="4536"/>
            </w:tblGrid>
            <w:tr w:rsidR="002E48AA" w:rsidRPr="00634319" w:rsidTr="001E7C7F">
              <w:trPr>
                <w:trHeight w:val="201"/>
              </w:trPr>
              <w:tc>
                <w:tcPr>
                  <w:tcW w:w="1559" w:type="dxa"/>
                  <w:shd w:val="clear" w:color="auto" w:fill="17365D" w:themeFill="text2" w:themeFillShade="BF"/>
                </w:tcPr>
                <w:p w:rsidR="002E48AA" w:rsidRPr="00936E88" w:rsidRDefault="002E48AA" w:rsidP="00220AD7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819" w:type="dxa"/>
                  <w:shd w:val="clear" w:color="auto" w:fill="17365D" w:themeFill="text2" w:themeFillShade="BF"/>
                </w:tcPr>
                <w:p w:rsidR="002E48AA" w:rsidRPr="00936E88" w:rsidRDefault="002E48AA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701" w:type="dxa"/>
                  <w:shd w:val="clear" w:color="auto" w:fill="17365D" w:themeFill="text2" w:themeFillShade="BF"/>
                </w:tcPr>
                <w:p w:rsidR="002E48AA" w:rsidRPr="00936E88" w:rsidRDefault="002E48AA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536" w:type="dxa"/>
                  <w:shd w:val="clear" w:color="auto" w:fill="17365D" w:themeFill="text2" w:themeFillShade="BF"/>
                </w:tcPr>
                <w:p w:rsidR="002E48AA" w:rsidRPr="00936E88" w:rsidRDefault="002E48AA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245370" w:rsidRPr="00634319" w:rsidTr="00FD364A">
              <w:trPr>
                <w:trHeight w:val="255"/>
              </w:trPr>
              <w:tc>
                <w:tcPr>
                  <w:tcW w:w="1559" w:type="dxa"/>
                </w:tcPr>
                <w:p w:rsidR="00245370" w:rsidRPr="004E3A1C" w:rsidRDefault="00245370" w:rsidP="00FD364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4E3A1C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245370" w:rsidRPr="004E3A1C" w:rsidRDefault="00FE5736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Spitalfield</w:t>
                  </w:r>
                  <w:r w:rsidR="00827D4B">
                    <w:rPr>
                      <w:rFonts w:asciiTheme="minorHAnsi" w:hAnsiTheme="minorHAnsi"/>
                    </w:rPr>
                    <w:t>s</w:t>
                  </w:r>
                  <w:r>
                    <w:rPr>
                      <w:rFonts w:asciiTheme="minorHAnsi" w:hAnsiTheme="minorHAnsi"/>
                    </w:rPr>
                    <w:t xml:space="preserve"> Housing Association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45370" w:rsidRPr="004E3A1C" w:rsidRDefault="00FE5736" w:rsidP="00C70735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245370" w:rsidRPr="004E3A1C" w:rsidRDefault="00770713" w:rsidP="00C7073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Genesis Housing Association</w:t>
                  </w:r>
                </w:p>
              </w:tc>
            </w:tr>
            <w:tr w:rsidR="00245370" w:rsidRPr="00634319" w:rsidTr="001E7C7F">
              <w:trPr>
                <w:trHeight w:val="254"/>
              </w:trPr>
              <w:tc>
                <w:tcPr>
                  <w:tcW w:w="1559" w:type="dxa"/>
                </w:tcPr>
                <w:p w:rsidR="00245370" w:rsidRPr="004E3A1C" w:rsidRDefault="00245370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4E3A1C"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245370" w:rsidRPr="004E3A1C" w:rsidRDefault="00FE5736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45370" w:rsidRPr="004E3A1C" w:rsidRDefault="00FE5736" w:rsidP="00C70735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245370" w:rsidRPr="004E3A1C" w:rsidRDefault="00770713" w:rsidP="00C7073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</w:tr>
            <w:tr w:rsidR="00245370" w:rsidRPr="00634319" w:rsidTr="006C753C">
              <w:trPr>
                <w:trHeight w:val="179"/>
              </w:trPr>
              <w:tc>
                <w:tcPr>
                  <w:tcW w:w="1559" w:type="dxa"/>
                </w:tcPr>
                <w:p w:rsidR="00245370" w:rsidRPr="004E3A1C" w:rsidRDefault="00FE5736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245370" w:rsidRPr="004E3A1C" w:rsidRDefault="00FE5736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5370" w:rsidRPr="004E3A1C" w:rsidRDefault="00FE5736" w:rsidP="00C70735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245370" w:rsidRPr="004E3A1C" w:rsidRDefault="00770713" w:rsidP="00C7073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Community Housing </w:t>
                  </w:r>
                </w:p>
              </w:tc>
            </w:tr>
            <w:tr w:rsidR="00245370" w:rsidRPr="00634319" w:rsidTr="006C753C">
              <w:trPr>
                <w:trHeight w:val="212"/>
              </w:trPr>
              <w:tc>
                <w:tcPr>
                  <w:tcW w:w="1559" w:type="dxa"/>
                </w:tcPr>
                <w:p w:rsidR="00245370" w:rsidRPr="004E3A1C" w:rsidRDefault="00FE5736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:rsidR="00245370" w:rsidRPr="004E3A1C" w:rsidRDefault="00770713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Swan Housing Association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5370" w:rsidRPr="004E3A1C" w:rsidRDefault="00245370" w:rsidP="00FE573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4E3A1C">
                    <w:rPr>
                      <w:rFonts w:asciiTheme="minorHAnsi" w:hAnsiTheme="minorHAnsi"/>
                      <w:b/>
                    </w:rPr>
                    <w:t>1</w:t>
                  </w:r>
                  <w:r w:rsidR="00FE5736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5370" w:rsidRPr="004E3A1C" w:rsidRDefault="00770713" w:rsidP="00C7073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Gallions</w:t>
                  </w:r>
                </w:p>
              </w:tc>
            </w:tr>
            <w:tr w:rsidR="00245370" w:rsidRPr="00634319" w:rsidTr="006C753C">
              <w:trPr>
                <w:trHeight w:val="212"/>
              </w:trPr>
              <w:tc>
                <w:tcPr>
                  <w:tcW w:w="1559" w:type="dxa"/>
                </w:tcPr>
                <w:p w:rsidR="00245370" w:rsidRPr="004E3A1C" w:rsidRDefault="00FE5736" w:rsidP="00C0290E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4819" w:type="dxa"/>
                </w:tcPr>
                <w:p w:rsidR="00245370" w:rsidRPr="004E3A1C" w:rsidRDefault="00770713" w:rsidP="00C0290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Housing Association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5370" w:rsidRPr="004E3A1C" w:rsidRDefault="00245370" w:rsidP="00FE573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  <w:r w:rsidR="00FE5736"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5370" w:rsidRPr="004E3A1C" w:rsidRDefault="00770713" w:rsidP="006B432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Clarion (ex-Circle stock)</w:t>
                  </w:r>
                </w:p>
              </w:tc>
            </w:tr>
            <w:tr w:rsidR="00245370" w:rsidRPr="00634319" w:rsidTr="006C753C">
              <w:trPr>
                <w:trHeight w:val="212"/>
              </w:trPr>
              <w:tc>
                <w:tcPr>
                  <w:tcW w:w="1559" w:type="dxa"/>
                </w:tcPr>
                <w:p w:rsidR="00245370" w:rsidRPr="004E3A1C" w:rsidRDefault="00FE5736" w:rsidP="00405169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:rsidR="00245370" w:rsidRPr="004E3A1C" w:rsidRDefault="00770713" w:rsidP="0040516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Housing Association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5370" w:rsidRPr="004E3A1C" w:rsidRDefault="00245370" w:rsidP="00FE573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  <w:r w:rsidR="00FE5736"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45370" w:rsidRDefault="00770713" w:rsidP="006B432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 Thames</w:t>
                  </w:r>
                </w:p>
              </w:tc>
            </w:tr>
            <w:tr w:rsidR="005357A2" w:rsidRPr="00634319" w:rsidTr="006C753C">
              <w:trPr>
                <w:trHeight w:val="212"/>
              </w:trPr>
              <w:tc>
                <w:tcPr>
                  <w:tcW w:w="1559" w:type="dxa"/>
                </w:tcPr>
                <w:p w:rsidR="005357A2" w:rsidRPr="004E3A1C" w:rsidRDefault="00FE5736" w:rsidP="00262FD1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819" w:type="dxa"/>
                </w:tcPr>
                <w:p w:rsidR="005357A2" w:rsidRPr="004E3A1C" w:rsidRDefault="00770713" w:rsidP="00262FD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57A2" w:rsidRDefault="00FE5736" w:rsidP="006B432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357A2" w:rsidRDefault="00770713" w:rsidP="006B432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Peabody</w:t>
                  </w:r>
                </w:p>
              </w:tc>
            </w:tr>
          </w:tbl>
          <w:p w:rsidR="002E48AA" w:rsidRDefault="002E48AA" w:rsidP="00C45EF6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46238" w:rsidTr="00BE0C39">
        <w:trPr>
          <w:trHeight w:val="4189"/>
        </w:trPr>
        <w:tc>
          <w:tcPr>
            <w:tcW w:w="15026" w:type="dxa"/>
            <w:tcBorders>
              <w:bottom w:val="single" w:sz="4" w:space="0" w:color="auto"/>
            </w:tcBorders>
          </w:tcPr>
          <w:p w:rsidR="000402DD" w:rsidRDefault="007142A2" w:rsidP="007142A2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920E34">
              <w:rPr>
                <w:noProof/>
                <w:color w:val="4F81BD" w:themeColor="accent1"/>
                <w:shd w:val="clear" w:color="auto" w:fill="00B050"/>
              </w:rPr>
              <w:drawing>
                <wp:inline distT="0" distB="0" distL="0" distR="0" wp14:anchorId="1060A6B9" wp14:editId="66E8CEC3">
                  <wp:extent cx="8559209" cy="1339703"/>
                  <wp:effectExtent l="0" t="0" r="0" b="0"/>
                  <wp:docPr id="8" name="Chart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tbl>
            <w:tblPr>
              <w:tblW w:w="12615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22"/>
              <w:gridCol w:w="4856"/>
              <w:gridCol w:w="1701"/>
              <w:gridCol w:w="4536"/>
            </w:tblGrid>
            <w:tr w:rsidR="000402DD" w:rsidRPr="00634319" w:rsidTr="00D3221C">
              <w:trPr>
                <w:trHeight w:val="201"/>
              </w:trPr>
              <w:tc>
                <w:tcPr>
                  <w:tcW w:w="1522" w:type="dxa"/>
                  <w:shd w:val="clear" w:color="auto" w:fill="17365D" w:themeFill="text2" w:themeFillShade="BF"/>
                </w:tcPr>
                <w:p w:rsidR="000402DD" w:rsidRPr="00936E88" w:rsidRDefault="000402DD" w:rsidP="00220AD7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856" w:type="dxa"/>
                  <w:shd w:val="clear" w:color="auto" w:fill="17365D" w:themeFill="text2" w:themeFillShade="BF"/>
                </w:tcPr>
                <w:p w:rsidR="000402DD" w:rsidRPr="00936E88" w:rsidRDefault="000402D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701" w:type="dxa"/>
                  <w:shd w:val="clear" w:color="auto" w:fill="17365D" w:themeFill="text2" w:themeFillShade="BF"/>
                </w:tcPr>
                <w:p w:rsidR="000402DD" w:rsidRPr="00936E88" w:rsidRDefault="000402D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536" w:type="dxa"/>
                  <w:shd w:val="clear" w:color="auto" w:fill="17365D" w:themeFill="text2" w:themeFillShade="BF"/>
                </w:tcPr>
                <w:p w:rsidR="000402DD" w:rsidRPr="00936E88" w:rsidRDefault="000402D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C11C40" w:rsidRPr="00634319" w:rsidTr="00234DDD">
              <w:trPr>
                <w:trHeight w:val="159"/>
              </w:trPr>
              <w:tc>
                <w:tcPr>
                  <w:tcW w:w="1522" w:type="dxa"/>
                </w:tcPr>
                <w:p w:rsidR="00C11C40" w:rsidRPr="00976B17" w:rsidRDefault="00C11C40" w:rsidP="00234DDD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56" w:type="dxa"/>
                </w:tcPr>
                <w:p w:rsidR="00C11C40" w:rsidRPr="00AC423E" w:rsidRDefault="00B905E7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11C40" w:rsidRPr="00976B17" w:rsidRDefault="00C11C40" w:rsidP="0038738E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11C40" w:rsidRPr="00AC423E" w:rsidRDefault="008933B1" w:rsidP="0038738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Gallions</w:t>
                  </w:r>
                </w:p>
              </w:tc>
            </w:tr>
            <w:tr w:rsidR="00C11C40" w:rsidRPr="00634319" w:rsidTr="00D3221C">
              <w:trPr>
                <w:trHeight w:val="254"/>
              </w:trPr>
              <w:tc>
                <w:tcPr>
                  <w:tcW w:w="1522" w:type="dxa"/>
                </w:tcPr>
                <w:p w:rsidR="00C11C40" w:rsidRPr="00976B17" w:rsidRDefault="00C11C40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4856" w:type="dxa"/>
                </w:tcPr>
                <w:p w:rsidR="00C11C40" w:rsidRPr="00AC423E" w:rsidRDefault="008933B1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C11C40" w:rsidRPr="00976B17" w:rsidRDefault="00C11C40" w:rsidP="00944E18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C11C40" w:rsidRPr="00AC423E" w:rsidRDefault="008933B1" w:rsidP="00944E18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Swan Housing Association</w:t>
                  </w:r>
                </w:p>
              </w:tc>
            </w:tr>
            <w:tr w:rsidR="00C11C40" w:rsidRPr="00634319" w:rsidTr="00D3221C">
              <w:trPr>
                <w:trHeight w:val="179"/>
              </w:trPr>
              <w:tc>
                <w:tcPr>
                  <w:tcW w:w="1522" w:type="dxa"/>
                </w:tcPr>
                <w:p w:rsidR="00C11C40" w:rsidRPr="00976B17" w:rsidRDefault="00C11C40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4856" w:type="dxa"/>
                </w:tcPr>
                <w:p w:rsidR="00C11C40" w:rsidRPr="00AC423E" w:rsidRDefault="008933B1" w:rsidP="008933B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Spitalfield</w:t>
                  </w:r>
                  <w:r w:rsidR="00827D4B">
                    <w:rPr>
                      <w:rFonts w:asciiTheme="minorHAnsi" w:hAnsiTheme="minorHAnsi"/>
                    </w:rPr>
                    <w:t>s</w:t>
                  </w:r>
                  <w:r>
                    <w:rPr>
                      <w:rFonts w:asciiTheme="minorHAnsi" w:hAnsiTheme="minorHAnsi"/>
                    </w:rPr>
                    <w:t xml:space="preserve"> Housing Association 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11C40" w:rsidRPr="00C11C40" w:rsidRDefault="00C11C40" w:rsidP="00944E18">
                  <w:pPr>
                    <w:ind w:left="27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C11C4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11C40" w:rsidRPr="00AC423E" w:rsidRDefault="008933B1" w:rsidP="00944E18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Peabody </w:t>
                  </w:r>
                </w:p>
              </w:tc>
            </w:tr>
            <w:tr w:rsidR="00C11C40" w:rsidRPr="00634319" w:rsidTr="000263E3">
              <w:trPr>
                <w:trHeight w:val="212"/>
              </w:trPr>
              <w:tc>
                <w:tcPr>
                  <w:tcW w:w="1522" w:type="dxa"/>
                </w:tcPr>
                <w:p w:rsidR="00C11C40" w:rsidRPr="008F304E" w:rsidRDefault="00C11C40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8F304E"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4856" w:type="dxa"/>
                </w:tcPr>
                <w:p w:rsidR="00C11C40" w:rsidRPr="008F304E" w:rsidRDefault="008933B1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40" w:rsidRPr="00062BED" w:rsidRDefault="00C11C40" w:rsidP="00944E18">
                  <w:pPr>
                    <w:ind w:left="27"/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062BED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40" w:rsidRPr="00AC423E" w:rsidRDefault="008933B1" w:rsidP="00944E18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Genesis HA</w:t>
                  </w:r>
                </w:p>
              </w:tc>
            </w:tr>
            <w:tr w:rsidR="00C11C40" w:rsidRPr="00634319" w:rsidTr="000263E3">
              <w:trPr>
                <w:trHeight w:val="212"/>
              </w:trPr>
              <w:tc>
                <w:tcPr>
                  <w:tcW w:w="1522" w:type="dxa"/>
                </w:tcPr>
                <w:p w:rsidR="00C11C40" w:rsidRPr="00500595" w:rsidRDefault="00C11C40" w:rsidP="0066319C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500595"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4856" w:type="dxa"/>
                </w:tcPr>
                <w:p w:rsidR="00C11C40" w:rsidRPr="00AC423E" w:rsidRDefault="008933B1" w:rsidP="0066319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40" w:rsidRPr="00C11C40" w:rsidRDefault="00C11C40" w:rsidP="006B432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C11C40">
                    <w:rPr>
                      <w:rFonts w:asciiTheme="minorHAnsi" w:hAnsiTheme="minorHAnsi"/>
                      <w:b/>
                    </w:rPr>
                    <w:t>12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40" w:rsidRPr="00AC423E" w:rsidRDefault="008933B1" w:rsidP="006B432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Southern Housing Group</w:t>
                  </w:r>
                </w:p>
              </w:tc>
            </w:tr>
            <w:tr w:rsidR="00C11C40" w:rsidRPr="00634319" w:rsidTr="000263E3">
              <w:trPr>
                <w:trHeight w:val="212"/>
              </w:trPr>
              <w:tc>
                <w:tcPr>
                  <w:tcW w:w="1522" w:type="dxa"/>
                </w:tcPr>
                <w:p w:rsidR="00C11C40" w:rsidRPr="00976B17" w:rsidRDefault="00C11C40" w:rsidP="005D489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856" w:type="dxa"/>
                </w:tcPr>
                <w:p w:rsidR="00C11C40" w:rsidRPr="00AC423E" w:rsidRDefault="008933B1" w:rsidP="005D489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40" w:rsidRPr="00C11C40" w:rsidRDefault="00C11C40" w:rsidP="006B432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C11C40">
                    <w:rPr>
                      <w:rFonts w:asciiTheme="minorHAnsi" w:hAnsiTheme="minorHAnsi"/>
                      <w:b/>
                    </w:rPr>
                    <w:t>13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40" w:rsidRPr="00AC423E" w:rsidRDefault="008933B1" w:rsidP="006B432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Clarion (ex-circle stock)</w:t>
                  </w:r>
                </w:p>
              </w:tc>
            </w:tr>
            <w:tr w:rsidR="00C11C40" w:rsidRPr="00634319" w:rsidTr="000263E3">
              <w:trPr>
                <w:trHeight w:val="212"/>
              </w:trPr>
              <w:tc>
                <w:tcPr>
                  <w:tcW w:w="1522" w:type="dxa"/>
                </w:tcPr>
                <w:p w:rsidR="00C11C40" w:rsidRPr="00976B17" w:rsidRDefault="00C11C40" w:rsidP="00311DC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856" w:type="dxa"/>
                </w:tcPr>
                <w:p w:rsidR="00C11C40" w:rsidRPr="00AC423E" w:rsidRDefault="008933B1" w:rsidP="00311DC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40" w:rsidRPr="00C11C40" w:rsidRDefault="008933B1" w:rsidP="006B432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11C40" w:rsidRDefault="008933B1" w:rsidP="006B432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 Thames</w:t>
                  </w:r>
                </w:p>
              </w:tc>
            </w:tr>
          </w:tbl>
          <w:p w:rsidR="00346238" w:rsidRPr="00C40519" w:rsidRDefault="00346238" w:rsidP="000402DD">
            <w:pPr>
              <w:rPr>
                <w:noProof/>
                <w:color w:val="FFFF00"/>
                <w:highlight w:val="green"/>
                <w:shd w:val="clear" w:color="auto" w:fill="00B050"/>
              </w:rPr>
            </w:pPr>
          </w:p>
        </w:tc>
      </w:tr>
    </w:tbl>
    <w:p w:rsidR="00BE53DE" w:rsidRPr="00346238" w:rsidRDefault="00BE53DE" w:rsidP="00BE53D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THHF -</w:t>
      </w:r>
      <w:r w:rsidRPr="00346238">
        <w:rPr>
          <w:rFonts w:asciiTheme="minorHAnsi" w:hAnsiTheme="minorHAnsi"/>
          <w:b/>
          <w:sz w:val="28"/>
          <w:szCs w:val="28"/>
        </w:rPr>
        <w:t xml:space="preserve"> Benchmarking Report   -   Q</w:t>
      </w:r>
      <w:r w:rsidR="00200937">
        <w:rPr>
          <w:rFonts w:asciiTheme="minorHAnsi" w:hAnsiTheme="minorHAnsi"/>
          <w:b/>
          <w:sz w:val="28"/>
          <w:szCs w:val="28"/>
        </w:rPr>
        <w:t>4</w:t>
      </w:r>
      <w:r w:rsidRPr="00346238">
        <w:rPr>
          <w:rFonts w:asciiTheme="minorHAnsi" w:hAnsiTheme="minorHAnsi"/>
          <w:b/>
          <w:sz w:val="28"/>
          <w:szCs w:val="28"/>
        </w:rPr>
        <w:t xml:space="preserve"> (2016/17)               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6"/>
      </w:tblGrid>
      <w:tr w:rsidR="002B52CD" w:rsidTr="00D21854">
        <w:trPr>
          <w:trHeight w:val="4411"/>
        </w:trPr>
        <w:tc>
          <w:tcPr>
            <w:tcW w:w="15026" w:type="dxa"/>
            <w:tcBorders>
              <w:bottom w:val="single" w:sz="4" w:space="0" w:color="auto"/>
            </w:tcBorders>
          </w:tcPr>
          <w:p w:rsidR="002B52CD" w:rsidRDefault="002F2D09" w:rsidP="00DE763C">
            <w:pPr>
              <w:jc w:val="center"/>
              <w:rPr>
                <w:rFonts w:asciiTheme="minorHAnsi" w:hAnsiTheme="minorHAnsi"/>
                <w:b/>
                <w:noProof/>
                <w:shd w:val="clear" w:color="auto" w:fill="00B050"/>
              </w:rPr>
            </w:pPr>
            <w:r>
              <w:rPr>
                <w:rFonts w:asciiTheme="minorHAnsi" w:hAnsiTheme="minorHAnsi"/>
                <w:b/>
                <w:noProof/>
                <w:highlight w:val="lightGray"/>
                <w:shd w:val="clear" w:color="auto" w:fill="00B050"/>
              </w:rPr>
              <w:t>A</w:t>
            </w:r>
            <w:r w:rsidR="00DF6C16" w:rsidRPr="00DE763C">
              <w:rPr>
                <w:rFonts w:asciiTheme="minorHAnsi" w:hAnsiTheme="minorHAnsi"/>
                <w:b/>
                <w:noProof/>
                <w:highlight w:val="lightGray"/>
                <w:shd w:val="clear" w:color="auto" w:fill="00B050"/>
              </w:rPr>
              <w:t>ppointments kept as</w:t>
            </w:r>
            <w:r>
              <w:rPr>
                <w:rFonts w:asciiTheme="minorHAnsi" w:hAnsiTheme="minorHAnsi"/>
                <w:b/>
                <w:noProof/>
                <w:highlight w:val="lightGray"/>
                <w:shd w:val="clear" w:color="auto" w:fill="00B050"/>
              </w:rPr>
              <w:t xml:space="preserve"> a</w:t>
            </w:r>
            <w:r w:rsidR="00DF6C16" w:rsidRPr="00DE763C">
              <w:rPr>
                <w:rFonts w:asciiTheme="minorHAnsi" w:hAnsiTheme="minorHAnsi"/>
                <w:b/>
                <w:noProof/>
                <w:highlight w:val="lightGray"/>
                <w:shd w:val="clear" w:color="auto" w:fill="00B050"/>
              </w:rPr>
              <w:t xml:space="preserve"> %</w:t>
            </w:r>
            <w:r>
              <w:rPr>
                <w:rFonts w:asciiTheme="minorHAnsi" w:hAnsiTheme="minorHAnsi"/>
                <w:b/>
                <w:noProof/>
                <w:highlight w:val="lightGray"/>
                <w:shd w:val="clear" w:color="auto" w:fill="00B050"/>
              </w:rPr>
              <w:t>.</w:t>
            </w:r>
            <w:r w:rsidR="00DF6C16" w:rsidRPr="00DE763C">
              <w:rPr>
                <w:rFonts w:asciiTheme="minorHAnsi" w:hAnsiTheme="minorHAnsi"/>
                <w:b/>
                <w:noProof/>
                <w:highlight w:val="lightGray"/>
                <w:shd w:val="clear" w:color="auto" w:fill="00B050"/>
              </w:rPr>
              <w:t xml:space="preserve"> </w:t>
            </w:r>
            <w:r w:rsidR="00FE2881" w:rsidRPr="00DE763C">
              <w:rPr>
                <w:rFonts w:asciiTheme="minorHAnsi" w:hAnsiTheme="minorHAnsi"/>
                <w:b/>
                <w:noProof/>
                <w:highlight w:val="lightGray"/>
                <w:shd w:val="clear" w:color="auto" w:fill="00B050"/>
              </w:rPr>
              <w:t xml:space="preserve">of </w:t>
            </w:r>
            <w:r w:rsidR="00DF6C16" w:rsidRPr="00DE763C">
              <w:rPr>
                <w:rFonts w:asciiTheme="minorHAnsi" w:hAnsiTheme="minorHAnsi"/>
                <w:b/>
                <w:noProof/>
                <w:highlight w:val="lightGray"/>
                <w:shd w:val="clear" w:color="auto" w:fill="00B050"/>
              </w:rPr>
              <w:t>appointments made</w:t>
            </w:r>
          </w:p>
          <w:p w:rsidR="00FE2881" w:rsidRPr="001558EF" w:rsidRDefault="00FE2881" w:rsidP="00093039">
            <w:pPr>
              <w:jc w:val="center"/>
              <w:rPr>
                <w:noProof/>
                <w:color w:val="4F81BD" w:themeColor="accent1"/>
                <w:shd w:val="clear" w:color="auto" w:fill="00B050"/>
              </w:rPr>
            </w:pPr>
            <w:r w:rsidRPr="001558EF">
              <w:rPr>
                <w:noProof/>
                <w:color w:val="4F81BD" w:themeColor="accent1"/>
                <w:shd w:val="clear" w:color="auto" w:fill="00B050"/>
              </w:rPr>
              <w:drawing>
                <wp:inline distT="0" distB="0" distL="0" distR="0" wp14:anchorId="32DDE801" wp14:editId="061A44D6">
                  <wp:extent cx="7995683" cy="1041991"/>
                  <wp:effectExtent l="0" t="0" r="5715" b="6350"/>
                  <wp:docPr id="26" name="Chart 2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tbl>
            <w:tblPr>
              <w:tblW w:w="12615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9"/>
              <w:gridCol w:w="4819"/>
              <w:gridCol w:w="1701"/>
              <w:gridCol w:w="4536"/>
            </w:tblGrid>
            <w:tr w:rsidR="002B52CD" w:rsidRPr="00634319" w:rsidTr="00DE763C">
              <w:trPr>
                <w:trHeight w:val="201"/>
              </w:trPr>
              <w:tc>
                <w:tcPr>
                  <w:tcW w:w="1559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819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701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536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2A55A6" w:rsidRPr="00634319" w:rsidTr="009E7AB8">
              <w:trPr>
                <w:trHeight w:val="212"/>
              </w:trPr>
              <w:tc>
                <w:tcPr>
                  <w:tcW w:w="1559" w:type="dxa"/>
                </w:tcPr>
                <w:p w:rsidR="002A55A6" w:rsidRPr="00976B17" w:rsidRDefault="002A55A6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2A55A6" w:rsidRPr="00603CC4" w:rsidRDefault="002A55A6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976B17" w:rsidRDefault="002A55A6" w:rsidP="00281D6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603CC4" w:rsidRDefault="002A55A6" w:rsidP="00281D6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</w:tr>
            <w:tr w:rsidR="002A55A6" w:rsidRPr="00634319" w:rsidTr="00913B2D">
              <w:trPr>
                <w:trHeight w:val="255"/>
              </w:trPr>
              <w:tc>
                <w:tcPr>
                  <w:tcW w:w="1559" w:type="dxa"/>
                </w:tcPr>
                <w:p w:rsidR="002A55A6" w:rsidRPr="00976B17" w:rsidRDefault="002A55A6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2A55A6" w:rsidRPr="00603CC4" w:rsidRDefault="002A55A6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976B17" w:rsidRDefault="002A55A6" w:rsidP="00281D6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603CC4" w:rsidRDefault="002A55A6" w:rsidP="00281D6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Gallions </w:t>
                  </w:r>
                </w:p>
              </w:tc>
            </w:tr>
            <w:tr w:rsidR="002A55A6" w:rsidRPr="00634319" w:rsidTr="009E7AB8">
              <w:trPr>
                <w:trHeight w:val="212"/>
              </w:trPr>
              <w:tc>
                <w:tcPr>
                  <w:tcW w:w="1559" w:type="dxa"/>
                </w:tcPr>
                <w:p w:rsidR="002A55A6" w:rsidRPr="00976B17" w:rsidRDefault="002A55A6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</w:tcPr>
                <w:p w:rsidR="002A55A6" w:rsidRPr="00603CC4" w:rsidRDefault="002A55A6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Spitalfield</w:t>
                  </w:r>
                  <w:r w:rsidR="00827D4B">
                    <w:rPr>
                      <w:rFonts w:asciiTheme="minorHAnsi" w:hAnsiTheme="minorHAnsi"/>
                    </w:rPr>
                    <w:t>s</w:t>
                  </w:r>
                  <w:r>
                    <w:rPr>
                      <w:rFonts w:asciiTheme="minorHAnsi" w:hAnsiTheme="minorHAnsi"/>
                    </w:rPr>
                    <w:t xml:space="preserve"> Housing Association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976B17" w:rsidRDefault="002A55A6" w:rsidP="00281D6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10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603CC4" w:rsidRDefault="002A55A6" w:rsidP="00281D6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Peabody </w:t>
                  </w:r>
                </w:p>
              </w:tc>
            </w:tr>
            <w:tr w:rsidR="002A55A6" w:rsidRPr="00634319" w:rsidTr="00DE12E5">
              <w:trPr>
                <w:trHeight w:val="212"/>
              </w:trPr>
              <w:tc>
                <w:tcPr>
                  <w:tcW w:w="1559" w:type="dxa"/>
                </w:tcPr>
                <w:p w:rsidR="002A55A6" w:rsidRPr="00976B17" w:rsidRDefault="002A55A6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</w:tcPr>
                <w:p w:rsidR="002A55A6" w:rsidRPr="00603CC4" w:rsidRDefault="002A55A6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Genesis HA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976B17" w:rsidRDefault="002A55A6" w:rsidP="00281D6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11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603CC4" w:rsidRDefault="002A55A6" w:rsidP="00281D6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East Thames </w:t>
                  </w:r>
                </w:p>
              </w:tc>
            </w:tr>
            <w:tr w:rsidR="002A55A6" w:rsidRPr="00634319" w:rsidTr="00BC0FF7">
              <w:trPr>
                <w:trHeight w:val="212"/>
              </w:trPr>
              <w:tc>
                <w:tcPr>
                  <w:tcW w:w="1559" w:type="dxa"/>
                </w:tcPr>
                <w:p w:rsidR="002A55A6" w:rsidRPr="007F2DBD" w:rsidRDefault="002A55A6" w:rsidP="004B7014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4819" w:type="dxa"/>
                </w:tcPr>
                <w:p w:rsidR="002A55A6" w:rsidRPr="007F2DBD" w:rsidRDefault="002A55A6" w:rsidP="004B701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Homes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B62140" w:rsidRDefault="002A55A6" w:rsidP="00281D6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B62140">
                    <w:rPr>
                      <w:rFonts w:asciiTheme="minorHAnsi" w:hAnsiTheme="minorHAnsi"/>
                      <w:b/>
                    </w:rPr>
                    <w:t>1</w:t>
                  </w: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603CC4" w:rsidRDefault="002A55A6" w:rsidP="00281D6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Housing Association</w:t>
                  </w:r>
                </w:p>
              </w:tc>
            </w:tr>
            <w:tr w:rsidR="002A55A6" w:rsidRPr="00634319" w:rsidTr="002A55A6">
              <w:trPr>
                <w:trHeight w:val="212"/>
              </w:trPr>
              <w:tc>
                <w:tcPr>
                  <w:tcW w:w="1559" w:type="dxa"/>
                </w:tcPr>
                <w:p w:rsidR="002A55A6" w:rsidRPr="00976B17" w:rsidRDefault="002A55A6" w:rsidP="009828F3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819" w:type="dxa"/>
                </w:tcPr>
                <w:p w:rsidR="002A55A6" w:rsidRPr="00603CC4" w:rsidRDefault="002A55A6" w:rsidP="001A034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Eastend Homes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B62140" w:rsidRDefault="002A55A6" w:rsidP="00281D6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Default="002A55A6" w:rsidP="00281D6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Clarion (ex-circle stock)</w:t>
                  </w:r>
                </w:p>
              </w:tc>
            </w:tr>
            <w:tr w:rsidR="002A55A6" w:rsidRPr="00634319" w:rsidTr="00BC0FF7">
              <w:trPr>
                <w:trHeight w:val="212"/>
              </w:trPr>
              <w:tc>
                <w:tcPr>
                  <w:tcW w:w="1559" w:type="dxa"/>
                </w:tcPr>
                <w:p w:rsidR="002A55A6" w:rsidRPr="00976B17" w:rsidRDefault="002A55A6" w:rsidP="00464C6F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819" w:type="dxa"/>
                  <w:tcBorders>
                    <w:bottom w:val="single" w:sz="4" w:space="0" w:color="auto"/>
                  </w:tcBorders>
                </w:tcPr>
                <w:p w:rsidR="002A55A6" w:rsidRPr="00603CC4" w:rsidRDefault="002A55A6" w:rsidP="00464C6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Swan Housing Association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Pr="00B62140" w:rsidRDefault="002A55A6" w:rsidP="004B6B2D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A55A6" w:rsidRDefault="002A55A6" w:rsidP="004B6B2D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2B52CD" w:rsidRDefault="002B52CD" w:rsidP="00220A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52CD" w:rsidTr="00913B2D">
        <w:trPr>
          <w:trHeight w:val="78"/>
        </w:trPr>
        <w:tc>
          <w:tcPr>
            <w:tcW w:w="15026" w:type="dxa"/>
          </w:tcPr>
          <w:p w:rsidR="00B47B78" w:rsidRPr="009B0F73" w:rsidRDefault="00B47B78" w:rsidP="00CB03E3">
            <w:pPr>
              <w:jc w:val="center"/>
              <w:rPr>
                <w:rFonts w:asciiTheme="minorHAnsi" w:hAnsiTheme="minorHAnsi"/>
              </w:rPr>
            </w:pPr>
            <w:r w:rsidRPr="00093039">
              <w:rPr>
                <w:rFonts w:asciiTheme="minorHAnsi" w:hAnsiTheme="minorHAnsi"/>
                <w:b/>
                <w:bCs/>
                <w:highlight w:val="lightGray"/>
              </w:rPr>
              <w:t xml:space="preserve">%. </w:t>
            </w:r>
            <w:r w:rsidR="00F94A22">
              <w:rPr>
                <w:rFonts w:asciiTheme="minorHAnsi" w:hAnsiTheme="minorHAnsi"/>
                <w:b/>
                <w:bCs/>
                <w:highlight w:val="lightGray"/>
              </w:rPr>
              <w:t xml:space="preserve">of </w:t>
            </w:r>
            <w:r w:rsidR="00DF6C16">
              <w:rPr>
                <w:rFonts w:asciiTheme="minorHAnsi" w:hAnsiTheme="minorHAnsi"/>
                <w:b/>
                <w:bCs/>
                <w:highlight w:val="lightGray"/>
              </w:rPr>
              <w:t>properties with a valid gas safety certificate</w:t>
            </w:r>
          </w:p>
          <w:p w:rsidR="00B47B78" w:rsidRDefault="00B47B78" w:rsidP="00B47B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50331A">
              <w:rPr>
                <w:noProof/>
                <w:color w:val="FFFF00"/>
              </w:rPr>
              <w:drawing>
                <wp:inline distT="0" distB="0" distL="0" distR="0" wp14:anchorId="700DA04A" wp14:editId="55CB264D">
                  <wp:extent cx="8293395" cy="1084521"/>
                  <wp:effectExtent l="0" t="0" r="0" b="1905"/>
                  <wp:docPr id="28" name="Chart 2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tbl>
            <w:tblPr>
              <w:tblW w:w="12615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9"/>
              <w:gridCol w:w="4819"/>
              <w:gridCol w:w="1701"/>
              <w:gridCol w:w="4536"/>
            </w:tblGrid>
            <w:tr w:rsidR="002B52CD" w:rsidRPr="00634319" w:rsidTr="008B10AA">
              <w:trPr>
                <w:trHeight w:val="201"/>
              </w:trPr>
              <w:tc>
                <w:tcPr>
                  <w:tcW w:w="1559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819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701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536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6A123C" w:rsidRPr="00634319" w:rsidTr="001E65D2">
              <w:trPr>
                <w:trHeight w:val="239"/>
              </w:trPr>
              <w:tc>
                <w:tcPr>
                  <w:tcW w:w="1559" w:type="dxa"/>
                </w:tcPr>
                <w:p w:rsidR="006A123C" w:rsidRPr="00976B17" w:rsidRDefault="006A123C" w:rsidP="001E65D2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A123C" w:rsidRPr="00603CC4" w:rsidRDefault="006A123C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Gateway HA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A123C" w:rsidRPr="00976B17" w:rsidRDefault="006A123C" w:rsidP="00F20BD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6A123C" w:rsidRPr="00603CC4" w:rsidRDefault="006A123C" w:rsidP="00F20BD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Swan Housing Association</w:t>
                  </w:r>
                </w:p>
              </w:tc>
            </w:tr>
            <w:tr w:rsidR="006A123C" w:rsidRPr="00634319" w:rsidTr="008B10AA">
              <w:trPr>
                <w:trHeight w:val="254"/>
              </w:trPr>
              <w:tc>
                <w:tcPr>
                  <w:tcW w:w="1559" w:type="dxa"/>
                </w:tcPr>
                <w:p w:rsidR="006A123C" w:rsidRPr="00976B17" w:rsidRDefault="006A123C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A123C" w:rsidRPr="00603CC4" w:rsidRDefault="006A123C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Gallions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A123C" w:rsidRPr="00976B17" w:rsidRDefault="006A123C" w:rsidP="00F20BD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:rsidR="006A123C" w:rsidRPr="00976B17" w:rsidRDefault="006A123C" w:rsidP="00F20BD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Peabody </w:t>
                  </w:r>
                </w:p>
              </w:tc>
            </w:tr>
            <w:tr w:rsidR="006A123C" w:rsidRPr="00634319" w:rsidTr="008B10AA">
              <w:trPr>
                <w:trHeight w:val="179"/>
              </w:trPr>
              <w:tc>
                <w:tcPr>
                  <w:tcW w:w="1559" w:type="dxa"/>
                </w:tcPr>
                <w:p w:rsidR="006A123C" w:rsidRPr="00976B17" w:rsidRDefault="006A123C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A123C" w:rsidRPr="00603CC4" w:rsidRDefault="006A123C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23C" w:rsidRPr="00976B17" w:rsidRDefault="006A123C" w:rsidP="00F20BD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6A123C" w:rsidRPr="00976B17" w:rsidRDefault="006A123C" w:rsidP="00F20BD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Genesis Housing Association</w:t>
                  </w:r>
                </w:p>
              </w:tc>
            </w:tr>
            <w:tr w:rsidR="006A123C" w:rsidRPr="00634319" w:rsidTr="008B10AA">
              <w:trPr>
                <w:trHeight w:val="212"/>
              </w:trPr>
              <w:tc>
                <w:tcPr>
                  <w:tcW w:w="1559" w:type="dxa"/>
                </w:tcPr>
                <w:p w:rsidR="006A123C" w:rsidRPr="00976B17" w:rsidRDefault="006A123C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A123C" w:rsidRPr="00603CC4" w:rsidRDefault="006A123C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Community Housing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Pr="00976B17" w:rsidRDefault="006A123C" w:rsidP="00F20BD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Pr="00976B17" w:rsidRDefault="006A123C" w:rsidP="00F20BD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Eastend Homes </w:t>
                  </w:r>
                </w:p>
              </w:tc>
            </w:tr>
            <w:tr w:rsidR="006A123C" w:rsidRPr="00634319" w:rsidTr="008B10AA">
              <w:trPr>
                <w:trHeight w:val="212"/>
              </w:trPr>
              <w:tc>
                <w:tcPr>
                  <w:tcW w:w="1559" w:type="dxa"/>
                </w:tcPr>
                <w:p w:rsidR="006A123C" w:rsidRPr="00603CC4" w:rsidRDefault="006A123C" w:rsidP="00220AD7">
                  <w:pPr>
                    <w:ind w:left="27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603CC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A123C" w:rsidRPr="00603CC4" w:rsidRDefault="006A123C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 Thames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Pr="00976B17" w:rsidRDefault="006A123C" w:rsidP="00F20BD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Pr="00976B17" w:rsidRDefault="006A123C" w:rsidP="00F20BD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</w:tr>
            <w:tr w:rsidR="006A123C" w:rsidRPr="00634319" w:rsidTr="00913B2D">
              <w:trPr>
                <w:trHeight w:val="263"/>
              </w:trPr>
              <w:tc>
                <w:tcPr>
                  <w:tcW w:w="1559" w:type="dxa"/>
                </w:tcPr>
                <w:p w:rsidR="006A123C" w:rsidRPr="00976B17" w:rsidRDefault="006A123C" w:rsidP="006453D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A123C" w:rsidRPr="00603CC4" w:rsidRDefault="006A123C" w:rsidP="006453D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Default="006A123C" w:rsidP="00F20BD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Default="006A123C" w:rsidP="00F20BD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Clarion (ex-circle stock)</w:t>
                  </w:r>
                </w:p>
              </w:tc>
            </w:tr>
            <w:tr w:rsidR="006A123C" w:rsidRPr="00634319" w:rsidTr="006A123C">
              <w:trPr>
                <w:trHeight w:val="218"/>
              </w:trPr>
              <w:tc>
                <w:tcPr>
                  <w:tcW w:w="1559" w:type="dxa"/>
                </w:tcPr>
                <w:p w:rsidR="006A123C" w:rsidRPr="00976B17" w:rsidRDefault="006A123C" w:rsidP="00E1158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A123C" w:rsidRPr="00603CC4" w:rsidRDefault="006A123C" w:rsidP="00E1158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Default="006A123C" w:rsidP="006B432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Default="006A123C" w:rsidP="006B432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Southern Housing Group</w:t>
                  </w:r>
                </w:p>
              </w:tc>
            </w:tr>
            <w:tr w:rsidR="006A123C" w:rsidRPr="00634319" w:rsidTr="002C3950">
              <w:trPr>
                <w:trHeight w:val="218"/>
              </w:trPr>
              <w:tc>
                <w:tcPr>
                  <w:tcW w:w="1559" w:type="dxa"/>
                </w:tcPr>
                <w:p w:rsidR="006A123C" w:rsidRPr="00E37068" w:rsidRDefault="006A123C" w:rsidP="002147D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6A123C" w:rsidRPr="00E37068" w:rsidRDefault="006A123C" w:rsidP="002147DA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Spitalfield</w:t>
                  </w:r>
                  <w:r w:rsidR="00827D4B">
                    <w:rPr>
                      <w:rFonts w:asciiTheme="minorHAnsi" w:hAnsiTheme="minorHAnsi"/>
                    </w:rPr>
                    <w:t>s</w:t>
                  </w:r>
                  <w:r>
                    <w:rPr>
                      <w:rFonts w:asciiTheme="minorHAnsi" w:hAnsiTheme="minorHAnsi"/>
                    </w:rPr>
                    <w:t xml:space="preserve"> Housing Association 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Default="006A123C" w:rsidP="006B432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536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A123C" w:rsidRDefault="006A123C" w:rsidP="006B4326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2B52CD" w:rsidRDefault="002B52CD" w:rsidP="00220A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E53DE" w:rsidRPr="00346238" w:rsidRDefault="00BE53DE" w:rsidP="00BE53DE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lastRenderedPageBreak/>
        <w:t>THHF -</w:t>
      </w:r>
      <w:r w:rsidRPr="00346238">
        <w:rPr>
          <w:rFonts w:asciiTheme="minorHAnsi" w:hAnsiTheme="minorHAnsi"/>
          <w:b/>
          <w:sz w:val="28"/>
          <w:szCs w:val="28"/>
        </w:rPr>
        <w:t xml:space="preserve"> Benchmarking Report   -   Q</w:t>
      </w:r>
      <w:r w:rsidR="00A11EE2">
        <w:rPr>
          <w:rFonts w:asciiTheme="minorHAnsi" w:hAnsiTheme="minorHAnsi"/>
          <w:b/>
          <w:sz w:val="28"/>
          <w:szCs w:val="28"/>
        </w:rPr>
        <w:t>4</w:t>
      </w:r>
      <w:r w:rsidRPr="00346238">
        <w:rPr>
          <w:rFonts w:asciiTheme="minorHAnsi" w:hAnsiTheme="minorHAnsi"/>
          <w:b/>
          <w:sz w:val="28"/>
          <w:szCs w:val="28"/>
        </w:rPr>
        <w:t xml:space="preserve"> (2016/17)               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2B52CD" w:rsidTr="006023AB">
        <w:trPr>
          <w:trHeight w:val="3767"/>
        </w:trPr>
        <w:tc>
          <w:tcPr>
            <w:tcW w:w="15167" w:type="dxa"/>
          </w:tcPr>
          <w:p w:rsidR="002B52CD" w:rsidRDefault="002B52CD" w:rsidP="00FE70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27DD4">
              <w:rPr>
                <w:noProof/>
                <w:color w:val="FFFF00"/>
                <w:shd w:val="clear" w:color="auto" w:fill="D9D9D9" w:themeFill="background1" w:themeFillShade="D9"/>
              </w:rPr>
              <w:drawing>
                <wp:inline distT="0" distB="0" distL="0" distR="0" wp14:anchorId="18B4B598" wp14:editId="67A759BD">
                  <wp:extent cx="8537944" cy="1520456"/>
                  <wp:effectExtent l="0" t="0" r="0" b="3810"/>
                  <wp:docPr id="31" name="Chart 3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tbl>
            <w:tblPr>
              <w:tblW w:w="12615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59"/>
              <w:gridCol w:w="4819"/>
              <w:gridCol w:w="1560"/>
              <w:gridCol w:w="4677"/>
            </w:tblGrid>
            <w:tr w:rsidR="002B52CD" w:rsidRPr="00634319" w:rsidTr="008B10AA">
              <w:trPr>
                <w:trHeight w:val="201"/>
              </w:trPr>
              <w:tc>
                <w:tcPr>
                  <w:tcW w:w="1559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819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560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677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180303" w:rsidRPr="00634319" w:rsidTr="00A11EE2">
              <w:trPr>
                <w:trHeight w:val="267"/>
              </w:trPr>
              <w:tc>
                <w:tcPr>
                  <w:tcW w:w="1559" w:type="dxa"/>
                </w:tcPr>
                <w:p w:rsidR="00180303" w:rsidRPr="00976B17" w:rsidRDefault="00180303" w:rsidP="00602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976B17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180303" w:rsidRPr="00976B17" w:rsidRDefault="00180303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80303" w:rsidRPr="00E37068" w:rsidRDefault="00180303" w:rsidP="009738C8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180303" w:rsidRPr="00E37068" w:rsidRDefault="00180303" w:rsidP="00C43C5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Peabody </w:t>
                  </w:r>
                </w:p>
              </w:tc>
            </w:tr>
            <w:tr w:rsidR="00180303" w:rsidRPr="00634319" w:rsidTr="008B10AA">
              <w:trPr>
                <w:trHeight w:val="254"/>
              </w:trPr>
              <w:tc>
                <w:tcPr>
                  <w:tcW w:w="1559" w:type="dxa"/>
                </w:tcPr>
                <w:p w:rsidR="00180303" w:rsidRPr="00976B17" w:rsidRDefault="00180303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180303" w:rsidRPr="00976B17" w:rsidRDefault="00180303" w:rsidP="00A11EE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Spitalfield</w:t>
                  </w:r>
                  <w:r w:rsidR="00827D4B">
                    <w:rPr>
                      <w:rFonts w:asciiTheme="minorHAnsi" w:hAnsiTheme="minorHAnsi"/>
                    </w:rPr>
                    <w:t>s</w:t>
                  </w:r>
                  <w:r>
                    <w:rPr>
                      <w:rFonts w:asciiTheme="minorHAnsi" w:hAnsiTheme="minorHAnsi"/>
                    </w:rPr>
                    <w:t xml:space="preserve"> Housing Association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80303" w:rsidRPr="00E37068" w:rsidRDefault="00180303" w:rsidP="009738C8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180303" w:rsidRPr="00E37068" w:rsidRDefault="00180303" w:rsidP="00C43C5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Southern Housing Group</w:t>
                  </w:r>
                </w:p>
              </w:tc>
            </w:tr>
            <w:tr w:rsidR="00180303" w:rsidRPr="00634319" w:rsidTr="00BE15E8">
              <w:trPr>
                <w:trHeight w:val="179"/>
              </w:trPr>
              <w:tc>
                <w:tcPr>
                  <w:tcW w:w="1559" w:type="dxa"/>
                </w:tcPr>
                <w:p w:rsidR="00180303" w:rsidRPr="00976B17" w:rsidRDefault="00180303" w:rsidP="00A11EE2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819" w:type="dxa"/>
                </w:tcPr>
                <w:p w:rsidR="00180303" w:rsidRPr="00976B17" w:rsidRDefault="00180303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80303" w:rsidRPr="00E37068" w:rsidRDefault="00180303" w:rsidP="009738C8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180303" w:rsidRPr="00E37068" w:rsidRDefault="00180303" w:rsidP="00C43C5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Homes </w:t>
                  </w:r>
                </w:p>
              </w:tc>
            </w:tr>
            <w:tr w:rsidR="00180303" w:rsidRPr="00634319" w:rsidTr="001E4F85">
              <w:trPr>
                <w:trHeight w:val="179"/>
              </w:trPr>
              <w:tc>
                <w:tcPr>
                  <w:tcW w:w="1559" w:type="dxa"/>
                </w:tcPr>
                <w:p w:rsidR="00180303" w:rsidRPr="00976B17" w:rsidRDefault="00180303" w:rsidP="00A11EE2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4819" w:type="dxa"/>
                </w:tcPr>
                <w:p w:rsidR="00180303" w:rsidRPr="00976B17" w:rsidRDefault="00180303" w:rsidP="00C1392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Gallions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80303" w:rsidRDefault="00180303" w:rsidP="009738C8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180303" w:rsidRDefault="00180303" w:rsidP="00C43C5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Housing Association</w:t>
                  </w:r>
                </w:p>
              </w:tc>
            </w:tr>
            <w:tr w:rsidR="00180303" w:rsidRPr="00634319" w:rsidTr="00180303">
              <w:trPr>
                <w:trHeight w:val="179"/>
              </w:trPr>
              <w:tc>
                <w:tcPr>
                  <w:tcW w:w="1559" w:type="dxa"/>
                </w:tcPr>
                <w:p w:rsidR="00180303" w:rsidRPr="00976B17" w:rsidRDefault="00180303" w:rsidP="00A11EE2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4819" w:type="dxa"/>
                </w:tcPr>
                <w:p w:rsidR="00180303" w:rsidRPr="00976B17" w:rsidRDefault="00180303" w:rsidP="00263AF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180303" w:rsidRDefault="00180303" w:rsidP="004B6B2D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677" w:type="dxa"/>
                  <w:shd w:val="clear" w:color="auto" w:fill="auto"/>
                </w:tcPr>
                <w:p w:rsidR="00180303" w:rsidRDefault="00180303" w:rsidP="004B6B2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 Thames</w:t>
                  </w:r>
                </w:p>
              </w:tc>
            </w:tr>
            <w:tr w:rsidR="00180303" w:rsidRPr="00634319" w:rsidTr="008B10AA">
              <w:trPr>
                <w:trHeight w:val="179"/>
              </w:trPr>
              <w:tc>
                <w:tcPr>
                  <w:tcW w:w="1559" w:type="dxa"/>
                </w:tcPr>
                <w:p w:rsidR="00180303" w:rsidRPr="00976B17" w:rsidRDefault="00180303" w:rsidP="00C6116F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4819" w:type="dxa"/>
                </w:tcPr>
                <w:p w:rsidR="00180303" w:rsidRPr="00976B17" w:rsidRDefault="00180303" w:rsidP="00C6116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Swan Housing Association</w:t>
                  </w:r>
                </w:p>
              </w:tc>
              <w:tc>
                <w:tcPr>
                  <w:tcW w:w="156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0303" w:rsidRDefault="00180303" w:rsidP="004B6B2D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7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80303" w:rsidRDefault="00180303" w:rsidP="004B6B2D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E26986" w:rsidRDefault="00E26986" w:rsidP="005F0C8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23AB" w:rsidTr="00BD14A6">
        <w:trPr>
          <w:trHeight w:val="4473"/>
        </w:trPr>
        <w:tc>
          <w:tcPr>
            <w:tcW w:w="15167" w:type="dxa"/>
            <w:tcBorders>
              <w:bottom w:val="single" w:sz="4" w:space="0" w:color="auto"/>
            </w:tcBorders>
          </w:tcPr>
          <w:p w:rsidR="00087860" w:rsidRPr="003A5E65" w:rsidRDefault="00087860" w:rsidP="00407D79">
            <w:pPr>
              <w:jc w:val="center"/>
              <w:rPr>
                <w:noProof/>
                <w:color w:val="FF0000"/>
                <w:shd w:val="clear" w:color="auto" w:fill="00B050"/>
              </w:rPr>
            </w:pPr>
            <w:r w:rsidRPr="003A5E65">
              <w:rPr>
                <w:noProof/>
                <w:color w:val="FF0000"/>
                <w:shd w:val="clear" w:color="auto" w:fill="00B050"/>
              </w:rPr>
              <w:drawing>
                <wp:inline distT="0" distB="0" distL="0" distR="0" wp14:anchorId="53BECF10" wp14:editId="5A1A7A25">
                  <wp:extent cx="8782493" cy="1573619"/>
                  <wp:effectExtent l="0" t="0" r="0" b="762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  <w:tbl>
            <w:tblPr>
              <w:tblW w:w="12615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67"/>
              <w:gridCol w:w="4250"/>
              <w:gridCol w:w="1423"/>
              <w:gridCol w:w="4675"/>
            </w:tblGrid>
            <w:tr w:rsidR="00087860" w:rsidRPr="00634319" w:rsidTr="007058FC">
              <w:trPr>
                <w:trHeight w:val="275"/>
              </w:trPr>
              <w:tc>
                <w:tcPr>
                  <w:tcW w:w="2267" w:type="dxa"/>
                  <w:shd w:val="clear" w:color="auto" w:fill="17365D" w:themeFill="text2" w:themeFillShade="BF"/>
                </w:tcPr>
                <w:p w:rsidR="00087860" w:rsidRPr="00936E88" w:rsidRDefault="00087860" w:rsidP="00220AD7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250" w:type="dxa"/>
                  <w:shd w:val="clear" w:color="auto" w:fill="17365D" w:themeFill="text2" w:themeFillShade="BF"/>
                </w:tcPr>
                <w:p w:rsidR="00087860" w:rsidRPr="00936E88" w:rsidRDefault="00087860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423" w:type="dxa"/>
                  <w:shd w:val="clear" w:color="auto" w:fill="17365D" w:themeFill="text2" w:themeFillShade="BF"/>
                </w:tcPr>
                <w:p w:rsidR="00087860" w:rsidRPr="00936E88" w:rsidRDefault="00087860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675" w:type="dxa"/>
                  <w:shd w:val="clear" w:color="auto" w:fill="17365D" w:themeFill="text2" w:themeFillShade="BF"/>
                </w:tcPr>
                <w:p w:rsidR="00087860" w:rsidRPr="00936E88" w:rsidRDefault="00087860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AA7FAA" w:rsidRPr="00634319" w:rsidTr="00E21023">
              <w:trPr>
                <w:trHeight w:val="271"/>
              </w:trPr>
              <w:tc>
                <w:tcPr>
                  <w:tcW w:w="2267" w:type="dxa"/>
                </w:tcPr>
                <w:p w:rsidR="00AA7FAA" w:rsidRPr="00BD14A6" w:rsidRDefault="00AA7FAA" w:rsidP="00D46E45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BD14A6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250" w:type="dxa"/>
                </w:tcPr>
                <w:p w:rsidR="00AA7FAA" w:rsidRPr="00BD14A6" w:rsidRDefault="00AA7FA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Spitalfield</w:t>
                  </w:r>
                  <w:r w:rsidR="00827D4B">
                    <w:rPr>
                      <w:rFonts w:asciiTheme="minorHAnsi" w:hAnsiTheme="minorHAnsi"/>
                    </w:rPr>
                    <w:t>s</w:t>
                  </w:r>
                  <w:r>
                    <w:rPr>
                      <w:rFonts w:asciiTheme="minorHAnsi" w:hAnsiTheme="minorHAnsi"/>
                    </w:rPr>
                    <w:t xml:space="preserve"> Housing Association 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AA7FAA" w:rsidRPr="00E21023" w:rsidRDefault="00AA7FAA" w:rsidP="00AC3C7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675" w:type="dxa"/>
                  <w:shd w:val="clear" w:color="auto" w:fill="auto"/>
                </w:tcPr>
                <w:p w:rsidR="00AA7FAA" w:rsidRPr="00E21023" w:rsidRDefault="00AA7FAA" w:rsidP="00AC3C7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Genesis HA</w:t>
                  </w:r>
                </w:p>
              </w:tc>
            </w:tr>
            <w:tr w:rsidR="00AA7FAA" w:rsidRPr="00634319" w:rsidTr="00BE693C">
              <w:trPr>
                <w:trHeight w:val="254"/>
              </w:trPr>
              <w:tc>
                <w:tcPr>
                  <w:tcW w:w="2267" w:type="dxa"/>
                </w:tcPr>
                <w:p w:rsidR="00AA7FAA" w:rsidRPr="00BD14A6" w:rsidRDefault="00AA7FAA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4250" w:type="dxa"/>
                </w:tcPr>
                <w:p w:rsidR="00AA7FAA" w:rsidRPr="00BD14A6" w:rsidRDefault="00AA7FA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Swan Housing Association </w:t>
                  </w:r>
                </w:p>
              </w:tc>
              <w:tc>
                <w:tcPr>
                  <w:tcW w:w="1423" w:type="dxa"/>
                  <w:shd w:val="clear" w:color="auto" w:fill="auto"/>
                </w:tcPr>
                <w:p w:rsidR="00AA7FAA" w:rsidRPr="00F94A22" w:rsidRDefault="00AA7FAA" w:rsidP="00AC3C7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675" w:type="dxa"/>
                  <w:shd w:val="clear" w:color="auto" w:fill="auto"/>
                </w:tcPr>
                <w:p w:rsidR="00AA7FAA" w:rsidRPr="00BD14A6" w:rsidRDefault="00AA7FAA" w:rsidP="00AC3C7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</w:tr>
            <w:tr w:rsidR="00AA7FAA" w:rsidRPr="00634319" w:rsidTr="00BE693C">
              <w:trPr>
                <w:trHeight w:val="179"/>
              </w:trPr>
              <w:tc>
                <w:tcPr>
                  <w:tcW w:w="2267" w:type="dxa"/>
                </w:tcPr>
                <w:p w:rsidR="00AA7FAA" w:rsidRPr="00BD14A6" w:rsidRDefault="00AA7FAA" w:rsidP="00AA7FAA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4250" w:type="dxa"/>
                </w:tcPr>
                <w:p w:rsidR="00AA7FAA" w:rsidRPr="00BD14A6" w:rsidRDefault="00AA7FA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Housing Association</w:t>
                  </w:r>
                </w:p>
              </w:tc>
              <w:tc>
                <w:tcPr>
                  <w:tcW w:w="142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A7FAA" w:rsidRPr="00FB0FA6" w:rsidRDefault="00AA7FAA" w:rsidP="00AC3C76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FB0FA6"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67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A7FAA" w:rsidRPr="00BD14A6" w:rsidRDefault="00AA7FAA" w:rsidP="00AC3C7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Homes </w:t>
                  </w:r>
                </w:p>
              </w:tc>
            </w:tr>
            <w:tr w:rsidR="00AA7FAA" w:rsidRPr="00634319" w:rsidTr="00BE693C">
              <w:trPr>
                <w:trHeight w:val="212"/>
              </w:trPr>
              <w:tc>
                <w:tcPr>
                  <w:tcW w:w="2267" w:type="dxa"/>
                </w:tcPr>
                <w:p w:rsidR="00AA7FAA" w:rsidRPr="00BD14A6" w:rsidRDefault="00AA7FAA" w:rsidP="00147A1F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4250" w:type="dxa"/>
                </w:tcPr>
                <w:p w:rsidR="00AA7FAA" w:rsidRPr="00BD14A6" w:rsidRDefault="00AA7FA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  <w:tc>
                <w:tcPr>
                  <w:tcW w:w="14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7FAA" w:rsidRPr="005B4E6A" w:rsidRDefault="00AA7FAA" w:rsidP="00AC3C76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67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AA7FAA" w:rsidRPr="005B4E6A" w:rsidRDefault="00AA7FAA" w:rsidP="00AC3C7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Clarion (ex-circle stock)</w:t>
                  </w:r>
                </w:p>
              </w:tc>
            </w:tr>
            <w:tr w:rsidR="00AA7FAA" w:rsidRPr="00634319" w:rsidTr="00FB0FA6">
              <w:trPr>
                <w:trHeight w:val="261"/>
              </w:trPr>
              <w:tc>
                <w:tcPr>
                  <w:tcW w:w="2267" w:type="dxa"/>
                </w:tcPr>
                <w:p w:rsidR="00AA7FAA" w:rsidRPr="00BD14A6" w:rsidRDefault="00AA7FAA" w:rsidP="004B6B2D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4250" w:type="dxa"/>
                </w:tcPr>
                <w:p w:rsidR="00AA7FAA" w:rsidRPr="00BD14A6" w:rsidRDefault="00AA7FAA" w:rsidP="004B6B2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423" w:type="dxa"/>
                  <w:tcBorders>
                    <w:right w:val="nil"/>
                  </w:tcBorders>
                  <w:shd w:val="clear" w:color="auto" w:fill="auto"/>
                </w:tcPr>
                <w:p w:rsidR="00AA7FAA" w:rsidRPr="005B4E6A" w:rsidRDefault="00AA7FAA" w:rsidP="00AC3C76">
                  <w:pPr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10</w:t>
                  </w:r>
                </w:p>
              </w:tc>
              <w:tc>
                <w:tcPr>
                  <w:tcW w:w="4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A7FAA" w:rsidRPr="005B4E6A" w:rsidRDefault="00AA7FAA" w:rsidP="00AC3C76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Gallions </w:t>
                  </w:r>
                </w:p>
              </w:tc>
            </w:tr>
            <w:tr w:rsidR="00AA7FAA" w:rsidRPr="00634319" w:rsidTr="002318B9">
              <w:trPr>
                <w:trHeight w:val="212"/>
              </w:trPr>
              <w:tc>
                <w:tcPr>
                  <w:tcW w:w="2267" w:type="dxa"/>
                </w:tcPr>
                <w:p w:rsidR="00AA7FAA" w:rsidRPr="00F94A22" w:rsidRDefault="00AA7FAA" w:rsidP="002909BF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4250" w:type="dxa"/>
                </w:tcPr>
                <w:p w:rsidR="00AA7FAA" w:rsidRPr="00BD14A6" w:rsidRDefault="00AA7FAA" w:rsidP="002909BF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  <w:tc>
                <w:tcPr>
                  <w:tcW w:w="1423" w:type="dxa"/>
                  <w:tcBorders>
                    <w:right w:val="nil"/>
                  </w:tcBorders>
                  <w:shd w:val="clear" w:color="auto" w:fill="auto"/>
                </w:tcPr>
                <w:p w:rsidR="00AA7FAA" w:rsidRPr="005B4E6A" w:rsidRDefault="00AA7FAA" w:rsidP="004B6B2D">
                  <w:pPr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6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A7FAA" w:rsidRPr="005B4E6A" w:rsidRDefault="00AA7FAA" w:rsidP="004B6B2D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6023AB" w:rsidRPr="00C27DD4" w:rsidRDefault="006023AB" w:rsidP="00087860">
            <w:pPr>
              <w:rPr>
                <w:noProof/>
                <w:color w:val="FFFF00"/>
                <w:shd w:val="clear" w:color="auto" w:fill="D9D9D9" w:themeFill="background1" w:themeFillShade="D9"/>
              </w:rPr>
            </w:pPr>
          </w:p>
        </w:tc>
      </w:tr>
    </w:tbl>
    <w:p w:rsidR="00C13921" w:rsidRDefault="00C13921" w:rsidP="00A1488A">
      <w:pPr>
        <w:rPr>
          <w:rFonts w:asciiTheme="minorHAnsi" w:hAnsiTheme="minorHAnsi"/>
          <w:b/>
          <w:sz w:val="28"/>
          <w:szCs w:val="28"/>
        </w:rPr>
      </w:pPr>
    </w:p>
    <w:p w:rsidR="00A1488A" w:rsidRPr="004156AD" w:rsidRDefault="00BE53DE" w:rsidP="00A1488A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THHF -</w:t>
      </w:r>
      <w:r w:rsidRPr="00346238">
        <w:rPr>
          <w:rFonts w:asciiTheme="minorHAnsi" w:hAnsiTheme="minorHAnsi"/>
          <w:b/>
          <w:sz w:val="28"/>
          <w:szCs w:val="28"/>
        </w:rPr>
        <w:t xml:space="preserve"> Benchmarking Report   -   Q</w:t>
      </w:r>
      <w:r w:rsidR="00410207">
        <w:rPr>
          <w:rFonts w:asciiTheme="minorHAnsi" w:hAnsiTheme="minorHAnsi"/>
          <w:b/>
          <w:sz w:val="28"/>
          <w:szCs w:val="28"/>
        </w:rPr>
        <w:t>4</w:t>
      </w:r>
      <w:r w:rsidRPr="00346238">
        <w:rPr>
          <w:rFonts w:asciiTheme="minorHAnsi" w:hAnsiTheme="minorHAnsi"/>
          <w:b/>
          <w:sz w:val="28"/>
          <w:szCs w:val="28"/>
        </w:rPr>
        <w:t xml:space="preserve"> (2016/17)                </w:t>
      </w:r>
      <w:r w:rsidR="00A1488A" w:rsidRPr="004156AD">
        <w:rPr>
          <w:rFonts w:asciiTheme="minorHAnsi" w:hAnsiTheme="minorHAnsi"/>
          <w:b/>
          <w:sz w:val="28"/>
          <w:szCs w:val="28"/>
        </w:rPr>
        <w:t xml:space="preserve">     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2B52CD" w:rsidTr="00E26986">
        <w:trPr>
          <w:trHeight w:val="4215"/>
        </w:trPr>
        <w:tc>
          <w:tcPr>
            <w:tcW w:w="15167" w:type="dxa"/>
            <w:tcBorders>
              <w:bottom w:val="single" w:sz="4" w:space="0" w:color="auto"/>
            </w:tcBorders>
          </w:tcPr>
          <w:p w:rsidR="002B52CD" w:rsidRDefault="002B52CD" w:rsidP="00FE7019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26986">
              <w:rPr>
                <w:noProof/>
                <w:color w:val="FFFF00"/>
                <w:shd w:val="clear" w:color="auto" w:fill="BFBFBF" w:themeFill="background1" w:themeFillShade="BF"/>
              </w:rPr>
              <w:drawing>
                <wp:inline distT="0" distB="0" distL="0" distR="0" wp14:anchorId="58AC3BEF" wp14:editId="62841BE9">
                  <wp:extent cx="8846288" cy="2020186"/>
                  <wp:effectExtent l="0" t="0" r="0" b="0"/>
                  <wp:docPr id="18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  <w:tbl>
            <w:tblPr>
              <w:tblW w:w="12757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7"/>
              <w:gridCol w:w="5160"/>
              <w:gridCol w:w="1407"/>
              <w:gridCol w:w="4773"/>
            </w:tblGrid>
            <w:tr w:rsidR="002B52CD" w:rsidRPr="00634319" w:rsidTr="00AA3A16">
              <w:trPr>
                <w:trHeight w:val="201"/>
              </w:trPr>
              <w:tc>
                <w:tcPr>
                  <w:tcW w:w="1417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5160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407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773" w:type="dxa"/>
                  <w:shd w:val="clear" w:color="auto" w:fill="17365D" w:themeFill="text2" w:themeFillShade="BF"/>
                </w:tcPr>
                <w:p w:rsidR="002B52CD" w:rsidRPr="00936E88" w:rsidRDefault="002B52CD" w:rsidP="00220AD7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7A1E57" w:rsidRPr="00634319" w:rsidTr="00EB2354">
              <w:trPr>
                <w:trHeight w:val="351"/>
              </w:trPr>
              <w:tc>
                <w:tcPr>
                  <w:tcW w:w="1417" w:type="dxa"/>
                </w:tcPr>
                <w:p w:rsidR="007A1E57" w:rsidRPr="00BD14A6" w:rsidRDefault="007A1E57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BD14A6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7A1E57" w:rsidRPr="00BD14A6" w:rsidRDefault="001E284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Housing Association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7A1E57" w:rsidRPr="00BD14A6" w:rsidRDefault="00A627FB" w:rsidP="00946383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7A1E57" w:rsidRPr="00BD14A6" w:rsidRDefault="001E284A" w:rsidP="0094638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</w:tr>
            <w:tr w:rsidR="00FD514C" w:rsidRPr="00634319" w:rsidTr="00AA3A16">
              <w:trPr>
                <w:trHeight w:val="218"/>
              </w:trPr>
              <w:tc>
                <w:tcPr>
                  <w:tcW w:w="1417" w:type="dxa"/>
                </w:tcPr>
                <w:p w:rsidR="00FD514C" w:rsidRPr="00BD14A6" w:rsidRDefault="00FD514C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FD514C" w:rsidRPr="00BD14A6" w:rsidRDefault="001E284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Gallions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FD514C" w:rsidRPr="00BD14A6" w:rsidRDefault="00A627FB" w:rsidP="002E7559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FD514C" w:rsidRPr="00BD14A6" w:rsidRDefault="001E284A" w:rsidP="002E755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 Thames</w:t>
                  </w:r>
                </w:p>
              </w:tc>
            </w:tr>
            <w:tr w:rsidR="00256BF1" w:rsidRPr="00634319" w:rsidTr="00256BF1">
              <w:trPr>
                <w:trHeight w:val="301"/>
              </w:trPr>
              <w:tc>
                <w:tcPr>
                  <w:tcW w:w="1417" w:type="dxa"/>
                </w:tcPr>
                <w:p w:rsidR="00256BF1" w:rsidRPr="00BD14A6" w:rsidRDefault="00256BF1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256BF1" w:rsidRPr="00BD14A6" w:rsidRDefault="001E284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Providence Row HA 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256BF1" w:rsidRPr="00BD14A6" w:rsidRDefault="00A627FB" w:rsidP="002E7559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256BF1" w:rsidRPr="00BD14A6" w:rsidRDefault="001E284A" w:rsidP="002E755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Clarion (ex-circle stock)</w:t>
                  </w:r>
                </w:p>
              </w:tc>
            </w:tr>
            <w:tr w:rsidR="00256BF1" w:rsidRPr="00634319" w:rsidTr="00AA3A16">
              <w:trPr>
                <w:trHeight w:val="268"/>
              </w:trPr>
              <w:tc>
                <w:tcPr>
                  <w:tcW w:w="1417" w:type="dxa"/>
                </w:tcPr>
                <w:p w:rsidR="00256BF1" w:rsidRDefault="001A4CDE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256BF1" w:rsidRPr="00BD14A6" w:rsidRDefault="001E284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Spitalfield</w:t>
                  </w:r>
                  <w:r w:rsidR="00827D4B">
                    <w:rPr>
                      <w:rFonts w:asciiTheme="minorHAnsi" w:hAnsiTheme="minorHAnsi"/>
                    </w:rPr>
                    <w:t>s</w:t>
                  </w:r>
                  <w:bookmarkStart w:id="0" w:name="_GoBack"/>
                  <w:bookmarkEnd w:id="0"/>
                  <w:r>
                    <w:rPr>
                      <w:rFonts w:asciiTheme="minorHAnsi" w:hAnsiTheme="minorHAnsi"/>
                    </w:rPr>
                    <w:t xml:space="preserve"> Housing Association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256BF1" w:rsidRDefault="00A627FB" w:rsidP="002E7559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256BF1" w:rsidRDefault="001E284A" w:rsidP="002E755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Community Housing </w:t>
                  </w:r>
                </w:p>
              </w:tc>
            </w:tr>
            <w:tr w:rsidR="00FD514C" w:rsidRPr="00634319" w:rsidTr="00AA3A16">
              <w:trPr>
                <w:trHeight w:val="179"/>
              </w:trPr>
              <w:tc>
                <w:tcPr>
                  <w:tcW w:w="1417" w:type="dxa"/>
                </w:tcPr>
                <w:p w:rsidR="00FD514C" w:rsidRPr="00BD14A6" w:rsidRDefault="008341DA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FD514C" w:rsidRPr="00BD14A6" w:rsidRDefault="001E284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Swan Housing Association </w:t>
                  </w:r>
                </w:p>
              </w:tc>
              <w:tc>
                <w:tcPr>
                  <w:tcW w:w="1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D514C" w:rsidRPr="00BD14A6" w:rsidRDefault="00FD514C" w:rsidP="002E7559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7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FD514C" w:rsidRPr="00BD14A6" w:rsidRDefault="001E284A" w:rsidP="002E755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Genesis Housing Association</w:t>
                  </w:r>
                </w:p>
              </w:tc>
            </w:tr>
            <w:tr w:rsidR="00FD514C" w:rsidRPr="00634319" w:rsidTr="0078670A">
              <w:trPr>
                <w:trHeight w:val="212"/>
              </w:trPr>
              <w:tc>
                <w:tcPr>
                  <w:tcW w:w="1417" w:type="dxa"/>
                </w:tcPr>
                <w:p w:rsidR="00FD514C" w:rsidRPr="00BD14A6" w:rsidRDefault="00A627FB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5160" w:type="dxa"/>
                  <w:tcBorders>
                    <w:bottom w:val="single" w:sz="4" w:space="0" w:color="auto"/>
                  </w:tcBorders>
                </w:tcPr>
                <w:p w:rsidR="00FD514C" w:rsidRPr="00BD14A6" w:rsidRDefault="001E284A" w:rsidP="00220AD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14C" w:rsidRPr="00A0422F" w:rsidRDefault="00FD514C" w:rsidP="002E7559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A0422F"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14C" w:rsidRPr="00A0422F" w:rsidRDefault="001E284A" w:rsidP="002E7559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</w:tr>
            <w:tr w:rsidR="00FD514C" w:rsidRPr="00634319" w:rsidTr="00BA2C47">
              <w:trPr>
                <w:trHeight w:val="212"/>
              </w:trPr>
              <w:tc>
                <w:tcPr>
                  <w:tcW w:w="1417" w:type="dxa"/>
                </w:tcPr>
                <w:p w:rsidR="00FD514C" w:rsidRPr="00BD14A6" w:rsidRDefault="00A627FB" w:rsidP="00EF2240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5160" w:type="dxa"/>
                </w:tcPr>
                <w:p w:rsidR="00FD514C" w:rsidRPr="00BD14A6" w:rsidRDefault="001E284A" w:rsidP="00EF2240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40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14C" w:rsidRPr="00A0422F" w:rsidRDefault="00FD514C" w:rsidP="00220AD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D514C" w:rsidRPr="00A0422F" w:rsidRDefault="00FD514C" w:rsidP="00220AD7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2B52CD" w:rsidRDefault="002B52CD" w:rsidP="00220AD7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1488A" w:rsidRDefault="00A1488A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Default="005E3A79" w:rsidP="00E83F2C">
      <w:pPr>
        <w:rPr>
          <w:rFonts w:asciiTheme="minorHAnsi" w:hAnsiTheme="minorHAnsi"/>
          <w:b/>
        </w:rPr>
      </w:pPr>
    </w:p>
    <w:p w:rsidR="005E3A79" w:rsidRPr="009C1824" w:rsidRDefault="005E3A79" w:rsidP="00E83F2C">
      <w:pPr>
        <w:rPr>
          <w:rFonts w:asciiTheme="minorHAnsi" w:hAnsiTheme="minorHAnsi"/>
          <w:b/>
          <w:sz w:val="32"/>
          <w:szCs w:val="32"/>
        </w:rPr>
      </w:pPr>
      <w:r w:rsidRPr="009C1824">
        <w:rPr>
          <w:rFonts w:asciiTheme="minorHAnsi" w:hAnsiTheme="minorHAnsi"/>
          <w:b/>
          <w:sz w:val="32"/>
          <w:szCs w:val="32"/>
        </w:rPr>
        <w:lastRenderedPageBreak/>
        <w:t xml:space="preserve">   Annual Indicators </w:t>
      </w:r>
      <w:r w:rsidR="009C1824" w:rsidRPr="009C1824">
        <w:rPr>
          <w:rFonts w:asciiTheme="minorHAnsi" w:hAnsiTheme="minorHAnsi"/>
          <w:b/>
          <w:sz w:val="32"/>
          <w:szCs w:val="32"/>
        </w:rPr>
        <w:t>– 2016-17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E1105B" w:rsidTr="008813AB">
        <w:trPr>
          <w:trHeight w:val="4215"/>
        </w:trPr>
        <w:tc>
          <w:tcPr>
            <w:tcW w:w="15167" w:type="dxa"/>
            <w:tcBorders>
              <w:bottom w:val="single" w:sz="4" w:space="0" w:color="auto"/>
            </w:tcBorders>
          </w:tcPr>
          <w:p w:rsidR="00E1105B" w:rsidRDefault="00E1105B" w:rsidP="0088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26986">
              <w:rPr>
                <w:noProof/>
                <w:color w:val="FFFF00"/>
                <w:shd w:val="clear" w:color="auto" w:fill="BFBFBF" w:themeFill="background1" w:themeFillShade="BF"/>
              </w:rPr>
              <w:drawing>
                <wp:inline distT="0" distB="0" distL="0" distR="0" wp14:anchorId="164427BC" wp14:editId="4FB5029B">
                  <wp:extent cx="8846288" cy="1701209"/>
                  <wp:effectExtent l="0" t="0" r="12065" b="1333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  <w:tbl>
            <w:tblPr>
              <w:tblW w:w="12757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7"/>
              <w:gridCol w:w="5160"/>
              <w:gridCol w:w="1407"/>
              <w:gridCol w:w="4773"/>
            </w:tblGrid>
            <w:tr w:rsidR="00E1105B" w:rsidRPr="00634319" w:rsidTr="008813AB">
              <w:trPr>
                <w:trHeight w:val="201"/>
              </w:trPr>
              <w:tc>
                <w:tcPr>
                  <w:tcW w:w="1417" w:type="dxa"/>
                  <w:shd w:val="clear" w:color="auto" w:fill="17365D" w:themeFill="text2" w:themeFillShade="BF"/>
                </w:tcPr>
                <w:p w:rsidR="00E1105B" w:rsidRPr="00936E88" w:rsidRDefault="00E1105B" w:rsidP="008813AB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5160" w:type="dxa"/>
                  <w:shd w:val="clear" w:color="auto" w:fill="17365D" w:themeFill="text2" w:themeFillShade="BF"/>
                </w:tcPr>
                <w:p w:rsidR="00E1105B" w:rsidRPr="00936E88" w:rsidRDefault="00E1105B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407" w:type="dxa"/>
                  <w:shd w:val="clear" w:color="auto" w:fill="17365D" w:themeFill="text2" w:themeFillShade="BF"/>
                </w:tcPr>
                <w:p w:rsidR="00E1105B" w:rsidRPr="00936E88" w:rsidRDefault="00E1105B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773" w:type="dxa"/>
                  <w:shd w:val="clear" w:color="auto" w:fill="17365D" w:themeFill="text2" w:themeFillShade="BF"/>
                </w:tcPr>
                <w:p w:rsidR="00E1105B" w:rsidRPr="00936E88" w:rsidRDefault="00E1105B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1D30DF" w:rsidRPr="00634319" w:rsidTr="008813AB">
              <w:trPr>
                <w:trHeight w:val="351"/>
              </w:trPr>
              <w:tc>
                <w:tcPr>
                  <w:tcW w:w="1417" w:type="dxa"/>
                </w:tcPr>
                <w:p w:rsidR="001D30DF" w:rsidRPr="00BD14A6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BD14A6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1D30DF" w:rsidRPr="00BD14A6" w:rsidRDefault="001D30DF" w:rsidP="00B5587C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1D30DF" w:rsidRPr="00BD14A6" w:rsidRDefault="001D30DF" w:rsidP="00B5587C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</w:tr>
            <w:tr w:rsidR="001D30DF" w:rsidRPr="00634319" w:rsidTr="008813AB">
              <w:trPr>
                <w:trHeight w:val="218"/>
              </w:trPr>
              <w:tc>
                <w:tcPr>
                  <w:tcW w:w="1417" w:type="dxa"/>
                </w:tcPr>
                <w:p w:rsidR="001D30DF" w:rsidRPr="00BD14A6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5160" w:type="dxa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Swan Housing Association 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1D30DF" w:rsidRPr="00BD14A6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</w:tr>
            <w:tr w:rsidR="001D30DF" w:rsidRPr="00634319" w:rsidTr="008813AB">
              <w:trPr>
                <w:trHeight w:val="301"/>
              </w:trPr>
              <w:tc>
                <w:tcPr>
                  <w:tcW w:w="1417" w:type="dxa"/>
                </w:tcPr>
                <w:p w:rsidR="001D30DF" w:rsidRPr="00BD14A6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5160" w:type="dxa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1D30DF" w:rsidRPr="00BD14A6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Peabody </w:t>
                  </w:r>
                </w:p>
              </w:tc>
            </w:tr>
            <w:tr w:rsidR="001D30DF" w:rsidRPr="00634319" w:rsidTr="008813AB">
              <w:trPr>
                <w:trHeight w:val="268"/>
              </w:trPr>
              <w:tc>
                <w:tcPr>
                  <w:tcW w:w="1417" w:type="dxa"/>
                </w:tcPr>
                <w:p w:rsidR="001D30DF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5160" w:type="dxa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1D30DF" w:rsidRPr="00BD14A6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East Thames </w:t>
                  </w:r>
                </w:p>
              </w:tc>
            </w:tr>
            <w:tr w:rsidR="001D30DF" w:rsidRPr="00634319" w:rsidTr="008813AB">
              <w:trPr>
                <w:trHeight w:val="179"/>
              </w:trPr>
              <w:tc>
                <w:tcPr>
                  <w:tcW w:w="1417" w:type="dxa"/>
                </w:tcPr>
                <w:p w:rsidR="001D30DF" w:rsidRPr="00BD14A6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5160" w:type="dxa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Community Housing </w:t>
                  </w:r>
                </w:p>
              </w:tc>
              <w:tc>
                <w:tcPr>
                  <w:tcW w:w="1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30DF" w:rsidRPr="00BD14A6" w:rsidRDefault="001D30DF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10</w:t>
                  </w:r>
                </w:p>
              </w:tc>
              <w:tc>
                <w:tcPr>
                  <w:tcW w:w="47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D30DF" w:rsidRPr="00BD14A6" w:rsidRDefault="001D30DF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Housing Association</w:t>
                  </w:r>
                </w:p>
              </w:tc>
            </w:tr>
          </w:tbl>
          <w:p w:rsidR="00E1105B" w:rsidRDefault="00E1105B" w:rsidP="00881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C6E56" w:rsidRDefault="007C6E56">
      <w:pPr>
        <w:rPr>
          <w:rFonts w:asciiTheme="minorHAnsi" w:hAnsiTheme="minorHAnsi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5525D1" w:rsidTr="008813AB">
        <w:trPr>
          <w:trHeight w:val="4215"/>
        </w:trPr>
        <w:tc>
          <w:tcPr>
            <w:tcW w:w="15167" w:type="dxa"/>
            <w:tcBorders>
              <w:bottom w:val="single" w:sz="4" w:space="0" w:color="auto"/>
            </w:tcBorders>
          </w:tcPr>
          <w:p w:rsidR="005525D1" w:rsidRDefault="005525D1" w:rsidP="0088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26986">
              <w:rPr>
                <w:noProof/>
                <w:color w:val="FFFF00"/>
                <w:shd w:val="clear" w:color="auto" w:fill="BFBFBF" w:themeFill="background1" w:themeFillShade="BF"/>
              </w:rPr>
              <w:drawing>
                <wp:inline distT="0" distB="0" distL="0" distR="0" wp14:anchorId="164427BC" wp14:editId="4FB5029B">
                  <wp:extent cx="8846288" cy="1743740"/>
                  <wp:effectExtent l="0" t="0" r="12065" b="2794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tbl>
            <w:tblPr>
              <w:tblW w:w="12757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7"/>
              <w:gridCol w:w="5160"/>
              <w:gridCol w:w="1407"/>
              <w:gridCol w:w="4773"/>
            </w:tblGrid>
            <w:tr w:rsidR="005525D1" w:rsidRPr="00634319" w:rsidTr="008813AB">
              <w:trPr>
                <w:trHeight w:val="201"/>
              </w:trPr>
              <w:tc>
                <w:tcPr>
                  <w:tcW w:w="1417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5160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407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773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C04135" w:rsidRPr="00634319" w:rsidTr="008813AB">
              <w:trPr>
                <w:trHeight w:val="351"/>
              </w:trPr>
              <w:tc>
                <w:tcPr>
                  <w:tcW w:w="1417" w:type="dxa"/>
                </w:tcPr>
                <w:p w:rsidR="00C04135" w:rsidRPr="00BD14A6" w:rsidRDefault="00C04135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BD14A6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C04135" w:rsidRPr="00BD14A6" w:rsidRDefault="00C04135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 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C04135" w:rsidRPr="00BD14A6" w:rsidRDefault="00C04135" w:rsidP="00D63DF2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C04135" w:rsidRPr="00BD14A6" w:rsidRDefault="00C04135" w:rsidP="00D63DF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</w:tr>
            <w:tr w:rsidR="00C04135" w:rsidRPr="00634319" w:rsidTr="008813AB">
              <w:trPr>
                <w:trHeight w:val="218"/>
              </w:trPr>
              <w:tc>
                <w:tcPr>
                  <w:tcW w:w="1417" w:type="dxa"/>
                </w:tcPr>
                <w:p w:rsidR="00C04135" w:rsidRPr="00BD14A6" w:rsidRDefault="00C04135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5160" w:type="dxa"/>
                </w:tcPr>
                <w:p w:rsidR="00C04135" w:rsidRPr="00BD14A6" w:rsidRDefault="00C04135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C04135" w:rsidRPr="00BD14A6" w:rsidRDefault="00C04135" w:rsidP="00D63DF2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C04135" w:rsidRPr="00BD14A6" w:rsidRDefault="00C04135" w:rsidP="00D63DF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Community Housing </w:t>
                  </w:r>
                </w:p>
              </w:tc>
            </w:tr>
            <w:tr w:rsidR="00C04135" w:rsidRPr="00634319" w:rsidTr="008813AB">
              <w:trPr>
                <w:trHeight w:val="301"/>
              </w:trPr>
              <w:tc>
                <w:tcPr>
                  <w:tcW w:w="1417" w:type="dxa"/>
                </w:tcPr>
                <w:p w:rsidR="00C04135" w:rsidRPr="00BD14A6" w:rsidRDefault="00C04135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5160" w:type="dxa"/>
                </w:tcPr>
                <w:p w:rsidR="00C04135" w:rsidRPr="00BD14A6" w:rsidRDefault="00C04135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Swan Housing Association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C04135" w:rsidRPr="00BD14A6" w:rsidRDefault="00C04135" w:rsidP="00D63DF2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C04135" w:rsidRPr="00BD14A6" w:rsidRDefault="00C04135" w:rsidP="00D63DF2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HA</w:t>
                  </w:r>
                </w:p>
              </w:tc>
            </w:tr>
            <w:tr w:rsidR="00C04135" w:rsidRPr="00634319" w:rsidTr="008813AB">
              <w:trPr>
                <w:trHeight w:val="268"/>
              </w:trPr>
              <w:tc>
                <w:tcPr>
                  <w:tcW w:w="1417" w:type="dxa"/>
                </w:tcPr>
                <w:p w:rsidR="00C04135" w:rsidRDefault="00C04135" w:rsidP="00F74682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5160" w:type="dxa"/>
                </w:tcPr>
                <w:p w:rsidR="00C04135" w:rsidRPr="00BD14A6" w:rsidRDefault="00C04135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C04135" w:rsidRPr="00BD14A6" w:rsidRDefault="00C04135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773" w:type="dxa"/>
                  <w:shd w:val="clear" w:color="auto" w:fill="auto"/>
                </w:tcPr>
                <w:p w:rsidR="00C04135" w:rsidRPr="00BD14A6" w:rsidRDefault="00C04135" w:rsidP="008813AB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5525D1" w:rsidRDefault="005525D1" w:rsidP="00881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1105B" w:rsidRDefault="00E1105B">
      <w:pPr>
        <w:rPr>
          <w:rFonts w:asciiTheme="minorHAnsi" w:hAnsiTheme="minorHAnsi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5525D1" w:rsidTr="008813AB">
        <w:trPr>
          <w:trHeight w:val="4215"/>
        </w:trPr>
        <w:tc>
          <w:tcPr>
            <w:tcW w:w="15167" w:type="dxa"/>
            <w:tcBorders>
              <w:bottom w:val="single" w:sz="4" w:space="0" w:color="auto"/>
            </w:tcBorders>
          </w:tcPr>
          <w:p w:rsidR="005525D1" w:rsidRDefault="005525D1" w:rsidP="0088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26986">
              <w:rPr>
                <w:noProof/>
                <w:color w:val="FFFF00"/>
                <w:shd w:val="clear" w:color="auto" w:fill="BFBFBF" w:themeFill="background1" w:themeFillShade="BF"/>
              </w:rPr>
              <w:drawing>
                <wp:inline distT="0" distB="0" distL="0" distR="0" wp14:anchorId="454CA670" wp14:editId="2899E750">
                  <wp:extent cx="8846288" cy="1743739"/>
                  <wp:effectExtent l="0" t="0" r="12065" b="2794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tbl>
            <w:tblPr>
              <w:tblW w:w="12757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7"/>
              <w:gridCol w:w="5160"/>
              <w:gridCol w:w="1407"/>
              <w:gridCol w:w="4773"/>
            </w:tblGrid>
            <w:tr w:rsidR="005525D1" w:rsidRPr="00634319" w:rsidTr="008813AB">
              <w:trPr>
                <w:trHeight w:val="201"/>
              </w:trPr>
              <w:tc>
                <w:tcPr>
                  <w:tcW w:w="1417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5160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407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773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7F08B8" w:rsidRPr="00634319" w:rsidTr="008813AB">
              <w:trPr>
                <w:trHeight w:val="351"/>
              </w:trPr>
              <w:tc>
                <w:tcPr>
                  <w:tcW w:w="1417" w:type="dxa"/>
                </w:tcPr>
                <w:p w:rsidR="007F08B8" w:rsidRPr="00BD14A6" w:rsidRDefault="007F08B8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BD14A6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7F08B8" w:rsidRPr="00BD14A6" w:rsidRDefault="007F08B8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Peabody 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7F08B8" w:rsidRPr="00BD14A6" w:rsidRDefault="007F08B8" w:rsidP="003618E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7F08B8" w:rsidRPr="00BD14A6" w:rsidRDefault="007F08B8" w:rsidP="003618E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</w:tr>
            <w:tr w:rsidR="007F08B8" w:rsidRPr="00634319" w:rsidTr="008813AB">
              <w:trPr>
                <w:trHeight w:val="218"/>
              </w:trPr>
              <w:tc>
                <w:tcPr>
                  <w:tcW w:w="1417" w:type="dxa"/>
                </w:tcPr>
                <w:p w:rsidR="007F08B8" w:rsidRPr="00BD14A6" w:rsidRDefault="007F08B8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5160" w:type="dxa"/>
                </w:tcPr>
                <w:p w:rsidR="007F08B8" w:rsidRPr="00BD14A6" w:rsidRDefault="007F08B8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7F08B8" w:rsidRPr="00BD14A6" w:rsidRDefault="007F08B8" w:rsidP="003618E7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7F08B8" w:rsidRPr="00BD14A6" w:rsidRDefault="007F08B8" w:rsidP="003618E7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Swan Housing Association</w:t>
                  </w:r>
                </w:p>
              </w:tc>
            </w:tr>
            <w:tr w:rsidR="007F08B8" w:rsidRPr="00634319" w:rsidTr="008813AB">
              <w:trPr>
                <w:trHeight w:val="301"/>
              </w:trPr>
              <w:tc>
                <w:tcPr>
                  <w:tcW w:w="1417" w:type="dxa"/>
                </w:tcPr>
                <w:p w:rsidR="007F08B8" w:rsidRPr="00BD14A6" w:rsidRDefault="007F08B8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5160" w:type="dxa"/>
                </w:tcPr>
                <w:p w:rsidR="007F08B8" w:rsidRPr="00BD14A6" w:rsidRDefault="007F08B8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7F08B8" w:rsidRPr="00BD14A6" w:rsidRDefault="007F08B8" w:rsidP="00645ED4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7F08B8" w:rsidRPr="00BD14A6" w:rsidRDefault="007F08B8" w:rsidP="00645ED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</w:tr>
            <w:tr w:rsidR="007F08B8" w:rsidRPr="00634319" w:rsidTr="008813AB">
              <w:trPr>
                <w:trHeight w:val="268"/>
              </w:trPr>
              <w:tc>
                <w:tcPr>
                  <w:tcW w:w="1417" w:type="dxa"/>
                </w:tcPr>
                <w:p w:rsidR="007F08B8" w:rsidRDefault="007F08B8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5160" w:type="dxa"/>
                </w:tcPr>
                <w:p w:rsidR="007F08B8" w:rsidRPr="00BD14A6" w:rsidRDefault="007F08B8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7F08B8" w:rsidRPr="00BD14A6" w:rsidRDefault="007F08B8" w:rsidP="00645ED4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7F08B8" w:rsidRPr="00BD14A6" w:rsidRDefault="007F08B8" w:rsidP="00645ED4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 HA</w:t>
                  </w:r>
                </w:p>
              </w:tc>
            </w:tr>
            <w:tr w:rsidR="007F08B8" w:rsidRPr="00634319" w:rsidTr="008813AB">
              <w:trPr>
                <w:trHeight w:val="179"/>
              </w:trPr>
              <w:tc>
                <w:tcPr>
                  <w:tcW w:w="1417" w:type="dxa"/>
                </w:tcPr>
                <w:p w:rsidR="007F08B8" w:rsidRPr="00BD14A6" w:rsidRDefault="007F08B8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5160" w:type="dxa"/>
                </w:tcPr>
                <w:p w:rsidR="007F08B8" w:rsidRPr="00BD14A6" w:rsidRDefault="007F08B8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Community Housing </w:t>
                  </w:r>
                </w:p>
              </w:tc>
              <w:tc>
                <w:tcPr>
                  <w:tcW w:w="1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F08B8" w:rsidRPr="00BD14A6" w:rsidRDefault="007F08B8" w:rsidP="007D2F7D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</w:p>
              </w:tc>
              <w:tc>
                <w:tcPr>
                  <w:tcW w:w="47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F08B8" w:rsidRPr="00BD14A6" w:rsidRDefault="007F08B8" w:rsidP="007D2F7D">
                  <w:pPr>
                    <w:rPr>
                      <w:rFonts w:asciiTheme="minorHAnsi" w:hAnsiTheme="minorHAnsi"/>
                    </w:rPr>
                  </w:pPr>
                </w:p>
              </w:tc>
            </w:tr>
          </w:tbl>
          <w:p w:rsidR="005525D1" w:rsidRDefault="005525D1" w:rsidP="00881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525D1" w:rsidTr="008813AB">
        <w:trPr>
          <w:trHeight w:val="4215"/>
        </w:trPr>
        <w:tc>
          <w:tcPr>
            <w:tcW w:w="15167" w:type="dxa"/>
            <w:tcBorders>
              <w:bottom w:val="single" w:sz="4" w:space="0" w:color="auto"/>
            </w:tcBorders>
          </w:tcPr>
          <w:p w:rsidR="005525D1" w:rsidRDefault="005525D1" w:rsidP="0088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26986">
              <w:rPr>
                <w:noProof/>
                <w:color w:val="FFFF00"/>
                <w:shd w:val="clear" w:color="auto" w:fill="BFBFBF" w:themeFill="background1" w:themeFillShade="BF"/>
              </w:rPr>
              <w:drawing>
                <wp:inline distT="0" distB="0" distL="0" distR="0" wp14:anchorId="6FD96162" wp14:editId="0179ED68">
                  <wp:extent cx="8847667" cy="1845733"/>
                  <wp:effectExtent l="0" t="0" r="10795" b="2159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9"/>
                    </a:graphicData>
                  </a:graphic>
                </wp:inline>
              </w:drawing>
            </w:r>
          </w:p>
          <w:tbl>
            <w:tblPr>
              <w:tblW w:w="12757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7"/>
              <w:gridCol w:w="5160"/>
              <w:gridCol w:w="1407"/>
              <w:gridCol w:w="4773"/>
            </w:tblGrid>
            <w:tr w:rsidR="005525D1" w:rsidRPr="00634319" w:rsidTr="008813AB">
              <w:trPr>
                <w:trHeight w:val="201"/>
              </w:trPr>
              <w:tc>
                <w:tcPr>
                  <w:tcW w:w="1417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5160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407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773" w:type="dxa"/>
                  <w:shd w:val="clear" w:color="auto" w:fill="17365D" w:themeFill="text2" w:themeFillShade="BF"/>
                </w:tcPr>
                <w:p w:rsidR="005525D1" w:rsidRPr="00936E88" w:rsidRDefault="005525D1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600E2C" w:rsidRPr="00634319" w:rsidTr="008813AB">
              <w:trPr>
                <w:trHeight w:val="351"/>
              </w:trPr>
              <w:tc>
                <w:tcPr>
                  <w:tcW w:w="1417" w:type="dxa"/>
                </w:tcPr>
                <w:p w:rsidR="00600E2C" w:rsidRPr="00BD14A6" w:rsidRDefault="00600E2C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BD14A6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600E2C" w:rsidRPr="00BD14A6" w:rsidRDefault="00600E2C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600E2C" w:rsidRPr="00BD14A6" w:rsidRDefault="00600E2C" w:rsidP="00F518D1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600E2C" w:rsidRPr="00BD14A6" w:rsidRDefault="00600E2C" w:rsidP="00F518D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Community Housing </w:t>
                  </w:r>
                </w:p>
              </w:tc>
            </w:tr>
            <w:tr w:rsidR="00600E2C" w:rsidRPr="00634319" w:rsidTr="008813AB">
              <w:trPr>
                <w:trHeight w:val="218"/>
              </w:trPr>
              <w:tc>
                <w:tcPr>
                  <w:tcW w:w="1417" w:type="dxa"/>
                </w:tcPr>
                <w:p w:rsidR="00600E2C" w:rsidRPr="00BD14A6" w:rsidRDefault="00600E2C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5160" w:type="dxa"/>
                </w:tcPr>
                <w:p w:rsidR="00600E2C" w:rsidRPr="00BD14A6" w:rsidRDefault="00600E2C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600E2C" w:rsidRPr="00BD14A6" w:rsidRDefault="00600E2C" w:rsidP="00F518D1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600E2C" w:rsidRPr="00BD14A6" w:rsidRDefault="00600E2C" w:rsidP="00F518D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</w:tr>
            <w:tr w:rsidR="00600E2C" w:rsidRPr="00634319" w:rsidTr="008813AB">
              <w:trPr>
                <w:trHeight w:val="301"/>
              </w:trPr>
              <w:tc>
                <w:tcPr>
                  <w:tcW w:w="1417" w:type="dxa"/>
                </w:tcPr>
                <w:p w:rsidR="00600E2C" w:rsidRPr="00BD14A6" w:rsidRDefault="00600E2C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5160" w:type="dxa"/>
                </w:tcPr>
                <w:p w:rsidR="00600E2C" w:rsidRPr="00BD14A6" w:rsidRDefault="00600E2C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600E2C" w:rsidRPr="00BD14A6" w:rsidRDefault="00600E2C" w:rsidP="00F518D1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600E2C" w:rsidRPr="00BD14A6" w:rsidRDefault="00600E2C" w:rsidP="00F518D1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Eastend Homes </w:t>
                  </w:r>
                </w:p>
              </w:tc>
            </w:tr>
            <w:tr w:rsidR="00600E2C" w:rsidRPr="00634319" w:rsidTr="008813AB">
              <w:trPr>
                <w:trHeight w:val="268"/>
              </w:trPr>
              <w:tc>
                <w:tcPr>
                  <w:tcW w:w="1417" w:type="dxa"/>
                </w:tcPr>
                <w:p w:rsidR="00600E2C" w:rsidRDefault="00600E2C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5160" w:type="dxa"/>
                </w:tcPr>
                <w:p w:rsidR="00600E2C" w:rsidRPr="00BD14A6" w:rsidRDefault="00600E2C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Swan Housing Association 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600E2C" w:rsidRPr="00BD14A6" w:rsidRDefault="00600E2C" w:rsidP="0032726E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600E2C" w:rsidRPr="00BD14A6" w:rsidRDefault="00600E2C" w:rsidP="0032726E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 Thames</w:t>
                  </w:r>
                </w:p>
              </w:tc>
            </w:tr>
          </w:tbl>
          <w:p w:rsidR="005525D1" w:rsidRDefault="005525D1" w:rsidP="00881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F66D2" w:rsidRDefault="00BF66D2">
      <w:pPr>
        <w:rPr>
          <w:rFonts w:asciiTheme="minorHAnsi" w:hAnsiTheme="minorHAnsi"/>
          <w:sz w:val="20"/>
          <w:szCs w:val="20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7"/>
      </w:tblGrid>
      <w:tr w:rsidR="00BF4880" w:rsidTr="008813AB">
        <w:trPr>
          <w:trHeight w:val="4215"/>
        </w:trPr>
        <w:tc>
          <w:tcPr>
            <w:tcW w:w="15167" w:type="dxa"/>
            <w:tcBorders>
              <w:bottom w:val="single" w:sz="4" w:space="0" w:color="auto"/>
            </w:tcBorders>
          </w:tcPr>
          <w:p w:rsidR="00BF4880" w:rsidRDefault="00BF4880" w:rsidP="008813A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26986">
              <w:rPr>
                <w:noProof/>
                <w:color w:val="FFFF00"/>
                <w:shd w:val="clear" w:color="auto" w:fill="BFBFBF" w:themeFill="background1" w:themeFillShade="BF"/>
              </w:rPr>
              <w:drawing>
                <wp:inline distT="0" distB="0" distL="0" distR="0" wp14:anchorId="164427BC" wp14:editId="4FB5029B">
                  <wp:extent cx="8846288" cy="2020186"/>
                  <wp:effectExtent l="0" t="0" r="12065" b="18415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0"/>
                    </a:graphicData>
                  </a:graphic>
                </wp:inline>
              </w:drawing>
            </w:r>
          </w:p>
          <w:tbl>
            <w:tblPr>
              <w:tblW w:w="12757" w:type="dxa"/>
              <w:tblInd w:w="7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17"/>
              <w:gridCol w:w="5160"/>
              <w:gridCol w:w="1407"/>
              <w:gridCol w:w="4773"/>
            </w:tblGrid>
            <w:tr w:rsidR="00BF4880" w:rsidRPr="00634319" w:rsidTr="008813AB">
              <w:trPr>
                <w:trHeight w:val="201"/>
              </w:trPr>
              <w:tc>
                <w:tcPr>
                  <w:tcW w:w="1417" w:type="dxa"/>
                  <w:shd w:val="clear" w:color="auto" w:fill="17365D" w:themeFill="text2" w:themeFillShade="BF"/>
                </w:tcPr>
                <w:p w:rsidR="00BF4880" w:rsidRPr="00936E88" w:rsidRDefault="00BF4880" w:rsidP="008813AB">
                  <w:pPr>
                    <w:ind w:left="27"/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5160" w:type="dxa"/>
                  <w:shd w:val="clear" w:color="auto" w:fill="17365D" w:themeFill="text2" w:themeFillShade="BF"/>
                </w:tcPr>
                <w:p w:rsidR="00BF4880" w:rsidRPr="00936E88" w:rsidRDefault="00BF4880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  <w:tc>
                <w:tcPr>
                  <w:tcW w:w="1407" w:type="dxa"/>
                  <w:shd w:val="clear" w:color="auto" w:fill="17365D" w:themeFill="text2" w:themeFillShade="BF"/>
                </w:tcPr>
                <w:p w:rsidR="00BF4880" w:rsidRPr="00936E88" w:rsidRDefault="00BF4880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Rank</w:t>
                  </w:r>
                </w:p>
              </w:tc>
              <w:tc>
                <w:tcPr>
                  <w:tcW w:w="4773" w:type="dxa"/>
                  <w:shd w:val="clear" w:color="auto" w:fill="17365D" w:themeFill="text2" w:themeFillShade="BF"/>
                </w:tcPr>
                <w:p w:rsidR="00BF4880" w:rsidRPr="00936E88" w:rsidRDefault="00BF4880" w:rsidP="008813AB">
                  <w:pPr>
                    <w:rPr>
                      <w:rFonts w:asciiTheme="minorHAnsi" w:hAnsiTheme="minorHAnsi"/>
                      <w:b/>
                      <w:color w:val="FFFFFF" w:themeColor="background1"/>
                    </w:rPr>
                  </w:pPr>
                  <w:r w:rsidRPr="00936E88">
                    <w:rPr>
                      <w:rFonts w:asciiTheme="minorHAnsi" w:hAnsiTheme="minorHAnsi"/>
                      <w:b/>
                      <w:color w:val="FFFFFF" w:themeColor="background1"/>
                    </w:rPr>
                    <w:t>Organisation</w:t>
                  </w:r>
                </w:p>
              </w:tc>
            </w:tr>
            <w:tr w:rsidR="001977C2" w:rsidRPr="00634319" w:rsidTr="00BF4880">
              <w:trPr>
                <w:trHeight w:val="283"/>
              </w:trPr>
              <w:tc>
                <w:tcPr>
                  <w:tcW w:w="1417" w:type="dxa"/>
                </w:tcPr>
                <w:p w:rsidR="001977C2" w:rsidRPr="00BD14A6" w:rsidRDefault="001977C2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 w:rsidRPr="00BD14A6">
                    <w:rPr>
                      <w:rFonts w:asciiTheme="minorHAnsi" w:hAnsiTheme="minorHAnsi"/>
                      <w:b/>
                    </w:rPr>
                    <w:t>1</w:t>
                  </w:r>
                </w:p>
              </w:tc>
              <w:tc>
                <w:tcPr>
                  <w:tcW w:w="5160" w:type="dxa"/>
                </w:tcPr>
                <w:p w:rsidR="001977C2" w:rsidRPr="00BD14A6" w:rsidRDefault="001977C2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Tower Hamlets Homes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1977C2" w:rsidRPr="00BD14A6" w:rsidRDefault="001977C2" w:rsidP="00EB6B63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6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1977C2" w:rsidRPr="00BD14A6" w:rsidRDefault="001977C2" w:rsidP="00EB6B6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Swan HA</w:t>
                  </w:r>
                </w:p>
              </w:tc>
            </w:tr>
            <w:tr w:rsidR="001977C2" w:rsidRPr="00634319" w:rsidTr="008813AB">
              <w:trPr>
                <w:trHeight w:val="218"/>
              </w:trPr>
              <w:tc>
                <w:tcPr>
                  <w:tcW w:w="1417" w:type="dxa"/>
                </w:tcPr>
                <w:p w:rsidR="001977C2" w:rsidRPr="00BD14A6" w:rsidRDefault="001977C2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2</w:t>
                  </w:r>
                </w:p>
              </w:tc>
              <w:tc>
                <w:tcPr>
                  <w:tcW w:w="5160" w:type="dxa"/>
                </w:tcPr>
                <w:p w:rsidR="001977C2" w:rsidRPr="00BD14A6" w:rsidRDefault="001977C2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One Housing 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1977C2" w:rsidRPr="00BD14A6" w:rsidRDefault="001977C2" w:rsidP="00EB6B63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7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1977C2" w:rsidRPr="00BD14A6" w:rsidRDefault="001977C2" w:rsidP="00EB6B63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Peabody</w:t>
                  </w:r>
                </w:p>
              </w:tc>
            </w:tr>
            <w:tr w:rsidR="001977C2" w:rsidRPr="00634319" w:rsidTr="008813AB">
              <w:trPr>
                <w:trHeight w:val="301"/>
              </w:trPr>
              <w:tc>
                <w:tcPr>
                  <w:tcW w:w="1417" w:type="dxa"/>
                </w:tcPr>
                <w:p w:rsidR="001977C2" w:rsidRPr="00BD14A6" w:rsidRDefault="001977C2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3</w:t>
                  </w:r>
                </w:p>
              </w:tc>
              <w:tc>
                <w:tcPr>
                  <w:tcW w:w="5160" w:type="dxa"/>
                </w:tcPr>
                <w:p w:rsidR="001977C2" w:rsidRPr="00BD14A6" w:rsidRDefault="001977C2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Poplar HARCA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1977C2" w:rsidRPr="00BD14A6" w:rsidRDefault="001977C2" w:rsidP="00AC4FD5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8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1977C2" w:rsidRPr="00BD14A6" w:rsidRDefault="001977C2" w:rsidP="00AC4FD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 xml:space="preserve">Tower Hamlets Community Housing </w:t>
                  </w:r>
                </w:p>
              </w:tc>
            </w:tr>
            <w:tr w:rsidR="001977C2" w:rsidRPr="00634319" w:rsidTr="008813AB">
              <w:trPr>
                <w:trHeight w:val="268"/>
              </w:trPr>
              <w:tc>
                <w:tcPr>
                  <w:tcW w:w="1417" w:type="dxa"/>
                </w:tcPr>
                <w:p w:rsidR="001977C2" w:rsidRDefault="001977C2" w:rsidP="008813AB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4</w:t>
                  </w:r>
                </w:p>
              </w:tc>
              <w:tc>
                <w:tcPr>
                  <w:tcW w:w="5160" w:type="dxa"/>
                </w:tcPr>
                <w:p w:rsidR="001977C2" w:rsidRPr="00BD14A6" w:rsidRDefault="001977C2" w:rsidP="008813AB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Providence Row HA</w:t>
                  </w:r>
                </w:p>
              </w:tc>
              <w:tc>
                <w:tcPr>
                  <w:tcW w:w="1407" w:type="dxa"/>
                  <w:shd w:val="clear" w:color="auto" w:fill="auto"/>
                </w:tcPr>
                <w:p w:rsidR="001977C2" w:rsidRPr="00BD14A6" w:rsidRDefault="001977C2" w:rsidP="00AC4FD5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9</w:t>
                  </w:r>
                </w:p>
              </w:tc>
              <w:tc>
                <w:tcPr>
                  <w:tcW w:w="4773" w:type="dxa"/>
                  <w:shd w:val="clear" w:color="auto" w:fill="auto"/>
                </w:tcPr>
                <w:p w:rsidR="001977C2" w:rsidRPr="00BD14A6" w:rsidRDefault="001977C2" w:rsidP="00AC4FD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Gateway</w:t>
                  </w:r>
                </w:p>
              </w:tc>
            </w:tr>
            <w:tr w:rsidR="001977C2" w:rsidRPr="00634319" w:rsidTr="008813AB">
              <w:trPr>
                <w:trHeight w:val="179"/>
              </w:trPr>
              <w:tc>
                <w:tcPr>
                  <w:tcW w:w="1417" w:type="dxa"/>
                </w:tcPr>
                <w:p w:rsidR="001977C2" w:rsidRPr="00BD14A6" w:rsidRDefault="001977C2" w:rsidP="00CF429D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5</w:t>
                  </w:r>
                </w:p>
              </w:tc>
              <w:tc>
                <w:tcPr>
                  <w:tcW w:w="5160" w:type="dxa"/>
                </w:tcPr>
                <w:p w:rsidR="001977C2" w:rsidRPr="00BD14A6" w:rsidRDefault="001977C2" w:rsidP="00CF429D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Eastend Homes</w:t>
                  </w:r>
                </w:p>
              </w:tc>
              <w:tc>
                <w:tcPr>
                  <w:tcW w:w="140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977C2" w:rsidRPr="00BD14A6" w:rsidRDefault="001977C2" w:rsidP="00AC4FD5">
                  <w:pPr>
                    <w:ind w:left="27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10</w:t>
                  </w:r>
                </w:p>
              </w:tc>
              <w:tc>
                <w:tcPr>
                  <w:tcW w:w="477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977C2" w:rsidRPr="00BD14A6" w:rsidRDefault="001977C2" w:rsidP="00AC4FD5">
                  <w:pPr>
                    <w:rPr>
                      <w:rFonts w:asciiTheme="minorHAnsi" w:hAnsiTheme="minorHAnsi"/>
                    </w:rPr>
                  </w:pPr>
                  <w:r>
                    <w:rPr>
                      <w:rFonts w:asciiTheme="minorHAnsi" w:hAnsiTheme="minorHAnsi"/>
                    </w:rPr>
                    <w:t>East Thames</w:t>
                  </w:r>
                </w:p>
              </w:tc>
            </w:tr>
          </w:tbl>
          <w:p w:rsidR="00BF4880" w:rsidRDefault="00BF4880" w:rsidP="008813A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BF66D2" w:rsidRDefault="00BF66D2">
      <w:pPr>
        <w:rPr>
          <w:rFonts w:asciiTheme="minorHAnsi" w:hAnsiTheme="minorHAnsi"/>
          <w:sz w:val="20"/>
          <w:szCs w:val="20"/>
        </w:rPr>
      </w:pPr>
    </w:p>
    <w:p w:rsidR="00BF66D2" w:rsidRDefault="00BF66D2">
      <w:pPr>
        <w:rPr>
          <w:rFonts w:asciiTheme="minorHAnsi" w:hAnsiTheme="minorHAnsi"/>
          <w:sz w:val="20"/>
          <w:szCs w:val="20"/>
        </w:rPr>
      </w:pPr>
    </w:p>
    <w:p w:rsidR="00BF66D2" w:rsidRDefault="00BF66D2">
      <w:pPr>
        <w:rPr>
          <w:rFonts w:asciiTheme="minorHAnsi" w:hAnsiTheme="minorHAnsi"/>
          <w:sz w:val="20"/>
          <w:szCs w:val="20"/>
        </w:rPr>
      </w:pPr>
    </w:p>
    <w:p w:rsidR="00BF66D2" w:rsidRDefault="00BF66D2">
      <w:pPr>
        <w:rPr>
          <w:rFonts w:asciiTheme="minorHAnsi" w:hAnsiTheme="minorHAnsi"/>
          <w:sz w:val="20"/>
          <w:szCs w:val="20"/>
        </w:rPr>
      </w:pPr>
    </w:p>
    <w:p w:rsidR="00BF66D2" w:rsidRPr="00CD6DF9" w:rsidRDefault="00BF66D2">
      <w:pPr>
        <w:rPr>
          <w:rFonts w:asciiTheme="minorHAnsi" w:hAnsiTheme="minorHAnsi"/>
          <w:sz w:val="20"/>
          <w:szCs w:val="20"/>
        </w:rPr>
      </w:pPr>
    </w:p>
    <w:sectPr w:rsidR="00BF66D2" w:rsidRPr="00CD6DF9" w:rsidSect="006511A7">
      <w:headerReference w:type="default" r:id="rId21"/>
      <w:footerReference w:type="default" r:id="rId22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0F6" w:rsidRDefault="003D70F6" w:rsidP="008E3D99">
      <w:r>
        <w:separator/>
      </w:r>
    </w:p>
  </w:endnote>
  <w:endnote w:type="continuationSeparator" w:id="0">
    <w:p w:rsidR="003D70F6" w:rsidRDefault="003D70F6" w:rsidP="008E3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3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885"/>
      <w:gridCol w:w="1072"/>
      <w:gridCol w:w="701"/>
      <w:gridCol w:w="1912"/>
      <w:gridCol w:w="1585"/>
      <w:gridCol w:w="1959"/>
      <w:gridCol w:w="1134"/>
      <w:gridCol w:w="1984"/>
    </w:tblGrid>
    <w:tr w:rsidR="008A1474" w:rsidRPr="00233640" w:rsidTr="00BE29C8">
      <w:trPr>
        <w:trHeight w:val="198"/>
      </w:trPr>
      <w:tc>
        <w:tcPr>
          <w:tcW w:w="1885" w:type="dxa"/>
          <w:tcBorders>
            <w:top w:val="single" w:sz="4" w:space="0" w:color="auto"/>
          </w:tcBorders>
          <w:shd w:val="clear" w:color="auto" w:fill="08A83D"/>
        </w:tcPr>
        <w:p w:rsidR="003D70F6" w:rsidRPr="00A07D8E" w:rsidRDefault="00A07D8E" w:rsidP="00BA3D44">
          <w:pPr>
            <w:pStyle w:val="Footer"/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</w:pPr>
          <w:r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t>Top quartile</w:t>
          </w:r>
        </w:p>
      </w:tc>
      <w:tc>
        <w:tcPr>
          <w:tcW w:w="1072" w:type="dxa"/>
          <w:tcBorders>
            <w:top w:val="single" w:sz="4" w:space="0" w:color="auto"/>
            <w:bottom w:val="nil"/>
            <w:right w:val="nil"/>
          </w:tcBorders>
          <w:shd w:val="clear" w:color="auto" w:fill="auto"/>
        </w:tcPr>
        <w:p w:rsidR="003D70F6" w:rsidRPr="00CA3317" w:rsidRDefault="003D70F6" w:rsidP="00A07D8E">
          <w:pPr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701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shd w:val="clear" w:color="auto" w:fill="auto"/>
        </w:tcPr>
        <w:p w:rsidR="003D70F6" w:rsidRDefault="003D70F6" w:rsidP="00BA3D44"/>
      </w:tc>
      <w:tc>
        <w:tcPr>
          <w:tcW w:w="1912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F79646" w:themeFill="accent6"/>
        </w:tcPr>
        <w:p w:rsidR="003D70F6" w:rsidRPr="00C30FCB" w:rsidRDefault="00A07D8E" w:rsidP="00BA3D44">
          <w:pPr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</w:pPr>
          <w:r w:rsidRPr="00C30FCB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t>2</w:t>
          </w:r>
          <w:r w:rsidRPr="00C30FCB">
            <w:rPr>
              <w:rFonts w:asciiTheme="minorHAnsi" w:hAnsiTheme="minorHAnsi"/>
              <w:b/>
              <w:color w:val="FFFFFF" w:themeColor="background1"/>
              <w:sz w:val="20"/>
              <w:szCs w:val="20"/>
              <w:vertAlign w:val="superscript"/>
            </w:rPr>
            <w:t>nd</w:t>
          </w:r>
          <w:r w:rsidRPr="00C30FCB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t xml:space="preserve"> quartile</w:t>
          </w:r>
        </w:p>
      </w:tc>
      <w:tc>
        <w:tcPr>
          <w:tcW w:w="1585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3D70F6" w:rsidRPr="008947C6" w:rsidRDefault="003D70F6" w:rsidP="00A07D8E">
          <w:pPr>
            <w:ind w:right="-391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9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shd w:val="clear" w:color="auto" w:fill="984806" w:themeFill="accent6" w:themeFillShade="80"/>
        </w:tcPr>
        <w:p w:rsidR="003D70F6" w:rsidRPr="00A07D8E" w:rsidRDefault="00A07D8E" w:rsidP="001A3D1E">
          <w:pPr>
            <w:ind w:right="-391"/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</w:pPr>
          <w:r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t>3</w:t>
          </w:r>
          <w:r w:rsidRPr="00A07D8E">
            <w:rPr>
              <w:rFonts w:asciiTheme="minorHAnsi" w:hAnsiTheme="minorHAnsi"/>
              <w:b/>
              <w:color w:val="FFFFFF" w:themeColor="background1"/>
              <w:sz w:val="20"/>
              <w:szCs w:val="20"/>
              <w:vertAlign w:val="superscript"/>
            </w:rPr>
            <w:t>rd</w:t>
          </w:r>
          <w:r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t xml:space="preserve"> quartile 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:rsidR="003D70F6" w:rsidRPr="008947C6" w:rsidRDefault="003D70F6" w:rsidP="00A07D8E">
          <w:pPr>
            <w:ind w:left="106" w:right="-391"/>
            <w:rPr>
              <w:rFonts w:asciiTheme="minorHAnsi" w:hAnsiTheme="minorHAnsi"/>
              <w:sz w:val="16"/>
              <w:szCs w:val="16"/>
            </w:rPr>
          </w:pPr>
        </w:p>
      </w:tc>
      <w:tc>
        <w:tcPr>
          <w:tcW w:w="1984" w:type="dxa"/>
          <w:tcBorders>
            <w:left w:val="single" w:sz="4" w:space="0" w:color="auto"/>
          </w:tcBorders>
          <w:shd w:val="clear" w:color="auto" w:fill="FF0000"/>
        </w:tcPr>
        <w:p w:rsidR="008A1474" w:rsidRPr="00A07D8E" w:rsidRDefault="00A07D8E">
          <w:pPr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</w:pPr>
          <w:r w:rsidRPr="00A07D8E">
            <w:rPr>
              <w:rFonts w:asciiTheme="minorHAnsi" w:hAnsiTheme="minorHAnsi"/>
              <w:b/>
              <w:color w:val="FFFFFF" w:themeColor="background1"/>
              <w:sz w:val="20"/>
              <w:szCs w:val="20"/>
            </w:rPr>
            <w:t>Bottom quartile</w:t>
          </w:r>
        </w:p>
      </w:tc>
    </w:tr>
  </w:tbl>
  <w:p w:rsidR="003D70F6" w:rsidRDefault="003D70F6" w:rsidP="006F355C">
    <w:pPr>
      <w:tabs>
        <w:tab w:val="left" w:pos="4822"/>
      </w:tabs>
    </w:pPr>
    <w:r>
      <w:t xml:space="preserve">                   </w:t>
    </w:r>
    <w:r w:rsidR="006F355C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0F6" w:rsidRDefault="003D70F6" w:rsidP="008E3D99">
      <w:r>
        <w:separator/>
      </w:r>
    </w:p>
  </w:footnote>
  <w:footnote w:type="continuationSeparator" w:id="0">
    <w:p w:rsidR="003D70F6" w:rsidRDefault="003D70F6" w:rsidP="008E3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311408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  <w:sz w:val="16"/>
        <w:szCs w:val="16"/>
      </w:rPr>
    </w:sdtEndPr>
    <w:sdtContent>
      <w:p w:rsidR="003D70F6" w:rsidRPr="00835DFD" w:rsidRDefault="003D70F6">
        <w:pPr>
          <w:pStyle w:val="Header"/>
          <w:jc w:val="right"/>
          <w:rPr>
            <w:rFonts w:asciiTheme="minorHAnsi" w:hAnsiTheme="minorHAnsi"/>
            <w:sz w:val="16"/>
            <w:szCs w:val="16"/>
          </w:rPr>
        </w:pPr>
        <w:r w:rsidRPr="00835DFD">
          <w:rPr>
            <w:rFonts w:asciiTheme="minorHAnsi" w:hAnsiTheme="minorHAnsi"/>
            <w:sz w:val="16"/>
            <w:szCs w:val="16"/>
          </w:rPr>
          <w:fldChar w:fldCharType="begin"/>
        </w:r>
        <w:r w:rsidRPr="00835DFD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Pr="00835DFD">
          <w:rPr>
            <w:rFonts w:asciiTheme="minorHAnsi" w:hAnsiTheme="minorHAnsi"/>
            <w:sz w:val="16"/>
            <w:szCs w:val="16"/>
          </w:rPr>
          <w:fldChar w:fldCharType="separate"/>
        </w:r>
        <w:r w:rsidR="00827D4B">
          <w:rPr>
            <w:rFonts w:asciiTheme="minorHAnsi" w:hAnsiTheme="minorHAnsi"/>
            <w:noProof/>
            <w:sz w:val="16"/>
            <w:szCs w:val="16"/>
          </w:rPr>
          <w:t>2</w:t>
        </w:r>
        <w:r w:rsidRPr="00835DFD">
          <w:rPr>
            <w:rFonts w:asciiTheme="minorHAnsi" w:hAnsiTheme="minorHAnsi"/>
            <w:noProof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5C7D"/>
    <w:multiLevelType w:val="hybridMultilevel"/>
    <w:tmpl w:val="EDF6A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43A2B"/>
    <w:multiLevelType w:val="hybridMultilevel"/>
    <w:tmpl w:val="8304D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01C61"/>
    <w:multiLevelType w:val="hybridMultilevel"/>
    <w:tmpl w:val="3D42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B12C74"/>
    <w:multiLevelType w:val="hybridMultilevel"/>
    <w:tmpl w:val="261E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B9"/>
    <w:rsid w:val="000034B3"/>
    <w:rsid w:val="000263E3"/>
    <w:rsid w:val="000402DD"/>
    <w:rsid w:val="00041BF0"/>
    <w:rsid w:val="000452B7"/>
    <w:rsid w:val="0005086E"/>
    <w:rsid w:val="00056D7C"/>
    <w:rsid w:val="000607FE"/>
    <w:rsid w:val="00062519"/>
    <w:rsid w:val="00062BED"/>
    <w:rsid w:val="00070344"/>
    <w:rsid w:val="00071F2B"/>
    <w:rsid w:val="0007286B"/>
    <w:rsid w:val="00073EB2"/>
    <w:rsid w:val="00074A3D"/>
    <w:rsid w:val="00076BFF"/>
    <w:rsid w:val="000802BD"/>
    <w:rsid w:val="000875FB"/>
    <w:rsid w:val="00087860"/>
    <w:rsid w:val="00087B8A"/>
    <w:rsid w:val="000903CB"/>
    <w:rsid w:val="00093039"/>
    <w:rsid w:val="000975AF"/>
    <w:rsid w:val="000A1C70"/>
    <w:rsid w:val="000A26EC"/>
    <w:rsid w:val="000A2D14"/>
    <w:rsid w:val="000C495A"/>
    <w:rsid w:val="000C49D1"/>
    <w:rsid w:val="000D658C"/>
    <w:rsid w:val="000E0610"/>
    <w:rsid w:val="000F17B9"/>
    <w:rsid w:val="000F78D6"/>
    <w:rsid w:val="001031D2"/>
    <w:rsid w:val="00114C55"/>
    <w:rsid w:val="00122267"/>
    <w:rsid w:val="00124ADC"/>
    <w:rsid w:val="00127F43"/>
    <w:rsid w:val="00134851"/>
    <w:rsid w:val="00134D38"/>
    <w:rsid w:val="001367C9"/>
    <w:rsid w:val="00140DE9"/>
    <w:rsid w:val="001426BF"/>
    <w:rsid w:val="0014303B"/>
    <w:rsid w:val="00147A1F"/>
    <w:rsid w:val="00153779"/>
    <w:rsid w:val="001558EF"/>
    <w:rsid w:val="00160ACF"/>
    <w:rsid w:val="00160AD8"/>
    <w:rsid w:val="00164AA9"/>
    <w:rsid w:val="00166DD9"/>
    <w:rsid w:val="0017343C"/>
    <w:rsid w:val="00176488"/>
    <w:rsid w:val="00177411"/>
    <w:rsid w:val="00180303"/>
    <w:rsid w:val="0018414F"/>
    <w:rsid w:val="00185FBC"/>
    <w:rsid w:val="00186026"/>
    <w:rsid w:val="00191C5B"/>
    <w:rsid w:val="00193CF2"/>
    <w:rsid w:val="00194CE5"/>
    <w:rsid w:val="001977C2"/>
    <w:rsid w:val="001A3D1E"/>
    <w:rsid w:val="001A4CDE"/>
    <w:rsid w:val="001B5626"/>
    <w:rsid w:val="001D1F03"/>
    <w:rsid w:val="001D30DF"/>
    <w:rsid w:val="001D3D01"/>
    <w:rsid w:val="001E284A"/>
    <w:rsid w:val="001E4F85"/>
    <w:rsid w:val="001E65D2"/>
    <w:rsid w:val="001E7C7F"/>
    <w:rsid w:val="001F451A"/>
    <w:rsid w:val="001F4D4E"/>
    <w:rsid w:val="001F68AC"/>
    <w:rsid w:val="00200937"/>
    <w:rsid w:val="00202359"/>
    <w:rsid w:val="00211EDA"/>
    <w:rsid w:val="002144FA"/>
    <w:rsid w:val="00215C6E"/>
    <w:rsid w:val="00220AD7"/>
    <w:rsid w:val="002279FB"/>
    <w:rsid w:val="002318B9"/>
    <w:rsid w:val="00231B06"/>
    <w:rsid w:val="00233640"/>
    <w:rsid w:val="00234299"/>
    <w:rsid w:val="002346CC"/>
    <w:rsid w:val="00234816"/>
    <w:rsid w:val="00234DDD"/>
    <w:rsid w:val="00245370"/>
    <w:rsid w:val="00250EED"/>
    <w:rsid w:val="00251FB8"/>
    <w:rsid w:val="00256BF1"/>
    <w:rsid w:val="00274E3B"/>
    <w:rsid w:val="002820B8"/>
    <w:rsid w:val="00282DE4"/>
    <w:rsid w:val="002916D3"/>
    <w:rsid w:val="002A12A5"/>
    <w:rsid w:val="002A55A6"/>
    <w:rsid w:val="002A5D36"/>
    <w:rsid w:val="002B5215"/>
    <w:rsid w:val="002B52CD"/>
    <w:rsid w:val="002B562E"/>
    <w:rsid w:val="002C2379"/>
    <w:rsid w:val="002D460A"/>
    <w:rsid w:val="002D48A7"/>
    <w:rsid w:val="002E0F57"/>
    <w:rsid w:val="002E48AA"/>
    <w:rsid w:val="002E57D7"/>
    <w:rsid w:val="002E5973"/>
    <w:rsid w:val="002E5A62"/>
    <w:rsid w:val="002E6D68"/>
    <w:rsid w:val="002F2D09"/>
    <w:rsid w:val="002F3C6B"/>
    <w:rsid w:val="00301131"/>
    <w:rsid w:val="003013E5"/>
    <w:rsid w:val="00302C57"/>
    <w:rsid w:val="00313C97"/>
    <w:rsid w:val="0032184F"/>
    <w:rsid w:val="00325016"/>
    <w:rsid w:val="00333F0C"/>
    <w:rsid w:val="00337389"/>
    <w:rsid w:val="00340DFE"/>
    <w:rsid w:val="00340EAE"/>
    <w:rsid w:val="00346238"/>
    <w:rsid w:val="00350F01"/>
    <w:rsid w:val="00355F28"/>
    <w:rsid w:val="00360AFA"/>
    <w:rsid w:val="00366F51"/>
    <w:rsid w:val="003701A1"/>
    <w:rsid w:val="00370718"/>
    <w:rsid w:val="0037226C"/>
    <w:rsid w:val="00374CD4"/>
    <w:rsid w:val="003770B4"/>
    <w:rsid w:val="003807A1"/>
    <w:rsid w:val="00382DCA"/>
    <w:rsid w:val="00385EDB"/>
    <w:rsid w:val="00386FD9"/>
    <w:rsid w:val="00387086"/>
    <w:rsid w:val="003913F6"/>
    <w:rsid w:val="00392C34"/>
    <w:rsid w:val="00395ED0"/>
    <w:rsid w:val="003A5E65"/>
    <w:rsid w:val="003A779E"/>
    <w:rsid w:val="003B106D"/>
    <w:rsid w:val="003B5879"/>
    <w:rsid w:val="003C0752"/>
    <w:rsid w:val="003C3A6E"/>
    <w:rsid w:val="003C7C99"/>
    <w:rsid w:val="003D0820"/>
    <w:rsid w:val="003D1B4C"/>
    <w:rsid w:val="003D70F6"/>
    <w:rsid w:val="003F16B4"/>
    <w:rsid w:val="003F4167"/>
    <w:rsid w:val="003F52E3"/>
    <w:rsid w:val="00407D79"/>
    <w:rsid w:val="00410207"/>
    <w:rsid w:val="004156AD"/>
    <w:rsid w:val="0043018E"/>
    <w:rsid w:val="00430D96"/>
    <w:rsid w:val="00435A98"/>
    <w:rsid w:val="0043626D"/>
    <w:rsid w:val="00441E88"/>
    <w:rsid w:val="004439A9"/>
    <w:rsid w:val="00450128"/>
    <w:rsid w:val="00463AD7"/>
    <w:rsid w:val="004642CB"/>
    <w:rsid w:val="0046505F"/>
    <w:rsid w:val="00473D2C"/>
    <w:rsid w:val="0047719A"/>
    <w:rsid w:val="0047720F"/>
    <w:rsid w:val="0047728F"/>
    <w:rsid w:val="0048705F"/>
    <w:rsid w:val="00493451"/>
    <w:rsid w:val="004956C7"/>
    <w:rsid w:val="004A2EF3"/>
    <w:rsid w:val="004A44E9"/>
    <w:rsid w:val="004A4B73"/>
    <w:rsid w:val="004A7EF7"/>
    <w:rsid w:val="004B2C62"/>
    <w:rsid w:val="004B52DC"/>
    <w:rsid w:val="004D1A5A"/>
    <w:rsid w:val="004D1C2A"/>
    <w:rsid w:val="004D2044"/>
    <w:rsid w:val="004D7D78"/>
    <w:rsid w:val="004E2883"/>
    <w:rsid w:val="004E3A1C"/>
    <w:rsid w:val="004F173F"/>
    <w:rsid w:val="004F4DC9"/>
    <w:rsid w:val="004F5F5E"/>
    <w:rsid w:val="004F7612"/>
    <w:rsid w:val="004F7B42"/>
    <w:rsid w:val="00500595"/>
    <w:rsid w:val="0050125F"/>
    <w:rsid w:val="00501557"/>
    <w:rsid w:val="0050331A"/>
    <w:rsid w:val="005060E2"/>
    <w:rsid w:val="00510B22"/>
    <w:rsid w:val="00512421"/>
    <w:rsid w:val="00523203"/>
    <w:rsid w:val="00526937"/>
    <w:rsid w:val="00527EDD"/>
    <w:rsid w:val="00533D6B"/>
    <w:rsid w:val="005357A2"/>
    <w:rsid w:val="0054353A"/>
    <w:rsid w:val="005439FF"/>
    <w:rsid w:val="005525D1"/>
    <w:rsid w:val="00555E86"/>
    <w:rsid w:val="0056509E"/>
    <w:rsid w:val="00567727"/>
    <w:rsid w:val="0057382C"/>
    <w:rsid w:val="005829F5"/>
    <w:rsid w:val="00583955"/>
    <w:rsid w:val="00584F66"/>
    <w:rsid w:val="005874F7"/>
    <w:rsid w:val="00590905"/>
    <w:rsid w:val="00595E69"/>
    <w:rsid w:val="00596B8B"/>
    <w:rsid w:val="005A0538"/>
    <w:rsid w:val="005A1E44"/>
    <w:rsid w:val="005A2C85"/>
    <w:rsid w:val="005A748D"/>
    <w:rsid w:val="005B4E6A"/>
    <w:rsid w:val="005B6B33"/>
    <w:rsid w:val="005B7135"/>
    <w:rsid w:val="005B78E8"/>
    <w:rsid w:val="005C1F60"/>
    <w:rsid w:val="005C2C03"/>
    <w:rsid w:val="005C3CD0"/>
    <w:rsid w:val="005D4427"/>
    <w:rsid w:val="005E3A79"/>
    <w:rsid w:val="005E7913"/>
    <w:rsid w:val="005F0C84"/>
    <w:rsid w:val="005F38D0"/>
    <w:rsid w:val="00600E2C"/>
    <w:rsid w:val="006023AB"/>
    <w:rsid w:val="00603CC4"/>
    <w:rsid w:val="00605DF0"/>
    <w:rsid w:val="00606AEB"/>
    <w:rsid w:val="00606F57"/>
    <w:rsid w:val="00607AF0"/>
    <w:rsid w:val="0062455C"/>
    <w:rsid w:val="00630F67"/>
    <w:rsid w:val="00634319"/>
    <w:rsid w:val="006366AA"/>
    <w:rsid w:val="00641326"/>
    <w:rsid w:val="00641754"/>
    <w:rsid w:val="00644CA4"/>
    <w:rsid w:val="006511A7"/>
    <w:rsid w:val="0065299E"/>
    <w:rsid w:val="006548C8"/>
    <w:rsid w:val="006558A1"/>
    <w:rsid w:val="00655A70"/>
    <w:rsid w:val="00661533"/>
    <w:rsid w:val="00670D5E"/>
    <w:rsid w:val="00671929"/>
    <w:rsid w:val="00675433"/>
    <w:rsid w:val="00677AC6"/>
    <w:rsid w:val="00680C1B"/>
    <w:rsid w:val="00680FD2"/>
    <w:rsid w:val="00682F5F"/>
    <w:rsid w:val="00693A14"/>
    <w:rsid w:val="006969C0"/>
    <w:rsid w:val="006A123C"/>
    <w:rsid w:val="006A1D0F"/>
    <w:rsid w:val="006A4B78"/>
    <w:rsid w:val="006A7915"/>
    <w:rsid w:val="006B08A3"/>
    <w:rsid w:val="006B2FBA"/>
    <w:rsid w:val="006C2AE9"/>
    <w:rsid w:val="006C5118"/>
    <w:rsid w:val="006C753C"/>
    <w:rsid w:val="006D15A0"/>
    <w:rsid w:val="006D2C2B"/>
    <w:rsid w:val="006E35B5"/>
    <w:rsid w:val="006E71EC"/>
    <w:rsid w:val="006F007B"/>
    <w:rsid w:val="006F355C"/>
    <w:rsid w:val="006F41DE"/>
    <w:rsid w:val="007058FC"/>
    <w:rsid w:val="0071096B"/>
    <w:rsid w:val="007142A2"/>
    <w:rsid w:val="00720EE6"/>
    <w:rsid w:val="0072438E"/>
    <w:rsid w:val="00727BB5"/>
    <w:rsid w:val="00727F2B"/>
    <w:rsid w:val="007340B0"/>
    <w:rsid w:val="00737A9E"/>
    <w:rsid w:val="0075458A"/>
    <w:rsid w:val="007601EC"/>
    <w:rsid w:val="007607DF"/>
    <w:rsid w:val="00762083"/>
    <w:rsid w:val="0077067F"/>
    <w:rsid w:val="00770713"/>
    <w:rsid w:val="0077405D"/>
    <w:rsid w:val="007740A7"/>
    <w:rsid w:val="00775BBD"/>
    <w:rsid w:val="0078016E"/>
    <w:rsid w:val="007820FE"/>
    <w:rsid w:val="0078250B"/>
    <w:rsid w:val="007841C1"/>
    <w:rsid w:val="00786264"/>
    <w:rsid w:val="0078670A"/>
    <w:rsid w:val="007917F9"/>
    <w:rsid w:val="007A09B1"/>
    <w:rsid w:val="007A0E8A"/>
    <w:rsid w:val="007A1E57"/>
    <w:rsid w:val="007A351E"/>
    <w:rsid w:val="007B1128"/>
    <w:rsid w:val="007B553A"/>
    <w:rsid w:val="007C0BFF"/>
    <w:rsid w:val="007C6E56"/>
    <w:rsid w:val="007D3EE1"/>
    <w:rsid w:val="007F08B8"/>
    <w:rsid w:val="007F0BED"/>
    <w:rsid w:val="007F2DBD"/>
    <w:rsid w:val="007F4C4A"/>
    <w:rsid w:val="007F77F6"/>
    <w:rsid w:val="008032D5"/>
    <w:rsid w:val="00804449"/>
    <w:rsid w:val="00806944"/>
    <w:rsid w:val="008100AC"/>
    <w:rsid w:val="008119B1"/>
    <w:rsid w:val="00820757"/>
    <w:rsid w:val="008217CD"/>
    <w:rsid w:val="00821CF8"/>
    <w:rsid w:val="008236AF"/>
    <w:rsid w:val="00826DAE"/>
    <w:rsid w:val="00827D4B"/>
    <w:rsid w:val="00832B88"/>
    <w:rsid w:val="008341DA"/>
    <w:rsid w:val="00835D42"/>
    <w:rsid w:val="00835DFD"/>
    <w:rsid w:val="00837B20"/>
    <w:rsid w:val="0084033A"/>
    <w:rsid w:val="008504B3"/>
    <w:rsid w:val="00851DCF"/>
    <w:rsid w:val="00852326"/>
    <w:rsid w:val="008531C2"/>
    <w:rsid w:val="00853D76"/>
    <w:rsid w:val="00872C51"/>
    <w:rsid w:val="00883C95"/>
    <w:rsid w:val="00884BBB"/>
    <w:rsid w:val="008870C1"/>
    <w:rsid w:val="0088732B"/>
    <w:rsid w:val="008933B1"/>
    <w:rsid w:val="00893844"/>
    <w:rsid w:val="008947C6"/>
    <w:rsid w:val="00894F39"/>
    <w:rsid w:val="00895D30"/>
    <w:rsid w:val="0089629B"/>
    <w:rsid w:val="00896D95"/>
    <w:rsid w:val="008A1474"/>
    <w:rsid w:val="008A1F70"/>
    <w:rsid w:val="008B10AA"/>
    <w:rsid w:val="008B2A8A"/>
    <w:rsid w:val="008B6F27"/>
    <w:rsid w:val="008C1897"/>
    <w:rsid w:val="008C3760"/>
    <w:rsid w:val="008C53CA"/>
    <w:rsid w:val="008D1A54"/>
    <w:rsid w:val="008D6052"/>
    <w:rsid w:val="008D6E13"/>
    <w:rsid w:val="008E2518"/>
    <w:rsid w:val="008E3D99"/>
    <w:rsid w:val="008E578A"/>
    <w:rsid w:val="008E685F"/>
    <w:rsid w:val="008E6C99"/>
    <w:rsid w:val="008F304E"/>
    <w:rsid w:val="00902390"/>
    <w:rsid w:val="00903106"/>
    <w:rsid w:val="00910E64"/>
    <w:rsid w:val="009134D7"/>
    <w:rsid w:val="00913B2D"/>
    <w:rsid w:val="009154FF"/>
    <w:rsid w:val="00920E34"/>
    <w:rsid w:val="009232A2"/>
    <w:rsid w:val="0092548A"/>
    <w:rsid w:val="00926438"/>
    <w:rsid w:val="009359FD"/>
    <w:rsid w:val="0093657E"/>
    <w:rsid w:val="00936E88"/>
    <w:rsid w:val="009408C0"/>
    <w:rsid w:val="0094112A"/>
    <w:rsid w:val="00941648"/>
    <w:rsid w:val="00943CF8"/>
    <w:rsid w:val="00945325"/>
    <w:rsid w:val="00946383"/>
    <w:rsid w:val="009524CC"/>
    <w:rsid w:val="009615F7"/>
    <w:rsid w:val="009725F2"/>
    <w:rsid w:val="00976B17"/>
    <w:rsid w:val="00982106"/>
    <w:rsid w:val="009828F3"/>
    <w:rsid w:val="00990911"/>
    <w:rsid w:val="009A13AF"/>
    <w:rsid w:val="009A1B14"/>
    <w:rsid w:val="009B0F73"/>
    <w:rsid w:val="009B7692"/>
    <w:rsid w:val="009C07AB"/>
    <w:rsid w:val="009C1824"/>
    <w:rsid w:val="009C55B7"/>
    <w:rsid w:val="009D0C55"/>
    <w:rsid w:val="009D170F"/>
    <w:rsid w:val="009D45C4"/>
    <w:rsid w:val="009E1E2B"/>
    <w:rsid w:val="009E591E"/>
    <w:rsid w:val="009E6542"/>
    <w:rsid w:val="009E7AB8"/>
    <w:rsid w:val="009F01D0"/>
    <w:rsid w:val="009F0849"/>
    <w:rsid w:val="009F1520"/>
    <w:rsid w:val="009F29D5"/>
    <w:rsid w:val="00A018ED"/>
    <w:rsid w:val="00A0422F"/>
    <w:rsid w:val="00A066E9"/>
    <w:rsid w:val="00A07D8E"/>
    <w:rsid w:val="00A11EE2"/>
    <w:rsid w:val="00A11F3E"/>
    <w:rsid w:val="00A1488A"/>
    <w:rsid w:val="00A14CE7"/>
    <w:rsid w:val="00A1594B"/>
    <w:rsid w:val="00A17EFD"/>
    <w:rsid w:val="00A20A2D"/>
    <w:rsid w:val="00A241DB"/>
    <w:rsid w:val="00A4099F"/>
    <w:rsid w:val="00A41EF0"/>
    <w:rsid w:val="00A4515E"/>
    <w:rsid w:val="00A570E1"/>
    <w:rsid w:val="00A627FB"/>
    <w:rsid w:val="00A655B7"/>
    <w:rsid w:val="00A73F38"/>
    <w:rsid w:val="00A85CBA"/>
    <w:rsid w:val="00A9357A"/>
    <w:rsid w:val="00A94039"/>
    <w:rsid w:val="00A9516B"/>
    <w:rsid w:val="00AA2EEB"/>
    <w:rsid w:val="00AA3A16"/>
    <w:rsid w:val="00AA56AF"/>
    <w:rsid w:val="00AA7FAA"/>
    <w:rsid w:val="00AB0F5B"/>
    <w:rsid w:val="00AB2868"/>
    <w:rsid w:val="00AB3336"/>
    <w:rsid w:val="00AB3CD2"/>
    <w:rsid w:val="00AC0F86"/>
    <w:rsid w:val="00AC2C24"/>
    <w:rsid w:val="00AC423E"/>
    <w:rsid w:val="00AD5AF0"/>
    <w:rsid w:val="00AF2818"/>
    <w:rsid w:val="00AF69A7"/>
    <w:rsid w:val="00B02EC5"/>
    <w:rsid w:val="00B044E9"/>
    <w:rsid w:val="00B0580C"/>
    <w:rsid w:val="00B0600C"/>
    <w:rsid w:val="00B165B9"/>
    <w:rsid w:val="00B17755"/>
    <w:rsid w:val="00B202E0"/>
    <w:rsid w:val="00B21F8F"/>
    <w:rsid w:val="00B23250"/>
    <w:rsid w:val="00B32FFA"/>
    <w:rsid w:val="00B34001"/>
    <w:rsid w:val="00B35648"/>
    <w:rsid w:val="00B47B78"/>
    <w:rsid w:val="00B47F88"/>
    <w:rsid w:val="00B57FAC"/>
    <w:rsid w:val="00B62140"/>
    <w:rsid w:val="00B67719"/>
    <w:rsid w:val="00B67F65"/>
    <w:rsid w:val="00B74353"/>
    <w:rsid w:val="00B77920"/>
    <w:rsid w:val="00B801F6"/>
    <w:rsid w:val="00B80ED9"/>
    <w:rsid w:val="00B875B1"/>
    <w:rsid w:val="00B905E7"/>
    <w:rsid w:val="00B914CE"/>
    <w:rsid w:val="00B9629A"/>
    <w:rsid w:val="00B96561"/>
    <w:rsid w:val="00B96EDF"/>
    <w:rsid w:val="00BA2C47"/>
    <w:rsid w:val="00BA3546"/>
    <w:rsid w:val="00BA35C8"/>
    <w:rsid w:val="00BA3D44"/>
    <w:rsid w:val="00BB0BB8"/>
    <w:rsid w:val="00BB7B05"/>
    <w:rsid w:val="00BC0FF7"/>
    <w:rsid w:val="00BC425C"/>
    <w:rsid w:val="00BD10A9"/>
    <w:rsid w:val="00BD14A6"/>
    <w:rsid w:val="00BD5297"/>
    <w:rsid w:val="00BD5E18"/>
    <w:rsid w:val="00BD69FE"/>
    <w:rsid w:val="00BE0C39"/>
    <w:rsid w:val="00BE15E8"/>
    <w:rsid w:val="00BE29C8"/>
    <w:rsid w:val="00BE455E"/>
    <w:rsid w:val="00BE53DE"/>
    <w:rsid w:val="00BE693C"/>
    <w:rsid w:val="00BE7335"/>
    <w:rsid w:val="00BE7F9F"/>
    <w:rsid w:val="00BF4880"/>
    <w:rsid w:val="00BF66D2"/>
    <w:rsid w:val="00C04135"/>
    <w:rsid w:val="00C10D57"/>
    <w:rsid w:val="00C10F1A"/>
    <w:rsid w:val="00C11025"/>
    <w:rsid w:val="00C11C40"/>
    <w:rsid w:val="00C13921"/>
    <w:rsid w:val="00C15919"/>
    <w:rsid w:val="00C16C66"/>
    <w:rsid w:val="00C171B4"/>
    <w:rsid w:val="00C20D4B"/>
    <w:rsid w:val="00C27DD4"/>
    <w:rsid w:val="00C30FCB"/>
    <w:rsid w:val="00C36C57"/>
    <w:rsid w:val="00C40519"/>
    <w:rsid w:val="00C42945"/>
    <w:rsid w:val="00C44453"/>
    <w:rsid w:val="00C44821"/>
    <w:rsid w:val="00C45297"/>
    <w:rsid w:val="00C45EF6"/>
    <w:rsid w:val="00C47E59"/>
    <w:rsid w:val="00C51E94"/>
    <w:rsid w:val="00C56006"/>
    <w:rsid w:val="00C56417"/>
    <w:rsid w:val="00C56A2E"/>
    <w:rsid w:val="00C63019"/>
    <w:rsid w:val="00C670FE"/>
    <w:rsid w:val="00C71292"/>
    <w:rsid w:val="00C7321E"/>
    <w:rsid w:val="00C73653"/>
    <w:rsid w:val="00C76083"/>
    <w:rsid w:val="00C760DB"/>
    <w:rsid w:val="00C76D1C"/>
    <w:rsid w:val="00C8555C"/>
    <w:rsid w:val="00CA3317"/>
    <w:rsid w:val="00CA5D74"/>
    <w:rsid w:val="00CA767A"/>
    <w:rsid w:val="00CB03E3"/>
    <w:rsid w:val="00CB1AF1"/>
    <w:rsid w:val="00CB439A"/>
    <w:rsid w:val="00CC749D"/>
    <w:rsid w:val="00CD530A"/>
    <w:rsid w:val="00CD6D67"/>
    <w:rsid w:val="00CD6DF9"/>
    <w:rsid w:val="00CE21AF"/>
    <w:rsid w:val="00CE7C5A"/>
    <w:rsid w:val="00CF4707"/>
    <w:rsid w:val="00CF6138"/>
    <w:rsid w:val="00D024F3"/>
    <w:rsid w:val="00D0595A"/>
    <w:rsid w:val="00D06108"/>
    <w:rsid w:val="00D07869"/>
    <w:rsid w:val="00D1125B"/>
    <w:rsid w:val="00D21854"/>
    <w:rsid w:val="00D23002"/>
    <w:rsid w:val="00D247FC"/>
    <w:rsid w:val="00D24D06"/>
    <w:rsid w:val="00D268D4"/>
    <w:rsid w:val="00D26982"/>
    <w:rsid w:val="00D30A85"/>
    <w:rsid w:val="00D3221C"/>
    <w:rsid w:val="00D35AE5"/>
    <w:rsid w:val="00D37D64"/>
    <w:rsid w:val="00D41FAD"/>
    <w:rsid w:val="00D46E45"/>
    <w:rsid w:val="00D47D61"/>
    <w:rsid w:val="00D50321"/>
    <w:rsid w:val="00D51C22"/>
    <w:rsid w:val="00D525DA"/>
    <w:rsid w:val="00D62CC3"/>
    <w:rsid w:val="00D64FF3"/>
    <w:rsid w:val="00D653BB"/>
    <w:rsid w:val="00D65AE1"/>
    <w:rsid w:val="00D7533C"/>
    <w:rsid w:val="00D84285"/>
    <w:rsid w:val="00D8495A"/>
    <w:rsid w:val="00D87E84"/>
    <w:rsid w:val="00D9147E"/>
    <w:rsid w:val="00D964F9"/>
    <w:rsid w:val="00DA6183"/>
    <w:rsid w:val="00DA65F8"/>
    <w:rsid w:val="00DA7D53"/>
    <w:rsid w:val="00DB0756"/>
    <w:rsid w:val="00DC3707"/>
    <w:rsid w:val="00DC4D7C"/>
    <w:rsid w:val="00DE0DCF"/>
    <w:rsid w:val="00DE12E5"/>
    <w:rsid w:val="00DE6441"/>
    <w:rsid w:val="00DE763C"/>
    <w:rsid w:val="00DF6C16"/>
    <w:rsid w:val="00E02246"/>
    <w:rsid w:val="00E037BD"/>
    <w:rsid w:val="00E065A7"/>
    <w:rsid w:val="00E1105B"/>
    <w:rsid w:val="00E1521A"/>
    <w:rsid w:val="00E21023"/>
    <w:rsid w:val="00E26986"/>
    <w:rsid w:val="00E35D88"/>
    <w:rsid w:val="00E37068"/>
    <w:rsid w:val="00E40097"/>
    <w:rsid w:val="00E41207"/>
    <w:rsid w:val="00E45886"/>
    <w:rsid w:val="00E5068C"/>
    <w:rsid w:val="00E53A33"/>
    <w:rsid w:val="00E54D9C"/>
    <w:rsid w:val="00E6651D"/>
    <w:rsid w:val="00E70471"/>
    <w:rsid w:val="00E71081"/>
    <w:rsid w:val="00E71F41"/>
    <w:rsid w:val="00E77552"/>
    <w:rsid w:val="00E815B8"/>
    <w:rsid w:val="00E8268D"/>
    <w:rsid w:val="00E83F2C"/>
    <w:rsid w:val="00E96B02"/>
    <w:rsid w:val="00EA0CBB"/>
    <w:rsid w:val="00EA0E09"/>
    <w:rsid w:val="00EA1621"/>
    <w:rsid w:val="00EA3133"/>
    <w:rsid w:val="00EB1269"/>
    <w:rsid w:val="00EB2354"/>
    <w:rsid w:val="00EC11C0"/>
    <w:rsid w:val="00EC39E7"/>
    <w:rsid w:val="00EE0219"/>
    <w:rsid w:val="00EE5DD8"/>
    <w:rsid w:val="00EE60B9"/>
    <w:rsid w:val="00EF4A06"/>
    <w:rsid w:val="00F00DEF"/>
    <w:rsid w:val="00F03490"/>
    <w:rsid w:val="00F11AC2"/>
    <w:rsid w:val="00F14F41"/>
    <w:rsid w:val="00F158E2"/>
    <w:rsid w:val="00F257E9"/>
    <w:rsid w:val="00F278AC"/>
    <w:rsid w:val="00F309A3"/>
    <w:rsid w:val="00F312E3"/>
    <w:rsid w:val="00F45391"/>
    <w:rsid w:val="00F566CC"/>
    <w:rsid w:val="00F57F9B"/>
    <w:rsid w:val="00F72C82"/>
    <w:rsid w:val="00F75F62"/>
    <w:rsid w:val="00F77000"/>
    <w:rsid w:val="00F77F98"/>
    <w:rsid w:val="00F86D78"/>
    <w:rsid w:val="00F90234"/>
    <w:rsid w:val="00F909C2"/>
    <w:rsid w:val="00F91FC6"/>
    <w:rsid w:val="00F93AD8"/>
    <w:rsid w:val="00F94A22"/>
    <w:rsid w:val="00F96400"/>
    <w:rsid w:val="00F972D1"/>
    <w:rsid w:val="00F977EB"/>
    <w:rsid w:val="00FB0FA6"/>
    <w:rsid w:val="00FB541E"/>
    <w:rsid w:val="00FB615B"/>
    <w:rsid w:val="00FB7A49"/>
    <w:rsid w:val="00FD33E1"/>
    <w:rsid w:val="00FD364A"/>
    <w:rsid w:val="00FD45DD"/>
    <w:rsid w:val="00FD514C"/>
    <w:rsid w:val="00FD7398"/>
    <w:rsid w:val="00FE05E7"/>
    <w:rsid w:val="00FE2881"/>
    <w:rsid w:val="00FE5736"/>
    <w:rsid w:val="00FE7019"/>
    <w:rsid w:val="00FF0255"/>
    <w:rsid w:val="00FF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6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7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E3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3D9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3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D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0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677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677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E3D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3D99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3D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D99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3D70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8.xml"/><Relationship Id="rId1" Type="http://schemas.openxmlformats.org/officeDocument/2006/relationships/package" Target="../embeddings/Microsoft_Excel_Worksheet10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9.xml"/><Relationship Id="rId1" Type="http://schemas.openxmlformats.org/officeDocument/2006/relationships/package" Target="../embeddings/Microsoft_Excel_Worksheet11.xlsx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0.xml"/><Relationship Id="rId1" Type="http://schemas.openxmlformats.org/officeDocument/2006/relationships/package" Target="../embeddings/Microsoft_Excel_Worksheet12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4.xml"/><Relationship Id="rId1" Type="http://schemas.openxmlformats.org/officeDocument/2006/relationships/package" Target="../embeddings/Microsoft_Excel_Worksheet6.xlsx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5.xml"/><Relationship Id="rId1" Type="http://schemas.openxmlformats.org/officeDocument/2006/relationships/package" Target="../embeddings/Microsoft_Excel_Worksheet7.xlsx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6.xml"/><Relationship Id="rId1" Type="http://schemas.openxmlformats.org/officeDocument/2006/relationships/package" Target="../embeddings/Microsoft_Excel_Worksheet8.xlsx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7.xml"/><Relationship Id="rId1" Type="http://schemas.openxmlformats.org/officeDocument/2006/relationships/package" Target="../embeddings/Microsoft_Excel_Worksheet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695054121346013E-3"/>
          <c:y val="0.31330725261591069"/>
          <c:w val="0.99339054112842984"/>
          <c:h val="0.445799943016317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6"/>
              <c:layout>
                <c:manualLayout>
                  <c:x val="3.2549860389177087E-4"/>
                  <c:y val="1.5144794083940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Sheet1!$B$2:$B$15</c:f>
              <c:numCache>
                <c:formatCode>0.00%</c:formatCode>
                <c:ptCount val="14"/>
                <c:pt idx="0">
                  <c:v>0.999</c:v>
                </c:pt>
                <c:pt idx="1">
                  <c:v>0.99570000000000003</c:v>
                </c:pt>
                <c:pt idx="2">
                  <c:v>0.99399999999999999</c:v>
                </c:pt>
                <c:pt idx="3">
                  <c:v>0.98899999999999999</c:v>
                </c:pt>
                <c:pt idx="4">
                  <c:v>0.97599999999999998</c:v>
                </c:pt>
                <c:pt idx="5">
                  <c:v>0.96889999999999998</c:v>
                </c:pt>
                <c:pt idx="6">
                  <c:v>0.95599999999999996</c:v>
                </c:pt>
                <c:pt idx="7">
                  <c:v>0.93600000000000005</c:v>
                </c:pt>
                <c:pt idx="8">
                  <c:v>0.93220000000000003</c:v>
                </c:pt>
                <c:pt idx="9">
                  <c:v>0.93</c:v>
                </c:pt>
                <c:pt idx="10">
                  <c:v>0.92</c:v>
                </c:pt>
                <c:pt idx="11">
                  <c:v>0.91579999999999995</c:v>
                </c:pt>
                <c:pt idx="12">
                  <c:v>0.878</c:v>
                </c:pt>
                <c:pt idx="13">
                  <c:v>0.87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708608"/>
        <c:axId val="178004736"/>
      </c:barChart>
      <c:catAx>
        <c:axId val="176708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b="1"/>
            </a:pPr>
            <a:endParaRPr lang="en-US"/>
          </a:p>
        </c:txPr>
        <c:crossAx val="178004736"/>
        <c:crosses val="autoZero"/>
        <c:auto val="1"/>
        <c:lblAlgn val="ctr"/>
        <c:lblOffset val="100"/>
        <c:noMultiLvlLbl val="0"/>
      </c:catAx>
      <c:valAx>
        <c:axId val="178004736"/>
        <c:scaling>
          <c:orientation val="minMax"/>
          <c:min val="1.0000000000000002E-2"/>
        </c:scaling>
        <c:delete val="1"/>
        <c:axPos val="l"/>
        <c:numFmt formatCode="0.00%" sourceLinked="1"/>
        <c:majorTickMark val="none"/>
        <c:minorTickMark val="none"/>
        <c:tickLblPos val="nextTo"/>
        <c:crossAx val="176708608"/>
        <c:crosses val="autoZero"/>
        <c:crossBetween val="between"/>
        <c:majorUnit val="2.0000000000000004E-2"/>
      </c:valAx>
      <c:spPr>
        <a:noFill/>
        <a:ln w="15875">
          <a:noFill/>
        </a:ln>
        <a:effectLst>
          <a:outerShdw blurRad="50800" dist="50800" dir="5400000" algn="ctr" rotWithShape="0">
            <a:srgbClr val="92D050">
              <a:alpha val="66000"/>
            </a:srgbClr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257793176889414"/>
          <c:w val="0.99423971952644918"/>
          <c:h val="0.56706865861905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9.3833349180083006E-4"/>
                  <c:y val="6.1272895235630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86642506354687E-5"/>
                  <c:y val="1.9280402972469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Sheet1!$A$2:$A$10</c:f>
              <c:numCache>
                <c:formatCode>General</c:formatCode>
                <c:ptCount val="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</c:numCache>
            </c:numRef>
          </c:cat>
          <c:val>
            <c:numRef>
              <c:f>Sheet1!$B$2:$B$10</c:f>
              <c:numCache>
                <c:formatCode>0.00%</c:formatCode>
                <c:ptCount val="9"/>
                <c:pt idx="0" formatCode="0%">
                  <c:v>0.78</c:v>
                </c:pt>
                <c:pt idx="1">
                  <c:v>0.75900000000000001</c:v>
                </c:pt>
                <c:pt idx="2">
                  <c:v>0.749</c:v>
                </c:pt>
                <c:pt idx="3">
                  <c:v>0.72099999999999997</c:v>
                </c:pt>
                <c:pt idx="4" formatCode="0%">
                  <c:v>0.71</c:v>
                </c:pt>
                <c:pt idx="5">
                  <c:v>0.7</c:v>
                </c:pt>
                <c:pt idx="6">
                  <c:v>0.66200000000000003</c:v>
                </c:pt>
                <c:pt idx="7">
                  <c:v>0.61299999999999999</c:v>
                </c:pt>
                <c:pt idx="8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689920"/>
        <c:axId val="178691456"/>
      </c:barChart>
      <c:catAx>
        <c:axId val="1786899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691456"/>
        <c:crosses val="autoZero"/>
        <c:auto val="1"/>
        <c:lblAlgn val="ctr"/>
        <c:lblOffset val="100"/>
        <c:noMultiLvlLbl val="0"/>
      </c:catAx>
      <c:valAx>
        <c:axId val="178691456"/>
        <c:scaling>
          <c:orientation val="minMax"/>
          <c:min val="1.0000000000000002E-2"/>
        </c:scaling>
        <c:delete val="1"/>
        <c:axPos val="l"/>
        <c:numFmt formatCode="0%" sourceLinked="1"/>
        <c:majorTickMark val="none"/>
        <c:minorTickMark val="none"/>
        <c:tickLblPos val="nextTo"/>
        <c:crossAx val="178689920"/>
        <c:crosses val="autoZero"/>
        <c:crossBetween val="between"/>
        <c:majorUnit val="2.0000000000000004E-2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257793176889414"/>
          <c:w val="0.99423971952644918"/>
          <c:h val="0.56706865861905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9.3833349180083006E-4"/>
                  <c:y val="6.1272895235630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86642506354687E-5"/>
                  <c:y val="1.9280402972469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Sheet1!$A$2:$A$9</c:f>
              <c:numCache>
                <c:formatCode>General</c:formatCode>
                <c:ptCount val="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</c:numCache>
            </c:numRef>
          </c:cat>
          <c:val>
            <c:numRef>
              <c:f>Sheet1!$B$2:$B$9</c:f>
              <c:numCache>
                <c:formatCode>0.00%</c:formatCode>
                <c:ptCount val="8"/>
                <c:pt idx="0">
                  <c:v>0.878</c:v>
                </c:pt>
                <c:pt idx="1">
                  <c:v>0.85</c:v>
                </c:pt>
                <c:pt idx="2">
                  <c:v>0.84260000000000002</c:v>
                </c:pt>
                <c:pt idx="3">
                  <c:v>0.83099999999999996</c:v>
                </c:pt>
                <c:pt idx="4">
                  <c:v>0.83</c:v>
                </c:pt>
                <c:pt idx="5">
                  <c:v>0.77</c:v>
                </c:pt>
                <c:pt idx="6">
                  <c:v>0.76359999999999995</c:v>
                </c:pt>
                <c:pt idx="7">
                  <c:v>0.38300000000000001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66368"/>
        <c:axId val="193467904"/>
      </c:barChart>
      <c:catAx>
        <c:axId val="19346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3467904"/>
        <c:crosses val="autoZero"/>
        <c:auto val="1"/>
        <c:lblAlgn val="ctr"/>
        <c:lblOffset val="100"/>
        <c:noMultiLvlLbl val="0"/>
      </c:catAx>
      <c:valAx>
        <c:axId val="193467904"/>
        <c:scaling>
          <c:orientation val="minMax"/>
          <c:min val="1.0000000000000002E-2"/>
        </c:scaling>
        <c:delete val="1"/>
        <c:axPos val="l"/>
        <c:numFmt formatCode="0.00%" sourceLinked="1"/>
        <c:majorTickMark val="none"/>
        <c:minorTickMark val="none"/>
        <c:tickLblPos val="nextTo"/>
        <c:crossAx val="193466368"/>
        <c:crosses val="autoZero"/>
        <c:crossBetween val="between"/>
        <c:majorUnit val="2.0000000000000004E-2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257793176889414"/>
          <c:w val="0.99423971952644918"/>
          <c:h val="0.56706865861905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9.3833349180083006E-4"/>
                  <c:y val="6.1272895235630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86642506354687E-5"/>
                  <c:y val="1.9280402972469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Sheet1!$B$2:$B$11</c:f>
              <c:numCache>
                <c:formatCode>0.00%</c:formatCode>
                <c:ptCount val="10"/>
                <c:pt idx="0">
                  <c:v>0.92</c:v>
                </c:pt>
                <c:pt idx="1">
                  <c:v>0.91890000000000005</c:v>
                </c:pt>
                <c:pt idx="2">
                  <c:v>0.83</c:v>
                </c:pt>
                <c:pt idx="3">
                  <c:v>0.79700000000000004</c:v>
                </c:pt>
                <c:pt idx="4">
                  <c:v>0.77470000000000006</c:v>
                </c:pt>
                <c:pt idx="5">
                  <c:v>0.754</c:v>
                </c:pt>
                <c:pt idx="6">
                  <c:v>0.73</c:v>
                </c:pt>
                <c:pt idx="7">
                  <c:v>0.71</c:v>
                </c:pt>
                <c:pt idx="8">
                  <c:v>0.61</c:v>
                </c:pt>
                <c:pt idx="9">
                  <c:v>0.36799999999999999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493632"/>
        <c:axId val="178725248"/>
      </c:barChart>
      <c:catAx>
        <c:axId val="193493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725248"/>
        <c:crosses val="autoZero"/>
        <c:auto val="1"/>
        <c:lblAlgn val="ctr"/>
        <c:lblOffset val="100"/>
        <c:noMultiLvlLbl val="0"/>
      </c:catAx>
      <c:valAx>
        <c:axId val="178725248"/>
        <c:scaling>
          <c:orientation val="minMax"/>
          <c:min val="1.0000000000000002E-2"/>
        </c:scaling>
        <c:delete val="1"/>
        <c:axPos val="l"/>
        <c:numFmt formatCode="0.00%" sourceLinked="1"/>
        <c:majorTickMark val="none"/>
        <c:minorTickMark val="none"/>
        <c:tickLblPos val="nextTo"/>
        <c:crossAx val="193493632"/>
        <c:crosses val="autoZero"/>
        <c:crossBetween val="between"/>
        <c:majorUnit val="2.0000000000000004E-2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38032132775855848"/>
          <c:w val="0.97277347787634683"/>
          <c:h val="0.43952005999250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Sheet1!$A$2:$A$15</c:f>
              <c:numCache>
                <c:formatCode>General</c:formatCode>
                <c:ptCount val="1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</c:numCache>
            </c:numRef>
          </c:cat>
          <c:val>
            <c:numRef>
              <c:f>Sheet1!$B$2:$B$15</c:f>
              <c:numCache>
                <c:formatCode>0.00%</c:formatCode>
                <c:ptCount val="14"/>
                <c:pt idx="0">
                  <c:v>0.96660000000000001</c:v>
                </c:pt>
                <c:pt idx="1">
                  <c:v>0.96399999999999997</c:v>
                </c:pt>
                <c:pt idx="2" formatCode="0%">
                  <c:v>0.95</c:v>
                </c:pt>
                <c:pt idx="3">
                  <c:v>0.92</c:v>
                </c:pt>
                <c:pt idx="4">
                  <c:v>0.91890000000000005</c:v>
                </c:pt>
                <c:pt idx="5">
                  <c:v>0.88200000000000001</c:v>
                </c:pt>
                <c:pt idx="6">
                  <c:v>0.87860000000000005</c:v>
                </c:pt>
                <c:pt idx="7">
                  <c:v>0.85</c:v>
                </c:pt>
                <c:pt idx="8">
                  <c:v>0.84799999999999998</c:v>
                </c:pt>
                <c:pt idx="9">
                  <c:v>0.83</c:v>
                </c:pt>
                <c:pt idx="10">
                  <c:v>0.77900000000000003</c:v>
                </c:pt>
                <c:pt idx="11">
                  <c:v>0.66</c:v>
                </c:pt>
                <c:pt idx="12">
                  <c:v>0.63</c:v>
                </c:pt>
                <c:pt idx="13">
                  <c:v>0.55700000000000005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9038464"/>
        <c:axId val="179056640"/>
      </c:barChart>
      <c:catAx>
        <c:axId val="1790384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9056640"/>
        <c:crosses val="autoZero"/>
        <c:auto val="1"/>
        <c:lblAlgn val="ctr"/>
        <c:lblOffset val="100"/>
        <c:noMultiLvlLbl val="0"/>
      </c:catAx>
      <c:valAx>
        <c:axId val="179056640"/>
        <c:scaling>
          <c:orientation val="minMax"/>
          <c:min val="1.0000000000000002E-2"/>
        </c:scaling>
        <c:delete val="1"/>
        <c:axPos val="l"/>
        <c:numFmt formatCode="0.00%" sourceLinked="1"/>
        <c:majorTickMark val="none"/>
        <c:minorTickMark val="none"/>
        <c:tickLblPos val="nextTo"/>
        <c:crossAx val="179038464"/>
        <c:crosses val="autoZero"/>
        <c:crossBetween val="between"/>
        <c:majorUnit val="2.0000000000000004E-2"/>
      </c:valAx>
    </c:plotArea>
    <c:plotVisOnly val="1"/>
    <c:dispBlanksAs val="gap"/>
    <c:showDLblsOverMax val="0"/>
  </c:chart>
  <c:spPr>
    <a:solidFill>
      <a:schemeClr val="bg1"/>
    </a:solidFill>
    <a:ln>
      <a:noFill/>
    </a:ln>
    <a:effectLst>
      <a:outerShdw dist="38100" sx="61000" sy="61000" algn="tl" rotWithShape="0">
        <a:prstClr val="black"/>
      </a:outerShdw>
    </a:effectLst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876164610333843E-4"/>
          <c:y val="0.16687034674025431"/>
          <c:w val="0.98944678996404278"/>
          <c:h val="0.5584839610565920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5.0499719706618442E-4"/>
                  <c:y val="4.0767514982128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99973064618264E-3"/>
                  <c:y val="6.5244306742292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2619522233960246E-3"/>
                  <c:y val="3.0163399636829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6.8465654276743317E-4"/>
                  <c:y val="2.5091380321505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7.8493037015954221E-4"/>
                  <c:y val="5.01827606430111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3423593620068391E-3"/>
                  <c:y val="8.0297663489197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5196416349612331E-2"/>
                  <c:y val="6.02260306779913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8.0060549423079108E-3"/>
                  <c:y val="7.026258280659368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9481351827396569E-3"/>
                  <c:y val="4.2658705499748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</c:numCache>
            </c:numRef>
          </c:cat>
          <c:val>
            <c:numRef>
              <c:f>Sheet1!$B$2:$B$14</c:f>
              <c:numCache>
                <c:formatCode>0.00%</c:formatCode>
                <c:ptCount val="13"/>
                <c:pt idx="0">
                  <c:v>0.99829999999999997</c:v>
                </c:pt>
                <c:pt idx="1">
                  <c:v>0.98899999999999999</c:v>
                </c:pt>
                <c:pt idx="2">
                  <c:v>0.98760000000000003</c:v>
                </c:pt>
                <c:pt idx="3">
                  <c:v>0.98599999999999999</c:v>
                </c:pt>
                <c:pt idx="4">
                  <c:v>0.98299999999999998</c:v>
                </c:pt>
                <c:pt idx="5">
                  <c:v>0.98199999999999998</c:v>
                </c:pt>
                <c:pt idx="6">
                  <c:v>0.98</c:v>
                </c:pt>
                <c:pt idx="7">
                  <c:v>0.97599999999999998</c:v>
                </c:pt>
                <c:pt idx="8">
                  <c:v>0.94</c:v>
                </c:pt>
                <c:pt idx="9" formatCode="0%">
                  <c:v>0.92</c:v>
                </c:pt>
                <c:pt idx="10">
                  <c:v>0.91900000000000004</c:v>
                </c:pt>
                <c:pt idx="11">
                  <c:v>0.9073</c:v>
                </c:pt>
                <c:pt idx="12">
                  <c:v>0.8931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03840"/>
        <c:axId val="178805376"/>
      </c:barChart>
      <c:catAx>
        <c:axId val="178803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805376"/>
        <c:crosses val="autoZero"/>
        <c:auto val="1"/>
        <c:lblAlgn val="ctr"/>
        <c:lblOffset val="100"/>
        <c:noMultiLvlLbl val="0"/>
      </c:catAx>
      <c:valAx>
        <c:axId val="178805376"/>
        <c:scaling>
          <c:orientation val="minMax"/>
          <c:min val="1.0000000000000002E-2"/>
        </c:scaling>
        <c:delete val="1"/>
        <c:axPos val="l"/>
        <c:numFmt formatCode="0.00%" sourceLinked="1"/>
        <c:majorTickMark val="none"/>
        <c:minorTickMark val="none"/>
        <c:tickLblPos val="nextTo"/>
        <c:crossAx val="178803840"/>
        <c:crosses val="autoZero"/>
        <c:crossBetween val="between"/>
        <c:majorUnit val="2.0000000000000004E-2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7600034854573151E-4"/>
          <c:y val="0.17516848179566305"/>
          <c:w val="0.96129656195642788"/>
          <c:h val="0.6050532901454340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3.5622478998385046E-3"/>
                  <c:y val="9.6242325652044127E-3"/>
                </c:manualLayout>
              </c:layout>
              <c:spPr/>
              <c:txPr>
                <a:bodyPr/>
                <a:lstStyle/>
                <a:p>
                  <a:pPr>
                    <a:defRPr b="0"/>
                  </a:pPr>
                  <a:endParaRPr lang="en-US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468399239054484E-4"/>
                  <c:y val="-2.1675885743804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9919768118173932E-3"/>
                  <c:y val="3.196744278092263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Sheet1!$A$2:$A$15</c:f>
              <c:numCache>
                <c:formatCode>General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2</c:v>
                </c:pt>
                <c:pt idx="12">
                  <c:v>3</c:v>
                </c:pt>
                <c:pt idx="13">
                  <c:v>4</c:v>
                </c:pt>
              </c:numCache>
            </c:numRef>
          </c:cat>
          <c:val>
            <c:numRef>
              <c:f>Sheet1!$B$2:$B$15</c:f>
              <c:numCache>
                <c:formatCode>0%</c:formatCode>
                <c:ptCount val="1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 formatCode="0.00%">
                  <c:v>1</c:v>
                </c:pt>
                <c:pt idx="7" formatCode="0.00%">
                  <c:v>1</c:v>
                </c:pt>
                <c:pt idx="8" formatCode="0.00%">
                  <c:v>1</c:v>
                </c:pt>
                <c:pt idx="9" formatCode="0.00%">
                  <c:v>1</c:v>
                </c:pt>
                <c:pt idx="10" formatCode="0.00%">
                  <c:v>1</c:v>
                </c:pt>
                <c:pt idx="11" formatCode="0.00%">
                  <c:v>0.99960000000000004</c:v>
                </c:pt>
                <c:pt idx="12" formatCode="0.00%">
                  <c:v>0.99950000000000006</c:v>
                </c:pt>
                <c:pt idx="13" formatCode="0.00%">
                  <c:v>0.99890000000000001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52224"/>
        <c:axId val="178853760"/>
      </c:barChart>
      <c:catAx>
        <c:axId val="17885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853760"/>
        <c:crosses val="autoZero"/>
        <c:auto val="1"/>
        <c:lblAlgn val="ctr"/>
        <c:lblOffset val="100"/>
        <c:noMultiLvlLbl val="0"/>
      </c:catAx>
      <c:valAx>
        <c:axId val="178853760"/>
        <c:scaling>
          <c:orientation val="minMax"/>
          <c:min val="1.0000000000000002E-2"/>
        </c:scaling>
        <c:delete val="1"/>
        <c:axPos val="l"/>
        <c:numFmt formatCode="0%" sourceLinked="1"/>
        <c:majorTickMark val="none"/>
        <c:minorTickMark val="none"/>
        <c:tickLblPos val="nextTo"/>
        <c:crossAx val="178852224"/>
        <c:crosses val="autoZero"/>
        <c:crossBetween val="between"/>
        <c:majorUnit val="2.0000000000000004E-2"/>
      </c:valAx>
      <c:spPr>
        <a:ln>
          <a:noFill/>
        </a:ln>
        <a:effectLst>
          <a:outerShdw blurRad="50800" dist="50800" dir="5400000" algn="ctr" rotWithShape="0">
            <a:srgbClr val="92D050"/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23077253617634078"/>
          <c:w val="0.94373024700091723"/>
          <c:h val="0.5504443424684598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rgbClr val="08A83D"/>
              </a:solidFill>
            </c:spPr>
          </c:dPt>
          <c:dPt>
            <c:idx val="1"/>
            <c:invertIfNegative val="0"/>
            <c:bubble3D val="0"/>
            <c:spPr>
              <a:solidFill>
                <a:srgbClr val="08A83D"/>
              </a:solidFill>
            </c:spPr>
          </c:dPt>
          <c:dPt>
            <c:idx val="2"/>
            <c:invertIfNegative val="0"/>
            <c:bubble3D val="0"/>
            <c:spPr>
              <a:solidFill>
                <a:srgbClr val="08A83D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4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8"/>
              <c:layout>
                <c:manualLayout>
                  <c:x val="-2.7535903257271306E-4"/>
                  <c:y val="-2.35939700686338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6</c:v>
                </c:pt>
                <c:pt idx="8">
                  <c:v>7</c:v>
                </c:pt>
                <c:pt idx="9">
                  <c:v>8</c:v>
                </c:pt>
                <c:pt idx="10">
                  <c:v>9</c:v>
                </c:pt>
              </c:numCache>
            </c:numRef>
          </c:cat>
          <c:val>
            <c:numRef>
              <c:f>Sheet1!$B$2:$B$12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0.78</c:v>
                </c:pt>
                <c:pt idx="4">
                  <c:v>0.76</c:v>
                </c:pt>
                <c:pt idx="5">
                  <c:v>0.75</c:v>
                </c:pt>
                <c:pt idx="6">
                  <c:v>0.71</c:v>
                </c:pt>
                <c:pt idx="7">
                  <c:v>0.56999999999999995</c:v>
                </c:pt>
                <c:pt idx="8" formatCode="0.00%">
                  <c:v>0.42</c:v>
                </c:pt>
                <c:pt idx="9" formatCode="0.00%">
                  <c:v>0.36670000000000003</c:v>
                </c:pt>
                <c:pt idx="10" formatCode="0.00%">
                  <c:v>0.33300000000000002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882816"/>
        <c:axId val="178888704"/>
      </c:barChart>
      <c:catAx>
        <c:axId val="1788828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888704"/>
        <c:crosses val="autoZero"/>
        <c:auto val="1"/>
        <c:lblAlgn val="ctr"/>
        <c:lblOffset val="100"/>
        <c:noMultiLvlLbl val="0"/>
      </c:catAx>
      <c:valAx>
        <c:axId val="178888704"/>
        <c:scaling>
          <c:orientation val="minMax"/>
          <c:min val="1.0000000000000002E-2"/>
        </c:scaling>
        <c:delete val="1"/>
        <c:axPos val="l"/>
        <c:numFmt formatCode="0%" sourceLinked="1"/>
        <c:majorTickMark val="none"/>
        <c:minorTickMark val="none"/>
        <c:tickLblPos val="nextTo"/>
        <c:crossAx val="178882816"/>
        <c:crosses val="autoZero"/>
        <c:crossBetween val="between"/>
        <c:majorUnit val="2.0000000000000004E-2"/>
      </c:valAx>
      <c:spPr>
        <a:noFill/>
        <a:ln w="25400">
          <a:noFill/>
        </a:ln>
        <a:effectLst>
          <a:outerShdw blurRad="50800" dist="50800" dir="5400000" algn="ctr" rotWithShape="0">
            <a:srgbClr val="92D050"/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796897176067253E-2"/>
          <c:y val="0.32952333867914291"/>
          <c:w val="0.90882998711186003"/>
          <c:h val="0.4948650082598786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spPr>
            <a:effectLst>
              <a:outerShdw blurRad="50800" dist="50800" dir="5400000" algn="ctr" rotWithShape="0">
                <a:srgbClr val="92D050"/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rgbClr val="08A83D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1"/>
            <c:invertIfNegative val="0"/>
            <c:bubble3D val="0"/>
            <c:spPr>
              <a:solidFill>
                <a:srgbClr val="08A83D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3"/>
            <c:invertIfNegative val="0"/>
            <c:bubble3D val="0"/>
            <c:spPr>
              <a:solidFill>
                <a:schemeClr val="accent2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5"/>
            <c:invertIfNegative val="0"/>
            <c:bubble3D val="0"/>
            <c:spPr>
              <a:solidFill>
                <a:schemeClr val="accent2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6"/>
            <c:invertIfNegative val="0"/>
            <c:bubble3D val="0"/>
            <c:spPr>
              <a:solidFill>
                <a:srgbClr val="FF000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7"/>
            <c:invertIfNegative val="0"/>
            <c:bubble3D val="0"/>
            <c:spPr>
              <a:solidFill>
                <a:srgbClr val="FF000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8"/>
            <c:invertIfNegative val="0"/>
            <c:bubble3D val="0"/>
            <c:spPr>
              <a:solidFill>
                <a:srgbClr val="FF000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  <a:effectLst>
                <a:outerShdw blurRad="50800" dist="50800" dir="5400000" algn="ctr" rotWithShape="0">
                  <a:srgbClr val="92D050"/>
                </a:outerShdw>
              </a:effectLst>
            </c:spPr>
          </c:dPt>
          <c:dLbls>
            <c:txPr>
              <a:bodyPr/>
              <a:lstStyle/>
              <a:p>
                <a:pPr>
                  <a:defRPr b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Sheet1!$A$2:$A$12</c:f>
              <c:numCache>
                <c:formatCode>General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  <c:pt idx="9">
                  <c:v>9</c:v>
                </c:pt>
                <c:pt idx="10">
                  <c:v>10</c:v>
                </c:pt>
              </c:numCache>
            </c:numRef>
          </c:cat>
          <c:val>
            <c:numRef>
              <c:f>Sheet1!$B$2:$B$12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 formatCode="0.00%">
                  <c:v>0.99129999999999996</c:v>
                </c:pt>
                <c:pt idx="3" formatCode="0.00%">
                  <c:v>0.96630000000000005</c:v>
                </c:pt>
                <c:pt idx="4" formatCode="0.00%">
                  <c:v>0.9577</c:v>
                </c:pt>
                <c:pt idx="5" formatCode="0.00%">
                  <c:v>0.92</c:v>
                </c:pt>
                <c:pt idx="6" formatCode="0.00%">
                  <c:v>0.89</c:v>
                </c:pt>
                <c:pt idx="7" formatCode="0.00%">
                  <c:v>0.875</c:v>
                </c:pt>
                <c:pt idx="8" formatCode="0.00%">
                  <c:v>0.78</c:v>
                </c:pt>
                <c:pt idx="9" formatCode="0.00%">
                  <c:v>0.45</c:v>
                </c:pt>
                <c:pt idx="10" formatCode="0.00%">
                  <c:v>0.42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3184512"/>
        <c:axId val="193186048"/>
      </c:barChart>
      <c:catAx>
        <c:axId val="19318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93186048"/>
        <c:crosses val="autoZero"/>
        <c:auto val="1"/>
        <c:lblAlgn val="ctr"/>
        <c:lblOffset val="100"/>
        <c:noMultiLvlLbl val="0"/>
      </c:catAx>
      <c:valAx>
        <c:axId val="193186048"/>
        <c:scaling>
          <c:orientation val="minMax"/>
          <c:min val="1.0000000000000002E-2"/>
        </c:scaling>
        <c:delete val="1"/>
        <c:axPos val="l"/>
        <c:numFmt formatCode="0%" sourceLinked="1"/>
        <c:majorTickMark val="none"/>
        <c:minorTickMark val="none"/>
        <c:tickLblPos val="nextTo"/>
        <c:crossAx val="193184512"/>
        <c:crosses val="autoZero"/>
        <c:crossBetween val="between"/>
        <c:majorUnit val="2.0000000000000004E-2"/>
      </c:valAx>
      <c:spPr>
        <a:effectLst>
          <a:outerShdw blurRad="50800" dist="50800" dir="5400000" algn="ctr" rotWithShape="0">
            <a:srgbClr val="92D050"/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25196503847896096"/>
          <c:w val="0.99423971952644918"/>
          <c:h val="0.56706865861905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8A83D"/>
              </a:solidFill>
            </c:spPr>
          </c:dPt>
          <c:dPt>
            <c:idx val="1"/>
            <c:invertIfNegative val="0"/>
            <c:bubble3D val="0"/>
            <c:spPr>
              <a:solidFill>
                <a:srgbClr val="08A83D"/>
              </a:solidFill>
            </c:spPr>
          </c:dPt>
          <c:dPt>
            <c:idx val="2"/>
            <c:invertIfNegative val="0"/>
            <c:bubble3D val="0"/>
            <c:spPr>
              <a:solidFill>
                <a:srgbClr val="08A83D"/>
              </a:solidFill>
            </c:spPr>
          </c:dPt>
          <c:dPt>
            <c:idx val="3"/>
            <c:invertIfNegative val="0"/>
            <c:bubble3D val="0"/>
            <c:spPr>
              <a:solidFill>
                <a:srgbClr val="08A83D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5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6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7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8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</c:spPr>
          </c:dPt>
          <c:dPt>
            <c:idx val="9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1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2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3"/>
            <c:invertIfNegative val="0"/>
            <c:bubble3D val="0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9.3833349180083006E-4"/>
                  <c:y val="6.1272895235630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86642506354687E-5"/>
                  <c:y val="1.9280402972469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Sheet1!$A$2:$A$14</c:f>
              <c:numCache>
                <c:formatCode>General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3</c:v>
                </c:pt>
                <c:pt idx="7">
                  <c:v>4</c:v>
                </c:pt>
                <c:pt idx="8">
                  <c:v>5</c:v>
                </c:pt>
                <c:pt idx="9">
                  <c:v>6</c:v>
                </c:pt>
                <c:pt idx="10">
                  <c:v>7</c:v>
                </c:pt>
                <c:pt idx="11">
                  <c:v>8</c:v>
                </c:pt>
                <c:pt idx="12">
                  <c:v>9</c:v>
                </c:pt>
              </c:numCache>
            </c:numRef>
          </c:cat>
          <c:val>
            <c:numRef>
              <c:f>Sheet1!$B$2:$B$14</c:f>
              <c:numCache>
                <c:formatCode>0%</c:formatCode>
                <c:ptCount val="1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 formatCode="0.00%">
                  <c:v>0.94</c:v>
                </c:pt>
                <c:pt idx="6" formatCode="0.00%">
                  <c:v>0.93820000000000003</c:v>
                </c:pt>
                <c:pt idx="7" formatCode="0.00%">
                  <c:v>0.89419999999999999</c:v>
                </c:pt>
                <c:pt idx="8" formatCode="0.00%">
                  <c:v>0.83699999999999997</c:v>
                </c:pt>
                <c:pt idx="9" formatCode="0.00%">
                  <c:v>0.78879999999999995</c:v>
                </c:pt>
                <c:pt idx="10" formatCode="0.00%">
                  <c:v>0.76</c:v>
                </c:pt>
                <c:pt idx="11" formatCode="0.00%">
                  <c:v>0.69</c:v>
                </c:pt>
                <c:pt idx="12" formatCode="0.00%">
                  <c:v>0.67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146688"/>
        <c:axId val="178148480"/>
      </c:barChart>
      <c:catAx>
        <c:axId val="178146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148480"/>
        <c:crosses val="autoZero"/>
        <c:auto val="1"/>
        <c:lblAlgn val="ctr"/>
        <c:lblOffset val="100"/>
        <c:noMultiLvlLbl val="0"/>
      </c:catAx>
      <c:valAx>
        <c:axId val="178148480"/>
        <c:scaling>
          <c:orientation val="minMax"/>
          <c:min val="1.0000000000000002E-2"/>
        </c:scaling>
        <c:delete val="1"/>
        <c:axPos val="l"/>
        <c:numFmt formatCode="0%" sourceLinked="1"/>
        <c:majorTickMark val="none"/>
        <c:minorTickMark val="none"/>
        <c:tickLblPos val="nextTo"/>
        <c:crossAx val="178146688"/>
        <c:crosses val="autoZero"/>
        <c:crossBetween val="between"/>
        <c:majorUnit val="2.0000000000000004E-2"/>
      </c:valAx>
      <c:spPr>
        <a:effectLst>
          <a:outerShdw blurRad="50800" dist="50800" dir="5400000" algn="ctr" rotWithShape="0">
            <a:srgbClr val="92D050"/>
          </a:outerShdw>
        </a:effectLst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28725843760011521"/>
          <c:w val="0.99423971952644918"/>
          <c:h val="0.5376074631208612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9.3833349180083006E-4"/>
                  <c:y val="6.1272895235630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86642506354687E-5"/>
                  <c:y val="1.9280402972469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Sheet1!$A$2:$A$11</c:f>
              <c:numCache>
                <c:formatCode>General</c:formatCode>
                <c:ptCount val="10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</c:numCache>
            </c:numRef>
          </c:cat>
          <c:val>
            <c:numRef>
              <c:f>Sheet1!$B$2:$B$11</c:f>
              <c:numCache>
                <c:formatCode>0.00%</c:formatCode>
                <c:ptCount val="10"/>
                <c:pt idx="0">
                  <c:v>0.88500000000000001</c:v>
                </c:pt>
                <c:pt idx="1">
                  <c:v>0.877</c:v>
                </c:pt>
                <c:pt idx="2">
                  <c:v>0.84499999999999997</c:v>
                </c:pt>
                <c:pt idx="3">
                  <c:v>0.84379999999999999</c:v>
                </c:pt>
                <c:pt idx="4">
                  <c:v>0.84</c:v>
                </c:pt>
                <c:pt idx="5">
                  <c:v>0.81730000000000003</c:v>
                </c:pt>
                <c:pt idx="6">
                  <c:v>0.8</c:v>
                </c:pt>
                <c:pt idx="7">
                  <c:v>0.76</c:v>
                </c:pt>
                <c:pt idx="8">
                  <c:v>0.69399999999999995</c:v>
                </c:pt>
                <c:pt idx="9">
                  <c:v>0.68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595328"/>
        <c:axId val="178596864"/>
      </c:barChart>
      <c:catAx>
        <c:axId val="178595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596864"/>
        <c:crosses val="autoZero"/>
        <c:auto val="1"/>
        <c:lblAlgn val="ctr"/>
        <c:lblOffset val="100"/>
        <c:noMultiLvlLbl val="0"/>
      </c:catAx>
      <c:valAx>
        <c:axId val="178596864"/>
        <c:scaling>
          <c:orientation val="minMax"/>
          <c:min val="1.0000000000000002E-2"/>
        </c:scaling>
        <c:delete val="1"/>
        <c:axPos val="l"/>
        <c:numFmt formatCode="0.00%" sourceLinked="1"/>
        <c:majorTickMark val="none"/>
        <c:minorTickMark val="none"/>
        <c:tickLblPos val="nextTo"/>
        <c:crossAx val="178595328"/>
        <c:crosses val="autoZero"/>
        <c:crossBetween val="between"/>
        <c:majorUnit val="2.0000000000000004E-2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0.257793176889414"/>
          <c:w val="0.99423971952644918"/>
          <c:h val="0.5670686586190547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Result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Pt>
            <c:idx val="11"/>
            <c:invertIfNegative val="0"/>
            <c:bubble3D val="0"/>
          </c:dPt>
          <c:dPt>
            <c:idx val="12"/>
            <c:invertIfNegative val="0"/>
            <c:bubble3D val="0"/>
          </c:dPt>
          <c:dPt>
            <c:idx val="13"/>
            <c:invertIfNegative val="0"/>
            <c:bubble3D val="0"/>
          </c:dPt>
          <c:dLbls>
            <c:dLbl>
              <c:idx val="0"/>
              <c:layout>
                <c:manualLayout>
                  <c:x val="9.3833349180083006E-4"/>
                  <c:y val="6.12728952356303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86642506354687E-5"/>
                  <c:y val="1.92804029724699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Sheet1!$A$2:$A$8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Sheet1!$B$2:$B$8</c:f>
              <c:numCache>
                <c:formatCode>0.00%</c:formatCode>
                <c:ptCount val="7"/>
                <c:pt idx="0">
                  <c:v>0.69920000000000004</c:v>
                </c:pt>
                <c:pt idx="1">
                  <c:v>0.66500000000000004</c:v>
                </c:pt>
                <c:pt idx="2">
                  <c:v>0.63600000000000001</c:v>
                </c:pt>
                <c:pt idx="3">
                  <c:v>0.6069</c:v>
                </c:pt>
                <c:pt idx="4">
                  <c:v>0.57999999999999996</c:v>
                </c:pt>
                <c:pt idx="5">
                  <c:v>0.52</c:v>
                </c:pt>
                <c:pt idx="6">
                  <c:v>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630656"/>
        <c:axId val="178632192"/>
      </c:barChart>
      <c:catAx>
        <c:axId val="178630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178632192"/>
        <c:crosses val="autoZero"/>
        <c:auto val="1"/>
        <c:lblAlgn val="ctr"/>
        <c:lblOffset val="100"/>
        <c:noMultiLvlLbl val="0"/>
      </c:catAx>
      <c:valAx>
        <c:axId val="178632192"/>
        <c:scaling>
          <c:orientation val="minMax"/>
          <c:min val="1.0000000000000002E-2"/>
        </c:scaling>
        <c:delete val="1"/>
        <c:axPos val="l"/>
        <c:numFmt formatCode="0.00%" sourceLinked="1"/>
        <c:majorTickMark val="none"/>
        <c:minorTickMark val="none"/>
        <c:tickLblPos val="nextTo"/>
        <c:crossAx val="178630656"/>
        <c:crosses val="autoZero"/>
        <c:crossBetween val="between"/>
        <c:majorUnit val="2.0000000000000004E-2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0.27397</cdr:x>
      <cdr:y>0</cdr:y>
    </cdr:from>
    <cdr:to>
      <cdr:x>0.6278</cdr:x>
      <cdr:y>0.17062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371060" y="0"/>
          <a:ext cx="3062177" cy="308344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90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GB" sz="1200" b="1" u="none">
              <a:effectLst/>
              <a:latin typeface="+mn-lt"/>
              <a:ea typeface="+mn-ea"/>
              <a:cs typeface="+mn-cs"/>
            </a:rPr>
            <a:t>%. of all</a:t>
          </a:r>
          <a:r>
            <a:rPr lang="en-GB" sz="1200" b="1" u="none" baseline="0">
              <a:effectLst/>
              <a:latin typeface="+mn-lt"/>
              <a:ea typeface="+mn-ea"/>
              <a:cs typeface="+mn-cs"/>
            </a:rPr>
            <a:t> repairs completed in target</a:t>
          </a:r>
          <a:endParaRPr lang="en-GB" sz="1200" b="1"/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0.04327</cdr:x>
      <cdr:y>0</cdr:y>
    </cdr:from>
    <cdr:to>
      <cdr:x>0.70198</cdr:x>
      <cdr:y>0.14463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82772" y="0"/>
          <a:ext cx="5827074" cy="29214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GB" sz="1200"/>
            <a:t>How satisfied or dissatisfied are you with the overall repairs</a:t>
          </a:r>
          <a:r>
            <a:rPr lang="en-GB" sz="1200" baseline="0"/>
            <a:t> and maintenance </a:t>
          </a:r>
          <a:endParaRPr lang="en-GB" sz="12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0.27069</cdr:x>
      <cdr:y>0</cdr:y>
    </cdr:from>
    <cdr:to>
      <cdr:x>0.83204</cdr:x>
      <cdr:y>0.21062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311035" y="0"/>
          <a:ext cx="4792563" cy="270966"/>
        </a:xfrm>
        <a:prstGeom xmlns:a="http://schemas.openxmlformats.org/drawingml/2006/main" prst="rect">
          <a:avLst/>
        </a:prstGeom>
        <a:solidFill xmlns:a="http://schemas.openxmlformats.org/drawingml/2006/main">
          <a:schemeClr val="bg2">
            <a:lumMod val="90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l"/>
          <a:r>
            <a:rPr lang="en-GB" sz="1200" b="1"/>
            <a:t>%. respondents</a:t>
          </a:r>
          <a:r>
            <a:rPr lang="en-GB" sz="1200" b="1" baseline="0"/>
            <a:t> satisfied with last completed repair</a:t>
          </a:r>
          <a:endParaRPr lang="en-GB" sz="1200" b="1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0.23662</cdr:x>
      <cdr:y>0</cdr:y>
    </cdr:from>
    <cdr:to>
      <cdr:x>0.64386</cdr:x>
      <cdr:y>0.17128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020186" y="0"/>
          <a:ext cx="3476847" cy="265814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75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GB" sz="1200" b="1"/>
            <a:t>%. of residents satisfied with outcome of ASB cases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0.31358</cdr:x>
      <cdr:y>0</cdr:y>
    </cdr:from>
    <cdr:to>
      <cdr:x>0.65984</cdr:x>
      <cdr:y>0.20514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753874" y="0"/>
          <a:ext cx="3040869" cy="340242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GB" sz="1200" b="1"/>
            <a:t>%. of complaints responded to in</a:t>
          </a:r>
          <a:r>
            <a:rPr lang="en-GB" sz="1200" b="1" baseline="0"/>
            <a:t> target</a:t>
          </a:r>
          <a:endParaRPr lang="en-GB" sz="1200" b="1"/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0.31145</cdr:x>
      <cdr:y>0</cdr:y>
    </cdr:from>
    <cdr:to>
      <cdr:x>0.70198</cdr:x>
      <cdr:y>0.14463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721936" y="0"/>
          <a:ext cx="3413052" cy="372139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GB" sz="1200" b="1" u="none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%. of</a:t>
          </a:r>
          <a:r>
            <a:rPr lang="en-GB" sz="1200" b="1" u="none" baseline="0">
              <a:solidFill>
                <a:sysClr val="windowText" lastClr="000000"/>
              </a:solidFill>
              <a:effectLst/>
              <a:latin typeface="+mn-lt"/>
              <a:ea typeface="+mn-ea"/>
              <a:cs typeface="+mn-cs"/>
            </a:rPr>
            <a:t> members enquiries answered in target</a:t>
          </a:r>
          <a:endParaRPr lang="en-GB" sz="1200"/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0.2512</cdr:x>
      <cdr:y>0</cdr:y>
    </cdr:from>
    <cdr:to>
      <cdr:x>0.97357</cdr:x>
      <cdr:y>0.18751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222204" y="0"/>
          <a:ext cx="6390168" cy="318977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GB" sz="1100" b="0" i="0" u="none" strike="noStrike">
              <a:effectLst/>
              <a:latin typeface="+mn-lt"/>
              <a:ea typeface="+mn-ea"/>
              <a:cs typeface="+mn-cs"/>
            </a:rPr>
            <a:t>How satisfied or dissatisfied are you as a tenant with the service provided by your social housing provider</a:t>
          </a:r>
          <a:r>
            <a:rPr lang="en-GB" sz="1200"/>
            <a:t> </a:t>
          </a: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0.1851</cdr:x>
      <cdr:y>0</cdr:y>
    </cdr:from>
    <cdr:to>
      <cdr:x>0.98318</cdr:x>
      <cdr:y>0.14463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637414" y="0"/>
          <a:ext cx="7060018" cy="29214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GB" sz="1200" b="0" i="0" u="none" strike="noStrike">
              <a:effectLst/>
              <a:latin typeface="+mn-lt"/>
              <a:ea typeface="+mn-ea"/>
              <a:cs typeface="+mn-cs"/>
            </a:rPr>
            <a:t>How satisfied or dissatisfied are you as a leaseholder with the service provided by your social housing provider</a:t>
          </a:r>
          <a:r>
            <a:rPr lang="en-GB" sz="1400"/>
            <a:t> </a:t>
          </a:r>
        </a:p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endParaRPr lang="en-GB" sz="1200"/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0.19952</cdr:x>
      <cdr:y>0</cdr:y>
    </cdr:from>
    <cdr:to>
      <cdr:x>0.98679</cdr:x>
      <cdr:y>0.17128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765004" y="0"/>
          <a:ext cx="6964326" cy="26581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GB" sz="1200"/>
            <a:t>How satisfied or dissatisfied are you that your social housing provider listens to your views and acts upon them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0.0601</cdr:x>
      <cdr:y>0</cdr:y>
    </cdr:from>
    <cdr:to>
      <cdr:x>0.97117</cdr:x>
      <cdr:y>0.14463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31627" y="0"/>
          <a:ext cx="8059480" cy="292143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>
            <a:lumMod val="85000"/>
          </a:schemeClr>
        </a:solidFill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l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GB" sz="1200"/>
            <a:t>How satisfied or dissatisfied are you with the overall estate services provided by your social housing provider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5561D-579E-40C0-AC9E-7E73E30DE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561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TowerHamlets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Musheda Begum</dc:creator>
  <cp:lastModifiedBy>Godfrey Heyman</cp:lastModifiedBy>
  <cp:revision>5</cp:revision>
  <cp:lastPrinted>2017-05-23T12:11:00Z</cp:lastPrinted>
  <dcterms:created xsi:type="dcterms:W3CDTF">2017-05-26T10:00:00Z</dcterms:created>
  <dcterms:modified xsi:type="dcterms:W3CDTF">2018-02-27T10:32:00Z</dcterms:modified>
</cp:coreProperties>
</file>