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036C" w14:textId="77777777" w:rsidR="006E4BD4" w:rsidRPr="007406DB" w:rsidRDefault="006E4BD4" w:rsidP="006E4BD4">
      <w:pPr>
        <w:jc w:val="center"/>
        <w:rPr>
          <w:b/>
          <w:sz w:val="32"/>
          <w:szCs w:val="32"/>
        </w:rPr>
      </w:pPr>
      <w:r w:rsidRPr="007406DB">
        <w:rPr>
          <w:b/>
          <w:sz w:val="32"/>
          <w:szCs w:val="32"/>
        </w:rPr>
        <w:t>London Borough of Tower Hamlets</w:t>
      </w:r>
    </w:p>
    <w:p w14:paraId="18A62313" w14:textId="77777777" w:rsidR="006E4BD4" w:rsidRPr="007406DB" w:rsidRDefault="006E4BD4" w:rsidP="006E4BD4">
      <w:pPr>
        <w:jc w:val="center"/>
        <w:rPr>
          <w:b/>
        </w:rPr>
      </w:pPr>
    </w:p>
    <w:p w14:paraId="389C4567" w14:textId="77777777" w:rsidR="00140DE9" w:rsidRPr="007406DB" w:rsidRDefault="006E4BD4" w:rsidP="006E4BD4">
      <w:pPr>
        <w:jc w:val="center"/>
        <w:rPr>
          <w:b/>
          <w:sz w:val="32"/>
          <w:szCs w:val="32"/>
        </w:rPr>
      </w:pPr>
      <w:r w:rsidRPr="007406DB">
        <w:rPr>
          <w:b/>
          <w:sz w:val="32"/>
          <w:szCs w:val="32"/>
        </w:rPr>
        <w:t>Public Notice</w:t>
      </w:r>
    </w:p>
    <w:p w14:paraId="5E1F4E6B" w14:textId="77777777" w:rsidR="006E4BD4" w:rsidRPr="007406DB" w:rsidRDefault="006E4BD4" w:rsidP="006E4BD4">
      <w:pPr>
        <w:jc w:val="center"/>
        <w:rPr>
          <w:b/>
        </w:rPr>
      </w:pPr>
    </w:p>
    <w:p w14:paraId="72103C14" w14:textId="66DC94E6" w:rsidR="006E4BD4" w:rsidRPr="0073328B" w:rsidRDefault="006E4BD4" w:rsidP="0073328B">
      <w:pPr>
        <w:pStyle w:val="Title"/>
        <w:jc w:val="center"/>
        <w:rPr>
          <w:rFonts w:ascii="Arial" w:hAnsi="Arial" w:cs="Arial"/>
          <w:b/>
          <w:bCs/>
          <w:sz w:val="32"/>
          <w:szCs w:val="32"/>
        </w:rPr>
      </w:pPr>
      <w:r w:rsidRPr="0073328B">
        <w:rPr>
          <w:rFonts w:ascii="Arial" w:hAnsi="Arial" w:cs="Arial"/>
          <w:b/>
          <w:bCs/>
          <w:sz w:val="32"/>
          <w:szCs w:val="32"/>
        </w:rPr>
        <w:t xml:space="preserve">Notice of Designation of Area for </w:t>
      </w:r>
      <w:r w:rsidR="0072668C" w:rsidRPr="0073328B">
        <w:rPr>
          <w:rFonts w:ascii="Arial" w:hAnsi="Arial" w:cs="Arial"/>
          <w:b/>
          <w:bCs/>
          <w:sz w:val="32"/>
          <w:szCs w:val="32"/>
        </w:rPr>
        <w:t xml:space="preserve">Additional </w:t>
      </w:r>
      <w:r w:rsidRPr="0073328B">
        <w:rPr>
          <w:rFonts w:ascii="Arial" w:hAnsi="Arial" w:cs="Arial"/>
          <w:b/>
          <w:bCs/>
          <w:sz w:val="32"/>
          <w:szCs w:val="32"/>
        </w:rPr>
        <w:t>Licensing</w:t>
      </w:r>
      <w:r w:rsidR="00F33F42" w:rsidRPr="0073328B">
        <w:rPr>
          <w:rFonts w:ascii="Arial" w:hAnsi="Arial" w:cs="Arial"/>
          <w:b/>
          <w:bCs/>
          <w:sz w:val="32"/>
          <w:szCs w:val="32"/>
        </w:rPr>
        <w:t xml:space="preserve"> for Houses and Flats in Multiple Occupation</w:t>
      </w:r>
    </w:p>
    <w:p w14:paraId="73DDC9F7" w14:textId="77777777" w:rsidR="006E4BD4" w:rsidRPr="007406DB" w:rsidRDefault="006E4BD4" w:rsidP="007406DB">
      <w:pPr>
        <w:jc w:val="both"/>
        <w:rPr>
          <w:b/>
        </w:rPr>
      </w:pPr>
    </w:p>
    <w:p w14:paraId="2EF3BCA1" w14:textId="5E6DDB16" w:rsidR="00ED67DF" w:rsidRDefault="006E4BD4" w:rsidP="007406DB">
      <w:pPr>
        <w:jc w:val="both"/>
      </w:pPr>
      <w:r w:rsidRPr="007406DB">
        <w:t>This notice is published in accordance with section</w:t>
      </w:r>
      <w:r w:rsidR="00AD115C">
        <w:t>s</w:t>
      </w:r>
      <w:r w:rsidR="0056217A">
        <w:t xml:space="preserve"> </w:t>
      </w:r>
      <w:r w:rsidR="0072668C">
        <w:t>56</w:t>
      </w:r>
      <w:r w:rsidR="00954982" w:rsidRPr="007406DB">
        <w:t xml:space="preserve"> </w:t>
      </w:r>
      <w:r w:rsidR="00AD115C">
        <w:t xml:space="preserve">and 59 </w:t>
      </w:r>
      <w:r w:rsidRPr="007406DB">
        <w:t xml:space="preserve">of the Housing Act 2004 </w:t>
      </w:r>
      <w:r w:rsidR="00954982" w:rsidRPr="007406DB">
        <w:t xml:space="preserve">(“the Act”) </w:t>
      </w:r>
      <w:r w:rsidRPr="007406DB">
        <w:t xml:space="preserve">and </w:t>
      </w:r>
      <w:r w:rsidR="00954982" w:rsidRPr="007406DB">
        <w:t>R</w:t>
      </w:r>
      <w:r w:rsidRPr="007406DB">
        <w:t>egulation 9 of the Licensing and Management of Houses in Multiple Occupation and Other Houses (</w:t>
      </w:r>
      <w:r w:rsidR="0056217A">
        <w:t>M</w:t>
      </w:r>
      <w:r w:rsidRPr="007406DB">
        <w:t>iscellaneous Provisions)(England) Regulations 2006.</w:t>
      </w:r>
      <w:r w:rsidR="00954982" w:rsidRPr="007406DB">
        <w:t xml:space="preserve">  </w:t>
      </w:r>
      <w:r w:rsidR="00F01849">
        <w:t xml:space="preserve"> </w:t>
      </w:r>
    </w:p>
    <w:p w14:paraId="03B88544" w14:textId="77777777" w:rsidR="00ED67DF" w:rsidRDefault="00ED67DF" w:rsidP="007406DB">
      <w:pPr>
        <w:jc w:val="both"/>
      </w:pPr>
    </w:p>
    <w:p w14:paraId="1E9A0EEE" w14:textId="44887C8A" w:rsidR="006E4BD4" w:rsidRDefault="00F01849" w:rsidP="007406DB">
      <w:pPr>
        <w:jc w:val="both"/>
      </w:pPr>
      <w:r>
        <w:t xml:space="preserve">NOTICE IS HEREBY GIVEN </w:t>
      </w:r>
      <w:r w:rsidR="00954982">
        <w:t xml:space="preserve"> that t</w:t>
      </w:r>
      <w:r w:rsidR="006E4BD4">
        <w:t>he London Borough of Tower Hamlets</w:t>
      </w:r>
      <w:r w:rsidR="00ED67DF">
        <w:t>,</w:t>
      </w:r>
      <w:r w:rsidR="006E4BD4">
        <w:t xml:space="preserve"> in exercise of </w:t>
      </w:r>
      <w:r w:rsidR="00ED67DF">
        <w:t>its</w:t>
      </w:r>
      <w:r w:rsidR="006E4BD4">
        <w:t xml:space="preserve"> powers under section </w:t>
      </w:r>
      <w:r w:rsidR="0072668C">
        <w:t>5</w:t>
      </w:r>
      <w:r w:rsidR="00AD115C">
        <w:t>6</w:t>
      </w:r>
      <w:r w:rsidR="006E4BD4">
        <w:t xml:space="preserve"> of the Housing Act 2004</w:t>
      </w:r>
      <w:r w:rsidR="00ED67DF">
        <w:t xml:space="preserve">, </w:t>
      </w:r>
      <w:r w:rsidR="006E4BD4">
        <w:t xml:space="preserve">has designated for </w:t>
      </w:r>
      <w:r w:rsidR="0072668C">
        <w:t>additional</w:t>
      </w:r>
      <w:r w:rsidR="006E4BD4">
        <w:t xml:space="preserve"> licensing the area described in paragraph 4.</w:t>
      </w:r>
    </w:p>
    <w:p w14:paraId="173B803A" w14:textId="77777777" w:rsidR="006E4BD4" w:rsidRDefault="006E4BD4" w:rsidP="007406DB">
      <w:pPr>
        <w:jc w:val="both"/>
      </w:pPr>
    </w:p>
    <w:p w14:paraId="60B2FAA6" w14:textId="77777777" w:rsidR="00954982" w:rsidRDefault="00954982" w:rsidP="0073328B">
      <w:pPr>
        <w:pStyle w:val="Heading1"/>
      </w:pPr>
      <w:r>
        <w:t>CITATION, COMMENCEMENT AND DURATION</w:t>
      </w:r>
    </w:p>
    <w:p w14:paraId="4D469A61" w14:textId="77777777" w:rsidR="00954982" w:rsidRDefault="00954982" w:rsidP="007406DB">
      <w:pPr>
        <w:jc w:val="both"/>
      </w:pPr>
    </w:p>
    <w:p w14:paraId="289D608B" w14:textId="2A610C2D" w:rsidR="006E4BD4" w:rsidRDefault="006E4BD4" w:rsidP="007406DB">
      <w:pPr>
        <w:pStyle w:val="ListParagraph"/>
        <w:numPr>
          <w:ilvl w:val="0"/>
          <w:numId w:val="1"/>
        </w:numPr>
        <w:jc w:val="both"/>
      </w:pPr>
      <w:r>
        <w:t xml:space="preserve">The Designation may be cited as the London Borough of Tower Hamlets Council Designation for an Area for </w:t>
      </w:r>
      <w:r w:rsidR="0072668C">
        <w:t>Additional</w:t>
      </w:r>
      <w:r>
        <w:t xml:space="preserve"> Licensing</w:t>
      </w:r>
      <w:r w:rsidR="0072668C">
        <w:t xml:space="preserve"> </w:t>
      </w:r>
      <w:r w:rsidR="00590EF3">
        <w:t>for</w:t>
      </w:r>
      <w:r w:rsidR="0072668C">
        <w:t xml:space="preserve"> Housing in Multiple Occupation </w:t>
      </w:r>
      <w:r w:rsidR="00C74C02">
        <w:t>2023</w:t>
      </w:r>
      <w:r w:rsidR="0072668C">
        <w:t>.</w:t>
      </w:r>
    </w:p>
    <w:p w14:paraId="388D7E27" w14:textId="77777777" w:rsidR="006E4BD4" w:rsidRDefault="006E4BD4" w:rsidP="007406DB">
      <w:pPr>
        <w:jc w:val="both"/>
      </w:pPr>
    </w:p>
    <w:p w14:paraId="272D66DA" w14:textId="34B7A1D3" w:rsidR="006E4BD4" w:rsidRPr="00034975" w:rsidRDefault="006E4BD4" w:rsidP="007406DB">
      <w:pPr>
        <w:pStyle w:val="ListParagraph"/>
        <w:numPr>
          <w:ilvl w:val="0"/>
          <w:numId w:val="1"/>
        </w:numPr>
        <w:jc w:val="both"/>
        <w:rPr>
          <w:color w:val="FF0000"/>
        </w:rPr>
      </w:pPr>
      <w:r>
        <w:t xml:space="preserve">The Designation was made on the </w:t>
      </w:r>
      <w:proofErr w:type="gramStart"/>
      <w:r w:rsidR="00FD485B">
        <w:t>25</w:t>
      </w:r>
      <w:r w:rsidR="00FD485B" w:rsidRPr="00FD485B">
        <w:rPr>
          <w:vertAlign w:val="superscript"/>
        </w:rPr>
        <w:t>th</w:t>
      </w:r>
      <w:proofErr w:type="gramEnd"/>
      <w:r w:rsidR="00FD485B">
        <w:t xml:space="preserve"> </w:t>
      </w:r>
      <w:r w:rsidR="0072668C" w:rsidRPr="00C74C02">
        <w:t>October 20</w:t>
      </w:r>
      <w:r w:rsidR="00C74C02" w:rsidRPr="00C74C02">
        <w:t>23</w:t>
      </w:r>
      <w:r>
        <w:t xml:space="preserve"> and shall come into force on the </w:t>
      </w:r>
      <w:r w:rsidR="00CE7C5C" w:rsidRPr="00034975">
        <w:t>1</w:t>
      </w:r>
      <w:r w:rsidR="00CE7C5C" w:rsidRPr="00034975">
        <w:rPr>
          <w:vertAlign w:val="superscript"/>
        </w:rPr>
        <w:t>st</w:t>
      </w:r>
      <w:r w:rsidR="00CE7C5C" w:rsidRPr="00034975">
        <w:t xml:space="preserve"> </w:t>
      </w:r>
      <w:r w:rsidR="0072668C" w:rsidRPr="00034975">
        <w:t>April</w:t>
      </w:r>
      <w:r w:rsidR="00CE7C5C" w:rsidRPr="00034975">
        <w:t xml:space="preserve"> 20</w:t>
      </w:r>
      <w:r w:rsidR="00C74C02" w:rsidRPr="00034975">
        <w:t>24</w:t>
      </w:r>
      <w:r w:rsidR="00D97445" w:rsidRPr="00034975">
        <w:rPr>
          <w:color w:val="FF0000"/>
        </w:rPr>
        <w:t xml:space="preserve"> </w:t>
      </w:r>
    </w:p>
    <w:p w14:paraId="13CF7404" w14:textId="77777777" w:rsidR="00A1098C" w:rsidRPr="007406DB" w:rsidRDefault="00A1098C" w:rsidP="007406DB">
      <w:pPr>
        <w:pStyle w:val="ListParagraph"/>
        <w:jc w:val="both"/>
        <w:rPr>
          <w:color w:val="FF0000"/>
        </w:rPr>
      </w:pPr>
    </w:p>
    <w:p w14:paraId="18A2877C" w14:textId="67D119A3" w:rsidR="006E4BD4" w:rsidRPr="006E4BD4" w:rsidRDefault="006E4BD4" w:rsidP="007406DB">
      <w:pPr>
        <w:pStyle w:val="ListParagraph"/>
        <w:numPr>
          <w:ilvl w:val="0"/>
          <w:numId w:val="1"/>
        </w:numPr>
        <w:jc w:val="both"/>
        <w:rPr>
          <w:color w:val="FF0000"/>
        </w:rPr>
      </w:pPr>
      <w:r w:rsidRPr="006E4BD4">
        <w:t xml:space="preserve">The Designation shall cease to have effect on the </w:t>
      </w:r>
      <w:proofErr w:type="gramStart"/>
      <w:r w:rsidR="0072668C" w:rsidRPr="00034975">
        <w:t>3</w:t>
      </w:r>
      <w:r w:rsidR="00CE7C5C" w:rsidRPr="00034975">
        <w:t>1</w:t>
      </w:r>
      <w:r w:rsidR="00CE7C5C" w:rsidRPr="00034975">
        <w:rPr>
          <w:vertAlign w:val="superscript"/>
        </w:rPr>
        <w:t>st</w:t>
      </w:r>
      <w:proofErr w:type="gramEnd"/>
      <w:r w:rsidR="00CE7C5C" w:rsidRPr="00034975">
        <w:t xml:space="preserve"> </w:t>
      </w:r>
      <w:r w:rsidR="0072668C" w:rsidRPr="00034975">
        <w:t>March</w:t>
      </w:r>
      <w:r w:rsidR="00CE7C5C" w:rsidRPr="00034975">
        <w:t xml:space="preserve"> 202</w:t>
      </w:r>
      <w:r w:rsidR="0050059F">
        <w:t>9</w:t>
      </w:r>
      <w:r>
        <w:rPr>
          <w:color w:val="FF0000"/>
        </w:rPr>
        <w:t xml:space="preserve"> </w:t>
      </w:r>
      <w:r w:rsidRPr="006E4BD4">
        <w:t xml:space="preserve">or earlier if the Council revokes the scheme under section </w:t>
      </w:r>
      <w:r w:rsidR="0072668C">
        <w:t>60</w:t>
      </w:r>
      <w:r w:rsidRPr="006E4BD4">
        <w:t xml:space="preserve"> of the Act.</w:t>
      </w:r>
    </w:p>
    <w:p w14:paraId="2E346535" w14:textId="77777777" w:rsidR="00B044E4" w:rsidRDefault="00B044E4" w:rsidP="007406DB">
      <w:pPr>
        <w:ind w:left="360"/>
        <w:jc w:val="both"/>
        <w:rPr>
          <w:color w:val="FF0000"/>
        </w:rPr>
      </w:pPr>
    </w:p>
    <w:p w14:paraId="2B1B6ED5" w14:textId="77777777" w:rsidR="00B044E4" w:rsidRPr="007406DB" w:rsidRDefault="00B044E4" w:rsidP="0073328B">
      <w:pPr>
        <w:pStyle w:val="Heading1"/>
      </w:pPr>
      <w:r w:rsidRPr="007406DB">
        <w:t>AREA TO WHICH THE DESIGNATION APPLIES</w:t>
      </w:r>
    </w:p>
    <w:p w14:paraId="5677AD48" w14:textId="77777777" w:rsidR="00B044E4" w:rsidRPr="007406DB" w:rsidRDefault="00B044E4" w:rsidP="007406DB">
      <w:pPr>
        <w:ind w:left="360"/>
        <w:jc w:val="both"/>
        <w:rPr>
          <w:color w:val="FF0000"/>
        </w:rPr>
      </w:pPr>
    </w:p>
    <w:p w14:paraId="483F7D12" w14:textId="2662C1F6" w:rsidR="006E4BD4" w:rsidRDefault="002862B8" w:rsidP="007406DB">
      <w:pPr>
        <w:pStyle w:val="ListParagraph"/>
        <w:numPr>
          <w:ilvl w:val="0"/>
          <w:numId w:val="1"/>
        </w:numPr>
        <w:jc w:val="both"/>
      </w:pPr>
      <w:r w:rsidRPr="003E3446">
        <w:t xml:space="preserve">The Designation shall apply to the </w:t>
      </w:r>
      <w:r w:rsidR="003E3446" w:rsidRPr="003E3446">
        <w:t xml:space="preserve">entire district of the London Borough of Tower Hamlets </w:t>
      </w:r>
      <w:r w:rsidR="003E3446" w:rsidRPr="00034975">
        <w:t>as delineated on the map below</w:t>
      </w:r>
      <w:r w:rsidR="00590EF3">
        <w:t>.</w:t>
      </w:r>
    </w:p>
    <w:p w14:paraId="0F5436BF" w14:textId="65D7495C" w:rsidR="0050059F" w:rsidRDefault="0050059F" w:rsidP="0050059F">
      <w:pPr>
        <w:jc w:val="both"/>
      </w:pPr>
    </w:p>
    <w:p w14:paraId="174A950E" w14:textId="24A47997" w:rsidR="0050059F" w:rsidRDefault="00561F4B" w:rsidP="0050059F">
      <w:pPr>
        <w:jc w:val="center"/>
      </w:pPr>
      <w:r>
        <w:rPr>
          <w:noProof/>
        </w:rPr>
        <w:lastRenderedPageBreak/>
        <w:drawing>
          <wp:inline distT="0" distB="0" distL="0" distR="0" wp14:anchorId="07087411" wp14:editId="746CC622">
            <wp:extent cx="4152900" cy="4449393"/>
            <wp:effectExtent l="0" t="0" r="0" b="8890"/>
            <wp:docPr id="2" name="Picture 2" descr="A map of a Tower Hamle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map of a Tower Hamlets&#1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53956" cy="4450524"/>
                    </a:xfrm>
                    <a:prstGeom prst="rect">
                      <a:avLst/>
                    </a:prstGeom>
                    <a:noFill/>
                    <a:ln>
                      <a:noFill/>
                    </a:ln>
                  </pic:spPr>
                </pic:pic>
              </a:graphicData>
            </a:graphic>
          </wp:inline>
        </w:drawing>
      </w:r>
    </w:p>
    <w:p w14:paraId="283A8964" w14:textId="68B576AD" w:rsidR="0050059F" w:rsidRDefault="0050059F" w:rsidP="0050059F">
      <w:pPr>
        <w:jc w:val="both"/>
      </w:pPr>
    </w:p>
    <w:p w14:paraId="1496B147" w14:textId="741BAFE1" w:rsidR="0050059F" w:rsidRDefault="0050059F" w:rsidP="0050059F">
      <w:pPr>
        <w:jc w:val="both"/>
      </w:pPr>
    </w:p>
    <w:p w14:paraId="1A7D5DFB" w14:textId="431EA5CE" w:rsidR="00B044E4" w:rsidRPr="00DF53F7" w:rsidRDefault="00CA7600" w:rsidP="0073328B">
      <w:pPr>
        <w:pStyle w:val="Heading1"/>
      </w:pPr>
      <w:r>
        <w:t xml:space="preserve">PROPERTIES </w:t>
      </w:r>
      <w:r w:rsidR="00B044E4">
        <w:t>TO WHICH THE DESIGNATION APPLIES</w:t>
      </w:r>
    </w:p>
    <w:p w14:paraId="568B34C8" w14:textId="77777777" w:rsidR="002862B8" w:rsidRPr="002862B8" w:rsidRDefault="002862B8" w:rsidP="007406DB">
      <w:pPr>
        <w:pStyle w:val="ListParagraph"/>
        <w:jc w:val="both"/>
        <w:rPr>
          <w:color w:val="FF0000"/>
        </w:rPr>
      </w:pPr>
    </w:p>
    <w:p w14:paraId="30B55BCF" w14:textId="75A72E12" w:rsidR="00590EF3" w:rsidRDefault="002862B8" w:rsidP="00AB2D02">
      <w:pPr>
        <w:pStyle w:val="ListParagraph"/>
        <w:numPr>
          <w:ilvl w:val="0"/>
          <w:numId w:val="1"/>
        </w:numPr>
        <w:ind w:left="360"/>
        <w:jc w:val="both"/>
      </w:pPr>
      <w:r w:rsidRPr="00005691">
        <w:t>T</w:t>
      </w:r>
      <w:r w:rsidRPr="002862B8">
        <w:t>he Designation applies</w:t>
      </w:r>
      <w:r w:rsidR="00F33F42">
        <w:t xml:space="preserve"> to</w:t>
      </w:r>
      <w:r w:rsidRPr="002862B8">
        <w:t xml:space="preserve"> </w:t>
      </w:r>
      <w:r>
        <w:t>a</w:t>
      </w:r>
      <w:r w:rsidR="003E3446">
        <w:t>ll Houses in Multiple Occupation</w:t>
      </w:r>
      <w:r w:rsidR="00481D2E">
        <w:t xml:space="preserve"> (HMOs)</w:t>
      </w:r>
      <w:r>
        <w:t xml:space="preserve"> </w:t>
      </w:r>
      <w:r w:rsidR="004E328C">
        <w:rPr>
          <w:rStyle w:val="FootnoteReference"/>
        </w:rPr>
        <w:footnoteReference w:id="1"/>
      </w:r>
      <w:r>
        <w:t xml:space="preserve"> </w:t>
      </w:r>
      <w:r w:rsidR="003E3446">
        <w:t>within the area described in paragraph 4</w:t>
      </w:r>
      <w:r w:rsidR="00FD485B">
        <w:t xml:space="preserve">, </w:t>
      </w:r>
      <w:r w:rsidR="00FD485B" w:rsidRPr="00590EF3">
        <w:t>excluding</w:t>
      </w:r>
      <w:r w:rsidR="00590EF3">
        <w:t>:</w:t>
      </w:r>
    </w:p>
    <w:p w14:paraId="02B79DD0" w14:textId="77777777" w:rsidR="00590EF3" w:rsidRDefault="00590EF3" w:rsidP="00590EF3">
      <w:pPr>
        <w:jc w:val="both"/>
      </w:pPr>
    </w:p>
    <w:p w14:paraId="4F542E84" w14:textId="77777777" w:rsidR="00590EF3" w:rsidRDefault="00590EF3" w:rsidP="00590EF3">
      <w:pPr>
        <w:jc w:val="both"/>
      </w:pPr>
    </w:p>
    <w:p w14:paraId="5CA633FC" w14:textId="546182BE" w:rsidR="003E3446" w:rsidRPr="00005691" w:rsidRDefault="00590EF3" w:rsidP="00590EF3">
      <w:pPr>
        <w:pStyle w:val="ListParagraph"/>
        <w:numPr>
          <w:ilvl w:val="0"/>
          <w:numId w:val="2"/>
        </w:numPr>
        <w:jc w:val="both"/>
      </w:pPr>
      <w:r>
        <w:t>P</w:t>
      </w:r>
      <w:r w:rsidR="00FD485B" w:rsidRPr="00590EF3">
        <w:t>roperties subject to schedule 14 of the Housing Act 2004</w:t>
      </w:r>
      <w:r>
        <w:t>, buildings that are not HMOs for the purposes of the Act</w:t>
      </w:r>
      <w:r w:rsidR="00FD485B" w:rsidRPr="00590EF3">
        <w:t xml:space="preserve">. </w:t>
      </w:r>
      <w:r w:rsidR="00A34E6E" w:rsidRPr="00590EF3">
        <w:rPr>
          <w:color w:val="FF0000"/>
        </w:rPr>
        <w:t xml:space="preserve"> </w:t>
      </w:r>
    </w:p>
    <w:p w14:paraId="6F252D4D" w14:textId="77777777" w:rsidR="002862B8" w:rsidRPr="00005691" w:rsidRDefault="002862B8" w:rsidP="003E3446">
      <w:pPr>
        <w:ind w:left="360"/>
        <w:jc w:val="both"/>
      </w:pPr>
    </w:p>
    <w:p w14:paraId="5D736EAB" w14:textId="708A588A" w:rsidR="00D4497D" w:rsidRPr="00005691" w:rsidRDefault="000367CF" w:rsidP="007406DB">
      <w:pPr>
        <w:pStyle w:val="ListParagraph"/>
        <w:numPr>
          <w:ilvl w:val="0"/>
          <w:numId w:val="2"/>
        </w:numPr>
        <w:jc w:val="both"/>
      </w:pPr>
      <w:r>
        <w:t xml:space="preserve">Properties subject to mandatory licensing under </w:t>
      </w:r>
      <w:r w:rsidR="00D4497D" w:rsidRPr="00005691">
        <w:t xml:space="preserve">section 55(2)(a) of the </w:t>
      </w:r>
      <w:r>
        <w:t xml:space="preserve">Housing </w:t>
      </w:r>
      <w:r w:rsidR="00D4497D" w:rsidRPr="00005691">
        <w:t>Act</w:t>
      </w:r>
      <w:r>
        <w:t xml:space="preserve"> 2004</w:t>
      </w:r>
      <w:r w:rsidR="00703D4C">
        <w:t>.</w:t>
      </w:r>
    </w:p>
    <w:p w14:paraId="30697189" w14:textId="77777777" w:rsidR="00BD4547" w:rsidRDefault="00BD4547" w:rsidP="007406DB">
      <w:pPr>
        <w:jc w:val="both"/>
      </w:pPr>
    </w:p>
    <w:p w14:paraId="58356DB5" w14:textId="0673A750" w:rsidR="00D4497D" w:rsidRDefault="00D4497D" w:rsidP="00D4497D">
      <w:pPr>
        <w:ind w:left="720"/>
        <w:jc w:val="both"/>
      </w:pPr>
      <w:r>
        <w:t xml:space="preserve">The designation applies to all properties, including flats, which are occupied by 3 or more persons comprising of 2 or more households. This is irrespective of the number of storeys. This also includes single storey flats and two, three or more storey properties as well as section 257 </w:t>
      </w:r>
      <w:r w:rsidR="0053710A">
        <w:t>HMOs</w:t>
      </w:r>
      <w:r>
        <w:t xml:space="preserve"> (flats converted pre 1991 without building control </w:t>
      </w:r>
      <w:r w:rsidR="0031662F">
        <w:t>approval)</w:t>
      </w:r>
      <w:r w:rsidR="00855FD2">
        <w:t>.</w:t>
      </w:r>
    </w:p>
    <w:p w14:paraId="14BEA9E6" w14:textId="77777777" w:rsidR="00D4497D" w:rsidRDefault="00D4497D" w:rsidP="007406DB">
      <w:pPr>
        <w:jc w:val="both"/>
      </w:pPr>
    </w:p>
    <w:p w14:paraId="71889AAB" w14:textId="77777777" w:rsidR="00D4497D" w:rsidRDefault="00D4497D" w:rsidP="007406DB">
      <w:pPr>
        <w:jc w:val="both"/>
      </w:pPr>
    </w:p>
    <w:p w14:paraId="20A28237" w14:textId="77777777" w:rsidR="00D4497D" w:rsidRDefault="00D4497D" w:rsidP="007406DB">
      <w:pPr>
        <w:jc w:val="both"/>
      </w:pPr>
    </w:p>
    <w:p w14:paraId="156A47A2" w14:textId="77777777" w:rsidR="006E5C8D" w:rsidRDefault="006E5C8D" w:rsidP="0073328B">
      <w:pPr>
        <w:pStyle w:val="Heading1"/>
      </w:pPr>
      <w:r>
        <w:lastRenderedPageBreak/>
        <w:t>THE EFFECT OF THE DESIGNATION</w:t>
      </w:r>
    </w:p>
    <w:p w14:paraId="294AC88D" w14:textId="77777777" w:rsidR="006E5C8D" w:rsidRDefault="006E5C8D" w:rsidP="007406DB">
      <w:pPr>
        <w:jc w:val="both"/>
      </w:pPr>
    </w:p>
    <w:p w14:paraId="34FC93A1" w14:textId="77777777" w:rsidR="00D4497D" w:rsidRDefault="00D97445" w:rsidP="007406DB">
      <w:pPr>
        <w:pStyle w:val="ListParagraph"/>
        <w:numPr>
          <w:ilvl w:val="0"/>
          <w:numId w:val="1"/>
        </w:numPr>
        <w:ind w:hanging="294"/>
        <w:jc w:val="both"/>
      </w:pPr>
      <w:r w:rsidRPr="00D97445">
        <w:t>Subject to sub paragraphs 5</w:t>
      </w:r>
      <w:r>
        <w:t xml:space="preserve"> </w:t>
      </w:r>
      <w:r w:rsidRPr="00D97445">
        <w:t>(a) to (</w:t>
      </w:r>
      <w:r w:rsidR="00D4497D">
        <w:t>b</w:t>
      </w:r>
      <w:r w:rsidRPr="00D97445">
        <w:t xml:space="preserve">) </w:t>
      </w:r>
      <w:r>
        <w:t xml:space="preserve">above </w:t>
      </w:r>
      <w:r w:rsidRPr="00D97445">
        <w:t>every house in</w:t>
      </w:r>
      <w:r w:rsidR="00D4497D">
        <w:t xml:space="preserve"> multiple occupation of the description specified in paragraph 5 and in the area specified in paragraph 4 shall be required to be licensed under section 61 of the Act unless:</w:t>
      </w:r>
    </w:p>
    <w:p w14:paraId="58B84920" w14:textId="77777777" w:rsidR="00D4497D" w:rsidRDefault="00D4497D" w:rsidP="00D4497D">
      <w:pPr>
        <w:ind w:left="426"/>
        <w:jc w:val="both"/>
      </w:pPr>
    </w:p>
    <w:p w14:paraId="30DA2EF6" w14:textId="628C8695" w:rsidR="00D4497D" w:rsidRDefault="00D4497D" w:rsidP="0049288F">
      <w:pPr>
        <w:pStyle w:val="ListParagraph"/>
        <w:numPr>
          <w:ilvl w:val="0"/>
          <w:numId w:val="9"/>
        </w:numPr>
        <w:jc w:val="both"/>
      </w:pPr>
      <w:r>
        <w:t>a temporary exemption notice is in force in relation to it under the Housing Act 2004</w:t>
      </w:r>
      <w:r w:rsidR="008A752D">
        <w:t xml:space="preserve"> – section 62 or</w:t>
      </w:r>
    </w:p>
    <w:p w14:paraId="1CC390C0" w14:textId="77777777" w:rsidR="008A752D" w:rsidRDefault="008A752D" w:rsidP="0049288F">
      <w:pPr>
        <w:pStyle w:val="ListParagraph"/>
        <w:numPr>
          <w:ilvl w:val="0"/>
          <w:numId w:val="9"/>
        </w:numPr>
        <w:jc w:val="both"/>
      </w:pPr>
      <w:r>
        <w:t>an interim or final management order is in force in relation to it under the Housing Act 2004 Chapter 1 of Part 4.</w:t>
      </w:r>
    </w:p>
    <w:p w14:paraId="1594D418" w14:textId="77777777" w:rsidR="00D4497D" w:rsidRDefault="00D4497D" w:rsidP="00D4497D">
      <w:pPr>
        <w:ind w:left="426"/>
        <w:jc w:val="both"/>
      </w:pPr>
    </w:p>
    <w:p w14:paraId="099954FE" w14:textId="77777777" w:rsidR="00BD4547" w:rsidRDefault="00BD4547" w:rsidP="007406DB">
      <w:pPr>
        <w:pStyle w:val="ListParagraph"/>
        <w:numPr>
          <w:ilvl w:val="0"/>
          <w:numId w:val="1"/>
        </w:numPr>
        <w:ind w:hanging="294"/>
        <w:jc w:val="both"/>
      </w:pPr>
      <w:r>
        <w:t xml:space="preserve">The London Borough of Tower Hamlets will comply with the notification requirements contained in section </w:t>
      </w:r>
      <w:r w:rsidR="008A752D">
        <w:t>59</w:t>
      </w:r>
      <w:r>
        <w:t xml:space="preserve"> of the Act and shall maintain a register of all houses registered under this designation, as required under section 232 of the Act.</w:t>
      </w:r>
    </w:p>
    <w:p w14:paraId="5A5E578F" w14:textId="77777777" w:rsidR="008A752D" w:rsidRDefault="008A752D" w:rsidP="008A752D">
      <w:pPr>
        <w:ind w:left="426"/>
        <w:jc w:val="both"/>
      </w:pPr>
    </w:p>
    <w:p w14:paraId="7450521D" w14:textId="1DE6613C" w:rsidR="00CC34AE" w:rsidRPr="0049288F" w:rsidRDefault="00EA7F07" w:rsidP="007406DB">
      <w:pPr>
        <w:pStyle w:val="ListParagraph"/>
        <w:numPr>
          <w:ilvl w:val="0"/>
          <w:numId w:val="1"/>
        </w:numPr>
        <w:jc w:val="both"/>
        <w:rPr>
          <w:color w:val="FF0000"/>
        </w:rPr>
      </w:pPr>
      <w:r w:rsidRPr="00F33F42">
        <w:t>Upon th</w:t>
      </w:r>
      <w:r w:rsidR="008862C1">
        <w:t>is</w:t>
      </w:r>
      <w:r w:rsidRPr="00F33F42">
        <w:t xml:space="preserve"> Designation coming into force, any person who</w:t>
      </w:r>
      <w:r w:rsidR="00CC34AE">
        <w:t>:</w:t>
      </w:r>
    </w:p>
    <w:p w14:paraId="486B1D6B" w14:textId="77777777" w:rsidR="00CC34AE" w:rsidRDefault="00CC34AE" w:rsidP="0049288F">
      <w:pPr>
        <w:pStyle w:val="ListParagraph"/>
      </w:pPr>
    </w:p>
    <w:p w14:paraId="6F061987" w14:textId="77777777" w:rsidR="00CC34AE" w:rsidRDefault="00CC34AE" w:rsidP="0049288F">
      <w:pPr>
        <w:pStyle w:val="ListParagraph"/>
        <w:numPr>
          <w:ilvl w:val="0"/>
          <w:numId w:val="7"/>
        </w:numPr>
        <w:jc w:val="both"/>
      </w:pPr>
      <w:r>
        <w:t xml:space="preserve">manages or has control of a licensable HMO which is not so </w:t>
      </w:r>
      <w:proofErr w:type="gramStart"/>
      <w:r>
        <w:t>licensed;</w:t>
      </w:r>
      <w:proofErr w:type="gramEnd"/>
    </w:p>
    <w:p w14:paraId="554B50A8" w14:textId="2126820C" w:rsidR="00F30325" w:rsidRDefault="00F30325" w:rsidP="0049288F">
      <w:pPr>
        <w:pStyle w:val="ListParagraph"/>
        <w:numPr>
          <w:ilvl w:val="0"/>
          <w:numId w:val="7"/>
        </w:numPr>
        <w:jc w:val="both"/>
      </w:pPr>
      <w:r>
        <w:t xml:space="preserve">manages or has control of a licensed HMO and knowingly permits the HMO </w:t>
      </w:r>
      <w:r w:rsidR="00A73226">
        <w:t xml:space="preserve">to be occupied </w:t>
      </w:r>
      <w:r>
        <w:t xml:space="preserve">by more persons or households than is authorised under the </w:t>
      </w:r>
      <w:proofErr w:type="gramStart"/>
      <w:r>
        <w:t>licence;</w:t>
      </w:r>
      <w:proofErr w:type="gramEnd"/>
    </w:p>
    <w:p w14:paraId="03C492C4" w14:textId="2D37A262" w:rsidR="00421634" w:rsidRDefault="00421634" w:rsidP="0049288F">
      <w:pPr>
        <w:pStyle w:val="ListParagraph"/>
        <w:numPr>
          <w:ilvl w:val="0"/>
          <w:numId w:val="7"/>
        </w:numPr>
        <w:jc w:val="both"/>
      </w:pPr>
      <w:r>
        <w:t xml:space="preserve">is the licence holder </w:t>
      </w:r>
      <w:r w:rsidR="00A73226">
        <w:t xml:space="preserve">and </w:t>
      </w:r>
      <w:r>
        <w:t>has obligation</w:t>
      </w:r>
      <w:r w:rsidR="00B708F1">
        <w:t>s</w:t>
      </w:r>
      <w:r w:rsidR="00CD474C">
        <w:t xml:space="preserve"> or restrictions</w:t>
      </w:r>
      <w:r>
        <w:t xml:space="preserve"> imposed upon them by </w:t>
      </w:r>
      <w:r w:rsidR="00A73226">
        <w:t>the</w:t>
      </w:r>
      <w:r>
        <w:t xml:space="preserve"> lice</w:t>
      </w:r>
      <w:r w:rsidR="00CD474C">
        <w:t xml:space="preserve">nce and </w:t>
      </w:r>
      <w:r w:rsidR="00A73226">
        <w:t>fails to comply with any condition of the licence</w:t>
      </w:r>
      <w:r w:rsidR="00CD474C">
        <w:t>,</w:t>
      </w:r>
    </w:p>
    <w:p w14:paraId="2F51FFCD" w14:textId="77CF2B6B" w:rsidR="00CD474C" w:rsidRDefault="00CD474C" w:rsidP="00CC34AE">
      <w:pPr>
        <w:pStyle w:val="ListParagraph"/>
        <w:jc w:val="both"/>
      </w:pPr>
    </w:p>
    <w:p w14:paraId="5EC3BE4E" w14:textId="07162984" w:rsidR="00F30325" w:rsidRDefault="00CD474C" w:rsidP="00CC34AE">
      <w:pPr>
        <w:pStyle w:val="ListParagraph"/>
        <w:jc w:val="both"/>
      </w:pPr>
      <w:r>
        <w:t xml:space="preserve">commits a criminal offence and is liable to prosecution under section 72 of the Act. </w:t>
      </w:r>
      <w:r w:rsidR="00B72D7A">
        <w:t xml:space="preserve">The maximum penalty on summary conviction is an unlimited fine. </w:t>
      </w:r>
    </w:p>
    <w:p w14:paraId="446A2047" w14:textId="77777777" w:rsidR="00F30325" w:rsidRDefault="00F30325" w:rsidP="00CC34AE">
      <w:pPr>
        <w:pStyle w:val="ListParagraph"/>
        <w:jc w:val="both"/>
      </w:pPr>
    </w:p>
    <w:p w14:paraId="69965D95" w14:textId="5DB7DEB8" w:rsidR="00D43916" w:rsidRDefault="00703D4C" w:rsidP="00CC34AE">
      <w:pPr>
        <w:pStyle w:val="ListParagraph"/>
        <w:jc w:val="both"/>
      </w:pPr>
      <w:r>
        <w:t xml:space="preserve">Alternatively, a Civil Penalty Notice </w:t>
      </w:r>
      <w:r w:rsidR="00D43916">
        <w:t xml:space="preserve">of up to £30,000.00 </w:t>
      </w:r>
      <w:r>
        <w:t xml:space="preserve">may be issued by the Authority. </w:t>
      </w:r>
      <w:r w:rsidR="00EA7F07" w:rsidRPr="00F33F42">
        <w:t xml:space="preserve"> </w:t>
      </w:r>
    </w:p>
    <w:p w14:paraId="015E8038" w14:textId="77777777" w:rsidR="00D43916" w:rsidRDefault="00D43916" w:rsidP="00CC34AE">
      <w:pPr>
        <w:pStyle w:val="ListParagraph"/>
        <w:jc w:val="both"/>
      </w:pPr>
    </w:p>
    <w:p w14:paraId="64440BEF" w14:textId="146D4463" w:rsidR="00481D2E" w:rsidRDefault="00EA7F07" w:rsidP="00CC34AE">
      <w:pPr>
        <w:pStyle w:val="ListParagraph"/>
        <w:jc w:val="both"/>
      </w:pPr>
      <w:r w:rsidRPr="00F33F42">
        <w:t xml:space="preserve">In addition, </w:t>
      </w:r>
      <w:r w:rsidR="00D75740">
        <w:t xml:space="preserve">any person managing or having control of an unlicensed HMO which is required to be licensed </w:t>
      </w:r>
      <w:r w:rsidRPr="00F33F42">
        <w:t>may</w:t>
      </w:r>
      <w:r w:rsidR="001017DF">
        <w:t xml:space="preserve">, on the application of a tenant or the Council, </w:t>
      </w:r>
      <w:r w:rsidRPr="00F33F42">
        <w:t xml:space="preserve">be </w:t>
      </w:r>
      <w:r w:rsidR="001017DF">
        <w:t xml:space="preserve">ordered by the First-tier Tribunal </w:t>
      </w:r>
      <w:r w:rsidRPr="00F33F42">
        <w:t xml:space="preserve">to repay up to 12 months’ rent </w:t>
      </w:r>
      <w:r w:rsidR="001017DF">
        <w:t xml:space="preserve">to </w:t>
      </w:r>
      <w:r w:rsidRPr="00F33F42">
        <w:t>the tenant or</w:t>
      </w:r>
      <w:r w:rsidR="007865A8">
        <w:t xml:space="preserve">, in the case of Universal Credit, </w:t>
      </w:r>
      <w:r w:rsidRPr="00F33F42">
        <w:t>the Council</w:t>
      </w:r>
      <w:r w:rsidR="007865A8">
        <w:t xml:space="preserve"> (a </w:t>
      </w:r>
      <w:r w:rsidRPr="00F33F42">
        <w:t>rent repayment order</w:t>
      </w:r>
      <w:r w:rsidR="007865A8">
        <w:t>)</w:t>
      </w:r>
      <w:r w:rsidRPr="00F33F42">
        <w:t xml:space="preserve">. </w:t>
      </w:r>
    </w:p>
    <w:p w14:paraId="6247D1A6" w14:textId="77777777" w:rsidR="00481D2E" w:rsidRDefault="00481D2E" w:rsidP="00CC34AE">
      <w:pPr>
        <w:pStyle w:val="ListParagraph"/>
        <w:jc w:val="both"/>
      </w:pPr>
    </w:p>
    <w:p w14:paraId="7051E722" w14:textId="218ABB80" w:rsidR="00B2350E" w:rsidRPr="008A752D" w:rsidRDefault="00EA7F07" w:rsidP="0049288F">
      <w:pPr>
        <w:pStyle w:val="ListParagraph"/>
        <w:jc w:val="both"/>
        <w:rPr>
          <w:color w:val="FF0000"/>
        </w:rPr>
      </w:pPr>
      <w:r w:rsidRPr="00F33F42">
        <w:t>No notice under section 21 of the Housing Act 1988 may be given in relation to an assured shorthold tenancy of the whole or part of an unlicensed house so long as it remains an unlicensed house.</w:t>
      </w:r>
    </w:p>
    <w:p w14:paraId="111CE98F" w14:textId="77777777" w:rsidR="00B2350E" w:rsidRDefault="00B2350E" w:rsidP="007406DB">
      <w:pPr>
        <w:jc w:val="both"/>
      </w:pPr>
    </w:p>
    <w:p w14:paraId="1D38BD23" w14:textId="4B3A1BA4" w:rsidR="00EA7F07" w:rsidRDefault="00EA7F07" w:rsidP="0049288F">
      <w:pPr>
        <w:pStyle w:val="ListParagraph"/>
        <w:numPr>
          <w:ilvl w:val="0"/>
          <w:numId w:val="1"/>
        </w:numPr>
      </w:pPr>
      <w:r>
        <w:t>An</w:t>
      </w:r>
      <w:r w:rsidR="00B2350E">
        <w:t>y</w:t>
      </w:r>
      <w:r>
        <w:t xml:space="preserve"> landlord, managing agent or tenant </w:t>
      </w:r>
      <w:r w:rsidR="002372E0">
        <w:t xml:space="preserve">of a property </w:t>
      </w:r>
      <w:r>
        <w:t>within the designated area of the Borough should seek advice from the Council as to whether their property is affected by the Designation during normal office hours, which are 9am to 5pm, Monday to Friday.</w:t>
      </w:r>
    </w:p>
    <w:p w14:paraId="24BCA54F" w14:textId="77777777" w:rsidR="00EA7F07" w:rsidRDefault="00EA7F07" w:rsidP="007406DB">
      <w:pPr>
        <w:ind w:left="851" w:hanging="142"/>
        <w:jc w:val="both"/>
      </w:pPr>
    </w:p>
    <w:p w14:paraId="265C5B7A" w14:textId="19494E04" w:rsidR="00E3183E" w:rsidRPr="00D43916" w:rsidRDefault="00EA7F07" w:rsidP="0049288F">
      <w:pPr>
        <w:pStyle w:val="ListParagraph"/>
        <w:numPr>
          <w:ilvl w:val="0"/>
          <w:numId w:val="1"/>
        </w:numPr>
        <w:rPr>
          <w:rFonts w:cs="Arial"/>
        </w:rPr>
      </w:pPr>
      <w:r>
        <w:lastRenderedPageBreak/>
        <w:t xml:space="preserve">General advice concerning the Designation may be obtained from the Environmental Health and Trading Standards Service at the London Borough of Tower Hamlets, </w:t>
      </w:r>
      <w:bookmarkStart w:id="0" w:name="_Hlk145930346"/>
      <w:r w:rsidR="00E3183E" w:rsidRPr="00E3183E">
        <w:t>Town Hall</w:t>
      </w:r>
      <w:r w:rsidR="008A752D" w:rsidRPr="00E3183E">
        <w:t xml:space="preserve">, </w:t>
      </w:r>
      <w:r w:rsidR="00E3183E" w:rsidRPr="00AB17E6">
        <w:rPr>
          <w:rFonts w:cs="Arial"/>
        </w:rPr>
        <w:t>160 Whitechapel Road</w:t>
      </w:r>
      <w:r w:rsidR="00E3183E" w:rsidRPr="00D43916">
        <w:rPr>
          <w:rFonts w:cs="Arial"/>
        </w:rPr>
        <w:t xml:space="preserve">, London E1 </w:t>
      </w:r>
      <w:proofErr w:type="gramStart"/>
      <w:r w:rsidR="00E3183E" w:rsidRPr="00D43916">
        <w:rPr>
          <w:rFonts w:cs="Arial"/>
        </w:rPr>
        <w:t>1BJ</w:t>
      </w:r>
      <w:proofErr w:type="gramEnd"/>
      <w:r w:rsidR="00E3183E" w:rsidRPr="00D43916">
        <w:rPr>
          <w:rFonts w:cs="Arial"/>
        </w:rPr>
        <w:t xml:space="preserve"> </w:t>
      </w:r>
      <w:bookmarkEnd w:id="0"/>
    </w:p>
    <w:p w14:paraId="741E8703" w14:textId="6D14F677" w:rsidR="008A752D" w:rsidRDefault="00EA7F07" w:rsidP="0049288F">
      <w:pPr>
        <w:ind w:left="720"/>
      </w:pPr>
      <w:r w:rsidRPr="00E3183E">
        <w:t>(Tel: 0207 364 5008 and email</w:t>
      </w:r>
      <w:r w:rsidR="004D49E5">
        <w:t xml:space="preserve">: </w:t>
      </w:r>
      <w:hyperlink r:id="rId10" w:history="1">
        <w:r w:rsidR="004D49E5" w:rsidRPr="00AB17E6">
          <w:rPr>
            <w:rStyle w:val="Hyperlink"/>
          </w:rPr>
          <w:t>housinglicensing@towerhamlets.gov.uk</w:t>
        </w:r>
      </w:hyperlink>
      <w:r w:rsidR="004D49E5">
        <w:t xml:space="preserve">) </w:t>
      </w:r>
    </w:p>
    <w:p w14:paraId="522E6A96" w14:textId="77777777" w:rsidR="008A752D" w:rsidRDefault="008A752D" w:rsidP="007406DB">
      <w:pPr>
        <w:jc w:val="both"/>
      </w:pPr>
    </w:p>
    <w:p w14:paraId="59BBD6EE" w14:textId="129E6742" w:rsidR="00B2350E" w:rsidRDefault="00B62488" w:rsidP="0049288F">
      <w:pPr>
        <w:pStyle w:val="ListParagraph"/>
        <w:numPr>
          <w:ilvl w:val="0"/>
          <w:numId w:val="1"/>
        </w:numPr>
        <w:jc w:val="both"/>
      </w:pPr>
      <w:r>
        <w:t>Th</w:t>
      </w:r>
      <w:r w:rsidR="00F45E75">
        <w:t>is</w:t>
      </w:r>
      <w:r>
        <w:t xml:space="preserve"> Designation </w:t>
      </w:r>
      <w:r w:rsidR="009F5AF9" w:rsidRPr="00C55258">
        <w:t>may</w:t>
      </w:r>
      <w:r w:rsidRPr="00C55258">
        <w:t xml:space="preserve"> be inspected at </w:t>
      </w:r>
      <w:r w:rsidR="00F45E75">
        <w:t xml:space="preserve">the London Borough of Tower Hamlets, </w:t>
      </w:r>
      <w:r w:rsidR="00C55258" w:rsidRPr="00E3183E">
        <w:t xml:space="preserve">Town Hall, </w:t>
      </w:r>
      <w:r w:rsidR="00C55258" w:rsidRPr="00AB17E6">
        <w:rPr>
          <w:rFonts w:cs="Arial"/>
        </w:rPr>
        <w:t>160 Whitechapel Road</w:t>
      </w:r>
      <w:r w:rsidR="00C55258" w:rsidRPr="00143C04">
        <w:rPr>
          <w:rFonts w:cs="Arial"/>
        </w:rPr>
        <w:t xml:space="preserve">, London E1 1BJ </w:t>
      </w:r>
      <w:r w:rsidR="009F5AF9">
        <w:t xml:space="preserve"> and</w:t>
      </w:r>
      <w:r>
        <w:t xml:space="preserve"> a copy of the Designation can be obtained from the Council’s website</w:t>
      </w:r>
      <w:r w:rsidR="00F45E75">
        <w:t xml:space="preserve"> (</w:t>
      </w:r>
      <w:hyperlink r:id="rId11" w:history="1">
        <w:r w:rsidR="00F45E75" w:rsidRPr="00FA33FB">
          <w:rPr>
            <w:rStyle w:val="Hyperlink"/>
          </w:rPr>
          <w:t>www.towerhamlets.gov.uk</w:t>
        </w:r>
      </w:hyperlink>
      <w:r w:rsidR="00F45E75">
        <w:t>).</w:t>
      </w:r>
      <w:r w:rsidR="004B714D">
        <w:t xml:space="preserve"> </w:t>
      </w:r>
    </w:p>
    <w:p w14:paraId="16314B85" w14:textId="77777777" w:rsidR="00B2350E" w:rsidRDefault="00B2350E" w:rsidP="007406DB">
      <w:pPr>
        <w:jc w:val="both"/>
      </w:pPr>
    </w:p>
    <w:p w14:paraId="7C2AE5BC" w14:textId="61EC0EBD" w:rsidR="00DF53F7" w:rsidRDefault="00DF53F7" w:rsidP="0049288F">
      <w:pPr>
        <w:pStyle w:val="ListParagraph"/>
        <w:numPr>
          <w:ilvl w:val="0"/>
          <w:numId w:val="1"/>
        </w:numPr>
        <w:jc w:val="both"/>
      </w:pPr>
      <w:r w:rsidRPr="00FD485B">
        <w:t>Th</w:t>
      </w:r>
      <w:r w:rsidR="00F45E75">
        <w:t>is</w:t>
      </w:r>
      <w:r w:rsidRPr="00FD485B">
        <w:t xml:space="preserve"> Designation was given general approval by the Mayor in Cabinet of the London Borough of Tower Hamlets.</w:t>
      </w:r>
      <w:r>
        <w:t xml:space="preserve">  </w:t>
      </w:r>
    </w:p>
    <w:p w14:paraId="14BC54E3" w14:textId="77777777" w:rsidR="00DF53F7" w:rsidRDefault="00DF53F7" w:rsidP="007406DB">
      <w:pPr>
        <w:jc w:val="both"/>
      </w:pPr>
    </w:p>
    <w:p w14:paraId="1811380C" w14:textId="37FE589B" w:rsidR="00DF53F7" w:rsidRPr="009D30D7" w:rsidRDefault="00DF53F7" w:rsidP="0049288F">
      <w:pPr>
        <w:pStyle w:val="ListParagraph"/>
        <w:numPr>
          <w:ilvl w:val="0"/>
          <w:numId w:val="1"/>
        </w:numPr>
        <w:jc w:val="both"/>
      </w:pPr>
      <w:r w:rsidRPr="009D30D7">
        <w:t>Th</w:t>
      </w:r>
      <w:r w:rsidR="00F45E75">
        <w:t>is</w:t>
      </w:r>
      <w:r w:rsidRPr="009D30D7">
        <w:t xml:space="preserve"> Designation falls within a description of designations in relation to which the Secretary of State has given a general approval under section</w:t>
      </w:r>
      <w:r w:rsidR="0031662F">
        <w:t>s</w:t>
      </w:r>
      <w:r w:rsidRPr="009D30D7">
        <w:t xml:space="preserve"> </w:t>
      </w:r>
      <w:r w:rsidR="008A752D">
        <w:t>58(6)</w:t>
      </w:r>
      <w:r w:rsidR="0031662F">
        <w:t xml:space="preserve"> and 82(6)</w:t>
      </w:r>
      <w:r w:rsidRPr="009D30D7">
        <w:t xml:space="preserve"> of the Act, namely The Housing Act 2004; Licensing of Houses in Multiple Occupation and Selective Licensing of Other Residential Accommodation (England) General Approval 201</w:t>
      </w:r>
      <w:r w:rsidR="008A752D">
        <w:t>5</w:t>
      </w:r>
      <w:r w:rsidRPr="009D30D7">
        <w:t xml:space="preserve"> which came into force on the </w:t>
      </w:r>
      <w:proofErr w:type="gramStart"/>
      <w:r w:rsidRPr="009D30D7">
        <w:t>2</w:t>
      </w:r>
      <w:r w:rsidR="008A752D">
        <w:t>6</w:t>
      </w:r>
      <w:r w:rsidRPr="00AB17E6">
        <w:rPr>
          <w:vertAlign w:val="superscript"/>
        </w:rPr>
        <w:t>th</w:t>
      </w:r>
      <w:proofErr w:type="gramEnd"/>
      <w:r w:rsidRPr="009D30D7">
        <w:t xml:space="preserve"> March 201</w:t>
      </w:r>
      <w:r w:rsidR="008A752D">
        <w:t>5</w:t>
      </w:r>
      <w:r w:rsidRPr="009D30D7">
        <w:t>.</w:t>
      </w:r>
    </w:p>
    <w:p w14:paraId="679FE4F2" w14:textId="77777777" w:rsidR="00DF53F7" w:rsidRDefault="00DF53F7" w:rsidP="007406DB">
      <w:pPr>
        <w:jc w:val="both"/>
      </w:pPr>
    </w:p>
    <w:p w14:paraId="7C1F07C7" w14:textId="77777777" w:rsidR="00DF53F7" w:rsidRDefault="00DF53F7" w:rsidP="007406DB">
      <w:pPr>
        <w:jc w:val="both"/>
      </w:pPr>
    </w:p>
    <w:p w14:paraId="6B787643" w14:textId="77777777" w:rsidR="00BD4547" w:rsidRDefault="00BD4547" w:rsidP="00BD4547">
      <w:pPr>
        <w:ind w:left="426"/>
      </w:pPr>
    </w:p>
    <w:p w14:paraId="075DD7FD" w14:textId="77777777" w:rsidR="00BD4547" w:rsidRPr="002862B8" w:rsidRDefault="00BD4547" w:rsidP="00BD4547">
      <w:pPr>
        <w:ind w:left="426"/>
      </w:pPr>
    </w:p>
    <w:p w14:paraId="0AEBF54A" w14:textId="5537A226" w:rsidR="006E4BD4" w:rsidRDefault="001474F5" w:rsidP="001474F5">
      <w:r>
        <w:t>Signed</w:t>
      </w:r>
      <w:r w:rsidR="007E0634">
        <w:t>:</w:t>
      </w:r>
      <w:r w:rsidR="0049288F">
        <w:t xml:space="preserve"> </w:t>
      </w:r>
      <w:r w:rsidR="00FD485B">
        <w:t>Raj Mistry,</w:t>
      </w:r>
      <w:r w:rsidR="008A752D">
        <w:t xml:space="preserve"> </w:t>
      </w:r>
      <w:r w:rsidR="00703D4C">
        <w:t xml:space="preserve">Interim </w:t>
      </w:r>
      <w:r w:rsidR="008A752D">
        <w:t xml:space="preserve">Corporate Director </w:t>
      </w:r>
      <w:r w:rsidR="0037618E" w:rsidRPr="00FD485B">
        <w:t>Communities</w:t>
      </w:r>
      <w:r w:rsidR="008A752D">
        <w:t xml:space="preserve"> </w:t>
      </w:r>
    </w:p>
    <w:p w14:paraId="192DC91D" w14:textId="77777777" w:rsidR="007E0634" w:rsidRDefault="007E0634" w:rsidP="001474F5"/>
    <w:p w14:paraId="0C891DFA" w14:textId="79B854EC" w:rsidR="007E0634" w:rsidRDefault="007E0634" w:rsidP="001474F5">
      <w:r>
        <w:t>Date</w:t>
      </w:r>
      <w:r w:rsidR="00F716B8">
        <w:t>d</w:t>
      </w:r>
      <w:r>
        <w:t>:</w:t>
      </w:r>
      <w:r w:rsidR="0056217A">
        <w:t xml:space="preserve"> </w:t>
      </w:r>
      <w:r w:rsidR="00FD485B" w:rsidRPr="00FD485B">
        <w:t>25</w:t>
      </w:r>
      <w:r w:rsidR="00FD485B" w:rsidRPr="00FD485B">
        <w:rPr>
          <w:vertAlign w:val="superscript"/>
        </w:rPr>
        <w:t>th</w:t>
      </w:r>
      <w:r w:rsidR="00FD485B" w:rsidRPr="00FD485B">
        <w:t xml:space="preserve"> </w:t>
      </w:r>
      <w:r w:rsidR="008A752D" w:rsidRPr="00FD485B">
        <w:t>October 20</w:t>
      </w:r>
      <w:r w:rsidR="0037618E" w:rsidRPr="00FD485B">
        <w:t>23</w:t>
      </w:r>
    </w:p>
    <w:sectPr w:rsidR="007E06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BC19" w14:textId="77777777" w:rsidR="00B405BD" w:rsidRDefault="00B405BD" w:rsidP="004E328C">
      <w:r>
        <w:separator/>
      </w:r>
    </w:p>
  </w:endnote>
  <w:endnote w:type="continuationSeparator" w:id="0">
    <w:p w14:paraId="43E029B0" w14:textId="77777777" w:rsidR="00B405BD" w:rsidRDefault="00B405BD" w:rsidP="004E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FE6C" w14:textId="77777777" w:rsidR="00B405BD" w:rsidRDefault="00B405BD" w:rsidP="004E328C">
      <w:r>
        <w:separator/>
      </w:r>
    </w:p>
  </w:footnote>
  <w:footnote w:type="continuationSeparator" w:id="0">
    <w:p w14:paraId="65ABF3D1" w14:textId="77777777" w:rsidR="00B405BD" w:rsidRDefault="00B405BD" w:rsidP="004E328C">
      <w:r>
        <w:continuationSeparator/>
      </w:r>
    </w:p>
  </w:footnote>
  <w:footnote w:id="1">
    <w:p w14:paraId="725EB38C" w14:textId="77777777" w:rsidR="004E328C" w:rsidRDefault="004E328C">
      <w:pPr>
        <w:pStyle w:val="FootnoteText"/>
      </w:pPr>
      <w:r>
        <w:rPr>
          <w:rStyle w:val="FootnoteReference"/>
        </w:rPr>
        <w:footnoteRef/>
      </w:r>
      <w:r>
        <w:t xml:space="preserve"> </w:t>
      </w:r>
      <w:r w:rsidRPr="004E328C">
        <w:t>For the definition of “house</w:t>
      </w:r>
      <w:r w:rsidR="003E3446">
        <w:t xml:space="preserve"> in multiple occupation</w:t>
      </w:r>
      <w:r w:rsidRPr="004E328C">
        <w:t>” see section</w:t>
      </w:r>
      <w:r w:rsidR="003E3446">
        <w:t xml:space="preserve"> 254 of the Housing</w:t>
      </w:r>
      <w:r w:rsidRPr="004E328C">
        <w:t xml:space="preserve"> Act</w:t>
      </w:r>
      <w:r w:rsidR="003E3446">
        <w:t xml:space="preserve">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6732"/>
    <w:multiLevelType w:val="hybridMultilevel"/>
    <w:tmpl w:val="03ECC24E"/>
    <w:lvl w:ilvl="0" w:tplc="9CD2AFE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E7C74"/>
    <w:multiLevelType w:val="hybridMultilevel"/>
    <w:tmpl w:val="8D86F766"/>
    <w:lvl w:ilvl="0" w:tplc="9CD2AFE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7C13F7"/>
    <w:multiLevelType w:val="hybridMultilevel"/>
    <w:tmpl w:val="03ECC24E"/>
    <w:lvl w:ilvl="0" w:tplc="9CD2AFE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C527CB"/>
    <w:multiLevelType w:val="hybridMultilevel"/>
    <w:tmpl w:val="83FE2F34"/>
    <w:lvl w:ilvl="0" w:tplc="160044EC">
      <w:start w:val="1"/>
      <w:numFmt w:val="lowerLetter"/>
      <w:lvlText w:val="%1)"/>
      <w:lvlJc w:val="left"/>
      <w:pPr>
        <w:ind w:left="78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ED310B"/>
    <w:multiLevelType w:val="hybridMultilevel"/>
    <w:tmpl w:val="72E074C8"/>
    <w:lvl w:ilvl="0" w:tplc="DB54A9D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64B23FE0"/>
    <w:multiLevelType w:val="hybridMultilevel"/>
    <w:tmpl w:val="58066D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F1D743C"/>
    <w:multiLevelType w:val="hybridMultilevel"/>
    <w:tmpl w:val="E77AD5C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EAA0534"/>
    <w:multiLevelType w:val="hybridMultilevel"/>
    <w:tmpl w:val="9B48C18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FE82E71"/>
    <w:multiLevelType w:val="hybridMultilevel"/>
    <w:tmpl w:val="03ECC24E"/>
    <w:lvl w:ilvl="0" w:tplc="9CD2AFE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4453681">
    <w:abstractNumId w:val="2"/>
  </w:num>
  <w:num w:numId="2" w16cid:durableId="322898768">
    <w:abstractNumId w:val="3"/>
  </w:num>
  <w:num w:numId="3" w16cid:durableId="1679888058">
    <w:abstractNumId w:val="0"/>
  </w:num>
  <w:num w:numId="4" w16cid:durableId="1724717474">
    <w:abstractNumId w:val="1"/>
  </w:num>
  <w:num w:numId="5" w16cid:durableId="483426259">
    <w:abstractNumId w:val="8"/>
  </w:num>
  <w:num w:numId="6" w16cid:durableId="1135678099">
    <w:abstractNumId w:val="4"/>
  </w:num>
  <w:num w:numId="7" w16cid:durableId="1226257753">
    <w:abstractNumId w:val="7"/>
  </w:num>
  <w:num w:numId="8" w16cid:durableId="1424036034">
    <w:abstractNumId w:val="5"/>
  </w:num>
  <w:num w:numId="9" w16cid:durableId="9337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D4"/>
    <w:rsid w:val="00005691"/>
    <w:rsid w:val="00034975"/>
    <w:rsid w:val="000367CF"/>
    <w:rsid w:val="00067213"/>
    <w:rsid w:val="001017DF"/>
    <w:rsid w:val="00140DE9"/>
    <w:rsid w:val="00143C04"/>
    <w:rsid w:val="001474F5"/>
    <w:rsid w:val="00164C81"/>
    <w:rsid w:val="001E2823"/>
    <w:rsid w:val="002372E0"/>
    <w:rsid w:val="0024669B"/>
    <w:rsid w:val="002862B8"/>
    <w:rsid w:val="0031662F"/>
    <w:rsid w:val="00322522"/>
    <w:rsid w:val="0037618E"/>
    <w:rsid w:val="00392C00"/>
    <w:rsid w:val="003E3446"/>
    <w:rsid w:val="00421634"/>
    <w:rsid w:val="00481D2E"/>
    <w:rsid w:val="0049288F"/>
    <w:rsid w:val="004B714D"/>
    <w:rsid w:val="004D49E5"/>
    <w:rsid w:val="004E328C"/>
    <w:rsid w:val="0050059F"/>
    <w:rsid w:val="0053710A"/>
    <w:rsid w:val="00561F4B"/>
    <w:rsid w:val="0056217A"/>
    <w:rsid w:val="00590EF3"/>
    <w:rsid w:val="005B0D6B"/>
    <w:rsid w:val="005E46D8"/>
    <w:rsid w:val="006E4BD4"/>
    <w:rsid w:val="006E5C8D"/>
    <w:rsid w:val="00703D4C"/>
    <w:rsid w:val="007069CB"/>
    <w:rsid w:val="0072668C"/>
    <w:rsid w:val="0073328B"/>
    <w:rsid w:val="007406DB"/>
    <w:rsid w:val="007865A8"/>
    <w:rsid w:val="007E0634"/>
    <w:rsid w:val="007E4EEF"/>
    <w:rsid w:val="00820757"/>
    <w:rsid w:val="00851DA9"/>
    <w:rsid w:val="00855FD2"/>
    <w:rsid w:val="008649CC"/>
    <w:rsid w:val="008862C1"/>
    <w:rsid w:val="008A752D"/>
    <w:rsid w:val="00954982"/>
    <w:rsid w:val="009F5AF9"/>
    <w:rsid w:val="00A1098C"/>
    <w:rsid w:val="00A34E6E"/>
    <w:rsid w:val="00A45FCE"/>
    <w:rsid w:val="00A73226"/>
    <w:rsid w:val="00A864D7"/>
    <w:rsid w:val="00AB17E6"/>
    <w:rsid w:val="00AD115C"/>
    <w:rsid w:val="00B044E4"/>
    <w:rsid w:val="00B2350E"/>
    <w:rsid w:val="00B405BD"/>
    <w:rsid w:val="00B43897"/>
    <w:rsid w:val="00B62488"/>
    <w:rsid w:val="00B708F1"/>
    <w:rsid w:val="00B72D7A"/>
    <w:rsid w:val="00B77B0B"/>
    <w:rsid w:val="00BD4547"/>
    <w:rsid w:val="00BF5B38"/>
    <w:rsid w:val="00C05356"/>
    <w:rsid w:val="00C55258"/>
    <w:rsid w:val="00C74C02"/>
    <w:rsid w:val="00CA7600"/>
    <w:rsid w:val="00CC34AE"/>
    <w:rsid w:val="00CD474C"/>
    <w:rsid w:val="00CE7C5C"/>
    <w:rsid w:val="00D43916"/>
    <w:rsid w:val="00D4497D"/>
    <w:rsid w:val="00D75740"/>
    <w:rsid w:val="00D97445"/>
    <w:rsid w:val="00DF53F7"/>
    <w:rsid w:val="00E147F5"/>
    <w:rsid w:val="00E3183E"/>
    <w:rsid w:val="00EA7F07"/>
    <w:rsid w:val="00EC67E0"/>
    <w:rsid w:val="00ED67DF"/>
    <w:rsid w:val="00F01849"/>
    <w:rsid w:val="00F30325"/>
    <w:rsid w:val="00F33F42"/>
    <w:rsid w:val="00F45E75"/>
    <w:rsid w:val="00F6056C"/>
    <w:rsid w:val="00F716B8"/>
    <w:rsid w:val="00FD4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CE7BF"/>
  <w15:docId w15:val="{8F928EA3-CD02-4587-BDDA-A0F68A89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73328B"/>
    <w:pPr>
      <w:keepNext/>
      <w:keepLines/>
      <w:spacing w:before="24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BD4"/>
    <w:pPr>
      <w:ind w:left="720"/>
      <w:contextualSpacing/>
    </w:pPr>
  </w:style>
  <w:style w:type="character" w:styleId="Hyperlink">
    <w:name w:val="Hyperlink"/>
    <w:basedOn w:val="DefaultParagraphFont"/>
    <w:rsid w:val="00B62488"/>
    <w:rPr>
      <w:color w:val="0000FF" w:themeColor="hyperlink"/>
      <w:u w:val="single"/>
    </w:rPr>
  </w:style>
  <w:style w:type="paragraph" w:styleId="BalloonText">
    <w:name w:val="Balloon Text"/>
    <w:basedOn w:val="Normal"/>
    <w:link w:val="BalloonTextChar"/>
    <w:rsid w:val="004B714D"/>
    <w:rPr>
      <w:rFonts w:ascii="Tahoma" w:hAnsi="Tahoma" w:cs="Tahoma"/>
      <w:sz w:val="16"/>
      <w:szCs w:val="16"/>
    </w:rPr>
  </w:style>
  <w:style w:type="character" w:customStyle="1" w:styleId="BalloonTextChar">
    <w:name w:val="Balloon Text Char"/>
    <w:basedOn w:val="DefaultParagraphFont"/>
    <w:link w:val="BalloonText"/>
    <w:rsid w:val="004B714D"/>
    <w:rPr>
      <w:rFonts w:ascii="Tahoma" w:hAnsi="Tahoma" w:cs="Tahoma"/>
      <w:sz w:val="16"/>
      <w:szCs w:val="16"/>
    </w:rPr>
  </w:style>
  <w:style w:type="paragraph" w:styleId="FootnoteText">
    <w:name w:val="footnote text"/>
    <w:basedOn w:val="Normal"/>
    <w:link w:val="FootnoteTextChar"/>
    <w:rsid w:val="004E328C"/>
    <w:rPr>
      <w:sz w:val="20"/>
      <w:szCs w:val="20"/>
    </w:rPr>
  </w:style>
  <w:style w:type="character" w:customStyle="1" w:styleId="FootnoteTextChar">
    <w:name w:val="Footnote Text Char"/>
    <w:basedOn w:val="DefaultParagraphFont"/>
    <w:link w:val="FootnoteText"/>
    <w:rsid w:val="004E328C"/>
    <w:rPr>
      <w:rFonts w:ascii="Arial" w:hAnsi="Arial"/>
    </w:rPr>
  </w:style>
  <w:style w:type="character" w:styleId="FootnoteReference">
    <w:name w:val="footnote reference"/>
    <w:basedOn w:val="DefaultParagraphFont"/>
    <w:rsid w:val="004E328C"/>
    <w:rPr>
      <w:vertAlign w:val="superscript"/>
    </w:rPr>
  </w:style>
  <w:style w:type="character" w:styleId="UnresolvedMention">
    <w:name w:val="Unresolved Mention"/>
    <w:basedOn w:val="DefaultParagraphFont"/>
    <w:uiPriority w:val="99"/>
    <w:semiHidden/>
    <w:unhideWhenUsed/>
    <w:rsid w:val="004D49E5"/>
    <w:rPr>
      <w:color w:val="605E5C"/>
      <w:shd w:val="clear" w:color="auto" w:fill="E1DFDD"/>
    </w:rPr>
  </w:style>
  <w:style w:type="paragraph" w:styleId="Revision">
    <w:name w:val="Revision"/>
    <w:hidden/>
    <w:uiPriority w:val="99"/>
    <w:semiHidden/>
    <w:rsid w:val="0049288F"/>
    <w:rPr>
      <w:rFonts w:ascii="Arial" w:hAnsi="Arial"/>
      <w:sz w:val="24"/>
      <w:szCs w:val="24"/>
    </w:rPr>
  </w:style>
  <w:style w:type="paragraph" w:styleId="Title">
    <w:name w:val="Title"/>
    <w:basedOn w:val="Normal"/>
    <w:next w:val="Normal"/>
    <w:link w:val="TitleChar"/>
    <w:qFormat/>
    <w:rsid w:val="007332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332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73328B"/>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werhamlets.gov.uk" TargetMode="External"/><Relationship Id="rId5" Type="http://schemas.openxmlformats.org/officeDocument/2006/relationships/webSettings" Target="webSettings.xml"/><Relationship Id="rId10" Type="http://schemas.openxmlformats.org/officeDocument/2006/relationships/hyperlink" Target="mailto:housinglicensing@towerhamlets.gov.uk" TargetMode="External"/><Relationship Id="rId4" Type="http://schemas.openxmlformats.org/officeDocument/2006/relationships/settings" Target="settings.xml"/><Relationship Id="rId9" Type="http://schemas.openxmlformats.org/officeDocument/2006/relationships/image" Target="cid:image001.png@01D9F2B5.60B223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E422-FD05-492C-BFEF-FBC17E29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873</Words>
  <Characters>4449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Tolley</dc:creator>
  <cp:lastModifiedBy>Daynia Townsend</cp:lastModifiedBy>
  <cp:revision>2</cp:revision>
  <cp:lastPrinted>2018-10-19T08:11:00Z</cp:lastPrinted>
  <dcterms:created xsi:type="dcterms:W3CDTF">2023-10-27T09:50:00Z</dcterms:created>
  <dcterms:modified xsi:type="dcterms:W3CDTF">2023-10-27T09:50:00Z</dcterms:modified>
</cp:coreProperties>
</file>