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BC1FFC8">
            <wp:simplePos x="0" y="0"/>
            <wp:positionH relativeFrom="page">
              <wp:align>right</wp:align>
            </wp:positionH>
            <wp:positionV relativeFrom="paragraph">
              <wp:posOffset>-963543</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092930D2" w14:textId="77777777" w:rsidR="00D52438" w:rsidRDefault="00D52438" w:rsidP="00DC0AA1">
      <w:pPr>
        <w:pStyle w:val="Title"/>
      </w:pPr>
    </w:p>
    <w:p w14:paraId="74B464F9" w14:textId="77777777" w:rsidR="00DC0AA1" w:rsidRPr="00BD0219" w:rsidRDefault="00DC0AA1" w:rsidP="00DC0AA1">
      <w:pPr>
        <w:pStyle w:val="Title"/>
      </w:pPr>
      <w:r>
        <w:t>London Borough of Tower Hamlets</w:t>
      </w:r>
    </w:p>
    <w:p w14:paraId="47929706" w14:textId="77777777" w:rsidR="00DC0AA1" w:rsidRPr="00552F80" w:rsidRDefault="00DC0AA1" w:rsidP="00DC0AA1"/>
    <w:p w14:paraId="2A7E29BD" w14:textId="31CBAF3A" w:rsidR="00B93946" w:rsidRDefault="0055326C" w:rsidP="009C2383">
      <w:pPr>
        <w:pStyle w:val="DocTitle"/>
      </w:pPr>
      <w:r>
        <w:t>Electrical Safety</w:t>
      </w:r>
      <w:r w:rsidR="004F1EEF">
        <w:t xml:space="preserve"> Policy</w:t>
      </w:r>
    </w:p>
    <w:p w14:paraId="0ABB0726" w14:textId="77777777" w:rsidR="0055326C" w:rsidRDefault="0055326C" w:rsidP="009C2383">
      <w:pPr>
        <w:pStyle w:val="DocTitle"/>
      </w:pPr>
    </w:p>
    <w:tbl>
      <w:tblPr>
        <w:tblStyle w:val="TableGrid"/>
        <w:tblW w:w="0" w:type="auto"/>
        <w:tblLook w:val="04A0" w:firstRow="1" w:lastRow="0" w:firstColumn="1" w:lastColumn="0" w:noHBand="0" w:noVBand="1"/>
      </w:tblPr>
      <w:tblGrid>
        <w:gridCol w:w="8296"/>
      </w:tblGrid>
      <w:tr w:rsidR="00DC0AA1" w:rsidRPr="00FB7D3F" w14:paraId="32D5C7DC" w14:textId="77777777" w:rsidTr="00B65CD1">
        <w:tc>
          <w:tcPr>
            <w:tcW w:w="8296" w:type="dxa"/>
          </w:tcPr>
          <w:p w14:paraId="05FEDFE4" w14:textId="71FD50BB" w:rsidR="00DC0AA1" w:rsidRPr="00FE574E" w:rsidRDefault="0032442E" w:rsidP="00B65CD1">
            <w:bookmarkStart w:id="0" w:name="_Hlk103025915"/>
            <w:r>
              <w:t xml:space="preserve">Policy </w:t>
            </w:r>
          </w:p>
          <w:p w14:paraId="1DDFEEB8" w14:textId="77777777" w:rsidR="00DC0AA1" w:rsidRPr="00EC2D1B" w:rsidRDefault="00DC0AA1" w:rsidP="00B65CD1"/>
        </w:tc>
      </w:tr>
      <w:tr w:rsidR="00DC0AA1" w:rsidRPr="00FB7D3F" w14:paraId="5AF8386D" w14:textId="77777777" w:rsidTr="00B65CD1">
        <w:tc>
          <w:tcPr>
            <w:tcW w:w="8296" w:type="dxa"/>
          </w:tcPr>
          <w:p w14:paraId="7D37A66A" w14:textId="2D78FD26" w:rsidR="00DC0AA1" w:rsidRPr="00AF7D67" w:rsidRDefault="00AF7D67" w:rsidP="00375B7F">
            <w:pPr>
              <w:rPr>
                <w:rFonts w:cs="Arial"/>
                <w:color w:val="000000"/>
                <w:shd w:val="clear" w:color="auto" w:fill="FFFFFF"/>
              </w:rPr>
            </w:pPr>
            <w:r>
              <w:rPr>
                <w:rStyle w:val="normaltextrun"/>
                <w:rFonts w:cs="Arial"/>
                <w:color w:val="000000"/>
                <w:shd w:val="clear" w:color="auto" w:fill="FFFFFF"/>
              </w:rPr>
              <w:t>This policy provides the framework for our staff and partners to operate within</w:t>
            </w:r>
            <w:r w:rsidR="00375B7F">
              <w:rPr>
                <w:rStyle w:val="normaltextrun"/>
                <w:rFonts w:cs="Arial"/>
                <w:color w:val="000000"/>
                <w:shd w:val="clear" w:color="auto" w:fill="FFFFFF"/>
              </w:rPr>
              <w:t xml:space="preserve"> to ensure</w:t>
            </w:r>
            <w:r>
              <w:rPr>
                <w:rStyle w:val="normaltextrun"/>
                <w:rFonts w:cs="Arial"/>
                <w:color w:val="000000"/>
                <w:shd w:val="clear" w:color="auto" w:fill="FFFFFF"/>
              </w:rPr>
              <w:t xml:space="preserve"> we meet our legal and regulatory electrical safety obligations.</w:t>
            </w:r>
            <w:r>
              <w:rPr>
                <w:rStyle w:val="eop"/>
                <w:rFonts w:cs="Arial"/>
                <w:color w:val="000000"/>
                <w:shd w:val="clear" w:color="auto" w:fill="FFFFFF"/>
              </w:rPr>
              <w:t> </w:t>
            </w:r>
          </w:p>
        </w:tc>
      </w:tr>
      <w:tr w:rsidR="00485688" w:rsidRPr="00FB7D3F" w14:paraId="615777F8" w14:textId="77777777" w:rsidTr="0082135B">
        <w:trPr>
          <w:trHeight w:val="567"/>
        </w:trPr>
        <w:tc>
          <w:tcPr>
            <w:tcW w:w="8296" w:type="dxa"/>
            <w:shd w:val="clear" w:color="auto" w:fill="D9D9D9" w:themeFill="background1" w:themeFillShade="D9"/>
          </w:tcPr>
          <w:p w14:paraId="42CD8441" w14:textId="14B0F0B4" w:rsidR="00485688" w:rsidRPr="00FE574E" w:rsidRDefault="00485688" w:rsidP="00485688">
            <w:pPr>
              <w:pStyle w:val="BoldNormal"/>
            </w:pPr>
            <w:r>
              <w:t xml:space="preserve">Date edited: </w:t>
            </w:r>
            <w:r w:rsidR="00375B7F">
              <w:t>07/04/25</w:t>
            </w:r>
          </w:p>
        </w:tc>
      </w:tr>
      <w:tr w:rsidR="00485688" w:rsidRPr="00FB7D3F" w14:paraId="509CFE2E" w14:textId="77777777" w:rsidTr="00A17602">
        <w:trPr>
          <w:trHeight w:val="567"/>
        </w:trPr>
        <w:tc>
          <w:tcPr>
            <w:tcW w:w="8296" w:type="dxa"/>
            <w:shd w:val="clear" w:color="auto" w:fill="D9D9D9" w:themeFill="background1" w:themeFillShade="D9"/>
          </w:tcPr>
          <w:p w14:paraId="3A39A5DE" w14:textId="41B53048" w:rsidR="00485688" w:rsidRDefault="00485688" w:rsidP="00485688">
            <w:pPr>
              <w:pStyle w:val="BoldNormal"/>
            </w:pPr>
            <w:r>
              <w:t xml:space="preserve">Author: </w:t>
            </w:r>
            <w:r w:rsidR="00375B7F">
              <w:t>Darren Cruice</w:t>
            </w:r>
            <w:r w:rsidR="00122C8F">
              <w:t xml:space="preserve"> – Head of Asset Management</w:t>
            </w:r>
          </w:p>
        </w:tc>
      </w:tr>
      <w:tr w:rsidR="00485688" w:rsidRPr="00FB7D3F" w14:paraId="45D2B857" w14:textId="77777777" w:rsidTr="000A3164">
        <w:trPr>
          <w:trHeight w:val="567"/>
        </w:trPr>
        <w:tc>
          <w:tcPr>
            <w:tcW w:w="8296" w:type="dxa"/>
            <w:shd w:val="clear" w:color="auto" w:fill="D9D9D9" w:themeFill="background1" w:themeFillShade="D9"/>
          </w:tcPr>
          <w:p w14:paraId="0CC6E884" w14:textId="267DC09C" w:rsidR="00485688" w:rsidRDefault="00485688" w:rsidP="00485688">
            <w:pPr>
              <w:pStyle w:val="BoldNormal"/>
            </w:pPr>
            <w:r>
              <w:t xml:space="preserve">Owner: </w:t>
            </w:r>
            <w:r w:rsidR="00375B7F">
              <w:t>Darren Cruise</w:t>
            </w:r>
            <w:r w:rsidR="00122C8F">
              <w:t xml:space="preserve"> – Head of Asset Management</w:t>
            </w:r>
          </w:p>
        </w:tc>
      </w:tr>
      <w:tr w:rsidR="00485688" w:rsidRPr="00FB7D3F" w14:paraId="16B3E0BE" w14:textId="77777777" w:rsidTr="00D552AF">
        <w:trPr>
          <w:trHeight w:val="567"/>
        </w:trPr>
        <w:tc>
          <w:tcPr>
            <w:tcW w:w="8296" w:type="dxa"/>
            <w:shd w:val="clear" w:color="auto" w:fill="D9D9D9" w:themeFill="background1" w:themeFillShade="D9"/>
          </w:tcPr>
          <w:p w14:paraId="297F60DE" w14:textId="57BA01E4" w:rsidR="00485688" w:rsidRPr="00FE574E" w:rsidRDefault="00485688" w:rsidP="00485688">
            <w:pPr>
              <w:pStyle w:val="BoldNormal"/>
            </w:pPr>
            <w:r w:rsidRPr="00777D19">
              <w:t>Approved by:</w:t>
            </w:r>
            <w:r>
              <w:t xml:space="preserve"> </w:t>
            </w:r>
            <w:r w:rsidR="0085417F">
              <w:t>Housing Management Cabinet Sub Committee</w:t>
            </w:r>
          </w:p>
        </w:tc>
      </w:tr>
      <w:tr w:rsidR="00485688" w:rsidRPr="00FB7D3F" w14:paraId="135D6043" w14:textId="77777777" w:rsidTr="008F570C">
        <w:trPr>
          <w:trHeight w:val="567"/>
        </w:trPr>
        <w:tc>
          <w:tcPr>
            <w:tcW w:w="8296" w:type="dxa"/>
            <w:shd w:val="clear" w:color="auto" w:fill="D9D9D9" w:themeFill="background1" w:themeFillShade="D9"/>
          </w:tcPr>
          <w:p w14:paraId="66317B8B" w14:textId="3041F855" w:rsidR="00485688" w:rsidRPr="00FE574E" w:rsidRDefault="00485688" w:rsidP="00485688">
            <w:pPr>
              <w:pStyle w:val="BoldNormal"/>
            </w:pPr>
            <w:r w:rsidRPr="00777D19">
              <w:t>Review cycle:</w:t>
            </w:r>
            <w:r>
              <w:t xml:space="preserve"> </w:t>
            </w:r>
            <w:r w:rsidR="00122C8F">
              <w:t xml:space="preserve">3 </w:t>
            </w:r>
            <w:r w:rsidRPr="00777D19">
              <w:t>years</w:t>
            </w:r>
          </w:p>
        </w:tc>
      </w:tr>
      <w:tr w:rsidR="00485688" w:rsidRPr="00FB7D3F" w14:paraId="1E6D7631" w14:textId="77777777" w:rsidTr="00FA0DFE">
        <w:trPr>
          <w:trHeight w:val="567"/>
        </w:trPr>
        <w:tc>
          <w:tcPr>
            <w:tcW w:w="8296" w:type="dxa"/>
            <w:shd w:val="clear" w:color="auto" w:fill="D9D9D9" w:themeFill="background1" w:themeFillShade="D9"/>
          </w:tcPr>
          <w:p w14:paraId="15EF7523" w14:textId="060372BA" w:rsidR="00485688" w:rsidRPr="00FE574E" w:rsidRDefault="00485688" w:rsidP="00485688">
            <w:pPr>
              <w:pStyle w:val="BoldNormal"/>
            </w:pPr>
            <w:r w:rsidRPr="00777D19">
              <w:t>Next review date:</w:t>
            </w:r>
            <w:r>
              <w:t xml:space="preserve"> </w:t>
            </w:r>
            <w:r w:rsidR="00122C8F">
              <w:t>2028</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p w14:paraId="4ADCD42B" w14:textId="77777777" w:rsidR="00DC0AA1" w:rsidRDefault="00DC0AA1" w:rsidP="00DC0AA1"/>
    <w:p w14:paraId="14C464D1" w14:textId="77777777" w:rsidR="00DC0AA1" w:rsidRDefault="00DC0AA1" w:rsidP="00DC0AA1">
      <w:pPr>
        <w:pStyle w:val="BoldNormal"/>
      </w:pPr>
      <w:r w:rsidRPr="00536639">
        <w:t>Regulatory Standards, Legislation and Codes of practice</w:t>
      </w:r>
    </w:p>
    <w:tbl>
      <w:tblPr>
        <w:tblStyle w:val="Table-SideShade"/>
        <w:tblpPr w:leftFromText="180" w:rightFromText="180" w:vertAnchor="text" w:horzAnchor="margin" w:tblpY="314"/>
        <w:tblW w:w="8784" w:type="dxa"/>
        <w:tblLook w:val="04A0" w:firstRow="1" w:lastRow="0" w:firstColumn="1" w:lastColumn="0" w:noHBand="0" w:noVBand="1"/>
      </w:tblPr>
      <w:tblGrid>
        <w:gridCol w:w="2978"/>
        <w:gridCol w:w="5806"/>
      </w:tblGrid>
      <w:tr w:rsidR="00DC0AA1" w:rsidRPr="00DE6AD5" w14:paraId="4E4E42B1" w14:textId="77777777" w:rsidTr="007A0E9D">
        <w:trPr>
          <w:trHeight w:val="413"/>
        </w:trPr>
        <w:tc>
          <w:tcPr>
            <w:cnfStyle w:val="001000000000" w:firstRow="0" w:lastRow="0" w:firstColumn="1" w:lastColumn="0" w:oddVBand="0" w:evenVBand="0" w:oddHBand="0" w:evenHBand="0" w:firstRowFirstColumn="0" w:firstRowLastColumn="0" w:lastRowFirstColumn="0" w:lastRowLastColumn="0"/>
            <w:tcW w:w="2978" w:type="dxa"/>
          </w:tcPr>
          <w:p w14:paraId="4D5C6EAE" w14:textId="77777777" w:rsidR="00DC0AA1" w:rsidRPr="00FE574E" w:rsidRDefault="00DC0AA1" w:rsidP="00B65CD1">
            <w:pPr>
              <w:pStyle w:val="BoldNormal"/>
            </w:pPr>
            <w:r w:rsidRPr="00777D19">
              <w:t>Regulator:</w:t>
            </w:r>
          </w:p>
        </w:tc>
        <w:tc>
          <w:tcPr>
            <w:tcW w:w="5806" w:type="dxa"/>
          </w:tcPr>
          <w:p w14:paraId="6FA06737" w14:textId="77777777" w:rsidR="008F4840" w:rsidRPr="00911CE7" w:rsidRDefault="008F4840" w:rsidP="008F4840">
            <w:pPr>
              <w:cnfStyle w:val="000000000000" w:firstRow="0" w:lastRow="0" w:firstColumn="0" w:lastColumn="0" w:oddVBand="0" w:evenVBand="0" w:oddHBand="0" w:evenHBand="0" w:firstRowFirstColumn="0" w:firstRowLastColumn="0" w:lastRowFirstColumn="0" w:lastRowLastColumn="0"/>
            </w:pPr>
            <w:r>
              <w:t>The Regulator of Social Housing's Consumer Standards:</w:t>
            </w:r>
          </w:p>
          <w:p w14:paraId="6E0EF15C" w14:textId="25CA9105" w:rsidR="006C16DD" w:rsidRPr="00777D19" w:rsidRDefault="008F4840" w:rsidP="001041A6">
            <w:pPr>
              <w:pStyle w:val="ListBullet"/>
              <w:cnfStyle w:val="000000000000" w:firstRow="0" w:lastRow="0" w:firstColumn="0" w:lastColumn="0" w:oddVBand="0" w:evenVBand="0" w:oddHBand="0" w:evenHBand="0" w:firstRowFirstColumn="0" w:firstRowLastColumn="0" w:lastRowFirstColumn="0" w:lastRowLastColumn="0"/>
            </w:pPr>
            <w:r>
              <w:t>Safety &amp; Quality Standard</w:t>
            </w:r>
          </w:p>
        </w:tc>
      </w:tr>
      <w:tr w:rsidR="00DC0AA1" w:rsidRPr="00DE6AD5" w14:paraId="783D00AD" w14:textId="77777777" w:rsidTr="007A0E9D">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2B616C46" w14:textId="77777777" w:rsidR="00DC0AA1" w:rsidRPr="00FE574E" w:rsidRDefault="00DC0AA1" w:rsidP="00B65CD1">
            <w:pPr>
              <w:pStyle w:val="BoldNormal"/>
            </w:pPr>
            <w:r w:rsidRPr="00777D19">
              <w:t>Legislation:</w:t>
            </w:r>
          </w:p>
        </w:tc>
        <w:tc>
          <w:tcPr>
            <w:tcW w:w="5806" w:type="dxa"/>
          </w:tcPr>
          <w:p w14:paraId="1992DD06" w14:textId="255FB442" w:rsidR="00417A9D" w:rsidRPr="003E4DC1" w:rsidRDefault="00417A9D" w:rsidP="00417A9D">
            <w:pPr>
              <w:pStyle w:val="ListBullet"/>
              <w:cnfStyle w:val="000000000000" w:firstRow="0" w:lastRow="0" w:firstColumn="0" w:lastColumn="0" w:oddVBand="0" w:evenVBand="0" w:oddHBand="0" w:evenHBand="0" w:firstRowFirstColumn="0" w:firstRowLastColumn="0" w:lastRowFirstColumn="0" w:lastRowLastColumn="0"/>
            </w:pPr>
            <w:r w:rsidRPr="003E4DC1">
              <w:t>Housing Act 2004</w:t>
            </w:r>
          </w:p>
          <w:p w14:paraId="3235F8D6" w14:textId="63930232" w:rsidR="00417A9D" w:rsidRPr="003E4DC1" w:rsidRDefault="00417A9D" w:rsidP="00417A9D">
            <w:pPr>
              <w:pStyle w:val="ListBullet"/>
              <w:cnfStyle w:val="000000000000" w:firstRow="0" w:lastRow="0" w:firstColumn="0" w:lastColumn="0" w:oddVBand="0" w:evenVBand="0" w:oddHBand="0" w:evenHBand="0" w:firstRowFirstColumn="0" w:firstRowLastColumn="0" w:lastRowFirstColumn="0" w:lastRowLastColumn="0"/>
            </w:pPr>
            <w:r w:rsidRPr="003E4DC1">
              <w:t>Landlord and Tenant Act 1985</w:t>
            </w:r>
          </w:p>
          <w:p w14:paraId="5B97F26C" w14:textId="19C8172D" w:rsidR="00417A9D" w:rsidRPr="003E4DC1" w:rsidRDefault="00417A9D" w:rsidP="00417A9D">
            <w:pPr>
              <w:pStyle w:val="ListBullet"/>
              <w:cnfStyle w:val="000000000000" w:firstRow="0" w:lastRow="0" w:firstColumn="0" w:lastColumn="0" w:oddVBand="0" w:evenVBand="0" w:oddHBand="0" w:evenHBand="0" w:firstRowFirstColumn="0" w:firstRowLastColumn="0" w:lastRowFirstColumn="0" w:lastRowLastColumn="0"/>
            </w:pPr>
            <w:r w:rsidRPr="003E4DC1">
              <w:t>Homes (Fitness for Human Habitation) Act 2018</w:t>
            </w:r>
          </w:p>
          <w:p w14:paraId="6F3BFA6A" w14:textId="2C2DD91D" w:rsidR="00417A9D" w:rsidRPr="003E4DC1" w:rsidRDefault="00417A9D" w:rsidP="00417A9D">
            <w:pPr>
              <w:pStyle w:val="ListBullet"/>
              <w:cnfStyle w:val="000000000000" w:firstRow="0" w:lastRow="0" w:firstColumn="0" w:lastColumn="0" w:oddVBand="0" w:evenVBand="0" w:oddHBand="0" w:evenHBand="0" w:firstRowFirstColumn="0" w:firstRowLastColumn="0" w:lastRowFirstColumn="0" w:lastRowLastColumn="0"/>
            </w:pPr>
            <w:r w:rsidRPr="003E4DC1">
              <w:t>Electricity at Work Regulations 1989</w:t>
            </w:r>
          </w:p>
          <w:p w14:paraId="53838974" w14:textId="1F49CC95" w:rsidR="00DC0AA1" w:rsidRPr="00777D19" w:rsidRDefault="00417A9D" w:rsidP="001041A6">
            <w:pPr>
              <w:pStyle w:val="ListBullet"/>
              <w:cnfStyle w:val="000000000000" w:firstRow="0" w:lastRow="0" w:firstColumn="0" w:lastColumn="0" w:oddVBand="0" w:evenVBand="0" w:oddHBand="0" w:evenHBand="0" w:firstRowFirstColumn="0" w:firstRowLastColumn="0" w:lastRowFirstColumn="0" w:lastRowLastColumn="0"/>
            </w:pPr>
            <w:r w:rsidRPr="003E4DC1">
              <w:t>Electrical Equipment (Safety) Regulations 2016</w:t>
            </w:r>
          </w:p>
        </w:tc>
      </w:tr>
      <w:tr w:rsidR="00DC0AA1" w:rsidRPr="00DE6AD5" w14:paraId="5DD7D76E" w14:textId="77777777" w:rsidTr="007A0E9D">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574FEF5F" w14:textId="77777777" w:rsidR="00DC0AA1" w:rsidRPr="00FE574E" w:rsidRDefault="00DC0AA1" w:rsidP="00B65CD1">
            <w:pPr>
              <w:pStyle w:val="BoldNormal"/>
            </w:pPr>
            <w:r w:rsidRPr="00777D19">
              <w:t>Codes of practice:</w:t>
            </w:r>
          </w:p>
        </w:tc>
        <w:tc>
          <w:tcPr>
            <w:tcW w:w="5806" w:type="dxa"/>
          </w:tcPr>
          <w:p w14:paraId="1B6A485B" w14:textId="29DDC985" w:rsidR="005F2F34" w:rsidRPr="003E4DC1" w:rsidRDefault="005F2F34" w:rsidP="005F2F34">
            <w:pPr>
              <w:pStyle w:val="ListBullet"/>
              <w:cnfStyle w:val="000000000000" w:firstRow="0" w:lastRow="0" w:firstColumn="0" w:lastColumn="0" w:oddVBand="0" w:evenVBand="0" w:oddHBand="0" w:evenHBand="0" w:firstRowFirstColumn="0" w:firstRowLastColumn="0" w:lastRowFirstColumn="0" w:lastRowLastColumn="0"/>
            </w:pPr>
            <w:r w:rsidRPr="003E4DC1">
              <w:t>INDG236 - Maintaining portable electrical equipment in low-risk environments (as amended 2013)</w:t>
            </w:r>
          </w:p>
          <w:p w14:paraId="57669769" w14:textId="3C88C1C4" w:rsidR="005F2F34" w:rsidRPr="003E4DC1" w:rsidRDefault="005F2F34" w:rsidP="005F2F34">
            <w:pPr>
              <w:pStyle w:val="ListBullet"/>
              <w:cnfStyle w:val="000000000000" w:firstRow="0" w:lastRow="0" w:firstColumn="0" w:lastColumn="0" w:oddVBand="0" w:evenVBand="0" w:oddHBand="0" w:evenHBand="0" w:firstRowFirstColumn="0" w:firstRowLastColumn="0" w:lastRowFirstColumn="0" w:lastRowLastColumn="0"/>
            </w:pPr>
            <w:r w:rsidRPr="003E4DC1">
              <w:t>IET Wiring Regulations British Standard 7671:2018 (18th edition)</w:t>
            </w:r>
          </w:p>
          <w:p w14:paraId="15CB7482" w14:textId="657E5CDC" w:rsidR="005F2F34" w:rsidRPr="003E4DC1" w:rsidRDefault="005F2F34" w:rsidP="005F2F34">
            <w:pPr>
              <w:pStyle w:val="ListBullet"/>
              <w:cnfStyle w:val="000000000000" w:firstRow="0" w:lastRow="0" w:firstColumn="0" w:lastColumn="0" w:oddVBand="0" w:evenVBand="0" w:oddHBand="0" w:evenHBand="0" w:firstRowFirstColumn="0" w:firstRowLastColumn="0" w:lastRowFirstColumn="0" w:lastRowLastColumn="0"/>
            </w:pPr>
            <w:r w:rsidRPr="003E4DC1">
              <w:t>Code of Practice for the Management of Electrotechnical Care in Social Housing (Electrical Safety Roundtable) January 2019</w:t>
            </w:r>
          </w:p>
          <w:p w14:paraId="309EF989" w14:textId="391C33E1" w:rsidR="00BC07BB" w:rsidRPr="00777D19" w:rsidRDefault="005F2F34" w:rsidP="001041A6">
            <w:pPr>
              <w:pStyle w:val="ListBullet"/>
              <w:cnfStyle w:val="000000000000" w:firstRow="0" w:lastRow="0" w:firstColumn="0" w:lastColumn="0" w:oddVBand="0" w:evenVBand="0" w:oddHBand="0" w:evenHBand="0" w:firstRowFirstColumn="0" w:firstRowLastColumn="0" w:lastRowFirstColumn="0" w:lastRowLastColumn="0"/>
            </w:pPr>
            <w:r w:rsidRPr="003E4DC1">
              <w:t>The Code of Practice for In-Service Inspection and Testing of Electrical Equipment (IET) 2020 (5th edition).</w:t>
            </w:r>
          </w:p>
        </w:tc>
      </w:tr>
      <w:tr w:rsidR="00DC0AA1" w:rsidRPr="00DE6AD5" w14:paraId="21E9BEE1" w14:textId="77777777" w:rsidTr="007A0E9D">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3C708EEC" w14:textId="77777777" w:rsidR="00DC0AA1" w:rsidRPr="00FE574E" w:rsidRDefault="00DC0AA1" w:rsidP="00B65CD1">
            <w:pPr>
              <w:pStyle w:val="BoldNormal"/>
            </w:pPr>
            <w:r w:rsidRPr="00777D19">
              <w:t>The policy also operates in the context of:</w:t>
            </w:r>
          </w:p>
        </w:tc>
        <w:tc>
          <w:tcPr>
            <w:tcW w:w="5806" w:type="dxa"/>
          </w:tcPr>
          <w:p w14:paraId="5C05003D"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The Defective Premises Act 1972</w:t>
            </w:r>
          </w:p>
          <w:p w14:paraId="46E700B2"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Health and Safety at Work Act 1974</w:t>
            </w:r>
          </w:p>
          <w:p w14:paraId="27129305"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The Occupiers’ Liability Act 1984</w:t>
            </w:r>
          </w:p>
          <w:p w14:paraId="0E9EDEF1"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Workplace (Health Safety and Welfare) Regulations 1992</w:t>
            </w:r>
          </w:p>
          <w:p w14:paraId="7FDB78E5"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Health and Safety (Safety Signs and Signals) Regulations 1996</w:t>
            </w:r>
          </w:p>
          <w:p w14:paraId="21B9F5FC"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Provision and Use of Work Equipment Regulations 1998</w:t>
            </w:r>
          </w:p>
          <w:p w14:paraId="761E83B5"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Management of Health and Safety at Work Regulations 1999</w:t>
            </w:r>
          </w:p>
          <w:p w14:paraId="0BAFBBAE"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Regulatory Reform (Fire Safety) Order 2005</w:t>
            </w:r>
          </w:p>
          <w:p w14:paraId="6FBFBEAD"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Corporate Manslaughter and Homicide Act 2007</w:t>
            </w:r>
          </w:p>
          <w:p w14:paraId="2A02E318"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Building Regulations 2010 (England and Wales) - Part P</w:t>
            </w:r>
          </w:p>
          <w:p w14:paraId="4BCEC717"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Reporting of Injuries, Diseases and Dangerous Occurrences Regulations 2013 (RIDDOR)</w:t>
            </w:r>
          </w:p>
          <w:p w14:paraId="56B8A01C"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Construction, Design and Management Regulations 2015</w:t>
            </w:r>
          </w:p>
          <w:p w14:paraId="03E33B73" w14:textId="77777777" w:rsidR="001041A6" w:rsidRPr="003E4DC1"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Data Protection Act 2018</w:t>
            </w:r>
          </w:p>
          <w:p w14:paraId="3F6C661F" w14:textId="77777777" w:rsidR="001041A6" w:rsidRPr="00E2160C" w:rsidRDefault="001041A6" w:rsidP="001041A6">
            <w:pPr>
              <w:pStyle w:val="ListBullet"/>
              <w:cnfStyle w:val="000000000000" w:firstRow="0" w:lastRow="0" w:firstColumn="0" w:lastColumn="0" w:oddVBand="0" w:evenVBand="0" w:oddHBand="0" w:evenHBand="0" w:firstRowFirstColumn="0" w:firstRowLastColumn="0" w:lastRowFirstColumn="0" w:lastRowLastColumn="0"/>
            </w:pPr>
            <w:r w:rsidRPr="003E4DC1">
              <w:t>Smoke and Carbon Monoxide Alarm (Amendment) Regulations 2022</w:t>
            </w:r>
          </w:p>
          <w:p w14:paraId="4527C628" w14:textId="1ECF5349" w:rsidR="00925EC8" w:rsidRPr="00777D19" w:rsidRDefault="00925EC8" w:rsidP="00B65CD1">
            <w:pPr>
              <w:cnfStyle w:val="000000000000" w:firstRow="0" w:lastRow="0" w:firstColumn="0" w:lastColumn="0" w:oddVBand="0" w:evenVBand="0" w:oddHBand="0" w:evenHBand="0" w:firstRowFirstColumn="0" w:firstRowLastColumn="0" w:lastRowFirstColumn="0" w:lastRowLastColumn="0"/>
            </w:pPr>
          </w:p>
        </w:tc>
      </w:tr>
    </w:tbl>
    <w:p w14:paraId="1F4C891E" w14:textId="77777777" w:rsidR="00DC0AA1" w:rsidRDefault="00DC0AA1" w:rsidP="00DC0AA1"/>
    <w:p w14:paraId="4D35FF2E" w14:textId="77777777" w:rsidR="00DC0AA1" w:rsidRDefault="00DC0AA1"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6494A2E0" w14:textId="02A09E18" w:rsidR="008B0457"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20507337" w:history="1">
            <w:r w:rsidR="008B0457" w:rsidRPr="00EF3136">
              <w:rPr>
                <w:rStyle w:val="Hyperlink"/>
              </w:rPr>
              <w:t>1.</w:t>
            </w:r>
            <w:r w:rsidR="008B0457">
              <w:rPr>
                <w:rFonts w:asciiTheme="minorHAnsi" w:eastAsiaTheme="minorEastAsia" w:hAnsiTheme="minorHAnsi" w:cstheme="minorBidi"/>
                <w:color w:val="auto"/>
                <w:kern w:val="2"/>
                <w:szCs w:val="24"/>
                <w:lang w:eastAsia="en-GB"/>
                <w14:ligatures w14:val="standardContextual"/>
              </w:rPr>
              <w:tab/>
            </w:r>
            <w:r w:rsidR="008B0457" w:rsidRPr="00EF3136">
              <w:rPr>
                <w:rStyle w:val="Hyperlink"/>
              </w:rPr>
              <w:t>Introduction and Objectives</w:t>
            </w:r>
            <w:r w:rsidR="008B0457">
              <w:rPr>
                <w:webHidden/>
              </w:rPr>
              <w:tab/>
            </w:r>
            <w:r w:rsidR="008B0457">
              <w:rPr>
                <w:webHidden/>
              </w:rPr>
              <w:fldChar w:fldCharType="begin"/>
            </w:r>
            <w:r w:rsidR="008B0457">
              <w:rPr>
                <w:webHidden/>
              </w:rPr>
              <w:instrText xml:space="preserve"> PAGEREF _Toc220507337 \h </w:instrText>
            </w:r>
            <w:r w:rsidR="008B0457">
              <w:rPr>
                <w:webHidden/>
              </w:rPr>
            </w:r>
            <w:r w:rsidR="008B0457">
              <w:rPr>
                <w:webHidden/>
              </w:rPr>
              <w:fldChar w:fldCharType="separate"/>
            </w:r>
            <w:r w:rsidR="008B0457">
              <w:rPr>
                <w:webHidden/>
              </w:rPr>
              <w:t>4</w:t>
            </w:r>
            <w:r w:rsidR="008B0457">
              <w:rPr>
                <w:webHidden/>
              </w:rPr>
              <w:fldChar w:fldCharType="end"/>
            </w:r>
          </w:hyperlink>
        </w:p>
        <w:p w14:paraId="35395C25" w14:textId="64517F95"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38" w:history="1">
            <w:r w:rsidRPr="00EF3136">
              <w:rPr>
                <w:rStyle w:val="Hyperlink"/>
              </w:rPr>
              <w:t>2.</w:t>
            </w:r>
            <w:r>
              <w:rPr>
                <w:rFonts w:asciiTheme="minorHAnsi" w:eastAsiaTheme="minorEastAsia" w:hAnsiTheme="minorHAnsi" w:cstheme="minorBidi"/>
                <w:color w:val="auto"/>
                <w:kern w:val="2"/>
                <w:szCs w:val="24"/>
                <w:lang w:eastAsia="en-GB"/>
                <w14:ligatures w14:val="standardContextual"/>
              </w:rPr>
              <w:tab/>
            </w:r>
            <w:r w:rsidRPr="00EF3136">
              <w:rPr>
                <w:rStyle w:val="Hyperlink"/>
              </w:rPr>
              <w:t>Scope</w:t>
            </w:r>
            <w:r>
              <w:rPr>
                <w:webHidden/>
              </w:rPr>
              <w:tab/>
            </w:r>
            <w:r>
              <w:rPr>
                <w:webHidden/>
              </w:rPr>
              <w:fldChar w:fldCharType="begin"/>
            </w:r>
            <w:r>
              <w:rPr>
                <w:webHidden/>
              </w:rPr>
              <w:instrText xml:space="preserve"> PAGEREF _Toc220507338 \h </w:instrText>
            </w:r>
            <w:r>
              <w:rPr>
                <w:webHidden/>
              </w:rPr>
            </w:r>
            <w:r>
              <w:rPr>
                <w:webHidden/>
              </w:rPr>
              <w:fldChar w:fldCharType="separate"/>
            </w:r>
            <w:r>
              <w:rPr>
                <w:webHidden/>
              </w:rPr>
              <w:t>4</w:t>
            </w:r>
            <w:r>
              <w:rPr>
                <w:webHidden/>
              </w:rPr>
              <w:fldChar w:fldCharType="end"/>
            </w:r>
          </w:hyperlink>
        </w:p>
        <w:p w14:paraId="7490B913" w14:textId="63E4D809"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39" w:history="1">
            <w:r w:rsidRPr="00EF3136">
              <w:rPr>
                <w:rStyle w:val="Hyperlink"/>
              </w:rPr>
              <w:t>3.</w:t>
            </w:r>
            <w:r>
              <w:rPr>
                <w:rFonts w:asciiTheme="minorHAnsi" w:eastAsiaTheme="minorEastAsia" w:hAnsiTheme="minorHAnsi" w:cstheme="minorBidi"/>
                <w:color w:val="auto"/>
                <w:kern w:val="2"/>
                <w:szCs w:val="24"/>
                <w:lang w:eastAsia="en-GB"/>
                <w14:ligatures w14:val="standardContextual"/>
              </w:rPr>
              <w:tab/>
            </w:r>
            <w:r w:rsidRPr="00EF3136">
              <w:rPr>
                <w:rStyle w:val="Hyperlink"/>
              </w:rPr>
              <w:t>Roles and Responsibilities</w:t>
            </w:r>
            <w:r>
              <w:rPr>
                <w:webHidden/>
              </w:rPr>
              <w:tab/>
            </w:r>
            <w:r>
              <w:rPr>
                <w:webHidden/>
              </w:rPr>
              <w:fldChar w:fldCharType="begin"/>
            </w:r>
            <w:r>
              <w:rPr>
                <w:webHidden/>
              </w:rPr>
              <w:instrText xml:space="preserve"> PAGEREF _Toc220507339 \h </w:instrText>
            </w:r>
            <w:r>
              <w:rPr>
                <w:webHidden/>
              </w:rPr>
            </w:r>
            <w:r>
              <w:rPr>
                <w:webHidden/>
              </w:rPr>
              <w:fldChar w:fldCharType="separate"/>
            </w:r>
            <w:r>
              <w:rPr>
                <w:webHidden/>
              </w:rPr>
              <w:t>4</w:t>
            </w:r>
            <w:r>
              <w:rPr>
                <w:webHidden/>
              </w:rPr>
              <w:fldChar w:fldCharType="end"/>
            </w:r>
          </w:hyperlink>
        </w:p>
        <w:p w14:paraId="6F191299" w14:textId="150DE18E"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40" w:history="1">
            <w:r w:rsidRPr="00EF3136">
              <w:rPr>
                <w:rStyle w:val="Hyperlink"/>
              </w:rPr>
              <w:t>4.</w:t>
            </w:r>
            <w:r>
              <w:rPr>
                <w:rFonts w:asciiTheme="minorHAnsi" w:eastAsiaTheme="minorEastAsia" w:hAnsiTheme="minorHAnsi" w:cstheme="minorBidi"/>
                <w:color w:val="auto"/>
                <w:kern w:val="2"/>
                <w:szCs w:val="24"/>
                <w:lang w:eastAsia="en-GB"/>
                <w14:ligatures w14:val="standardContextual"/>
              </w:rPr>
              <w:tab/>
            </w:r>
            <w:r w:rsidRPr="00EF3136">
              <w:rPr>
                <w:rStyle w:val="Hyperlink"/>
              </w:rPr>
              <w:t>Legislation, Guidance and Regulatory Standards</w:t>
            </w:r>
            <w:r>
              <w:rPr>
                <w:webHidden/>
              </w:rPr>
              <w:tab/>
            </w:r>
            <w:r>
              <w:rPr>
                <w:webHidden/>
              </w:rPr>
              <w:fldChar w:fldCharType="begin"/>
            </w:r>
            <w:r>
              <w:rPr>
                <w:webHidden/>
              </w:rPr>
              <w:instrText xml:space="preserve"> PAGEREF _Toc220507340 \h </w:instrText>
            </w:r>
            <w:r>
              <w:rPr>
                <w:webHidden/>
              </w:rPr>
            </w:r>
            <w:r>
              <w:rPr>
                <w:webHidden/>
              </w:rPr>
              <w:fldChar w:fldCharType="separate"/>
            </w:r>
            <w:r>
              <w:rPr>
                <w:webHidden/>
              </w:rPr>
              <w:t>5</w:t>
            </w:r>
            <w:r>
              <w:rPr>
                <w:webHidden/>
              </w:rPr>
              <w:fldChar w:fldCharType="end"/>
            </w:r>
          </w:hyperlink>
        </w:p>
        <w:p w14:paraId="2FEB6BCC" w14:textId="272D952D" w:rsidR="008B0457" w:rsidRDefault="008B0457">
          <w:pPr>
            <w:pStyle w:val="TOC2"/>
            <w:rPr>
              <w:rFonts w:asciiTheme="minorHAnsi" w:eastAsiaTheme="minorEastAsia" w:hAnsiTheme="minorHAnsi" w:cstheme="minorBidi"/>
              <w:color w:val="auto"/>
              <w:kern w:val="2"/>
              <w:szCs w:val="24"/>
              <w:lang w:eastAsia="en-GB"/>
              <w14:ligatures w14:val="standardContextual"/>
            </w:rPr>
          </w:pPr>
          <w:hyperlink w:anchor="_Toc220507341" w:history="1">
            <w:r w:rsidRPr="00EF3136">
              <w:rPr>
                <w:rStyle w:val="Hyperlink"/>
              </w:rPr>
              <w:t>4.1</w:t>
            </w:r>
            <w:r>
              <w:rPr>
                <w:rFonts w:asciiTheme="minorHAnsi" w:eastAsiaTheme="minorEastAsia" w:hAnsiTheme="minorHAnsi" w:cstheme="minorBidi"/>
                <w:color w:val="auto"/>
                <w:kern w:val="2"/>
                <w:szCs w:val="24"/>
                <w:lang w:eastAsia="en-GB"/>
                <w14:ligatures w14:val="standardContextual"/>
              </w:rPr>
              <w:tab/>
            </w:r>
            <w:r w:rsidRPr="00EF3136">
              <w:rPr>
                <w:rStyle w:val="Hyperlink"/>
              </w:rPr>
              <w:t>Legislation</w:t>
            </w:r>
            <w:r>
              <w:rPr>
                <w:webHidden/>
              </w:rPr>
              <w:tab/>
            </w:r>
            <w:r>
              <w:rPr>
                <w:webHidden/>
              </w:rPr>
              <w:fldChar w:fldCharType="begin"/>
            </w:r>
            <w:r>
              <w:rPr>
                <w:webHidden/>
              </w:rPr>
              <w:instrText xml:space="preserve"> PAGEREF _Toc220507341 \h </w:instrText>
            </w:r>
            <w:r>
              <w:rPr>
                <w:webHidden/>
              </w:rPr>
            </w:r>
            <w:r>
              <w:rPr>
                <w:webHidden/>
              </w:rPr>
              <w:fldChar w:fldCharType="separate"/>
            </w:r>
            <w:r>
              <w:rPr>
                <w:webHidden/>
              </w:rPr>
              <w:t>5</w:t>
            </w:r>
            <w:r>
              <w:rPr>
                <w:webHidden/>
              </w:rPr>
              <w:fldChar w:fldCharType="end"/>
            </w:r>
          </w:hyperlink>
        </w:p>
        <w:p w14:paraId="75934075" w14:textId="6CE98AFD" w:rsidR="008B0457" w:rsidRDefault="008B0457">
          <w:pPr>
            <w:pStyle w:val="TOC2"/>
            <w:rPr>
              <w:rFonts w:asciiTheme="minorHAnsi" w:eastAsiaTheme="minorEastAsia" w:hAnsiTheme="minorHAnsi" w:cstheme="minorBidi"/>
              <w:color w:val="auto"/>
              <w:kern w:val="2"/>
              <w:szCs w:val="24"/>
              <w:lang w:eastAsia="en-GB"/>
              <w14:ligatures w14:val="standardContextual"/>
            </w:rPr>
          </w:pPr>
          <w:hyperlink w:anchor="_Toc220507342" w:history="1">
            <w:r w:rsidRPr="00EF3136">
              <w:rPr>
                <w:rStyle w:val="Hyperlink"/>
              </w:rPr>
              <w:t>4.2</w:t>
            </w:r>
            <w:r>
              <w:rPr>
                <w:rFonts w:asciiTheme="minorHAnsi" w:eastAsiaTheme="minorEastAsia" w:hAnsiTheme="minorHAnsi" w:cstheme="minorBidi"/>
                <w:color w:val="auto"/>
                <w:kern w:val="2"/>
                <w:szCs w:val="24"/>
                <w:lang w:eastAsia="en-GB"/>
                <w14:ligatures w14:val="standardContextual"/>
              </w:rPr>
              <w:tab/>
            </w:r>
            <w:r w:rsidRPr="00EF3136">
              <w:rPr>
                <w:rStyle w:val="Hyperlink"/>
              </w:rPr>
              <w:t>Guidance and codes of practice</w:t>
            </w:r>
            <w:r>
              <w:rPr>
                <w:webHidden/>
              </w:rPr>
              <w:tab/>
            </w:r>
            <w:r>
              <w:rPr>
                <w:webHidden/>
              </w:rPr>
              <w:fldChar w:fldCharType="begin"/>
            </w:r>
            <w:r>
              <w:rPr>
                <w:webHidden/>
              </w:rPr>
              <w:instrText xml:space="preserve"> PAGEREF _Toc220507342 \h </w:instrText>
            </w:r>
            <w:r>
              <w:rPr>
                <w:webHidden/>
              </w:rPr>
            </w:r>
            <w:r>
              <w:rPr>
                <w:webHidden/>
              </w:rPr>
              <w:fldChar w:fldCharType="separate"/>
            </w:r>
            <w:r>
              <w:rPr>
                <w:webHidden/>
              </w:rPr>
              <w:t>5</w:t>
            </w:r>
            <w:r>
              <w:rPr>
                <w:webHidden/>
              </w:rPr>
              <w:fldChar w:fldCharType="end"/>
            </w:r>
          </w:hyperlink>
        </w:p>
        <w:p w14:paraId="2D1CB00E" w14:textId="6DA89C02" w:rsidR="008B0457" w:rsidRDefault="008B0457">
          <w:pPr>
            <w:pStyle w:val="TOC2"/>
            <w:rPr>
              <w:rFonts w:asciiTheme="minorHAnsi" w:eastAsiaTheme="minorEastAsia" w:hAnsiTheme="minorHAnsi" w:cstheme="minorBidi"/>
              <w:color w:val="auto"/>
              <w:kern w:val="2"/>
              <w:szCs w:val="24"/>
              <w:lang w:eastAsia="en-GB"/>
              <w14:ligatures w14:val="standardContextual"/>
            </w:rPr>
          </w:pPr>
          <w:hyperlink w:anchor="_Toc220507343" w:history="1">
            <w:r w:rsidRPr="00EF3136">
              <w:rPr>
                <w:rStyle w:val="Hyperlink"/>
              </w:rPr>
              <w:t>4.3</w:t>
            </w:r>
            <w:r>
              <w:rPr>
                <w:rFonts w:asciiTheme="minorHAnsi" w:eastAsiaTheme="minorEastAsia" w:hAnsiTheme="minorHAnsi" w:cstheme="minorBidi"/>
                <w:color w:val="auto"/>
                <w:kern w:val="2"/>
                <w:szCs w:val="24"/>
                <w:lang w:eastAsia="en-GB"/>
                <w14:ligatures w14:val="standardContextual"/>
              </w:rPr>
              <w:tab/>
            </w:r>
            <w:r w:rsidRPr="00EF3136">
              <w:rPr>
                <w:rStyle w:val="Hyperlink"/>
              </w:rPr>
              <w:t>Regulatory Standards</w:t>
            </w:r>
            <w:r>
              <w:rPr>
                <w:webHidden/>
              </w:rPr>
              <w:tab/>
            </w:r>
            <w:r>
              <w:rPr>
                <w:webHidden/>
              </w:rPr>
              <w:fldChar w:fldCharType="begin"/>
            </w:r>
            <w:r>
              <w:rPr>
                <w:webHidden/>
              </w:rPr>
              <w:instrText xml:space="preserve"> PAGEREF _Toc220507343 \h </w:instrText>
            </w:r>
            <w:r>
              <w:rPr>
                <w:webHidden/>
              </w:rPr>
            </w:r>
            <w:r>
              <w:rPr>
                <w:webHidden/>
              </w:rPr>
              <w:fldChar w:fldCharType="separate"/>
            </w:r>
            <w:r>
              <w:rPr>
                <w:webHidden/>
              </w:rPr>
              <w:t>5</w:t>
            </w:r>
            <w:r>
              <w:rPr>
                <w:webHidden/>
              </w:rPr>
              <w:fldChar w:fldCharType="end"/>
            </w:r>
          </w:hyperlink>
        </w:p>
        <w:p w14:paraId="409AE420" w14:textId="5C5AE824" w:rsidR="008B0457" w:rsidRDefault="008B0457">
          <w:pPr>
            <w:pStyle w:val="TOC2"/>
            <w:rPr>
              <w:rFonts w:asciiTheme="minorHAnsi" w:eastAsiaTheme="minorEastAsia" w:hAnsiTheme="minorHAnsi" w:cstheme="minorBidi"/>
              <w:color w:val="auto"/>
              <w:kern w:val="2"/>
              <w:szCs w:val="24"/>
              <w:lang w:eastAsia="en-GB"/>
              <w14:ligatures w14:val="standardContextual"/>
            </w:rPr>
          </w:pPr>
          <w:hyperlink w:anchor="_Toc220507344" w:history="1">
            <w:r w:rsidRPr="00EF3136">
              <w:rPr>
                <w:rStyle w:val="Hyperlink"/>
              </w:rPr>
              <w:t>4.4</w:t>
            </w:r>
            <w:r>
              <w:rPr>
                <w:rFonts w:asciiTheme="minorHAnsi" w:eastAsiaTheme="minorEastAsia" w:hAnsiTheme="minorHAnsi" w:cstheme="minorBidi"/>
                <w:color w:val="auto"/>
                <w:kern w:val="2"/>
                <w:szCs w:val="24"/>
                <w:lang w:eastAsia="en-GB"/>
                <w14:ligatures w14:val="standardContextual"/>
              </w:rPr>
              <w:tab/>
            </w:r>
            <w:r w:rsidRPr="00EF3136">
              <w:rPr>
                <w:rStyle w:val="Hyperlink"/>
              </w:rPr>
              <w:t>Sanctions</w:t>
            </w:r>
            <w:r>
              <w:rPr>
                <w:webHidden/>
              </w:rPr>
              <w:tab/>
            </w:r>
            <w:r>
              <w:rPr>
                <w:webHidden/>
              </w:rPr>
              <w:fldChar w:fldCharType="begin"/>
            </w:r>
            <w:r>
              <w:rPr>
                <w:webHidden/>
              </w:rPr>
              <w:instrText xml:space="preserve"> PAGEREF _Toc220507344 \h </w:instrText>
            </w:r>
            <w:r>
              <w:rPr>
                <w:webHidden/>
              </w:rPr>
            </w:r>
            <w:r>
              <w:rPr>
                <w:webHidden/>
              </w:rPr>
              <w:fldChar w:fldCharType="separate"/>
            </w:r>
            <w:r>
              <w:rPr>
                <w:webHidden/>
              </w:rPr>
              <w:t>5</w:t>
            </w:r>
            <w:r>
              <w:rPr>
                <w:webHidden/>
              </w:rPr>
              <w:fldChar w:fldCharType="end"/>
            </w:r>
          </w:hyperlink>
        </w:p>
        <w:p w14:paraId="112E6DB4" w14:textId="61251A97"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45" w:history="1">
            <w:r w:rsidRPr="00EF3136">
              <w:rPr>
                <w:rStyle w:val="Hyperlink"/>
              </w:rPr>
              <w:t>5.</w:t>
            </w:r>
            <w:r>
              <w:rPr>
                <w:rFonts w:asciiTheme="minorHAnsi" w:eastAsiaTheme="minorEastAsia" w:hAnsiTheme="minorHAnsi" w:cstheme="minorBidi"/>
                <w:color w:val="auto"/>
                <w:kern w:val="2"/>
                <w:szCs w:val="24"/>
                <w:lang w:eastAsia="en-GB"/>
                <w14:ligatures w14:val="standardContextual"/>
              </w:rPr>
              <w:tab/>
            </w:r>
            <w:r w:rsidRPr="00EF3136">
              <w:rPr>
                <w:rStyle w:val="Hyperlink"/>
              </w:rPr>
              <w:t>Obligations</w:t>
            </w:r>
            <w:r>
              <w:rPr>
                <w:webHidden/>
              </w:rPr>
              <w:tab/>
            </w:r>
            <w:r>
              <w:rPr>
                <w:webHidden/>
              </w:rPr>
              <w:fldChar w:fldCharType="begin"/>
            </w:r>
            <w:r>
              <w:rPr>
                <w:webHidden/>
              </w:rPr>
              <w:instrText xml:space="preserve"> PAGEREF _Toc220507345 \h </w:instrText>
            </w:r>
            <w:r>
              <w:rPr>
                <w:webHidden/>
              </w:rPr>
            </w:r>
            <w:r>
              <w:rPr>
                <w:webHidden/>
              </w:rPr>
              <w:fldChar w:fldCharType="separate"/>
            </w:r>
            <w:r>
              <w:rPr>
                <w:webHidden/>
              </w:rPr>
              <w:t>5</w:t>
            </w:r>
            <w:r>
              <w:rPr>
                <w:webHidden/>
              </w:rPr>
              <w:fldChar w:fldCharType="end"/>
            </w:r>
          </w:hyperlink>
        </w:p>
        <w:p w14:paraId="3D335035" w14:textId="4D8562CC"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46" w:history="1">
            <w:r w:rsidRPr="00EF3136">
              <w:rPr>
                <w:rStyle w:val="Hyperlink"/>
              </w:rPr>
              <w:t>6.</w:t>
            </w:r>
            <w:r>
              <w:rPr>
                <w:rFonts w:asciiTheme="minorHAnsi" w:eastAsiaTheme="minorEastAsia" w:hAnsiTheme="minorHAnsi" w:cstheme="minorBidi"/>
                <w:color w:val="auto"/>
                <w:kern w:val="2"/>
                <w:szCs w:val="24"/>
                <w:lang w:eastAsia="en-GB"/>
                <w14:ligatures w14:val="standardContextual"/>
              </w:rPr>
              <w:tab/>
            </w:r>
            <w:r w:rsidRPr="00EF3136">
              <w:rPr>
                <w:rStyle w:val="Hyperlink"/>
              </w:rPr>
              <w:t>Statement of Intent</w:t>
            </w:r>
            <w:r>
              <w:rPr>
                <w:webHidden/>
              </w:rPr>
              <w:tab/>
            </w:r>
            <w:r>
              <w:rPr>
                <w:webHidden/>
              </w:rPr>
              <w:fldChar w:fldCharType="begin"/>
            </w:r>
            <w:r>
              <w:rPr>
                <w:webHidden/>
              </w:rPr>
              <w:instrText xml:space="preserve"> PAGEREF _Toc220507346 \h </w:instrText>
            </w:r>
            <w:r>
              <w:rPr>
                <w:webHidden/>
              </w:rPr>
            </w:r>
            <w:r>
              <w:rPr>
                <w:webHidden/>
              </w:rPr>
              <w:fldChar w:fldCharType="separate"/>
            </w:r>
            <w:r>
              <w:rPr>
                <w:webHidden/>
              </w:rPr>
              <w:t>6</w:t>
            </w:r>
            <w:r>
              <w:rPr>
                <w:webHidden/>
              </w:rPr>
              <w:fldChar w:fldCharType="end"/>
            </w:r>
          </w:hyperlink>
        </w:p>
        <w:p w14:paraId="7498D578" w14:textId="6370EFFA"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47" w:history="1">
            <w:r w:rsidRPr="00EF3136">
              <w:rPr>
                <w:rStyle w:val="Hyperlink"/>
              </w:rPr>
              <w:t>7.</w:t>
            </w:r>
            <w:r>
              <w:rPr>
                <w:rFonts w:asciiTheme="minorHAnsi" w:eastAsiaTheme="minorEastAsia" w:hAnsiTheme="minorHAnsi" w:cstheme="minorBidi"/>
                <w:color w:val="auto"/>
                <w:kern w:val="2"/>
                <w:szCs w:val="24"/>
                <w:lang w:eastAsia="en-GB"/>
                <w14:ligatures w14:val="standardContextual"/>
              </w:rPr>
              <w:tab/>
            </w:r>
            <w:r w:rsidRPr="00EF3136">
              <w:rPr>
                <w:rStyle w:val="Hyperlink"/>
              </w:rPr>
              <w:t>Programmes</w:t>
            </w:r>
            <w:r>
              <w:rPr>
                <w:webHidden/>
              </w:rPr>
              <w:tab/>
            </w:r>
            <w:r>
              <w:rPr>
                <w:webHidden/>
              </w:rPr>
              <w:fldChar w:fldCharType="begin"/>
            </w:r>
            <w:r>
              <w:rPr>
                <w:webHidden/>
              </w:rPr>
              <w:instrText xml:space="preserve"> PAGEREF _Toc220507347 \h </w:instrText>
            </w:r>
            <w:r>
              <w:rPr>
                <w:webHidden/>
              </w:rPr>
            </w:r>
            <w:r>
              <w:rPr>
                <w:webHidden/>
              </w:rPr>
              <w:fldChar w:fldCharType="separate"/>
            </w:r>
            <w:r>
              <w:rPr>
                <w:webHidden/>
              </w:rPr>
              <w:t>7</w:t>
            </w:r>
            <w:r>
              <w:rPr>
                <w:webHidden/>
              </w:rPr>
              <w:fldChar w:fldCharType="end"/>
            </w:r>
          </w:hyperlink>
        </w:p>
        <w:p w14:paraId="26426318" w14:textId="3EBE5EC4" w:rsidR="008B0457" w:rsidRDefault="008B0457">
          <w:pPr>
            <w:pStyle w:val="TOC2"/>
            <w:rPr>
              <w:rFonts w:asciiTheme="minorHAnsi" w:eastAsiaTheme="minorEastAsia" w:hAnsiTheme="minorHAnsi" w:cstheme="minorBidi"/>
              <w:color w:val="auto"/>
              <w:kern w:val="2"/>
              <w:szCs w:val="24"/>
              <w:lang w:eastAsia="en-GB"/>
              <w14:ligatures w14:val="standardContextual"/>
            </w:rPr>
          </w:pPr>
          <w:hyperlink w:anchor="_Toc220507348" w:history="1">
            <w:r w:rsidRPr="00EF3136">
              <w:rPr>
                <w:rStyle w:val="Hyperlink"/>
              </w:rPr>
              <w:t>7.1</w:t>
            </w:r>
            <w:r>
              <w:rPr>
                <w:rFonts w:asciiTheme="minorHAnsi" w:eastAsiaTheme="minorEastAsia" w:hAnsiTheme="minorHAnsi" w:cstheme="minorBidi"/>
                <w:color w:val="auto"/>
                <w:kern w:val="2"/>
                <w:szCs w:val="24"/>
                <w:lang w:eastAsia="en-GB"/>
                <w14:ligatures w14:val="standardContextual"/>
              </w:rPr>
              <w:tab/>
            </w:r>
            <w:r w:rsidRPr="00EF3136">
              <w:rPr>
                <w:rStyle w:val="Hyperlink"/>
              </w:rPr>
              <w:t>New builds and rewires</w:t>
            </w:r>
            <w:r>
              <w:rPr>
                <w:webHidden/>
              </w:rPr>
              <w:tab/>
            </w:r>
            <w:r>
              <w:rPr>
                <w:webHidden/>
              </w:rPr>
              <w:fldChar w:fldCharType="begin"/>
            </w:r>
            <w:r>
              <w:rPr>
                <w:webHidden/>
              </w:rPr>
              <w:instrText xml:space="preserve"> PAGEREF _Toc220507348 \h </w:instrText>
            </w:r>
            <w:r>
              <w:rPr>
                <w:webHidden/>
              </w:rPr>
            </w:r>
            <w:r>
              <w:rPr>
                <w:webHidden/>
              </w:rPr>
              <w:fldChar w:fldCharType="separate"/>
            </w:r>
            <w:r>
              <w:rPr>
                <w:webHidden/>
              </w:rPr>
              <w:t>7</w:t>
            </w:r>
            <w:r>
              <w:rPr>
                <w:webHidden/>
              </w:rPr>
              <w:fldChar w:fldCharType="end"/>
            </w:r>
          </w:hyperlink>
        </w:p>
        <w:p w14:paraId="5BE044FE" w14:textId="2F207603" w:rsidR="008B0457" w:rsidRDefault="008B0457">
          <w:pPr>
            <w:pStyle w:val="TOC2"/>
            <w:rPr>
              <w:rFonts w:asciiTheme="minorHAnsi" w:eastAsiaTheme="minorEastAsia" w:hAnsiTheme="minorHAnsi" w:cstheme="minorBidi"/>
              <w:color w:val="auto"/>
              <w:kern w:val="2"/>
              <w:szCs w:val="24"/>
              <w:lang w:eastAsia="en-GB"/>
              <w14:ligatures w14:val="standardContextual"/>
            </w:rPr>
          </w:pPr>
          <w:hyperlink w:anchor="_Toc220507349" w:history="1">
            <w:r w:rsidRPr="00EF3136">
              <w:rPr>
                <w:rStyle w:val="Hyperlink"/>
              </w:rPr>
              <w:t>7.2</w:t>
            </w:r>
            <w:r>
              <w:rPr>
                <w:rFonts w:asciiTheme="minorHAnsi" w:eastAsiaTheme="minorEastAsia" w:hAnsiTheme="minorHAnsi" w:cstheme="minorBidi"/>
                <w:color w:val="auto"/>
                <w:kern w:val="2"/>
                <w:szCs w:val="24"/>
                <w:lang w:eastAsia="en-GB"/>
                <w14:ligatures w14:val="standardContextual"/>
              </w:rPr>
              <w:tab/>
            </w:r>
            <w:r w:rsidRPr="00EF3136">
              <w:rPr>
                <w:rStyle w:val="Hyperlink"/>
              </w:rPr>
              <w:t>Properties managed by others</w:t>
            </w:r>
            <w:r>
              <w:rPr>
                <w:webHidden/>
              </w:rPr>
              <w:tab/>
            </w:r>
            <w:r>
              <w:rPr>
                <w:webHidden/>
              </w:rPr>
              <w:fldChar w:fldCharType="begin"/>
            </w:r>
            <w:r>
              <w:rPr>
                <w:webHidden/>
              </w:rPr>
              <w:instrText xml:space="preserve"> PAGEREF _Toc220507349 \h </w:instrText>
            </w:r>
            <w:r>
              <w:rPr>
                <w:webHidden/>
              </w:rPr>
            </w:r>
            <w:r>
              <w:rPr>
                <w:webHidden/>
              </w:rPr>
              <w:fldChar w:fldCharType="separate"/>
            </w:r>
            <w:r>
              <w:rPr>
                <w:webHidden/>
              </w:rPr>
              <w:t>7</w:t>
            </w:r>
            <w:r>
              <w:rPr>
                <w:webHidden/>
              </w:rPr>
              <w:fldChar w:fldCharType="end"/>
            </w:r>
          </w:hyperlink>
        </w:p>
        <w:p w14:paraId="45C3A3BB" w14:textId="6A99F61D"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0" w:history="1">
            <w:r w:rsidRPr="00EF3136">
              <w:rPr>
                <w:rStyle w:val="Hyperlink"/>
                <w:lang w:val="en-US"/>
              </w:rPr>
              <w:t>8.</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Follow-up Work</w:t>
            </w:r>
            <w:r>
              <w:rPr>
                <w:webHidden/>
              </w:rPr>
              <w:tab/>
            </w:r>
            <w:r>
              <w:rPr>
                <w:webHidden/>
              </w:rPr>
              <w:fldChar w:fldCharType="begin"/>
            </w:r>
            <w:r>
              <w:rPr>
                <w:webHidden/>
              </w:rPr>
              <w:instrText xml:space="preserve"> PAGEREF _Toc220507350 \h </w:instrText>
            </w:r>
            <w:r>
              <w:rPr>
                <w:webHidden/>
              </w:rPr>
            </w:r>
            <w:r>
              <w:rPr>
                <w:webHidden/>
              </w:rPr>
              <w:fldChar w:fldCharType="separate"/>
            </w:r>
            <w:r>
              <w:rPr>
                <w:webHidden/>
              </w:rPr>
              <w:t>7</w:t>
            </w:r>
            <w:r>
              <w:rPr>
                <w:webHidden/>
              </w:rPr>
              <w:fldChar w:fldCharType="end"/>
            </w:r>
          </w:hyperlink>
        </w:p>
        <w:p w14:paraId="7D6D2681" w14:textId="67296ED1"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1" w:history="1">
            <w:r w:rsidRPr="00EF3136">
              <w:rPr>
                <w:rStyle w:val="Hyperlink"/>
                <w:lang w:val="en-US"/>
              </w:rPr>
              <w:t>9.</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Data and Records</w:t>
            </w:r>
            <w:r>
              <w:rPr>
                <w:webHidden/>
              </w:rPr>
              <w:tab/>
            </w:r>
            <w:r>
              <w:rPr>
                <w:webHidden/>
              </w:rPr>
              <w:fldChar w:fldCharType="begin"/>
            </w:r>
            <w:r>
              <w:rPr>
                <w:webHidden/>
              </w:rPr>
              <w:instrText xml:space="preserve"> PAGEREF _Toc220507351 \h </w:instrText>
            </w:r>
            <w:r>
              <w:rPr>
                <w:webHidden/>
              </w:rPr>
            </w:r>
            <w:r>
              <w:rPr>
                <w:webHidden/>
              </w:rPr>
              <w:fldChar w:fldCharType="separate"/>
            </w:r>
            <w:r>
              <w:rPr>
                <w:webHidden/>
              </w:rPr>
              <w:t>8</w:t>
            </w:r>
            <w:r>
              <w:rPr>
                <w:webHidden/>
              </w:rPr>
              <w:fldChar w:fldCharType="end"/>
            </w:r>
          </w:hyperlink>
        </w:p>
        <w:p w14:paraId="5F6B2071" w14:textId="35BEAF8A"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2" w:history="1">
            <w:r w:rsidRPr="00EF3136">
              <w:rPr>
                <w:rStyle w:val="Hyperlink"/>
                <w:lang w:val="en-US"/>
              </w:rPr>
              <w:t>10.</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Resident Engagement</w:t>
            </w:r>
            <w:r>
              <w:rPr>
                <w:webHidden/>
              </w:rPr>
              <w:tab/>
            </w:r>
            <w:r>
              <w:rPr>
                <w:webHidden/>
              </w:rPr>
              <w:fldChar w:fldCharType="begin"/>
            </w:r>
            <w:r>
              <w:rPr>
                <w:webHidden/>
              </w:rPr>
              <w:instrText xml:space="preserve"> PAGEREF _Toc220507352 \h </w:instrText>
            </w:r>
            <w:r>
              <w:rPr>
                <w:webHidden/>
              </w:rPr>
            </w:r>
            <w:r>
              <w:rPr>
                <w:webHidden/>
              </w:rPr>
              <w:fldChar w:fldCharType="separate"/>
            </w:r>
            <w:r>
              <w:rPr>
                <w:webHidden/>
              </w:rPr>
              <w:t>8</w:t>
            </w:r>
            <w:r>
              <w:rPr>
                <w:webHidden/>
              </w:rPr>
              <w:fldChar w:fldCharType="end"/>
            </w:r>
          </w:hyperlink>
        </w:p>
        <w:p w14:paraId="2BC87960" w14:textId="7C8B0629"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3" w:history="1">
            <w:r w:rsidRPr="00EF3136">
              <w:rPr>
                <w:rStyle w:val="Hyperlink"/>
                <w:lang w:val="en-US"/>
              </w:rPr>
              <w:t>11.</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Competent Persons</w:t>
            </w:r>
            <w:r>
              <w:rPr>
                <w:webHidden/>
              </w:rPr>
              <w:tab/>
            </w:r>
            <w:r>
              <w:rPr>
                <w:webHidden/>
              </w:rPr>
              <w:fldChar w:fldCharType="begin"/>
            </w:r>
            <w:r>
              <w:rPr>
                <w:webHidden/>
              </w:rPr>
              <w:instrText xml:space="preserve"> PAGEREF _Toc220507353 \h </w:instrText>
            </w:r>
            <w:r>
              <w:rPr>
                <w:webHidden/>
              </w:rPr>
            </w:r>
            <w:r>
              <w:rPr>
                <w:webHidden/>
              </w:rPr>
              <w:fldChar w:fldCharType="separate"/>
            </w:r>
            <w:r>
              <w:rPr>
                <w:webHidden/>
              </w:rPr>
              <w:t>8</w:t>
            </w:r>
            <w:r>
              <w:rPr>
                <w:webHidden/>
              </w:rPr>
              <w:fldChar w:fldCharType="end"/>
            </w:r>
          </w:hyperlink>
        </w:p>
        <w:p w14:paraId="44E5280C" w14:textId="2B97E02E"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4" w:history="1">
            <w:r w:rsidRPr="00EF3136">
              <w:rPr>
                <w:rStyle w:val="Hyperlink"/>
                <w:lang w:val="en-US"/>
              </w:rPr>
              <w:t>12.</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Training</w:t>
            </w:r>
            <w:r>
              <w:rPr>
                <w:webHidden/>
              </w:rPr>
              <w:tab/>
            </w:r>
            <w:r>
              <w:rPr>
                <w:webHidden/>
              </w:rPr>
              <w:fldChar w:fldCharType="begin"/>
            </w:r>
            <w:r>
              <w:rPr>
                <w:webHidden/>
              </w:rPr>
              <w:instrText xml:space="preserve"> PAGEREF _Toc220507354 \h </w:instrText>
            </w:r>
            <w:r>
              <w:rPr>
                <w:webHidden/>
              </w:rPr>
            </w:r>
            <w:r>
              <w:rPr>
                <w:webHidden/>
              </w:rPr>
              <w:fldChar w:fldCharType="separate"/>
            </w:r>
            <w:r>
              <w:rPr>
                <w:webHidden/>
              </w:rPr>
              <w:t>9</w:t>
            </w:r>
            <w:r>
              <w:rPr>
                <w:webHidden/>
              </w:rPr>
              <w:fldChar w:fldCharType="end"/>
            </w:r>
          </w:hyperlink>
        </w:p>
        <w:p w14:paraId="263E3BD6" w14:textId="5854ED96"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5" w:history="1">
            <w:r w:rsidRPr="00EF3136">
              <w:rPr>
                <w:rStyle w:val="Hyperlink"/>
                <w:lang w:val="en-US"/>
              </w:rPr>
              <w:t>13.</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Performance Reporting</w:t>
            </w:r>
            <w:r>
              <w:rPr>
                <w:webHidden/>
              </w:rPr>
              <w:tab/>
            </w:r>
            <w:r>
              <w:rPr>
                <w:webHidden/>
              </w:rPr>
              <w:fldChar w:fldCharType="begin"/>
            </w:r>
            <w:r>
              <w:rPr>
                <w:webHidden/>
              </w:rPr>
              <w:instrText xml:space="preserve"> PAGEREF _Toc220507355 \h </w:instrText>
            </w:r>
            <w:r>
              <w:rPr>
                <w:webHidden/>
              </w:rPr>
            </w:r>
            <w:r>
              <w:rPr>
                <w:webHidden/>
              </w:rPr>
              <w:fldChar w:fldCharType="separate"/>
            </w:r>
            <w:r>
              <w:rPr>
                <w:webHidden/>
              </w:rPr>
              <w:t>9</w:t>
            </w:r>
            <w:r>
              <w:rPr>
                <w:webHidden/>
              </w:rPr>
              <w:fldChar w:fldCharType="end"/>
            </w:r>
          </w:hyperlink>
        </w:p>
        <w:p w14:paraId="3C8A54AA" w14:textId="17169BA8"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6" w:history="1">
            <w:r w:rsidRPr="00EF3136">
              <w:rPr>
                <w:rStyle w:val="Hyperlink"/>
                <w:lang w:val="en-US"/>
              </w:rPr>
              <w:t>14.</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Quality Assurance</w:t>
            </w:r>
            <w:r>
              <w:rPr>
                <w:webHidden/>
              </w:rPr>
              <w:tab/>
            </w:r>
            <w:r>
              <w:rPr>
                <w:webHidden/>
              </w:rPr>
              <w:fldChar w:fldCharType="begin"/>
            </w:r>
            <w:r>
              <w:rPr>
                <w:webHidden/>
              </w:rPr>
              <w:instrText xml:space="preserve"> PAGEREF _Toc220507356 \h </w:instrText>
            </w:r>
            <w:r>
              <w:rPr>
                <w:webHidden/>
              </w:rPr>
            </w:r>
            <w:r>
              <w:rPr>
                <w:webHidden/>
              </w:rPr>
              <w:fldChar w:fldCharType="separate"/>
            </w:r>
            <w:r>
              <w:rPr>
                <w:webHidden/>
              </w:rPr>
              <w:t>10</w:t>
            </w:r>
            <w:r>
              <w:rPr>
                <w:webHidden/>
              </w:rPr>
              <w:fldChar w:fldCharType="end"/>
            </w:r>
          </w:hyperlink>
        </w:p>
        <w:p w14:paraId="21DEC205" w14:textId="0DEC98EB"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7" w:history="1">
            <w:r w:rsidRPr="00EF3136">
              <w:rPr>
                <w:rStyle w:val="Hyperlink"/>
                <w:lang w:val="en-US"/>
              </w:rPr>
              <w:t>15.</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Significant Non-Compliance and Escalation</w:t>
            </w:r>
            <w:r>
              <w:rPr>
                <w:webHidden/>
              </w:rPr>
              <w:tab/>
            </w:r>
            <w:r>
              <w:rPr>
                <w:webHidden/>
              </w:rPr>
              <w:fldChar w:fldCharType="begin"/>
            </w:r>
            <w:r>
              <w:rPr>
                <w:webHidden/>
              </w:rPr>
              <w:instrText xml:space="preserve"> PAGEREF _Toc220507357 \h </w:instrText>
            </w:r>
            <w:r>
              <w:rPr>
                <w:webHidden/>
              </w:rPr>
            </w:r>
            <w:r>
              <w:rPr>
                <w:webHidden/>
              </w:rPr>
              <w:fldChar w:fldCharType="separate"/>
            </w:r>
            <w:r>
              <w:rPr>
                <w:webHidden/>
              </w:rPr>
              <w:t>10</w:t>
            </w:r>
            <w:r>
              <w:rPr>
                <w:webHidden/>
              </w:rPr>
              <w:fldChar w:fldCharType="end"/>
            </w:r>
          </w:hyperlink>
        </w:p>
        <w:p w14:paraId="79C5FF7F" w14:textId="1C60A417" w:rsidR="008B0457" w:rsidRDefault="008B0457">
          <w:pPr>
            <w:pStyle w:val="TOC1"/>
            <w:rPr>
              <w:rFonts w:asciiTheme="minorHAnsi" w:eastAsiaTheme="minorEastAsia" w:hAnsiTheme="minorHAnsi" w:cstheme="minorBidi"/>
              <w:color w:val="auto"/>
              <w:kern w:val="2"/>
              <w:szCs w:val="24"/>
              <w:lang w:eastAsia="en-GB"/>
              <w14:ligatures w14:val="standardContextual"/>
            </w:rPr>
          </w:pPr>
          <w:hyperlink w:anchor="_Toc220507358" w:history="1">
            <w:r w:rsidRPr="00EF3136">
              <w:rPr>
                <w:rStyle w:val="Hyperlink"/>
                <w:lang w:val="en-US"/>
              </w:rPr>
              <w:t>16.</w:t>
            </w:r>
            <w:r>
              <w:rPr>
                <w:rFonts w:asciiTheme="minorHAnsi" w:eastAsiaTheme="minorEastAsia" w:hAnsiTheme="minorHAnsi" w:cstheme="minorBidi"/>
                <w:color w:val="auto"/>
                <w:kern w:val="2"/>
                <w:szCs w:val="24"/>
                <w:lang w:eastAsia="en-GB"/>
                <w14:ligatures w14:val="standardContextual"/>
              </w:rPr>
              <w:tab/>
            </w:r>
            <w:r w:rsidRPr="00EF3136">
              <w:rPr>
                <w:rStyle w:val="Hyperlink"/>
                <w:lang w:val="en-US"/>
              </w:rPr>
              <w:t>Glossary</w:t>
            </w:r>
            <w:r>
              <w:rPr>
                <w:webHidden/>
              </w:rPr>
              <w:tab/>
            </w:r>
            <w:r>
              <w:rPr>
                <w:webHidden/>
              </w:rPr>
              <w:fldChar w:fldCharType="begin"/>
            </w:r>
            <w:r>
              <w:rPr>
                <w:webHidden/>
              </w:rPr>
              <w:instrText xml:space="preserve"> PAGEREF _Toc220507358 \h </w:instrText>
            </w:r>
            <w:r>
              <w:rPr>
                <w:webHidden/>
              </w:rPr>
            </w:r>
            <w:r>
              <w:rPr>
                <w:webHidden/>
              </w:rPr>
              <w:fldChar w:fldCharType="separate"/>
            </w:r>
            <w:r>
              <w:rPr>
                <w:webHidden/>
              </w:rPr>
              <w:t>10</w:t>
            </w:r>
            <w:r>
              <w:rPr>
                <w:webHidden/>
              </w:rPr>
              <w:fldChar w:fldCharType="end"/>
            </w:r>
          </w:hyperlink>
        </w:p>
        <w:p w14:paraId="1A6BC306" w14:textId="3BE7A87E" w:rsidR="00DC0AA1" w:rsidRDefault="00DC0AA1" w:rsidP="00DC0AA1">
          <w:r>
            <w:rPr>
              <w:b/>
              <w:bCs/>
              <w:noProof/>
            </w:rPr>
            <w:fldChar w:fldCharType="end"/>
          </w:r>
        </w:p>
      </w:sdtContent>
    </w:sdt>
    <w:p w14:paraId="33257274" w14:textId="77777777" w:rsidR="00DC0AA1" w:rsidRPr="002926FB" w:rsidRDefault="00DC0AA1" w:rsidP="00DC1BF1">
      <w:r>
        <w:br w:type="page"/>
      </w:r>
    </w:p>
    <w:p w14:paraId="1B8A30A5" w14:textId="30C3185D" w:rsidR="00B846CB" w:rsidRPr="00B846CB" w:rsidRDefault="00B846CB" w:rsidP="00B9401F">
      <w:pPr>
        <w:pStyle w:val="Heading1"/>
      </w:pPr>
      <w:bookmarkStart w:id="1" w:name="_Toc220507337"/>
      <w:r w:rsidRPr="00B846CB">
        <w:lastRenderedPageBreak/>
        <w:t>In</w:t>
      </w:r>
      <w:r w:rsidR="00E40637">
        <w:t>troduction and Objectives</w:t>
      </w:r>
      <w:bookmarkEnd w:id="1"/>
    </w:p>
    <w:p w14:paraId="4D75CA30" w14:textId="72856C79" w:rsidR="00F557ED" w:rsidRDefault="00F557ED" w:rsidP="00F557ED">
      <w:pPr>
        <w:pStyle w:val="paragraph"/>
        <w:spacing w:before="0" w:beforeAutospacing="0" w:after="0" w:afterAutospacing="0"/>
        <w:textAlignment w:val="baseline"/>
        <w:rPr>
          <w:rStyle w:val="eop"/>
          <w:rFonts w:ascii="Arial" w:hAnsi="Arial" w:cs="Arial"/>
          <w:color w:val="000000"/>
        </w:rPr>
      </w:pPr>
      <w:bookmarkStart w:id="2" w:name="_Hlk60741059"/>
      <w:r w:rsidRPr="00F557ED">
        <w:rPr>
          <w:rStyle w:val="normaltextrun"/>
          <w:rFonts w:ascii="Arial" w:hAnsi="Arial" w:cs="Arial"/>
          <w:color w:val="000000"/>
        </w:rPr>
        <w:t>As a landlord, London Borough of Tower Hamlets is responsible for repairs and maintenance to our homes, communal blocks and other properties we own and manage, all of which will contain electrical installations, equipment and portable appliances.</w:t>
      </w:r>
    </w:p>
    <w:p w14:paraId="0FD2EBEC" w14:textId="77777777" w:rsidR="00F557ED" w:rsidRPr="00F557ED" w:rsidRDefault="00F557ED" w:rsidP="00F557ED">
      <w:pPr>
        <w:pStyle w:val="paragraph"/>
        <w:spacing w:before="0" w:beforeAutospacing="0" w:after="0" w:afterAutospacing="0"/>
        <w:textAlignment w:val="baseline"/>
        <w:rPr>
          <w:rFonts w:ascii="Arial" w:hAnsi="Arial" w:cs="Arial"/>
          <w:color w:val="000000"/>
          <w:sz w:val="18"/>
          <w:szCs w:val="18"/>
        </w:rPr>
      </w:pPr>
    </w:p>
    <w:p w14:paraId="3ADA8388" w14:textId="29B185B7" w:rsidR="00F557ED" w:rsidRDefault="00F557ED" w:rsidP="00F557ED">
      <w:pPr>
        <w:pStyle w:val="paragraph"/>
        <w:spacing w:before="0" w:beforeAutospacing="0" w:after="0" w:afterAutospacing="0"/>
        <w:textAlignment w:val="baseline"/>
        <w:rPr>
          <w:rStyle w:val="eop"/>
          <w:rFonts w:ascii="Arial" w:hAnsi="Arial" w:cs="Arial"/>
          <w:color w:val="000000"/>
        </w:rPr>
      </w:pPr>
      <w:r w:rsidRPr="00F557ED">
        <w:rPr>
          <w:rStyle w:val="normaltextrun"/>
          <w:rFonts w:ascii="Arial" w:hAnsi="Arial" w:cs="Arial"/>
          <w:color w:val="000000"/>
        </w:rPr>
        <w:t>The key objective of this policy is to ensure our Housing Management Cabinet Sub Committee, Housing Performance Improvement &amp; Compliance Board (HPIC), employees, partners and residents are clear on our legal and regulatory electrical safety obligations. This policy provides the framework our staff and partners will operate within to meet these obligations.</w:t>
      </w:r>
    </w:p>
    <w:p w14:paraId="79383BE4" w14:textId="77777777" w:rsidR="00F557ED" w:rsidRPr="00F557ED" w:rsidRDefault="00F557ED" w:rsidP="00F557ED">
      <w:pPr>
        <w:pStyle w:val="paragraph"/>
        <w:spacing w:before="0" w:beforeAutospacing="0" w:after="0" w:afterAutospacing="0"/>
        <w:textAlignment w:val="baseline"/>
        <w:rPr>
          <w:rFonts w:ascii="Arial" w:hAnsi="Arial" w:cs="Arial"/>
          <w:color w:val="000000"/>
          <w:sz w:val="18"/>
          <w:szCs w:val="18"/>
        </w:rPr>
      </w:pPr>
    </w:p>
    <w:p w14:paraId="6BF4C80D" w14:textId="77777777" w:rsidR="00F557ED" w:rsidRPr="00F557ED" w:rsidRDefault="00F557ED" w:rsidP="00F557ED">
      <w:pPr>
        <w:pStyle w:val="paragraph"/>
        <w:spacing w:before="0" w:beforeAutospacing="0" w:after="0" w:afterAutospacing="0"/>
        <w:textAlignment w:val="baseline"/>
        <w:rPr>
          <w:rFonts w:ascii="Arial" w:hAnsi="Arial" w:cs="Arial"/>
          <w:color w:val="000000"/>
          <w:sz w:val="18"/>
          <w:szCs w:val="18"/>
        </w:rPr>
      </w:pPr>
      <w:r w:rsidRPr="00F557ED">
        <w:rPr>
          <w:rStyle w:val="normaltextrun"/>
          <w:rFonts w:ascii="Arial" w:hAnsi="Arial" w:cs="Arial"/>
          <w:color w:val="000000"/>
        </w:rPr>
        <w:t>This policy forms part of our wider organisational commitment to driving a health and safety culture amongst staff and contractors (as detailed within our Health and Safety Policy and Asset Management Strategy). It will be saved on our shared drive and distributed to all relevant members of staff.</w:t>
      </w:r>
      <w:r w:rsidRPr="00F557ED">
        <w:rPr>
          <w:rStyle w:val="eop"/>
          <w:rFonts w:ascii="Arial" w:hAnsi="Arial" w:cs="Arial"/>
          <w:color w:val="000000"/>
        </w:rPr>
        <w:t> </w:t>
      </w:r>
    </w:p>
    <w:p w14:paraId="31D1D30C" w14:textId="479A3D91" w:rsidR="00B846CB" w:rsidRPr="00B846CB" w:rsidRDefault="00E40637" w:rsidP="00B846CB">
      <w:pPr>
        <w:pStyle w:val="Heading1"/>
      </w:pPr>
      <w:bookmarkStart w:id="3" w:name="_Toc220507338"/>
      <w:bookmarkEnd w:id="2"/>
      <w:r>
        <w:t>Scope</w:t>
      </w:r>
      <w:bookmarkEnd w:id="3"/>
    </w:p>
    <w:p w14:paraId="1F9A7D98" w14:textId="4B6E162D" w:rsidR="0085730D" w:rsidRDefault="0085730D" w:rsidP="0085730D">
      <w:pPr>
        <w:pStyle w:val="paragraph"/>
        <w:spacing w:before="0" w:beforeAutospacing="0" w:after="0" w:afterAutospacing="0"/>
        <w:textAlignment w:val="baseline"/>
        <w:rPr>
          <w:rStyle w:val="eop"/>
          <w:rFonts w:ascii="Arial" w:hAnsi="Arial" w:cs="Arial"/>
          <w:color w:val="000000"/>
        </w:rPr>
      </w:pPr>
      <w:r w:rsidRPr="00604141">
        <w:rPr>
          <w:rStyle w:val="normaltextrun"/>
          <w:rFonts w:ascii="Arial" w:hAnsi="Arial" w:cs="Arial"/>
          <w:color w:val="000000"/>
        </w:rPr>
        <w:t>This policy applies to the following property types only:</w:t>
      </w:r>
    </w:p>
    <w:p w14:paraId="42F6C68B" w14:textId="77777777" w:rsidR="00E7358C" w:rsidRPr="00604141" w:rsidRDefault="00E7358C" w:rsidP="0085730D">
      <w:pPr>
        <w:pStyle w:val="paragraph"/>
        <w:spacing w:before="0" w:beforeAutospacing="0" w:after="0" w:afterAutospacing="0"/>
        <w:textAlignment w:val="baseline"/>
        <w:rPr>
          <w:rFonts w:ascii="Arial" w:hAnsi="Arial" w:cs="Arial"/>
          <w:color w:val="000000"/>
          <w:sz w:val="18"/>
          <w:szCs w:val="18"/>
        </w:rPr>
      </w:pPr>
    </w:p>
    <w:p w14:paraId="04D0E6D8" w14:textId="565F854E" w:rsidR="0085730D" w:rsidRPr="00604141" w:rsidRDefault="0085730D" w:rsidP="00604141">
      <w:pPr>
        <w:pStyle w:val="ListBullet"/>
        <w:rPr>
          <w:szCs w:val="24"/>
        </w:rPr>
      </w:pPr>
      <w:r w:rsidRPr="00604141">
        <w:rPr>
          <w:rStyle w:val="normaltextrun"/>
          <w:rFonts w:cs="Arial"/>
          <w:color w:val="000000"/>
        </w:rPr>
        <w:t>Domestic properties (houses, flats, bungalows, and so on)</w:t>
      </w:r>
    </w:p>
    <w:p w14:paraId="5D34AFE7" w14:textId="77777777" w:rsidR="0085730D" w:rsidRPr="00604141" w:rsidRDefault="0085730D" w:rsidP="00604141">
      <w:pPr>
        <w:pStyle w:val="ListBullet"/>
      </w:pPr>
      <w:r w:rsidRPr="00604141">
        <w:rPr>
          <w:rStyle w:val="normaltextrun"/>
          <w:rFonts w:cs="Arial"/>
          <w:color w:val="000000"/>
        </w:rPr>
        <w:t>Communal blocks</w:t>
      </w:r>
      <w:r w:rsidRPr="00604141">
        <w:rPr>
          <w:rStyle w:val="eop"/>
          <w:rFonts w:cs="Arial"/>
          <w:color w:val="000000"/>
        </w:rPr>
        <w:t> </w:t>
      </w:r>
    </w:p>
    <w:p w14:paraId="494D1D0A" w14:textId="77777777" w:rsidR="0085730D" w:rsidRPr="00604141" w:rsidRDefault="0085730D" w:rsidP="00604141">
      <w:pPr>
        <w:pStyle w:val="ListBullet"/>
      </w:pPr>
      <w:r w:rsidRPr="00604141">
        <w:rPr>
          <w:rStyle w:val="normaltextrun"/>
          <w:rFonts w:cs="Arial"/>
          <w:color w:val="000000"/>
        </w:rPr>
        <w:t>Staff facilities within residential buildings i.e. caretaker offices.</w:t>
      </w:r>
      <w:r w:rsidRPr="00604141">
        <w:rPr>
          <w:rStyle w:val="eop"/>
          <w:rFonts w:cs="Arial"/>
          <w:color w:val="000000"/>
        </w:rPr>
        <w:t> </w:t>
      </w:r>
    </w:p>
    <w:p w14:paraId="2E5FE698" w14:textId="77777777" w:rsidR="0085730D" w:rsidRPr="00604141" w:rsidRDefault="0085730D" w:rsidP="0085730D">
      <w:pPr>
        <w:pStyle w:val="paragraph"/>
        <w:spacing w:before="0" w:beforeAutospacing="0" w:after="0" w:afterAutospacing="0"/>
        <w:textAlignment w:val="baseline"/>
        <w:rPr>
          <w:rFonts w:ascii="Arial" w:hAnsi="Arial" w:cs="Arial"/>
          <w:color w:val="000000"/>
          <w:sz w:val="18"/>
          <w:szCs w:val="18"/>
        </w:rPr>
      </w:pPr>
      <w:r w:rsidRPr="00604141">
        <w:rPr>
          <w:rStyle w:val="normaltextrun"/>
          <w:rFonts w:ascii="Arial" w:hAnsi="Arial" w:cs="Arial"/>
          <w:color w:val="000000"/>
        </w:rPr>
        <w:t>This policy is relevant to all our employees, residents, contractors, stakeholders and other persons who may work on, occupy, visit, or use our premises, or who may be affected by our activities or services. Adherence to this policy is mandatory.</w:t>
      </w:r>
      <w:r w:rsidRPr="00604141">
        <w:rPr>
          <w:rStyle w:val="eop"/>
          <w:rFonts w:ascii="Arial" w:hAnsi="Arial" w:cs="Arial"/>
          <w:color w:val="000000"/>
        </w:rPr>
        <w:t> </w:t>
      </w:r>
    </w:p>
    <w:p w14:paraId="5FD72B06" w14:textId="60822320" w:rsidR="00E40637" w:rsidRDefault="00E40637" w:rsidP="00E40637">
      <w:pPr>
        <w:pStyle w:val="Heading1"/>
      </w:pPr>
      <w:bookmarkStart w:id="4" w:name="_Toc220507339"/>
      <w:r>
        <w:t>Roles and Responsibilities</w:t>
      </w:r>
      <w:bookmarkEnd w:id="4"/>
    </w:p>
    <w:p w14:paraId="3C19C0D9" w14:textId="01B07703" w:rsidR="008444DD" w:rsidRDefault="008444DD" w:rsidP="008444DD">
      <w:pPr>
        <w:pStyle w:val="paragraph"/>
        <w:spacing w:before="0" w:beforeAutospacing="0" w:after="0" w:afterAutospacing="0"/>
        <w:textAlignment w:val="baseline"/>
        <w:rPr>
          <w:rStyle w:val="eop"/>
          <w:rFonts w:ascii="Arial" w:hAnsi="Arial" w:cs="Arial"/>
          <w:color w:val="000000"/>
        </w:rPr>
      </w:pPr>
      <w:r w:rsidRPr="00B1311A">
        <w:rPr>
          <w:rStyle w:val="normaltextrun"/>
          <w:rFonts w:ascii="Arial" w:hAnsi="Arial" w:cs="Arial"/>
          <w:color w:val="000000"/>
        </w:rPr>
        <w:t>The Housing Management Cabinet Sub Committee has overall governance responsibility for ensuring this policy is fully implemented to ensure full compliance with legislation and regulatory standards. As such, the Housing Management Cabinet Sub Committee will formally approve this policy and review it every two years (or sooner if there is a change in legislation, regulation or best practice).</w:t>
      </w:r>
    </w:p>
    <w:p w14:paraId="490F512A" w14:textId="77777777" w:rsidR="00E7358C" w:rsidRPr="00B1311A" w:rsidRDefault="00E7358C" w:rsidP="008444DD">
      <w:pPr>
        <w:pStyle w:val="paragraph"/>
        <w:spacing w:before="0" w:beforeAutospacing="0" w:after="0" w:afterAutospacing="0"/>
        <w:textAlignment w:val="baseline"/>
        <w:rPr>
          <w:rFonts w:ascii="Arial" w:hAnsi="Arial" w:cs="Arial"/>
          <w:color w:val="000000"/>
          <w:sz w:val="18"/>
          <w:szCs w:val="18"/>
        </w:rPr>
      </w:pPr>
    </w:p>
    <w:p w14:paraId="4308063F" w14:textId="6BA9A547" w:rsidR="008444DD" w:rsidRDefault="008444DD" w:rsidP="008444DD">
      <w:pPr>
        <w:pStyle w:val="paragraph"/>
        <w:spacing w:before="0" w:beforeAutospacing="0" w:after="0" w:afterAutospacing="0"/>
        <w:textAlignment w:val="baseline"/>
        <w:rPr>
          <w:rStyle w:val="eop"/>
          <w:rFonts w:ascii="Arial" w:hAnsi="Arial" w:cs="Arial"/>
          <w:color w:val="000000"/>
        </w:rPr>
      </w:pPr>
      <w:r w:rsidRPr="00B1311A">
        <w:rPr>
          <w:rStyle w:val="normaltextrun"/>
          <w:rFonts w:ascii="Arial" w:hAnsi="Arial" w:cs="Arial"/>
          <w:color w:val="000000"/>
        </w:rPr>
        <w:t>Housing Performance, Improvement &amp; Compliance Board (HPIC) will receive monthly performance reports in respect of electrical safety and ensure compliance is being achieved. They will also be notified of any non-compliance issue identified.</w:t>
      </w:r>
    </w:p>
    <w:p w14:paraId="52E59BA9" w14:textId="77777777" w:rsidR="00E7358C" w:rsidRPr="00B1311A" w:rsidRDefault="00E7358C" w:rsidP="008444DD">
      <w:pPr>
        <w:pStyle w:val="paragraph"/>
        <w:spacing w:before="0" w:beforeAutospacing="0" w:after="0" w:afterAutospacing="0"/>
        <w:textAlignment w:val="baseline"/>
        <w:rPr>
          <w:rFonts w:ascii="Arial" w:hAnsi="Arial" w:cs="Arial"/>
          <w:color w:val="000000"/>
          <w:sz w:val="18"/>
          <w:szCs w:val="18"/>
        </w:rPr>
      </w:pPr>
    </w:p>
    <w:p w14:paraId="25E46852" w14:textId="4D9191BD" w:rsidR="008444DD" w:rsidRDefault="008444DD" w:rsidP="008444DD">
      <w:pPr>
        <w:pStyle w:val="paragraph"/>
        <w:spacing w:before="0" w:beforeAutospacing="0" w:after="0" w:afterAutospacing="0"/>
        <w:textAlignment w:val="baseline"/>
        <w:rPr>
          <w:rStyle w:val="eop"/>
          <w:rFonts w:ascii="Arial" w:hAnsi="Arial" w:cs="Arial"/>
          <w:color w:val="000000"/>
        </w:rPr>
      </w:pPr>
      <w:r w:rsidRPr="00B1311A">
        <w:rPr>
          <w:rStyle w:val="normaltextrun"/>
          <w:rFonts w:ascii="Arial" w:hAnsi="Arial" w:cs="Arial"/>
          <w:color w:val="000000"/>
        </w:rPr>
        <w:t>The Head of Asset Management and Compliance has strategic responsibility for the management of electrical safety, and ensuring compliance is achieved and maintained. They will oversee the implementation of this policy.</w:t>
      </w:r>
    </w:p>
    <w:p w14:paraId="237C1A9B" w14:textId="77777777" w:rsidR="00E7358C" w:rsidRPr="00B1311A" w:rsidRDefault="00E7358C" w:rsidP="008444DD">
      <w:pPr>
        <w:pStyle w:val="paragraph"/>
        <w:spacing w:before="0" w:beforeAutospacing="0" w:after="0" w:afterAutospacing="0"/>
        <w:textAlignment w:val="baseline"/>
        <w:rPr>
          <w:rFonts w:ascii="Arial" w:hAnsi="Arial" w:cs="Arial"/>
          <w:color w:val="000000"/>
          <w:sz w:val="18"/>
          <w:szCs w:val="18"/>
        </w:rPr>
      </w:pPr>
    </w:p>
    <w:p w14:paraId="4682C590" w14:textId="6B1572F7" w:rsidR="008444DD" w:rsidRDefault="008444DD" w:rsidP="008444DD">
      <w:pPr>
        <w:pStyle w:val="paragraph"/>
        <w:spacing w:before="0" w:beforeAutospacing="0" w:after="0" w:afterAutospacing="0"/>
        <w:textAlignment w:val="baseline"/>
        <w:rPr>
          <w:rStyle w:val="eop"/>
          <w:rFonts w:ascii="Arial" w:hAnsi="Arial" w:cs="Arial"/>
          <w:color w:val="000000"/>
        </w:rPr>
      </w:pPr>
      <w:r w:rsidRPr="00B1311A">
        <w:rPr>
          <w:rStyle w:val="normaltextrun"/>
          <w:rFonts w:ascii="Arial" w:hAnsi="Arial" w:cs="Arial"/>
          <w:color w:val="000000"/>
        </w:rPr>
        <w:t>The M&amp;E Capital Works Manager has operational responsibility for the management of electrical safety and will be responsible for overseeing the delivery of these programmes.</w:t>
      </w:r>
    </w:p>
    <w:p w14:paraId="5BB50AD9" w14:textId="77777777" w:rsidR="00E7358C" w:rsidRPr="00B1311A" w:rsidRDefault="00E7358C" w:rsidP="008444DD">
      <w:pPr>
        <w:pStyle w:val="paragraph"/>
        <w:spacing w:before="0" w:beforeAutospacing="0" w:after="0" w:afterAutospacing="0"/>
        <w:textAlignment w:val="baseline"/>
        <w:rPr>
          <w:rFonts w:ascii="Arial" w:hAnsi="Arial" w:cs="Arial"/>
          <w:color w:val="000000"/>
          <w:sz w:val="18"/>
          <w:szCs w:val="18"/>
        </w:rPr>
      </w:pPr>
    </w:p>
    <w:p w14:paraId="21E212DC" w14:textId="77777777" w:rsidR="008444DD" w:rsidRPr="00B1311A" w:rsidRDefault="008444DD" w:rsidP="008444DD">
      <w:pPr>
        <w:pStyle w:val="paragraph"/>
        <w:spacing w:before="0" w:beforeAutospacing="0" w:after="0" w:afterAutospacing="0"/>
        <w:textAlignment w:val="baseline"/>
        <w:rPr>
          <w:rFonts w:ascii="Arial" w:hAnsi="Arial" w:cs="Arial"/>
          <w:color w:val="000000"/>
          <w:sz w:val="18"/>
          <w:szCs w:val="18"/>
        </w:rPr>
      </w:pPr>
      <w:r w:rsidRPr="00B1311A">
        <w:rPr>
          <w:rStyle w:val="normaltextrun"/>
          <w:rFonts w:ascii="Arial" w:hAnsi="Arial" w:cs="Arial"/>
          <w:color w:val="000000"/>
        </w:rPr>
        <w:t>Neighbourhood staff will provide support where gaining access to properties is difficult.</w:t>
      </w:r>
      <w:r w:rsidRPr="00B1311A">
        <w:rPr>
          <w:rStyle w:val="eop"/>
          <w:rFonts w:ascii="Arial" w:hAnsi="Arial" w:cs="Arial"/>
          <w:color w:val="000000"/>
        </w:rPr>
        <w:t> </w:t>
      </w:r>
    </w:p>
    <w:p w14:paraId="5DEE9820" w14:textId="5D981DF9" w:rsidR="00B846CB" w:rsidRPr="00B846CB" w:rsidRDefault="00E40637" w:rsidP="00B846CB">
      <w:pPr>
        <w:pStyle w:val="Heading1"/>
      </w:pPr>
      <w:bookmarkStart w:id="5" w:name="_Toc220507340"/>
      <w:r>
        <w:lastRenderedPageBreak/>
        <w:t>Legislation, Guidance and Regulatory Standards</w:t>
      </w:r>
      <w:bookmarkEnd w:id="5"/>
      <w:r w:rsidR="00B846CB" w:rsidRPr="00B846CB">
        <w:tab/>
      </w:r>
      <w:r w:rsidR="00B846CB" w:rsidRPr="00B846CB">
        <w:tab/>
      </w:r>
      <w:r w:rsidR="00B846CB" w:rsidRPr="00B846CB">
        <w:tab/>
      </w:r>
    </w:p>
    <w:p w14:paraId="2F537FC0" w14:textId="0EB21B13" w:rsidR="007D2518" w:rsidRPr="00485688" w:rsidRDefault="00E40637" w:rsidP="00900578">
      <w:pPr>
        <w:pStyle w:val="Heading2"/>
      </w:pPr>
      <w:bookmarkStart w:id="6" w:name="_Toc220507341"/>
      <w:r>
        <w:t>Legislation</w:t>
      </w:r>
      <w:bookmarkEnd w:id="6"/>
    </w:p>
    <w:p w14:paraId="28649B35" w14:textId="414759AE" w:rsidR="008444DD" w:rsidRPr="00B1311A" w:rsidRDefault="008444DD" w:rsidP="008444DD">
      <w:pPr>
        <w:pStyle w:val="paragraph"/>
        <w:spacing w:before="0" w:beforeAutospacing="0" w:after="0" w:afterAutospacing="0"/>
        <w:textAlignment w:val="baseline"/>
        <w:rPr>
          <w:rStyle w:val="eop"/>
          <w:rFonts w:ascii="Arial" w:hAnsi="Arial" w:cs="Arial"/>
          <w:color w:val="000000"/>
        </w:rPr>
      </w:pPr>
      <w:r w:rsidRPr="00B1311A">
        <w:rPr>
          <w:rStyle w:val="normaltextrun"/>
          <w:rFonts w:ascii="Arial" w:hAnsi="Arial" w:cs="Arial"/>
          <w:color w:val="000000"/>
        </w:rPr>
        <w:t>Principal legislation applicable to this policy is listed on page 2.</w:t>
      </w:r>
    </w:p>
    <w:p w14:paraId="157F2E5C" w14:textId="77777777" w:rsidR="008444DD" w:rsidRPr="00B1311A" w:rsidRDefault="008444DD" w:rsidP="008444DD">
      <w:pPr>
        <w:pStyle w:val="paragraph"/>
        <w:spacing w:before="0" w:beforeAutospacing="0" w:after="0" w:afterAutospacing="0"/>
        <w:textAlignment w:val="baseline"/>
        <w:rPr>
          <w:rFonts w:ascii="Arial" w:hAnsi="Arial" w:cs="Arial"/>
          <w:color w:val="000000"/>
          <w:sz w:val="18"/>
          <w:szCs w:val="18"/>
        </w:rPr>
      </w:pPr>
    </w:p>
    <w:p w14:paraId="5CEDC811" w14:textId="77777777" w:rsidR="008444DD" w:rsidRPr="00B1311A" w:rsidRDefault="008444DD" w:rsidP="008444DD">
      <w:pPr>
        <w:pStyle w:val="paragraph"/>
        <w:spacing w:before="0" w:beforeAutospacing="0" w:after="0" w:afterAutospacing="0"/>
        <w:textAlignment w:val="baseline"/>
        <w:rPr>
          <w:rStyle w:val="normaltextrun"/>
          <w:rFonts w:ascii="Arial" w:hAnsi="Arial" w:cs="Arial"/>
          <w:color w:val="000000"/>
        </w:rPr>
      </w:pPr>
      <w:r w:rsidRPr="00B1311A">
        <w:rPr>
          <w:rStyle w:val="normaltextrun"/>
          <w:rFonts w:ascii="Arial" w:hAnsi="Arial" w:cs="Arial"/>
          <w:color w:val="000000"/>
        </w:rPr>
        <w:t>The government consultation into electrical safety within social housing closed on 31 August 2022 and we are awaiting the outcome to be published, which will likely result in future changes to this policy.</w:t>
      </w:r>
    </w:p>
    <w:p w14:paraId="36A3112D" w14:textId="7DDE86FE" w:rsidR="008444DD" w:rsidRPr="00B1311A" w:rsidRDefault="008444DD" w:rsidP="008444DD">
      <w:pPr>
        <w:pStyle w:val="paragraph"/>
        <w:spacing w:before="0" w:beforeAutospacing="0" w:after="0" w:afterAutospacing="0"/>
        <w:textAlignment w:val="baseline"/>
        <w:rPr>
          <w:rFonts w:ascii="Arial" w:hAnsi="Arial" w:cs="Arial"/>
          <w:color w:val="000000"/>
          <w:sz w:val="18"/>
          <w:szCs w:val="18"/>
        </w:rPr>
      </w:pPr>
      <w:r w:rsidRPr="00B1311A">
        <w:rPr>
          <w:rStyle w:val="eop"/>
          <w:rFonts w:ascii="Arial" w:hAnsi="Arial" w:cs="Arial"/>
          <w:color w:val="000000"/>
        </w:rPr>
        <w:t> </w:t>
      </w:r>
    </w:p>
    <w:p w14:paraId="0212F12D" w14:textId="3DEC5C94" w:rsidR="00CC1D7B" w:rsidRDefault="008444DD" w:rsidP="00B1311A">
      <w:pPr>
        <w:pStyle w:val="paragraph"/>
        <w:spacing w:before="0" w:beforeAutospacing="0" w:after="0" w:afterAutospacing="0"/>
        <w:textAlignment w:val="baseline"/>
        <w:rPr>
          <w:rStyle w:val="eop"/>
          <w:rFonts w:ascii="Arial" w:hAnsi="Arial" w:cs="Arial"/>
          <w:color w:val="000000"/>
        </w:rPr>
      </w:pPr>
      <w:r w:rsidRPr="00B1311A">
        <w:rPr>
          <w:rStyle w:val="normaltextrun"/>
          <w:rFonts w:ascii="Arial" w:hAnsi="Arial" w:cs="Arial"/>
          <w:color w:val="000000"/>
        </w:rPr>
        <w:t>This policy also operates within the context of additional legislation (see page 2).</w:t>
      </w:r>
      <w:r w:rsidRPr="00B1311A">
        <w:rPr>
          <w:rStyle w:val="eop"/>
          <w:rFonts w:ascii="Arial" w:hAnsi="Arial" w:cs="Arial"/>
          <w:color w:val="000000"/>
        </w:rPr>
        <w:t> </w:t>
      </w:r>
    </w:p>
    <w:p w14:paraId="6999334F" w14:textId="77777777" w:rsidR="00B1311A" w:rsidRPr="00B1311A" w:rsidRDefault="00B1311A" w:rsidP="00B1311A">
      <w:pPr>
        <w:pStyle w:val="paragraph"/>
        <w:spacing w:before="0" w:beforeAutospacing="0" w:after="0" w:afterAutospacing="0"/>
        <w:textAlignment w:val="baseline"/>
        <w:rPr>
          <w:rFonts w:ascii="Arial" w:hAnsi="Arial" w:cs="Arial"/>
          <w:color w:val="000000"/>
          <w:sz w:val="18"/>
          <w:szCs w:val="18"/>
        </w:rPr>
      </w:pPr>
    </w:p>
    <w:p w14:paraId="3D9B4FAD" w14:textId="588A3AC0" w:rsidR="00CC1D7B" w:rsidRDefault="00E40637" w:rsidP="00485688">
      <w:pPr>
        <w:pStyle w:val="Heading2"/>
      </w:pPr>
      <w:bookmarkStart w:id="7" w:name="_Toc220507342"/>
      <w:r>
        <w:t>Guidance and codes of practice</w:t>
      </w:r>
      <w:bookmarkEnd w:id="7"/>
    </w:p>
    <w:p w14:paraId="201BDA1B" w14:textId="0EA47258" w:rsidR="00900578" w:rsidRDefault="00F013B5" w:rsidP="00900578">
      <w:r>
        <w:rPr>
          <w:rStyle w:val="normaltextrun"/>
          <w:rFonts w:cs="Arial"/>
          <w:color w:val="000000"/>
          <w:shd w:val="clear" w:color="auto" w:fill="FFFFFF"/>
        </w:rPr>
        <w:t>The principal guidance and codes of practice applicable to this policy are listed on page 2.</w:t>
      </w:r>
      <w:r>
        <w:rPr>
          <w:rStyle w:val="eop"/>
          <w:rFonts w:cs="Arial"/>
          <w:color w:val="000000"/>
          <w:shd w:val="clear" w:color="auto" w:fill="FFFFFF"/>
        </w:rPr>
        <w:t> </w:t>
      </w:r>
    </w:p>
    <w:p w14:paraId="7D610918" w14:textId="525F08E3" w:rsidR="00E40637" w:rsidRDefault="00E40637" w:rsidP="00E40637">
      <w:pPr>
        <w:pStyle w:val="Heading2"/>
      </w:pPr>
      <w:bookmarkStart w:id="8" w:name="_Toc220507343"/>
      <w:r>
        <w:t>Regulatory Standards</w:t>
      </w:r>
      <w:bookmarkEnd w:id="8"/>
    </w:p>
    <w:p w14:paraId="01438FC4" w14:textId="6CEC03AA" w:rsidR="009A573D" w:rsidRPr="009A573D" w:rsidRDefault="00BE0359" w:rsidP="00BE0359">
      <w:pPr>
        <w:pStyle w:val="paragraph"/>
        <w:spacing w:before="0" w:beforeAutospacing="0" w:after="0" w:afterAutospacing="0"/>
        <w:textAlignment w:val="baseline"/>
        <w:rPr>
          <w:rStyle w:val="normaltextrun"/>
          <w:rFonts w:ascii="Arial" w:hAnsi="Arial" w:cs="Arial"/>
          <w:color w:val="000000"/>
        </w:rPr>
      </w:pPr>
      <w:r w:rsidRPr="009A573D">
        <w:rPr>
          <w:rStyle w:val="normaltextrun"/>
          <w:rFonts w:ascii="Arial" w:hAnsi="Arial" w:cs="Arial"/>
          <w:color w:val="000000"/>
        </w:rPr>
        <w:t>We must ensure we comply with the Regulator of Social Housing’s regulatory framework and consumer standards for social housing in England; the Safety and Quality Standard is the primary one applicable to this policy.</w:t>
      </w:r>
    </w:p>
    <w:p w14:paraId="7B0C9930" w14:textId="1EC8326F" w:rsidR="00BE0359" w:rsidRPr="009A573D" w:rsidRDefault="00BE0359" w:rsidP="00BE0359">
      <w:pPr>
        <w:pStyle w:val="paragraph"/>
        <w:spacing w:before="0" w:beforeAutospacing="0" w:after="0" w:afterAutospacing="0"/>
        <w:textAlignment w:val="baseline"/>
        <w:rPr>
          <w:rFonts w:ascii="Arial" w:hAnsi="Arial" w:cs="Arial"/>
          <w:color w:val="000000"/>
          <w:sz w:val="18"/>
          <w:szCs w:val="18"/>
        </w:rPr>
      </w:pPr>
      <w:r w:rsidRPr="009A573D">
        <w:rPr>
          <w:rStyle w:val="eop"/>
          <w:rFonts w:ascii="Arial" w:hAnsi="Arial" w:cs="Arial"/>
          <w:color w:val="000000"/>
        </w:rPr>
        <w:t> </w:t>
      </w:r>
    </w:p>
    <w:p w14:paraId="2D5DB016" w14:textId="77777777" w:rsidR="00BE0359" w:rsidRDefault="00BE0359" w:rsidP="00BE0359">
      <w:pPr>
        <w:pStyle w:val="paragraph"/>
        <w:spacing w:before="0" w:beforeAutospacing="0" w:after="0" w:afterAutospacing="0"/>
        <w:textAlignment w:val="baseline"/>
        <w:rPr>
          <w:rStyle w:val="eop"/>
          <w:rFonts w:ascii="Arial" w:hAnsi="Arial" w:cs="Arial"/>
          <w:color w:val="000000"/>
        </w:rPr>
      </w:pPr>
      <w:r w:rsidRPr="009A573D">
        <w:rPr>
          <w:rStyle w:val="normaltextrun"/>
          <w:rFonts w:ascii="Arial" w:hAnsi="Arial" w:cs="Arial"/>
          <w:color w:val="000000"/>
        </w:rPr>
        <w:t>The Social Housing (Regulation) Act 2023 changes the way social housing is regulated and may result in future changes to this policy.</w:t>
      </w:r>
      <w:r w:rsidRPr="009A573D">
        <w:rPr>
          <w:rStyle w:val="eop"/>
          <w:rFonts w:ascii="Arial" w:hAnsi="Arial" w:cs="Arial"/>
          <w:color w:val="000000"/>
        </w:rPr>
        <w:t> </w:t>
      </w:r>
    </w:p>
    <w:p w14:paraId="2FB658DA" w14:textId="77777777" w:rsidR="00473EEC" w:rsidRPr="009A573D" w:rsidRDefault="00473EEC" w:rsidP="00BE0359">
      <w:pPr>
        <w:pStyle w:val="paragraph"/>
        <w:spacing w:before="0" w:beforeAutospacing="0" w:after="0" w:afterAutospacing="0"/>
        <w:textAlignment w:val="baseline"/>
        <w:rPr>
          <w:rFonts w:ascii="Arial" w:hAnsi="Arial" w:cs="Arial"/>
          <w:color w:val="000000"/>
          <w:sz w:val="18"/>
          <w:szCs w:val="18"/>
        </w:rPr>
      </w:pPr>
    </w:p>
    <w:p w14:paraId="1A67563D" w14:textId="2E03A52F" w:rsidR="00E40637" w:rsidRPr="00E40637" w:rsidRDefault="00E40637" w:rsidP="00E40637">
      <w:pPr>
        <w:pStyle w:val="Heading2"/>
      </w:pPr>
      <w:bookmarkStart w:id="9" w:name="_Toc220507344"/>
      <w:r>
        <w:t>Sanctions</w:t>
      </w:r>
      <w:bookmarkEnd w:id="9"/>
    </w:p>
    <w:p w14:paraId="482C6C7D" w14:textId="594F8214" w:rsidR="0047235A" w:rsidRDefault="00BE0359" w:rsidP="00900578">
      <w:pPr>
        <w:rPr>
          <w:rStyle w:val="normaltextrun"/>
          <w:rFonts w:cs="Arial"/>
          <w:color w:val="000000"/>
          <w:shd w:val="clear" w:color="auto" w:fill="FFFFFF"/>
        </w:rPr>
      </w:pPr>
      <w:r>
        <w:rPr>
          <w:rStyle w:val="normaltextrun"/>
          <w:rFonts w:cs="Arial"/>
          <w:color w:val="000000"/>
          <w:shd w:val="clear" w:color="auto" w:fill="FFFFFF"/>
        </w:rPr>
        <w:t>Failure to discharge our responsibilities and obligations properly could lead to sanctions, including prosecution by the Health and Safety Executive (the HSE) under the Health and Safety at Work Act 1974; prosecution under the Corporate Manslaughter and Corporate Homicide Act 2007; prosecution under any of the principal legislation listed in Section 4.1; and via a regulatory judgement from the Regulator of Social Housing</w:t>
      </w:r>
      <w:r w:rsidR="0047235A">
        <w:rPr>
          <w:rStyle w:val="normaltextrun"/>
          <w:rFonts w:cs="Arial"/>
          <w:color w:val="000000"/>
          <w:shd w:val="clear" w:color="auto" w:fill="FFFFFF"/>
        </w:rPr>
        <w:t>.</w:t>
      </w:r>
    </w:p>
    <w:p w14:paraId="772CE37B" w14:textId="638081CE" w:rsidR="00B846CB" w:rsidRPr="00B846CB" w:rsidRDefault="00E40637" w:rsidP="00C14F50">
      <w:pPr>
        <w:pStyle w:val="Heading1"/>
      </w:pPr>
      <w:bookmarkStart w:id="10" w:name="_Toc220507345"/>
      <w:r>
        <w:t>Obligations</w:t>
      </w:r>
      <w:bookmarkEnd w:id="10"/>
    </w:p>
    <w:p w14:paraId="627D6521" w14:textId="47EB2AF6" w:rsidR="00BE0359" w:rsidRDefault="00BE0359" w:rsidP="00BE0359">
      <w:pPr>
        <w:pStyle w:val="paragraph"/>
        <w:spacing w:before="0" w:beforeAutospacing="0" w:after="0" w:afterAutospacing="0"/>
        <w:textAlignment w:val="baseline"/>
        <w:rPr>
          <w:rStyle w:val="eop"/>
          <w:rFonts w:ascii="Arial" w:hAnsi="Arial" w:cs="Arial"/>
          <w:color w:val="000000"/>
        </w:rPr>
      </w:pPr>
      <w:r w:rsidRPr="00B34A16">
        <w:rPr>
          <w:rStyle w:val="normaltextrun"/>
          <w:rFonts w:ascii="Arial" w:hAnsi="Arial" w:cs="Arial"/>
          <w:color w:val="000000"/>
        </w:rPr>
        <w:t>The Housing Act 2004 requires that properties are free from Category 1 housing health and safety rating system (HHSRS) hazards; this includes electrical hazards.</w:t>
      </w:r>
    </w:p>
    <w:p w14:paraId="4AAC0423" w14:textId="77777777" w:rsidR="007871A2" w:rsidRPr="00B34A16" w:rsidRDefault="007871A2" w:rsidP="00BE0359">
      <w:pPr>
        <w:pStyle w:val="paragraph"/>
        <w:spacing w:before="0" w:beforeAutospacing="0" w:after="0" w:afterAutospacing="0"/>
        <w:textAlignment w:val="baseline"/>
        <w:rPr>
          <w:rFonts w:ascii="Arial" w:hAnsi="Arial" w:cs="Arial"/>
          <w:color w:val="000000"/>
          <w:sz w:val="18"/>
          <w:szCs w:val="18"/>
        </w:rPr>
      </w:pPr>
    </w:p>
    <w:p w14:paraId="7F9D9374" w14:textId="1F03EF29" w:rsidR="00BE0359" w:rsidRDefault="00BE0359" w:rsidP="00BE0359">
      <w:pPr>
        <w:pStyle w:val="paragraph"/>
        <w:spacing w:before="0" w:beforeAutospacing="0" w:after="0" w:afterAutospacing="0"/>
        <w:textAlignment w:val="baseline"/>
        <w:rPr>
          <w:rStyle w:val="eop"/>
          <w:rFonts w:ascii="Arial" w:hAnsi="Arial" w:cs="Arial"/>
          <w:color w:val="000000"/>
        </w:rPr>
      </w:pPr>
      <w:r w:rsidRPr="00B34A16">
        <w:rPr>
          <w:rStyle w:val="normaltextrun"/>
          <w:rFonts w:ascii="Arial" w:hAnsi="Arial" w:cs="Arial"/>
          <w:color w:val="000000"/>
        </w:rPr>
        <w:t>The Landlord and Tenant Act 1985 and the </w:t>
      </w:r>
      <w:hyperlink r:id="rId11" w:tgtFrame="_blank" w:history="1">
        <w:r w:rsidRPr="00B34A16">
          <w:rPr>
            <w:rStyle w:val="normaltextrun"/>
            <w:rFonts w:ascii="Arial" w:hAnsi="Arial" w:cs="Arial"/>
            <w:color w:val="000000"/>
          </w:rPr>
          <w:t>Homes (Fitness for Human Habitation) Act</w:t>
        </w:r>
      </w:hyperlink>
      <w:r w:rsidRPr="00B34A16">
        <w:rPr>
          <w:rStyle w:val="normaltextrun"/>
          <w:rFonts w:ascii="Arial" w:hAnsi="Arial" w:cs="Arial"/>
          <w:color w:val="000000"/>
        </w:rPr>
        <w:t> 2018 place duties on landlords to ensure that electrical installations in rented properties are:</w:t>
      </w:r>
    </w:p>
    <w:p w14:paraId="535301BB" w14:textId="77777777" w:rsidR="007871A2" w:rsidRPr="00B34A16" w:rsidRDefault="007871A2" w:rsidP="00BE0359">
      <w:pPr>
        <w:pStyle w:val="paragraph"/>
        <w:spacing w:before="0" w:beforeAutospacing="0" w:after="0" w:afterAutospacing="0"/>
        <w:textAlignment w:val="baseline"/>
        <w:rPr>
          <w:rFonts w:ascii="Arial" w:hAnsi="Arial" w:cs="Arial"/>
          <w:color w:val="000000"/>
          <w:sz w:val="18"/>
          <w:szCs w:val="18"/>
        </w:rPr>
      </w:pPr>
    </w:p>
    <w:p w14:paraId="5B2EBBA1" w14:textId="3F7570A9" w:rsidR="00BE0359" w:rsidRPr="00B34A16" w:rsidRDefault="00BE0359" w:rsidP="007871A2">
      <w:pPr>
        <w:pStyle w:val="ListBullet"/>
        <w:rPr>
          <w:szCs w:val="24"/>
        </w:rPr>
      </w:pPr>
      <w:r w:rsidRPr="00B34A16">
        <w:rPr>
          <w:rStyle w:val="normaltextrun"/>
          <w:rFonts w:cs="Arial"/>
          <w:color w:val="000000"/>
        </w:rPr>
        <w:t>Safe when a tenancy begins</w:t>
      </w:r>
    </w:p>
    <w:p w14:paraId="7C70D053" w14:textId="32F6FA40" w:rsidR="007871A2" w:rsidRPr="007871A2" w:rsidRDefault="00BE0359" w:rsidP="007871A2">
      <w:pPr>
        <w:pStyle w:val="ListBullet"/>
        <w:rPr>
          <w:rFonts w:cs="Arial"/>
          <w:color w:val="000000"/>
        </w:rPr>
      </w:pPr>
      <w:r w:rsidRPr="00B34A16">
        <w:rPr>
          <w:rStyle w:val="normaltextrun"/>
          <w:rFonts w:cs="Arial"/>
          <w:color w:val="000000"/>
        </w:rPr>
        <w:t>Maintained in a safe condition throughout the tenancy so the property is fit for habitation.</w:t>
      </w:r>
      <w:r w:rsidRPr="00B34A16">
        <w:rPr>
          <w:rStyle w:val="eop"/>
          <w:rFonts w:cs="Arial"/>
          <w:color w:val="000000"/>
        </w:rPr>
        <w:t> </w:t>
      </w:r>
    </w:p>
    <w:p w14:paraId="2AB9460E" w14:textId="77777777" w:rsidR="007871A2" w:rsidRDefault="00BE0359" w:rsidP="00BE0359">
      <w:pPr>
        <w:pStyle w:val="paragraph"/>
        <w:spacing w:before="0" w:beforeAutospacing="0" w:after="0" w:afterAutospacing="0"/>
        <w:textAlignment w:val="baseline"/>
        <w:rPr>
          <w:rStyle w:val="normaltextrun"/>
          <w:rFonts w:ascii="Arial" w:hAnsi="Arial" w:cs="Arial"/>
          <w:color w:val="000000"/>
        </w:rPr>
      </w:pPr>
      <w:r w:rsidRPr="00B34A16">
        <w:rPr>
          <w:rStyle w:val="normaltextrun"/>
          <w:rFonts w:ascii="Arial" w:hAnsi="Arial" w:cs="Arial"/>
          <w:color w:val="000000"/>
        </w:rPr>
        <w:t>To comply with these duties, electrical installations should be periodically inspected and tested. Although there is no legal requirement setting out the frequency, best practice guidance from the Electrical Safety Council and from BS7671:2018 recommends intervals of no longer than five years from the previous inspection.</w:t>
      </w:r>
    </w:p>
    <w:p w14:paraId="1488E8FB" w14:textId="372893C2" w:rsidR="00BE0359" w:rsidRPr="00B34A16" w:rsidRDefault="00BE0359" w:rsidP="00BE0359">
      <w:pPr>
        <w:pStyle w:val="paragraph"/>
        <w:spacing w:before="0" w:beforeAutospacing="0" w:after="0" w:afterAutospacing="0"/>
        <w:textAlignment w:val="baseline"/>
        <w:rPr>
          <w:rFonts w:ascii="Arial" w:hAnsi="Arial" w:cs="Arial"/>
          <w:color w:val="000000"/>
          <w:sz w:val="18"/>
          <w:szCs w:val="18"/>
        </w:rPr>
      </w:pPr>
      <w:r w:rsidRPr="00B34A16">
        <w:rPr>
          <w:rStyle w:val="eop"/>
          <w:rFonts w:ascii="Arial" w:hAnsi="Arial" w:cs="Arial"/>
          <w:color w:val="000000"/>
        </w:rPr>
        <w:t> </w:t>
      </w:r>
    </w:p>
    <w:p w14:paraId="635E9536" w14:textId="5A7202E5" w:rsidR="00BE0359" w:rsidRDefault="00BE0359" w:rsidP="00BE0359">
      <w:pPr>
        <w:pStyle w:val="paragraph"/>
        <w:spacing w:before="0" w:beforeAutospacing="0" w:after="0" w:afterAutospacing="0"/>
        <w:textAlignment w:val="baseline"/>
        <w:rPr>
          <w:rStyle w:val="eop"/>
          <w:rFonts w:ascii="Arial" w:hAnsi="Arial" w:cs="Arial"/>
          <w:color w:val="000000"/>
        </w:rPr>
      </w:pPr>
      <w:r w:rsidRPr="00B34A16">
        <w:rPr>
          <w:rStyle w:val="normaltextrun"/>
          <w:rFonts w:ascii="Arial" w:hAnsi="Arial" w:cs="Arial"/>
          <w:color w:val="000000"/>
        </w:rPr>
        <w:t xml:space="preserve">All electrical installations should be inspected and tested prior to the commencement of any new tenancies. This means that tests should be carried out whilst properties </w:t>
      </w:r>
      <w:r w:rsidRPr="00B34A16">
        <w:rPr>
          <w:rStyle w:val="normaltextrun"/>
          <w:rFonts w:ascii="Arial" w:hAnsi="Arial" w:cs="Arial"/>
          <w:color w:val="000000"/>
        </w:rPr>
        <w:lastRenderedPageBreak/>
        <w:t>are void and when mutual exchanges and transfers take place, and a satisfactory Electrical Installation Condition Report (EICR) must be issued to the resident upon moving in.</w:t>
      </w:r>
    </w:p>
    <w:p w14:paraId="2C1F6C95" w14:textId="77777777" w:rsidR="0047235A" w:rsidRPr="00B34A16" w:rsidRDefault="0047235A" w:rsidP="00BE0359">
      <w:pPr>
        <w:pStyle w:val="paragraph"/>
        <w:spacing w:before="0" w:beforeAutospacing="0" w:after="0" w:afterAutospacing="0"/>
        <w:textAlignment w:val="baseline"/>
        <w:rPr>
          <w:rFonts w:ascii="Arial" w:hAnsi="Arial" w:cs="Arial"/>
          <w:color w:val="000000"/>
          <w:sz w:val="18"/>
          <w:szCs w:val="18"/>
        </w:rPr>
      </w:pPr>
    </w:p>
    <w:p w14:paraId="3E8F2304" w14:textId="4C95677F" w:rsidR="00BE0359" w:rsidRDefault="00BE0359" w:rsidP="00BE0359">
      <w:pPr>
        <w:pStyle w:val="paragraph"/>
        <w:spacing w:before="0" w:beforeAutospacing="0" w:after="0" w:afterAutospacing="0"/>
        <w:textAlignment w:val="baseline"/>
        <w:rPr>
          <w:rStyle w:val="eop"/>
          <w:rFonts w:ascii="Arial" w:hAnsi="Arial" w:cs="Arial"/>
          <w:color w:val="000000"/>
        </w:rPr>
      </w:pPr>
      <w:r w:rsidRPr="00B34A16">
        <w:rPr>
          <w:rStyle w:val="normaltextrun"/>
          <w:rFonts w:ascii="Arial" w:hAnsi="Arial" w:cs="Arial"/>
          <w:color w:val="000000"/>
        </w:rPr>
        <w:t>The Electricity at Work Regulations 1989 places duties on employers that all electrical installations and appliances within the workplace are safe and that only competent persons work on the electrical installations, systems and equipment.</w:t>
      </w:r>
    </w:p>
    <w:p w14:paraId="77553233" w14:textId="77777777" w:rsidR="0047235A" w:rsidRPr="00B34A16" w:rsidRDefault="0047235A" w:rsidP="00BE0359">
      <w:pPr>
        <w:pStyle w:val="paragraph"/>
        <w:spacing w:before="0" w:beforeAutospacing="0" w:after="0" w:afterAutospacing="0"/>
        <w:textAlignment w:val="baseline"/>
        <w:rPr>
          <w:rFonts w:ascii="Arial" w:hAnsi="Arial" w:cs="Arial"/>
          <w:color w:val="000000"/>
          <w:sz w:val="18"/>
          <w:szCs w:val="18"/>
        </w:rPr>
      </w:pPr>
    </w:p>
    <w:p w14:paraId="143F2799" w14:textId="77777777" w:rsidR="00BE0359" w:rsidRPr="00B34A16" w:rsidRDefault="00BE0359" w:rsidP="00BE0359">
      <w:pPr>
        <w:pStyle w:val="paragraph"/>
        <w:spacing w:before="0" w:beforeAutospacing="0" w:after="0" w:afterAutospacing="0"/>
        <w:textAlignment w:val="baseline"/>
        <w:rPr>
          <w:rFonts w:ascii="Arial" w:hAnsi="Arial" w:cs="Arial"/>
          <w:color w:val="000000"/>
          <w:sz w:val="18"/>
          <w:szCs w:val="18"/>
        </w:rPr>
      </w:pPr>
      <w:r w:rsidRPr="00B34A16">
        <w:rPr>
          <w:rStyle w:val="normaltextrun"/>
          <w:rFonts w:ascii="Arial" w:hAnsi="Arial" w:cs="Arial"/>
          <w:color w:val="000000"/>
        </w:rPr>
        <w:t>The Electrical Equipment (Safety) Regulations 2016 requires landlords to ensure that any electrical appliances provided as part of a tenancy are safe when first supplied.</w:t>
      </w:r>
      <w:r w:rsidRPr="00B34A16">
        <w:rPr>
          <w:rStyle w:val="eop"/>
          <w:rFonts w:ascii="Arial" w:hAnsi="Arial" w:cs="Arial"/>
          <w:color w:val="000000"/>
        </w:rPr>
        <w:t> </w:t>
      </w:r>
    </w:p>
    <w:p w14:paraId="240F7102" w14:textId="573B7C24" w:rsidR="00E40637" w:rsidRDefault="00C307FE" w:rsidP="002F40F4">
      <w:pPr>
        <w:pStyle w:val="Heading1"/>
      </w:pPr>
      <w:bookmarkStart w:id="11" w:name="_Toc220507346"/>
      <w:r>
        <w:t>Statement of Intent</w:t>
      </w:r>
      <w:bookmarkEnd w:id="11"/>
    </w:p>
    <w:p w14:paraId="4313C2D2" w14:textId="77777777" w:rsidR="003B5089" w:rsidRDefault="005611FC" w:rsidP="005611FC">
      <w:pPr>
        <w:pStyle w:val="paragraph"/>
        <w:spacing w:before="0" w:beforeAutospacing="0" w:after="0" w:afterAutospacing="0"/>
        <w:textAlignment w:val="baseline"/>
        <w:rPr>
          <w:rStyle w:val="normaltextrun"/>
          <w:rFonts w:ascii="Arial" w:hAnsi="Arial" w:cs="Arial"/>
          <w:color w:val="000000"/>
        </w:rPr>
      </w:pPr>
      <w:r w:rsidRPr="003B5089">
        <w:rPr>
          <w:rStyle w:val="normaltextrun"/>
          <w:rFonts w:ascii="Arial" w:hAnsi="Arial" w:cs="Arial"/>
          <w:color w:val="000000"/>
        </w:rPr>
        <w:t>We acknowledge and accept our responsibilities with regards to electrical safety under the legislation and regulations, as outlined in Sections 4 and 5.</w:t>
      </w:r>
    </w:p>
    <w:p w14:paraId="7A77E0FC" w14:textId="71AF4D05" w:rsidR="005611FC" w:rsidRPr="003B5089" w:rsidRDefault="005611FC" w:rsidP="005611FC">
      <w:pPr>
        <w:pStyle w:val="paragraph"/>
        <w:spacing w:before="0" w:beforeAutospacing="0" w:after="0" w:afterAutospacing="0"/>
        <w:textAlignment w:val="baseline"/>
        <w:rPr>
          <w:rFonts w:ascii="Arial" w:hAnsi="Arial" w:cs="Arial"/>
          <w:color w:val="000000"/>
          <w:sz w:val="18"/>
          <w:szCs w:val="18"/>
        </w:rPr>
      </w:pPr>
    </w:p>
    <w:p w14:paraId="63FF1357" w14:textId="6D2ABAAA"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deliver an electrical inspection and testing programme as set out in Section 7. We will ensure that all electrical installations are in a satisfactory condition following the completion of an electrical installation inspection and test and will require the production of a condition report or other certificate which confirms that the installation is safe.</w:t>
      </w:r>
    </w:p>
    <w:p w14:paraId="34C37C57" w14:textId="77777777" w:rsidR="00D47B82" w:rsidRPr="003B5089" w:rsidRDefault="00D47B82" w:rsidP="005611FC">
      <w:pPr>
        <w:pStyle w:val="paragraph"/>
        <w:spacing w:before="0" w:beforeAutospacing="0" w:after="0" w:afterAutospacing="0"/>
        <w:textAlignment w:val="baseline"/>
        <w:rPr>
          <w:rFonts w:ascii="Arial" w:hAnsi="Arial" w:cs="Arial"/>
          <w:color w:val="000000"/>
          <w:sz w:val="18"/>
          <w:szCs w:val="18"/>
        </w:rPr>
      </w:pPr>
    </w:p>
    <w:p w14:paraId="4B95CABE" w14:textId="4A85EEEB"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ensure that a full electrical installation inspection and test is undertaken at change of occupancy (void properties, mutual exchanges and transfers), and when completing planned works within domestic properties; this will be evidenced through a satisfactory EICR or other report.</w:t>
      </w:r>
    </w:p>
    <w:p w14:paraId="16E5D226" w14:textId="77777777" w:rsidR="00D47B82" w:rsidRPr="003B5089" w:rsidRDefault="00D47B82" w:rsidP="005611FC">
      <w:pPr>
        <w:pStyle w:val="paragraph"/>
        <w:spacing w:before="0" w:beforeAutospacing="0" w:after="0" w:afterAutospacing="0"/>
        <w:textAlignment w:val="baseline"/>
        <w:rPr>
          <w:rFonts w:ascii="Arial" w:hAnsi="Arial" w:cs="Arial"/>
          <w:color w:val="000000"/>
          <w:sz w:val="18"/>
          <w:szCs w:val="18"/>
        </w:rPr>
      </w:pPr>
    </w:p>
    <w:p w14:paraId="4C8FC891" w14:textId="09BBC769"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install, test and replace (as required) battery/hard-wired smoke and carbon monoxide alarms as part of the annual gas safety check visit (or at void stage). We will ensure that all properties have a smoke alarm system.</w:t>
      </w:r>
    </w:p>
    <w:p w14:paraId="6DE28532" w14:textId="77777777" w:rsidR="00D47B82" w:rsidRPr="003B5089" w:rsidRDefault="00D47B82" w:rsidP="005611FC">
      <w:pPr>
        <w:pStyle w:val="paragraph"/>
        <w:spacing w:before="0" w:beforeAutospacing="0" w:after="0" w:afterAutospacing="0"/>
        <w:textAlignment w:val="baseline"/>
        <w:rPr>
          <w:rFonts w:ascii="Arial" w:hAnsi="Arial" w:cs="Arial"/>
          <w:color w:val="000000"/>
          <w:sz w:val="18"/>
          <w:szCs w:val="18"/>
        </w:rPr>
      </w:pPr>
    </w:p>
    <w:p w14:paraId="430E51F2" w14:textId="261CC94D"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operate a robust process if there is difficulty gaining access to a property to carry out the electrical safety check or remediation works. We will use the legal remedies available within the terms of the tenancy agreement, lease or license/controlled access in exceptional cases, provided the appropriate procedures have been followed and approval given by a Head of Service (or more senior role). Where resident vulnerability issues are known or identified, we will ensure that we safeguard the wellbeing of the resident.</w:t>
      </w:r>
    </w:p>
    <w:p w14:paraId="306C0247" w14:textId="77777777" w:rsidR="00D47B82" w:rsidRPr="003B5089" w:rsidRDefault="00D47B82" w:rsidP="005611FC">
      <w:pPr>
        <w:pStyle w:val="paragraph"/>
        <w:spacing w:before="0" w:beforeAutospacing="0" w:after="0" w:afterAutospacing="0"/>
        <w:textAlignment w:val="baseline"/>
        <w:rPr>
          <w:rFonts w:ascii="Arial" w:hAnsi="Arial" w:cs="Arial"/>
          <w:color w:val="000000"/>
          <w:sz w:val="18"/>
          <w:szCs w:val="18"/>
        </w:rPr>
      </w:pPr>
    </w:p>
    <w:p w14:paraId="176A80A4" w14:textId="3AA02BCB"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ensure that there is a robust process in place for the management of immediately dangerous situations identified from the electrical safety check.</w:t>
      </w:r>
    </w:p>
    <w:p w14:paraId="431B7A58" w14:textId="77777777" w:rsidR="00D47B82" w:rsidRPr="003B5089" w:rsidRDefault="00D47B82" w:rsidP="005611FC">
      <w:pPr>
        <w:pStyle w:val="paragraph"/>
        <w:spacing w:before="0" w:beforeAutospacing="0" w:after="0" w:afterAutospacing="0"/>
        <w:textAlignment w:val="baseline"/>
        <w:rPr>
          <w:rFonts w:ascii="Arial" w:hAnsi="Arial" w:cs="Arial"/>
          <w:color w:val="000000"/>
          <w:sz w:val="18"/>
          <w:szCs w:val="18"/>
        </w:rPr>
      </w:pPr>
    </w:p>
    <w:p w14:paraId="6BD5D13E" w14:textId="1C38151A"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operate effective contract management arrangements with the contractors responsible for delivering the service, including ensuring contracts/service level agreements are in place, conducting client-led performance meetings and ensuring that contractors’ employee and public liability insurances are up to date on an annual basis.</w:t>
      </w:r>
    </w:p>
    <w:p w14:paraId="241F8414" w14:textId="77777777" w:rsidR="00E83B5A" w:rsidRPr="003B5089" w:rsidRDefault="00E83B5A" w:rsidP="005611FC">
      <w:pPr>
        <w:pStyle w:val="paragraph"/>
        <w:spacing w:before="0" w:beforeAutospacing="0" w:after="0" w:afterAutospacing="0"/>
        <w:textAlignment w:val="baseline"/>
        <w:rPr>
          <w:rFonts w:ascii="Arial" w:hAnsi="Arial" w:cs="Arial"/>
          <w:color w:val="000000"/>
          <w:sz w:val="18"/>
          <w:szCs w:val="18"/>
        </w:rPr>
      </w:pPr>
    </w:p>
    <w:p w14:paraId="04C9242C" w14:textId="67D63B19"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operate measures to identify, manage and/or mitigate risks related to portable electrical appliances in the properties we are responsible for.</w:t>
      </w:r>
    </w:p>
    <w:p w14:paraId="1EC9A08B" w14:textId="77777777" w:rsidR="00E83B5A" w:rsidRPr="003B5089" w:rsidRDefault="00E83B5A" w:rsidP="005611FC">
      <w:pPr>
        <w:pStyle w:val="paragraph"/>
        <w:spacing w:before="0" w:beforeAutospacing="0" w:after="0" w:afterAutospacing="0"/>
        <w:textAlignment w:val="baseline"/>
        <w:rPr>
          <w:rFonts w:ascii="Arial" w:hAnsi="Arial" w:cs="Arial"/>
          <w:color w:val="000000"/>
          <w:sz w:val="18"/>
          <w:szCs w:val="18"/>
        </w:rPr>
      </w:pPr>
    </w:p>
    <w:p w14:paraId="337D6E26" w14:textId="681AABD6" w:rsidR="005611FC" w:rsidRDefault="005611FC" w:rsidP="005611FC">
      <w:pPr>
        <w:pStyle w:val="paragraph"/>
        <w:spacing w:before="0" w:beforeAutospacing="0" w:after="0" w:afterAutospacing="0"/>
        <w:textAlignment w:val="baseline"/>
        <w:rPr>
          <w:rStyle w:val="eop"/>
          <w:rFonts w:ascii="Arial" w:hAnsi="Arial" w:cs="Arial"/>
          <w:color w:val="000000"/>
        </w:rPr>
      </w:pPr>
      <w:r w:rsidRPr="003B5089">
        <w:rPr>
          <w:rStyle w:val="normaltextrun"/>
          <w:rFonts w:ascii="Arial" w:hAnsi="Arial" w:cs="Arial"/>
          <w:color w:val="000000"/>
        </w:rPr>
        <w:t>We will establish and maintain a risk assessment for electrical safety management and operations, setting out our key electrical safety risks and appropriate mitigations.</w:t>
      </w:r>
    </w:p>
    <w:p w14:paraId="2851DE9F" w14:textId="77777777" w:rsidR="00E83B5A" w:rsidRPr="003B5089" w:rsidRDefault="00E83B5A" w:rsidP="005611FC">
      <w:pPr>
        <w:pStyle w:val="paragraph"/>
        <w:spacing w:before="0" w:beforeAutospacing="0" w:after="0" w:afterAutospacing="0"/>
        <w:textAlignment w:val="baseline"/>
        <w:rPr>
          <w:rFonts w:ascii="Arial" w:hAnsi="Arial" w:cs="Arial"/>
          <w:color w:val="000000"/>
          <w:sz w:val="18"/>
          <w:szCs w:val="18"/>
        </w:rPr>
      </w:pPr>
    </w:p>
    <w:p w14:paraId="6DF76A30" w14:textId="77777777" w:rsidR="005611FC" w:rsidRPr="003B5089" w:rsidRDefault="005611FC" w:rsidP="005611FC">
      <w:pPr>
        <w:pStyle w:val="paragraph"/>
        <w:spacing w:before="0" w:beforeAutospacing="0" w:after="0" w:afterAutospacing="0"/>
        <w:textAlignment w:val="baseline"/>
        <w:rPr>
          <w:rFonts w:ascii="Arial" w:hAnsi="Arial" w:cs="Arial"/>
          <w:color w:val="000000"/>
          <w:sz w:val="18"/>
          <w:szCs w:val="18"/>
        </w:rPr>
      </w:pPr>
      <w:r w:rsidRPr="003B5089">
        <w:rPr>
          <w:rStyle w:val="normaltextrun"/>
          <w:rFonts w:ascii="Arial" w:hAnsi="Arial" w:cs="Arial"/>
          <w:color w:val="000000"/>
        </w:rPr>
        <w:t>To comply with the requirements of the Construction (Design and Management) Regulations 2015 (CDM) a Construction Phase Plan will be in place for all repairs work to void and tenanted properties (at the start of the contract and reviewed annually thereafter), component replacement and refurbishment </w:t>
      </w:r>
      <w:proofErr w:type="gramStart"/>
      <w:r w:rsidRPr="003B5089">
        <w:rPr>
          <w:rStyle w:val="normaltextrun"/>
          <w:rFonts w:ascii="Arial" w:hAnsi="Arial" w:cs="Arial"/>
          <w:color w:val="000000"/>
        </w:rPr>
        <w:t>works</w:t>
      </w:r>
      <w:proofErr w:type="gramEnd"/>
      <w:r w:rsidRPr="003B5089">
        <w:rPr>
          <w:rStyle w:val="normaltextrun"/>
          <w:rFonts w:ascii="Arial" w:hAnsi="Arial" w:cs="Arial"/>
          <w:color w:val="000000"/>
        </w:rPr>
        <w:t>.</w:t>
      </w:r>
      <w:r w:rsidRPr="003B5089">
        <w:rPr>
          <w:rStyle w:val="eop"/>
          <w:rFonts w:ascii="Arial" w:hAnsi="Arial" w:cs="Arial"/>
          <w:color w:val="000000"/>
        </w:rPr>
        <w:t> </w:t>
      </w:r>
    </w:p>
    <w:p w14:paraId="638C01FD" w14:textId="01F02799" w:rsidR="00C307FE" w:rsidRDefault="00C307FE" w:rsidP="00C307FE">
      <w:pPr>
        <w:pStyle w:val="Heading1"/>
      </w:pPr>
      <w:bookmarkStart w:id="12" w:name="_Toc220507347"/>
      <w:r>
        <w:t>Programmes</w:t>
      </w:r>
      <w:bookmarkEnd w:id="12"/>
    </w:p>
    <w:p w14:paraId="0C626673" w14:textId="7B345500" w:rsidR="005611FC" w:rsidRPr="005611FC" w:rsidRDefault="005611FC" w:rsidP="005611FC">
      <w:pPr>
        <w:rPr>
          <w:lang w:eastAsia="en-GB"/>
        </w:rPr>
      </w:pPr>
      <w:r>
        <w:rPr>
          <w:rStyle w:val="normaltextrun"/>
          <w:rFonts w:cs="Arial"/>
          <w:color w:val="000000"/>
          <w:shd w:val="clear" w:color="auto" w:fill="FFFFFF"/>
        </w:rPr>
        <w:t>We will carry out a programme of five yearly electrical installation inspections and tests to all domestic properties, communal blocks and other properties (unless the competent person recommends an earlier next test date), and this will include the issuing of a new satisfactory EICR. The date of the inspection and test is driven from the anniversary date of the most recent EICR.</w:t>
      </w:r>
      <w:r>
        <w:rPr>
          <w:rStyle w:val="eop"/>
          <w:rFonts w:cs="Arial"/>
          <w:color w:val="000000"/>
          <w:shd w:val="clear" w:color="auto" w:fill="FFFFFF"/>
        </w:rPr>
        <w:t> </w:t>
      </w:r>
    </w:p>
    <w:p w14:paraId="46EF40CF" w14:textId="432A4FAF" w:rsidR="002F40F4" w:rsidRDefault="00C307FE" w:rsidP="002F40F4">
      <w:pPr>
        <w:pStyle w:val="Heading2"/>
      </w:pPr>
      <w:bookmarkStart w:id="13" w:name="_Toc220507348"/>
      <w:r>
        <w:t>New builds and rewires</w:t>
      </w:r>
      <w:bookmarkEnd w:id="13"/>
    </w:p>
    <w:p w14:paraId="6D499815" w14:textId="03DA2046" w:rsidR="00013716" w:rsidRPr="00013716" w:rsidRDefault="00013716" w:rsidP="00013716">
      <w:pPr>
        <w:rPr>
          <w:lang w:val="en-US" w:eastAsia="en-GB"/>
        </w:rPr>
      </w:pPr>
      <w:r>
        <w:rPr>
          <w:rStyle w:val="normaltextrun"/>
          <w:rFonts w:cs="Arial"/>
          <w:color w:val="000000"/>
          <w:shd w:val="clear" w:color="auto" w:fill="FFFFFF"/>
        </w:rPr>
        <w:t>All new builds, and all properties which have had a rewire, will also receive their first electrical installation inspection and test five years after the date of installation, and every five years thereafter.</w:t>
      </w:r>
      <w:r>
        <w:rPr>
          <w:rStyle w:val="eop"/>
          <w:rFonts w:cs="Arial"/>
          <w:color w:val="000000"/>
          <w:shd w:val="clear" w:color="auto" w:fill="FFFFFF"/>
        </w:rPr>
        <w:t> </w:t>
      </w:r>
    </w:p>
    <w:p w14:paraId="15B68736" w14:textId="79CCD4D6" w:rsidR="002F40F4" w:rsidRDefault="00C307FE" w:rsidP="002F40F4">
      <w:pPr>
        <w:pStyle w:val="Heading2"/>
      </w:pPr>
      <w:bookmarkStart w:id="14" w:name="_Toc220507349"/>
      <w:r>
        <w:t>Properties managed by others</w:t>
      </w:r>
      <w:bookmarkEnd w:id="14"/>
    </w:p>
    <w:p w14:paraId="29C7C994" w14:textId="01C06590" w:rsidR="00814FBF" w:rsidRDefault="00013716" w:rsidP="00814FBF">
      <w:pPr>
        <w:rPr>
          <w:rStyle w:val="normaltextrun"/>
          <w:rFonts w:cs="Arial"/>
          <w:color w:val="000000"/>
          <w:shd w:val="clear" w:color="auto" w:fill="FFFFFF"/>
        </w:rPr>
      </w:pPr>
      <w:r>
        <w:rPr>
          <w:rStyle w:val="normaltextrun"/>
          <w:rFonts w:cs="Arial"/>
          <w:color w:val="000000"/>
          <w:shd w:val="clear" w:color="auto" w:fill="FFFFFF"/>
        </w:rPr>
        <w:t>We will obtain EICRs where our properties are managed by a third party. If the third party does not provide the EICR, we will carry out the inspection and obtain the EICR, and re-charge them for the cost of this work.</w:t>
      </w:r>
    </w:p>
    <w:p w14:paraId="2FCF051D" w14:textId="77777777" w:rsidR="002F3459" w:rsidRDefault="00C307FE" w:rsidP="002F40F4">
      <w:pPr>
        <w:pStyle w:val="Heading1"/>
        <w:rPr>
          <w:lang w:val="en-US"/>
        </w:rPr>
      </w:pPr>
      <w:bookmarkStart w:id="15" w:name="_Toc220507350"/>
      <w:r w:rsidRPr="002F3459">
        <w:rPr>
          <w:lang w:val="en-US"/>
        </w:rPr>
        <w:t>Follow</w:t>
      </w:r>
      <w:r w:rsidR="0086146B" w:rsidRPr="002F3459">
        <w:rPr>
          <w:lang w:val="en-US"/>
        </w:rPr>
        <w:t>-up Work</w:t>
      </w:r>
      <w:bookmarkEnd w:id="15"/>
    </w:p>
    <w:p w14:paraId="7680771E" w14:textId="6D19DA21" w:rsidR="002F3459" w:rsidRDefault="002F3459" w:rsidP="002F3459">
      <w:pPr>
        <w:pStyle w:val="paragraph"/>
        <w:spacing w:before="0" w:beforeAutospacing="0" w:after="0" w:afterAutospacing="0"/>
        <w:textAlignment w:val="baseline"/>
        <w:rPr>
          <w:rStyle w:val="eop"/>
          <w:rFonts w:ascii="Arial" w:hAnsi="Arial" w:cs="Arial"/>
          <w:color w:val="000000"/>
        </w:rPr>
      </w:pPr>
      <w:r w:rsidRPr="006B4C52">
        <w:rPr>
          <w:rStyle w:val="normaltextrun"/>
          <w:rFonts w:ascii="Arial" w:hAnsi="Arial" w:cs="Arial"/>
          <w:color w:val="000000"/>
        </w:rPr>
        <w:t>We will endeavour to repair all Code 1 (C1) and Code 2 (C2) defects identified by an electrical installation inspection and test at the time of the check, to produce a satisfactory EICR. Where this is not possible, we will make the installation safe and return to complete the required remediation works within 28 days to ensure a satisfactory EICR is produced.</w:t>
      </w:r>
    </w:p>
    <w:p w14:paraId="7C4825A3" w14:textId="77777777" w:rsidR="006B4C52" w:rsidRPr="006B4C52" w:rsidRDefault="006B4C52" w:rsidP="002F3459">
      <w:pPr>
        <w:pStyle w:val="paragraph"/>
        <w:spacing w:before="0" w:beforeAutospacing="0" w:after="0" w:afterAutospacing="0"/>
        <w:textAlignment w:val="baseline"/>
        <w:rPr>
          <w:rFonts w:ascii="Arial" w:hAnsi="Arial" w:cs="Arial"/>
          <w:color w:val="000000"/>
          <w:sz w:val="18"/>
          <w:szCs w:val="18"/>
        </w:rPr>
      </w:pPr>
    </w:p>
    <w:p w14:paraId="75CE8396" w14:textId="77777777" w:rsidR="006B4C52" w:rsidRDefault="002F3459" w:rsidP="002F3459">
      <w:pPr>
        <w:pStyle w:val="paragraph"/>
        <w:spacing w:before="0" w:beforeAutospacing="0" w:after="0" w:afterAutospacing="0"/>
        <w:textAlignment w:val="baseline"/>
        <w:rPr>
          <w:rStyle w:val="normaltextrun"/>
          <w:rFonts w:ascii="Arial" w:hAnsi="Arial" w:cs="Arial"/>
          <w:color w:val="000000"/>
        </w:rPr>
      </w:pPr>
      <w:r w:rsidRPr="006B4C52">
        <w:rPr>
          <w:rStyle w:val="normaltextrun"/>
          <w:rFonts w:ascii="Arial" w:hAnsi="Arial" w:cs="Arial"/>
          <w:color w:val="000000"/>
        </w:rPr>
        <w:t>Where any C1 and C2 defects have been repaired, they will be recorded on the satisfactory EICR to provide an audit of the work completed.</w:t>
      </w:r>
    </w:p>
    <w:p w14:paraId="3966C1AB" w14:textId="0E9B1598" w:rsidR="002F3459" w:rsidRPr="006B4C52" w:rsidRDefault="002F3459" w:rsidP="002F3459">
      <w:pPr>
        <w:pStyle w:val="paragraph"/>
        <w:spacing w:before="0" w:beforeAutospacing="0" w:after="0" w:afterAutospacing="0"/>
        <w:textAlignment w:val="baseline"/>
        <w:rPr>
          <w:rFonts w:ascii="Arial" w:hAnsi="Arial" w:cs="Arial"/>
          <w:color w:val="000000"/>
          <w:sz w:val="18"/>
          <w:szCs w:val="18"/>
        </w:rPr>
      </w:pPr>
    </w:p>
    <w:p w14:paraId="36209C0E" w14:textId="77777777" w:rsidR="002F3459" w:rsidRPr="006B4C52" w:rsidRDefault="002F3459" w:rsidP="002F3459">
      <w:pPr>
        <w:pStyle w:val="paragraph"/>
        <w:spacing w:before="0" w:beforeAutospacing="0" w:after="0" w:afterAutospacing="0"/>
        <w:textAlignment w:val="baseline"/>
        <w:rPr>
          <w:rFonts w:ascii="Arial" w:hAnsi="Arial" w:cs="Arial"/>
          <w:color w:val="000000"/>
          <w:sz w:val="18"/>
          <w:szCs w:val="18"/>
        </w:rPr>
      </w:pPr>
      <w:r w:rsidRPr="006B4C52">
        <w:rPr>
          <w:rStyle w:val="normaltextrun"/>
          <w:rFonts w:ascii="Arial" w:hAnsi="Arial" w:cs="Arial"/>
          <w:color w:val="000000"/>
        </w:rPr>
        <w:t>We will review all Code 3 (C3) and Further Investigation observations and determine and take the most appropriate course of action.</w:t>
      </w:r>
      <w:r w:rsidRPr="006B4C52">
        <w:rPr>
          <w:rStyle w:val="eop"/>
          <w:rFonts w:ascii="Arial" w:hAnsi="Arial" w:cs="Arial"/>
          <w:color w:val="000000"/>
        </w:rPr>
        <w:t> </w:t>
      </w:r>
    </w:p>
    <w:p w14:paraId="15A97465" w14:textId="2857150B" w:rsidR="002F40F4" w:rsidRDefault="0086146B" w:rsidP="002F40F4">
      <w:pPr>
        <w:pStyle w:val="Heading1"/>
        <w:rPr>
          <w:lang w:val="en-US"/>
        </w:rPr>
      </w:pPr>
      <w:bookmarkStart w:id="16" w:name="_Toc220507351"/>
      <w:r w:rsidRPr="002F3459">
        <w:rPr>
          <w:lang w:val="en-US"/>
        </w:rPr>
        <w:t>Data and Records</w:t>
      </w:r>
      <w:bookmarkEnd w:id="16"/>
    </w:p>
    <w:p w14:paraId="7794C171" w14:textId="339CF5FF" w:rsidR="002F3459" w:rsidRPr="00B14528" w:rsidRDefault="002F3459" w:rsidP="002F3459">
      <w:pPr>
        <w:pStyle w:val="paragraph"/>
        <w:spacing w:before="0" w:beforeAutospacing="0" w:after="0" w:afterAutospacing="0"/>
        <w:textAlignment w:val="baseline"/>
        <w:rPr>
          <w:rFonts w:ascii="Arial" w:hAnsi="Arial" w:cs="Arial"/>
          <w:color w:val="000000"/>
          <w:sz w:val="18"/>
          <w:szCs w:val="18"/>
        </w:rPr>
      </w:pPr>
      <w:r w:rsidRPr="00B14528">
        <w:rPr>
          <w:rStyle w:val="normaltextrun"/>
          <w:rFonts w:ascii="Arial" w:hAnsi="Arial" w:cs="Arial"/>
          <w:color w:val="000000"/>
        </w:rPr>
        <w:t>We will maintain a core asset register of all properties we own or manage, with component/attribute data against each property to show electrical safety testing and inspection requirements.</w:t>
      </w:r>
      <w:r w:rsidRPr="00B14528">
        <w:rPr>
          <w:rStyle w:val="eop"/>
          <w:rFonts w:ascii="Arial" w:hAnsi="Arial" w:cs="Arial"/>
          <w:color w:val="000000"/>
        </w:rPr>
        <w:t> </w:t>
      </w:r>
    </w:p>
    <w:p w14:paraId="20CDF900" w14:textId="77777777" w:rsidR="002F3459" w:rsidRPr="00B14528" w:rsidRDefault="002F3459" w:rsidP="002F3459">
      <w:pPr>
        <w:pStyle w:val="paragraph"/>
        <w:spacing w:before="0" w:beforeAutospacing="0" w:after="0" w:afterAutospacing="0"/>
        <w:textAlignment w:val="baseline"/>
        <w:rPr>
          <w:rFonts w:ascii="Arial" w:hAnsi="Arial" w:cs="Arial"/>
          <w:color w:val="000000"/>
          <w:sz w:val="18"/>
          <w:szCs w:val="18"/>
        </w:rPr>
      </w:pPr>
      <w:r w:rsidRPr="00B14528">
        <w:rPr>
          <w:rStyle w:val="normaltextrun"/>
          <w:rFonts w:ascii="Arial" w:hAnsi="Arial" w:cs="Arial"/>
          <w:color w:val="000000"/>
        </w:rPr>
        <w:t>We will operate a robust process to manage all changes to stock, including property acquisitions and disposals, to ensure that properties are not omitted from the electrical safety programme and the programme remains up to date.</w:t>
      </w:r>
      <w:r w:rsidRPr="00B14528">
        <w:rPr>
          <w:rStyle w:val="eop"/>
          <w:rFonts w:ascii="Arial" w:hAnsi="Arial" w:cs="Arial"/>
          <w:color w:val="000000"/>
        </w:rPr>
        <w:t> </w:t>
      </w:r>
    </w:p>
    <w:p w14:paraId="18D62CAD" w14:textId="77777777" w:rsidR="002F3459" w:rsidRPr="00B14528" w:rsidRDefault="002F3459" w:rsidP="002F3459">
      <w:pPr>
        <w:pStyle w:val="paragraph"/>
        <w:spacing w:before="0" w:beforeAutospacing="0" w:after="0" w:afterAutospacing="0"/>
        <w:textAlignment w:val="baseline"/>
        <w:rPr>
          <w:rStyle w:val="eop"/>
          <w:rFonts w:ascii="Arial" w:hAnsi="Arial" w:cs="Arial"/>
          <w:color w:val="000000"/>
        </w:rPr>
      </w:pPr>
      <w:r w:rsidRPr="00B14528">
        <w:rPr>
          <w:rStyle w:val="normaltextrun"/>
          <w:rFonts w:ascii="Arial" w:hAnsi="Arial" w:cs="Arial"/>
          <w:color w:val="000000"/>
        </w:rPr>
        <w:t>We will maintain accurate records, against each property we own and/or manage, of the following:</w:t>
      </w:r>
      <w:r w:rsidRPr="00B14528">
        <w:rPr>
          <w:rStyle w:val="eop"/>
          <w:rFonts w:ascii="Arial" w:hAnsi="Arial" w:cs="Arial"/>
          <w:color w:val="000000"/>
        </w:rPr>
        <w:t> </w:t>
      </w:r>
    </w:p>
    <w:p w14:paraId="06EA9801" w14:textId="77777777" w:rsidR="00B14528" w:rsidRPr="00B14528" w:rsidRDefault="00B14528" w:rsidP="002F3459">
      <w:pPr>
        <w:pStyle w:val="paragraph"/>
        <w:spacing w:before="0" w:beforeAutospacing="0" w:after="0" w:afterAutospacing="0"/>
        <w:textAlignment w:val="baseline"/>
        <w:rPr>
          <w:rFonts w:ascii="Arial" w:hAnsi="Arial" w:cs="Arial"/>
          <w:color w:val="000000"/>
          <w:sz w:val="18"/>
          <w:szCs w:val="18"/>
        </w:rPr>
      </w:pPr>
    </w:p>
    <w:p w14:paraId="6B7C9ABF" w14:textId="77777777" w:rsidR="002F3459" w:rsidRPr="00B14528" w:rsidRDefault="002F3459" w:rsidP="00B14528">
      <w:pPr>
        <w:pStyle w:val="ListBullet"/>
        <w:rPr>
          <w:szCs w:val="24"/>
        </w:rPr>
      </w:pPr>
      <w:r w:rsidRPr="00B14528">
        <w:rPr>
          <w:rStyle w:val="normaltextrun"/>
          <w:rFonts w:cs="Arial"/>
          <w:color w:val="000000"/>
        </w:rPr>
        <w:t>Inspection dates.</w:t>
      </w:r>
      <w:r w:rsidRPr="00B14528">
        <w:rPr>
          <w:rStyle w:val="eop"/>
          <w:rFonts w:cs="Arial"/>
          <w:color w:val="000000"/>
        </w:rPr>
        <w:t> </w:t>
      </w:r>
    </w:p>
    <w:p w14:paraId="2649908B" w14:textId="77777777" w:rsidR="002F3459" w:rsidRPr="00B14528" w:rsidRDefault="002F3459" w:rsidP="00B14528">
      <w:pPr>
        <w:pStyle w:val="ListBullet"/>
      </w:pPr>
      <w:r w:rsidRPr="00B14528">
        <w:rPr>
          <w:rStyle w:val="normaltextrun"/>
          <w:rFonts w:cs="Arial"/>
          <w:color w:val="000000"/>
        </w:rPr>
        <w:t>EICRs.</w:t>
      </w:r>
      <w:r w:rsidRPr="00B14528">
        <w:rPr>
          <w:rStyle w:val="eop"/>
          <w:rFonts w:cs="Arial"/>
          <w:color w:val="000000"/>
        </w:rPr>
        <w:t> </w:t>
      </w:r>
    </w:p>
    <w:p w14:paraId="6F3AE169" w14:textId="77777777" w:rsidR="002F3459" w:rsidRPr="00B14528" w:rsidRDefault="002F3459" w:rsidP="00B14528">
      <w:pPr>
        <w:pStyle w:val="ListBullet"/>
      </w:pPr>
      <w:r w:rsidRPr="00B14528">
        <w:rPr>
          <w:rStyle w:val="normaltextrun"/>
          <w:rFonts w:cs="Arial"/>
          <w:color w:val="000000"/>
        </w:rPr>
        <w:lastRenderedPageBreak/>
        <w:t>Minor Electrical Works Certificates and Building Regulation Part P notifications associated with remedial works.</w:t>
      </w:r>
      <w:r w:rsidRPr="00B14528">
        <w:rPr>
          <w:rStyle w:val="eop"/>
          <w:rFonts w:cs="Arial"/>
          <w:color w:val="000000"/>
        </w:rPr>
        <w:t> </w:t>
      </w:r>
    </w:p>
    <w:p w14:paraId="5D1E71CE" w14:textId="57CB9B1B" w:rsidR="00B14528" w:rsidRDefault="002F3459" w:rsidP="006B4C52">
      <w:pPr>
        <w:pStyle w:val="ListBullet"/>
        <w:rPr>
          <w:rStyle w:val="eop"/>
          <w:rFonts w:cs="Arial"/>
          <w:color w:val="000000"/>
        </w:rPr>
      </w:pPr>
      <w:r w:rsidRPr="00B14528">
        <w:rPr>
          <w:rStyle w:val="normaltextrun"/>
          <w:rFonts w:cs="Arial"/>
          <w:color w:val="000000"/>
        </w:rPr>
        <w:t>Electrical Installation Certificates.</w:t>
      </w:r>
      <w:r w:rsidRPr="00B14528">
        <w:rPr>
          <w:rStyle w:val="eop"/>
          <w:rFonts w:cs="Arial"/>
          <w:color w:val="000000"/>
        </w:rPr>
        <w:t> </w:t>
      </w:r>
    </w:p>
    <w:p w14:paraId="5B35EC13" w14:textId="77777777" w:rsidR="006B4C52" w:rsidRPr="006B4C52" w:rsidRDefault="006B4C52" w:rsidP="006B4C52">
      <w:pPr>
        <w:pStyle w:val="ListBullet"/>
        <w:numPr>
          <w:ilvl w:val="0"/>
          <w:numId w:val="0"/>
        </w:numPr>
        <w:rPr>
          <w:rFonts w:cs="Arial"/>
          <w:color w:val="000000"/>
        </w:rPr>
      </w:pPr>
    </w:p>
    <w:p w14:paraId="2828A7C7" w14:textId="77777777" w:rsidR="006B4C52" w:rsidRDefault="002F3459" w:rsidP="002F3459">
      <w:pPr>
        <w:pStyle w:val="paragraph"/>
        <w:spacing w:before="0" w:beforeAutospacing="0" w:after="0" w:afterAutospacing="0"/>
        <w:textAlignment w:val="baseline"/>
        <w:rPr>
          <w:rStyle w:val="normaltextrun"/>
          <w:rFonts w:ascii="Arial" w:hAnsi="Arial" w:cs="Arial"/>
          <w:color w:val="000000"/>
        </w:rPr>
      </w:pPr>
      <w:r w:rsidRPr="00B14528">
        <w:rPr>
          <w:rStyle w:val="normaltextrun"/>
          <w:rFonts w:ascii="Arial" w:hAnsi="Arial" w:cs="Arial"/>
          <w:color w:val="000000"/>
        </w:rPr>
        <w:t>We will hold these in the Northgate system.</w:t>
      </w:r>
    </w:p>
    <w:p w14:paraId="62EA1299" w14:textId="3AB9485F" w:rsidR="002F3459" w:rsidRPr="00B14528" w:rsidRDefault="002F3459" w:rsidP="002F3459">
      <w:pPr>
        <w:pStyle w:val="paragraph"/>
        <w:spacing w:before="0" w:beforeAutospacing="0" w:after="0" w:afterAutospacing="0"/>
        <w:textAlignment w:val="baseline"/>
        <w:rPr>
          <w:rFonts w:ascii="Arial" w:hAnsi="Arial" w:cs="Arial"/>
          <w:color w:val="000000"/>
          <w:sz w:val="18"/>
          <w:szCs w:val="18"/>
        </w:rPr>
      </w:pPr>
    </w:p>
    <w:p w14:paraId="48D87503" w14:textId="77777777" w:rsidR="002F3459" w:rsidRPr="00B14528" w:rsidRDefault="002F3459" w:rsidP="002F3459">
      <w:pPr>
        <w:pStyle w:val="paragraph"/>
        <w:spacing w:before="0" w:beforeAutospacing="0" w:after="0" w:afterAutospacing="0"/>
        <w:textAlignment w:val="baseline"/>
        <w:rPr>
          <w:rFonts w:ascii="Arial" w:hAnsi="Arial" w:cs="Arial"/>
          <w:color w:val="000000"/>
          <w:sz w:val="18"/>
          <w:szCs w:val="18"/>
        </w:rPr>
      </w:pPr>
      <w:r w:rsidRPr="00B14528">
        <w:rPr>
          <w:rStyle w:val="normaltextrun"/>
          <w:rFonts w:ascii="Arial" w:hAnsi="Arial" w:cs="Arial"/>
          <w:color w:val="000000"/>
        </w:rPr>
        <w:t>We will keep all records and data for a minimum of ten years and for the duration that we own and manage the property. We will keep at least the two most recent EICR records or certificates outlined above. We will have robust processes and controls in place to maintain appropriate levels of security for all electrical safety related data.</w:t>
      </w:r>
      <w:r w:rsidRPr="00B14528">
        <w:rPr>
          <w:rStyle w:val="eop"/>
          <w:rFonts w:ascii="Arial" w:hAnsi="Arial" w:cs="Arial"/>
          <w:color w:val="000000"/>
        </w:rPr>
        <w:t> </w:t>
      </w:r>
    </w:p>
    <w:p w14:paraId="2D145759" w14:textId="3DF69475" w:rsidR="002F40F4" w:rsidRDefault="0086146B" w:rsidP="002F40F4">
      <w:pPr>
        <w:pStyle w:val="Heading1"/>
        <w:rPr>
          <w:lang w:val="en-US"/>
        </w:rPr>
      </w:pPr>
      <w:bookmarkStart w:id="17" w:name="_Toc220507352"/>
      <w:r>
        <w:rPr>
          <w:lang w:val="en-US"/>
        </w:rPr>
        <w:t>Resident Engagement</w:t>
      </w:r>
      <w:bookmarkEnd w:id="17"/>
    </w:p>
    <w:p w14:paraId="7ABE858E" w14:textId="59E74F5B" w:rsidR="00236E5F" w:rsidRDefault="00236E5F" w:rsidP="00236E5F">
      <w:pPr>
        <w:pStyle w:val="paragraph"/>
        <w:spacing w:before="0" w:beforeAutospacing="0" w:after="0" w:afterAutospacing="0"/>
        <w:textAlignment w:val="baseline"/>
        <w:rPr>
          <w:rStyle w:val="eop"/>
          <w:rFonts w:ascii="Arial" w:hAnsi="Arial" w:cs="Arial"/>
          <w:color w:val="000000"/>
        </w:rPr>
      </w:pPr>
      <w:r w:rsidRPr="0004750C">
        <w:rPr>
          <w:rStyle w:val="normaltextrun"/>
          <w:rFonts w:ascii="Arial" w:hAnsi="Arial" w:cs="Arial"/>
          <w:color w:val="000000"/>
        </w:rPr>
        <w:t>We consider good communication essential in the effective delivery of electrical safety </w:t>
      </w:r>
      <w:proofErr w:type="gramStart"/>
      <w:r w:rsidRPr="0004750C">
        <w:rPr>
          <w:rStyle w:val="normaltextrun"/>
          <w:rFonts w:ascii="Arial" w:hAnsi="Arial" w:cs="Arial"/>
          <w:color w:val="000000"/>
        </w:rPr>
        <w:t>programmes,</w:t>
      </w:r>
      <w:proofErr w:type="gramEnd"/>
      <w:r w:rsidRPr="0004750C">
        <w:rPr>
          <w:rStyle w:val="normaltextrun"/>
          <w:rFonts w:ascii="Arial" w:hAnsi="Arial" w:cs="Arial"/>
          <w:color w:val="000000"/>
        </w:rPr>
        <w:t> therefore we will establish a resident engagement strategy and communication programme to support residents in their understanding of electrical safety.</w:t>
      </w:r>
    </w:p>
    <w:p w14:paraId="3165425D" w14:textId="77777777" w:rsidR="00B14528" w:rsidRPr="0004750C" w:rsidRDefault="00B14528" w:rsidP="00236E5F">
      <w:pPr>
        <w:pStyle w:val="paragraph"/>
        <w:spacing w:before="0" w:beforeAutospacing="0" w:after="0" w:afterAutospacing="0"/>
        <w:textAlignment w:val="baseline"/>
        <w:rPr>
          <w:rFonts w:ascii="Arial" w:hAnsi="Arial" w:cs="Arial"/>
          <w:color w:val="000000"/>
          <w:sz w:val="18"/>
          <w:szCs w:val="18"/>
        </w:rPr>
      </w:pPr>
    </w:p>
    <w:p w14:paraId="7A169018" w14:textId="6BF2B499" w:rsidR="00236E5F" w:rsidRDefault="00236E5F" w:rsidP="00236E5F">
      <w:pPr>
        <w:pStyle w:val="paragraph"/>
        <w:spacing w:before="0" w:beforeAutospacing="0" w:after="0" w:afterAutospacing="0"/>
        <w:textAlignment w:val="baseline"/>
        <w:rPr>
          <w:rStyle w:val="normaltextrun"/>
          <w:rFonts w:ascii="Arial" w:hAnsi="Arial" w:cs="Arial"/>
          <w:color w:val="000000"/>
        </w:rPr>
      </w:pPr>
      <w:r w:rsidRPr="0004750C">
        <w:rPr>
          <w:rStyle w:val="normaltextrun"/>
          <w:rFonts w:ascii="Arial" w:hAnsi="Arial" w:cs="Arial"/>
          <w:color w:val="000000"/>
        </w:rPr>
        <w:t>This will assist us in maximising access to carry out electrical inspections, encourage and support residents to report any concerns about electrical safety, and help us to engage with vulnerable and hard to reach residents</w:t>
      </w:r>
      <w:r w:rsidR="00B14528">
        <w:rPr>
          <w:rStyle w:val="normaltextrun"/>
          <w:rFonts w:ascii="Arial" w:hAnsi="Arial" w:cs="Arial"/>
          <w:color w:val="000000"/>
        </w:rPr>
        <w:t>.</w:t>
      </w:r>
    </w:p>
    <w:p w14:paraId="05997A3A" w14:textId="77777777" w:rsidR="00B14528" w:rsidRPr="0004750C" w:rsidRDefault="00B14528" w:rsidP="00236E5F">
      <w:pPr>
        <w:pStyle w:val="paragraph"/>
        <w:spacing w:before="0" w:beforeAutospacing="0" w:after="0" w:afterAutospacing="0"/>
        <w:textAlignment w:val="baseline"/>
        <w:rPr>
          <w:rFonts w:ascii="Arial" w:hAnsi="Arial" w:cs="Arial"/>
          <w:color w:val="000000"/>
          <w:sz w:val="18"/>
          <w:szCs w:val="18"/>
        </w:rPr>
      </w:pPr>
    </w:p>
    <w:p w14:paraId="4EA2DE21" w14:textId="77777777" w:rsidR="00236E5F" w:rsidRPr="0004750C" w:rsidRDefault="00236E5F" w:rsidP="00236E5F">
      <w:pPr>
        <w:pStyle w:val="paragraph"/>
        <w:spacing w:before="0" w:beforeAutospacing="0" w:after="0" w:afterAutospacing="0"/>
        <w:textAlignment w:val="baseline"/>
        <w:rPr>
          <w:rFonts w:ascii="Arial" w:hAnsi="Arial" w:cs="Arial"/>
          <w:color w:val="000000"/>
          <w:sz w:val="18"/>
          <w:szCs w:val="18"/>
        </w:rPr>
      </w:pPr>
      <w:r w:rsidRPr="0004750C">
        <w:rPr>
          <w:rStyle w:val="normaltextrun"/>
          <w:rFonts w:ascii="Arial" w:hAnsi="Arial" w:cs="Arial"/>
          <w:color w:val="000000"/>
        </w:rPr>
        <w:t>We will share information clearly and transparently and will ensure that information is available to residents via regular publications and information on our website.</w:t>
      </w:r>
      <w:r w:rsidRPr="0004750C">
        <w:rPr>
          <w:rStyle w:val="eop"/>
          <w:rFonts w:ascii="Arial" w:hAnsi="Arial" w:cs="Arial"/>
          <w:color w:val="000000"/>
        </w:rPr>
        <w:t> </w:t>
      </w:r>
    </w:p>
    <w:p w14:paraId="1D70A498" w14:textId="190EAD2C" w:rsidR="002F40F4" w:rsidRDefault="0086146B" w:rsidP="002F40F4">
      <w:pPr>
        <w:pStyle w:val="Heading1"/>
        <w:rPr>
          <w:lang w:val="en-US"/>
        </w:rPr>
      </w:pPr>
      <w:bookmarkStart w:id="18" w:name="_Toc220507353"/>
      <w:r>
        <w:rPr>
          <w:lang w:val="en-US"/>
        </w:rPr>
        <w:t>Competent Persons</w:t>
      </w:r>
      <w:bookmarkEnd w:id="18"/>
    </w:p>
    <w:p w14:paraId="6C35F4F9" w14:textId="77777777" w:rsidR="0004750C" w:rsidRDefault="00236E5F" w:rsidP="00236E5F">
      <w:pPr>
        <w:pStyle w:val="paragraph"/>
        <w:spacing w:before="0" w:beforeAutospacing="0" w:after="0" w:afterAutospacing="0"/>
        <w:textAlignment w:val="baseline"/>
        <w:rPr>
          <w:rStyle w:val="normaltextrun"/>
          <w:rFonts w:ascii="Arial" w:hAnsi="Arial" w:cs="Arial"/>
          <w:color w:val="000000"/>
        </w:rPr>
      </w:pPr>
      <w:r w:rsidRPr="0004750C">
        <w:rPr>
          <w:rStyle w:val="normaltextrun"/>
          <w:rFonts w:ascii="Arial" w:hAnsi="Arial" w:cs="Arial"/>
          <w:color w:val="000000"/>
        </w:rPr>
        <w:t>The operational lead will hold the Level 4 VRQ in Electrical Safety Management or Level 4 VRQ Diploma in Asset and Building Management (or equivalent).</w:t>
      </w:r>
    </w:p>
    <w:p w14:paraId="6424830B" w14:textId="4138C08B" w:rsidR="00236E5F" w:rsidRPr="0004750C" w:rsidRDefault="00236E5F" w:rsidP="00236E5F">
      <w:pPr>
        <w:pStyle w:val="paragraph"/>
        <w:spacing w:before="0" w:beforeAutospacing="0" w:after="0" w:afterAutospacing="0"/>
        <w:textAlignment w:val="baseline"/>
        <w:rPr>
          <w:rFonts w:ascii="Arial" w:hAnsi="Arial" w:cs="Arial"/>
          <w:color w:val="000000"/>
          <w:sz w:val="18"/>
          <w:szCs w:val="18"/>
        </w:rPr>
      </w:pPr>
    </w:p>
    <w:p w14:paraId="67C41EDA" w14:textId="6D03DE7A" w:rsidR="00236E5F" w:rsidRDefault="00236E5F" w:rsidP="00236E5F">
      <w:pPr>
        <w:pStyle w:val="paragraph"/>
        <w:spacing w:before="0" w:beforeAutospacing="0" w:after="0" w:afterAutospacing="0"/>
        <w:textAlignment w:val="baseline"/>
        <w:rPr>
          <w:rStyle w:val="eop"/>
          <w:rFonts w:ascii="Arial" w:hAnsi="Arial" w:cs="Arial"/>
          <w:color w:val="000000"/>
        </w:rPr>
      </w:pPr>
      <w:r w:rsidRPr="0004750C">
        <w:rPr>
          <w:rStyle w:val="normaltextrun"/>
          <w:rFonts w:ascii="Arial" w:hAnsi="Arial" w:cs="Arial"/>
          <w:color w:val="000000"/>
        </w:rPr>
        <w:t>Only suitably competent NICEIC (or equivalent) electrical contractors and operatives will undertake electrical works on our behalf.</w:t>
      </w:r>
    </w:p>
    <w:p w14:paraId="2F3FDAE0" w14:textId="77777777" w:rsidR="0004750C" w:rsidRPr="0004750C" w:rsidRDefault="0004750C" w:rsidP="00236E5F">
      <w:pPr>
        <w:pStyle w:val="paragraph"/>
        <w:spacing w:before="0" w:beforeAutospacing="0" w:after="0" w:afterAutospacing="0"/>
        <w:textAlignment w:val="baseline"/>
        <w:rPr>
          <w:rFonts w:ascii="Arial" w:hAnsi="Arial" w:cs="Arial"/>
          <w:color w:val="000000"/>
          <w:sz w:val="18"/>
          <w:szCs w:val="18"/>
        </w:rPr>
      </w:pPr>
    </w:p>
    <w:p w14:paraId="69E07393" w14:textId="393F5CBA" w:rsidR="00236E5F" w:rsidRDefault="00236E5F" w:rsidP="00236E5F">
      <w:pPr>
        <w:pStyle w:val="paragraph"/>
        <w:spacing w:before="0" w:beforeAutospacing="0" w:after="0" w:afterAutospacing="0"/>
        <w:textAlignment w:val="baseline"/>
        <w:rPr>
          <w:rStyle w:val="eop"/>
          <w:rFonts w:ascii="Arial" w:hAnsi="Arial" w:cs="Arial"/>
          <w:color w:val="000000"/>
        </w:rPr>
      </w:pPr>
      <w:r w:rsidRPr="0004750C">
        <w:rPr>
          <w:rStyle w:val="normaltextrun"/>
          <w:rFonts w:ascii="Arial" w:hAnsi="Arial" w:cs="Arial"/>
          <w:color w:val="000000"/>
        </w:rPr>
        <w:t>Only suitably competent NICEIC (or equivalent) third party technical auditors will undertake quality assurance checks.</w:t>
      </w:r>
    </w:p>
    <w:p w14:paraId="629E7817" w14:textId="77777777" w:rsidR="0004750C" w:rsidRPr="0004750C" w:rsidRDefault="0004750C" w:rsidP="00236E5F">
      <w:pPr>
        <w:pStyle w:val="paragraph"/>
        <w:spacing w:before="0" w:beforeAutospacing="0" w:after="0" w:afterAutospacing="0"/>
        <w:textAlignment w:val="baseline"/>
        <w:rPr>
          <w:rFonts w:ascii="Arial" w:hAnsi="Arial" w:cs="Arial"/>
          <w:color w:val="000000"/>
          <w:sz w:val="18"/>
          <w:szCs w:val="18"/>
        </w:rPr>
      </w:pPr>
    </w:p>
    <w:p w14:paraId="62BEBB32" w14:textId="77777777" w:rsidR="00236E5F" w:rsidRPr="0004750C" w:rsidRDefault="00236E5F" w:rsidP="00236E5F">
      <w:pPr>
        <w:pStyle w:val="paragraph"/>
        <w:spacing w:before="0" w:beforeAutospacing="0" w:after="0" w:afterAutospacing="0"/>
        <w:textAlignment w:val="baseline"/>
        <w:rPr>
          <w:rFonts w:ascii="Arial" w:hAnsi="Arial" w:cs="Arial"/>
          <w:color w:val="000000"/>
          <w:sz w:val="18"/>
          <w:szCs w:val="18"/>
        </w:rPr>
      </w:pPr>
      <w:r w:rsidRPr="0004750C">
        <w:rPr>
          <w:rStyle w:val="normaltextrun"/>
          <w:rFonts w:ascii="Arial" w:hAnsi="Arial" w:cs="Arial"/>
          <w:color w:val="000000"/>
        </w:rPr>
        <w:t>We will check that our contractors hold the relevant qualifications and accreditations when we procure them, and thereafter on an annual basis; we will evidence these checks and each contractor’s certification appropriately.</w:t>
      </w:r>
      <w:r w:rsidRPr="0004750C">
        <w:rPr>
          <w:rStyle w:val="eop"/>
          <w:rFonts w:ascii="Arial" w:hAnsi="Arial" w:cs="Arial"/>
          <w:color w:val="000000"/>
        </w:rPr>
        <w:t> </w:t>
      </w:r>
    </w:p>
    <w:p w14:paraId="01564390" w14:textId="4A20637A" w:rsidR="00236E5F" w:rsidRPr="00236E5F" w:rsidRDefault="00236E5F" w:rsidP="00236E5F">
      <w:pPr>
        <w:rPr>
          <w:lang w:val="en-US" w:eastAsia="en-GB"/>
        </w:rPr>
      </w:pPr>
    </w:p>
    <w:p w14:paraId="1A3E2FA3" w14:textId="6D8D6FCA" w:rsidR="002F40F4" w:rsidRDefault="0086146B" w:rsidP="002F40F4">
      <w:pPr>
        <w:pStyle w:val="Heading1"/>
        <w:rPr>
          <w:lang w:val="en-US"/>
        </w:rPr>
      </w:pPr>
      <w:bookmarkStart w:id="19" w:name="_Toc220507354"/>
      <w:r>
        <w:rPr>
          <w:lang w:val="en-US"/>
        </w:rPr>
        <w:t>Training</w:t>
      </w:r>
      <w:bookmarkEnd w:id="19"/>
    </w:p>
    <w:p w14:paraId="56547263" w14:textId="275008C1" w:rsidR="00236E5F" w:rsidRPr="00236E5F" w:rsidRDefault="00236E5F" w:rsidP="00236E5F">
      <w:pPr>
        <w:rPr>
          <w:lang w:val="en-US" w:eastAsia="en-GB"/>
        </w:rPr>
      </w:pPr>
      <w:r>
        <w:rPr>
          <w:rStyle w:val="normaltextrun"/>
          <w:rFonts w:cs="Arial"/>
          <w:color w:val="000000"/>
          <w:shd w:val="clear" w:color="auto" w:fill="FFFFFF"/>
        </w:rPr>
        <w:t xml:space="preserve">We will deliver training on this policy and the procedures that support it, </w:t>
      </w:r>
      <w:r w:rsidR="0004750C">
        <w:rPr>
          <w:rStyle w:val="normaltextrun"/>
          <w:rFonts w:cs="Arial"/>
          <w:color w:val="000000"/>
          <w:shd w:val="clear" w:color="auto" w:fill="FFFFFF"/>
        </w:rPr>
        <w:t>through appropriate</w:t>
      </w:r>
      <w:r>
        <w:rPr>
          <w:rStyle w:val="normaltextrun"/>
          <w:rFonts w:cs="Arial"/>
          <w:color w:val="000000"/>
          <w:shd w:val="clear" w:color="auto" w:fill="FFFFFF"/>
        </w:rPr>
        <w:t xml:space="preserve"> methods including team briefings; basic electrical safety awareness training; and on the job training for those delivering the electrical safety programme, planned maintenance and repair works as part of their daily job. All training undertaken by staff will be formally recorded.</w:t>
      </w:r>
      <w:r>
        <w:rPr>
          <w:rStyle w:val="eop"/>
          <w:rFonts w:cs="Arial"/>
          <w:color w:val="000000"/>
          <w:shd w:val="clear" w:color="auto" w:fill="FFFFFF"/>
        </w:rPr>
        <w:t> </w:t>
      </w:r>
    </w:p>
    <w:p w14:paraId="7A2F952F" w14:textId="0639920E" w:rsidR="002F40F4" w:rsidRDefault="0086146B" w:rsidP="002F40F4">
      <w:pPr>
        <w:pStyle w:val="Heading1"/>
        <w:rPr>
          <w:lang w:val="en-US"/>
        </w:rPr>
      </w:pPr>
      <w:bookmarkStart w:id="20" w:name="_Toc220507355"/>
      <w:r>
        <w:rPr>
          <w:lang w:val="en-US"/>
        </w:rPr>
        <w:lastRenderedPageBreak/>
        <w:t>Performance Reporting</w:t>
      </w:r>
      <w:bookmarkEnd w:id="20"/>
    </w:p>
    <w:p w14:paraId="34033110" w14:textId="69DA87CF" w:rsidR="00585F25" w:rsidRDefault="00D20C5A" w:rsidP="00D20C5A">
      <w:pPr>
        <w:pStyle w:val="paragraph"/>
        <w:spacing w:before="0" w:beforeAutospacing="0" w:after="0" w:afterAutospacing="0"/>
        <w:textAlignment w:val="baseline"/>
        <w:rPr>
          <w:rFonts w:ascii="Arial" w:hAnsi="Arial" w:cs="Arial"/>
          <w:color w:val="000000"/>
        </w:rPr>
      </w:pPr>
      <w:r w:rsidRPr="00D20C5A">
        <w:rPr>
          <w:rFonts w:ascii="Arial" w:hAnsi="Arial" w:cs="Arial"/>
          <w:color w:val="000000"/>
        </w:rPr>
        <w:t>We will report key performance indicator (KPI) measures for electrical safety that follow the principles set out in the Tenant Satisfaction Measures (TSMs) which came </w:t>
      </w:r>
      <w:proofErr w:type="gramStart"/>
      <w:r w:rsidRPr="00D20C5A">
        <w:rPr>
          <w:rFonts w:ascii="Arial" w:hAnsi="Arial" w:cs="Arial"/>
          <w:color w:val="000000"/>
        </w:rPr>
        <w:t>in to</w:t>
      </w:r>
      <w:proofErr w:type="gramEnd"/>
      <w:r w:rsidRPr="00D20C5A">
        <w:rPr>
          <w:rFonts w:ascii="Arial" w:hAnsi="Arial" w:cs="Arial"/>
          <w:color w:val="000000"/>
        </w:rPr>
        <w:t> force on 1 April 2023. Although electrical safety is not specifically covered by these measures, we will adopt the same approach to ensure consistency with other compliance areas and ensure all dwellings at risk are accounted for.</w:t>
      </w:r>
    </w:p>
    <w:p w14:paraId="2B4B514B" w14:textId="77777777" w:rsidR="00585F25" w:rsidRPr="00585F25" w:rsidRDefault="00585F25" w:rsidP="00D20C5A">
      <w:pPr>
        <w:pStyle w:val="paragraph"/>
        <w:spacing w:before="0" w:beforeAutospacing="0" w:after="0" w:afterAutospacing="0"/>
        <w:textAlignment w:val="baseline"/>
        <w:rPr>
          <w:rFonts w:ascii="Arial" w:hAnsi="Arial" w:cs="Arial"/>
          <w:color w:val="000000"/>
          <w:sz w:val="18"/>
          <w:szCs w:val="18"/>
        </w:rPr>
      </w:pPr>
    </w:p>
    <w:p w14:paraId="1FF02EC4" w14:textId="77777777" w:rsidR="00D20C5A" w:rsidRDefault="00D20C5A" w:rsidP="00D20C5A">
      <w:pPr>
        <w:spacing w:after="0"/>
        <w:textAlignment w:val="baseline"/>
        <w:rPr>
          <w:rFonts w:eastAsia="Times New Roman" w:cs="Arial"/>
          <w:color w:val="000000"/>
          <w:szCs w:val="24"/>
          <w:lang w:eastAsia="en-GB"/>
        </w:rPr>
      </w:pPr>
      <w:r w:rsidRPr="00D20C5A">
        <w:rPr>
          <w:rFonts w:eastAsia="Times New Roman" w:cs="Arial"/>
          <w:color w:val="000000"/>
          <w:szCs w:val="24"/>
          <w:lang w:eastAsia="en-GB"/>
        </w:rPr>
        <w:t>We will report the following electrical safety performance: </w:t>
      </w:r>
    </w:p>
    <w:p w14:paraId="47ED5EE5" w14:textId="77777777" w:rsidR="00585F25" w:rsidRPr="00D20C5A" w:rsidRDefault="00585F25" w:rsidP="00D20C5A">
      <w:pPr>
        <w:spacing w:after="0"/>
        <w:textAlignment w:val="baseline"/>
        <w:rPr>
          <w:rFonts w:ascii="Segoe UI" w:eastAsia="Times New Roman" w:hAnsi="Segoe UI" w:cs="Segoe UI"/>
          <w:color w:val="000000"/>
          <w:sz w:val="18"/>
          <w:szCs w:val="1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20"/>
      </w:tblGrid>
      <w:tr w:rsidR="00D20C5A" w:rsidRPr="00D20C5A" w14:paraId="704154A5" w14:textId="77777777" w:rsidTr="00E85938">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3ECAA0"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Report recipient </w:t>
            </w:r>
          </w:p>
        </w:tc>
        <w:tc>
          <w:tcPr>
            <w:tcW w:w="19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F04985"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Frequency </w:t>
            </w:r>
          </w:p>
        </w:tc>
      </w:tr>
      <w:tr w:rsidR="00D20C5A" w:rsidRPr="00D20C5A" w14:paraId="3BCB9B6C" w14:textId="77777777" w:rsidTr="00E85938">
        <w:trPr>
          <w:trHeight w:val="330"/>
        </w:trPr>
        <w:tc>
          <w:tcPr>
            <w:tcW w:w="7080" w:type="dxa"/>
            <w:tcBorders>
              <w:top w:val="single" w:sz="6" w:space="0" w:color="auto"/>
              <w:left w:val="single" w:sz="6" w:space="0" w:color="auto"/>
              <w:bottom w:val="single" w:sz="6" w:space="0" w:color="auto"/>
              <w:right w:val="single" w:sz="6" w:space="0" w:color="auto"/>
            </w:tcBorders>
            <w:vAlign w:val="center"/>
            <w:hideMark/>
          </w:tcPr>
          <w:p w14:paraId="15593C59"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Regulator of Social Housing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B6CE64B"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Annual </w:t>
            </w:r>
          </w:p>
        </w:tc>
      </w:tr>
      <w:tr w:rsidR="00D20C5A" w:rsidRPr="00D20C5A" w14:paraId="09CE3AE0" w14:textId="77777777" w:rsidTr="00E85938">
        <w:trPr>
          <w:trHeight w:val="330"/>
        </w:trPr>
        <w:tc>
          <w:tcPr>
            <w:tcW w:w="7080" w:type="dxa"/>
            <w:tcBorders>
              <w:top w:val="single" w:sz="6" w:space="0" w:color="auto"/>
              <w:left w:val="single" w:sz="6" w:space="0" w:color="auto"/>
              <w:bottom w:val="single" w:sz="6" w:space="0" w:color="auto"/>
              <w:right w:val="single" w:sz="6" w:space="0" w:color="auto"/>
            </w:tcBorders>
            <w:vAlign w:val="center"/>
            <w:hideMark/>
          </w:tcPr>
          <w:p w14:paraId="0D163F5A"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Housing Performance, Improvement &amp; Compliance Board (HPIC)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9890D41"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Monthly </w:t>
            </w:r>
          </w:p>
        </w:tc>
      </w:tr>
      <w:tr w:rsidR="00D20C5A" w:rsidRPr="00D20C5A" w14:paraId="3FD13378" w14:textId="77777777" w:rsidTr="00E85938">
        <w:trPr>
          <w:trHeight w:val="330"/>
        </w:trPr>
        <w:tc>
          <w:tcPr>
            <w:tcW w:w="7080" w:type="dxa"/>
            <w:tcBorders>
              <w:top w:val="single" w:sz="6" w:space="0" w:color="auto"/>
              <w:left w:val="single" w:sz="6" w:space="0" w:color="auto"/>
              <w:bottom w:val="single" w:sz="6" w:space="0" w:color="auto"/>
              <w:right w:val="single" w:sz="6" w:space="0" w:color="auto"/>
            </w:tcBorders>
            <w:vAlign w:val="center"/>
            <w:hideMark/>
          </w:tcPr>
          <w:p w14:paraId="47B5690F"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Housing Management Cabinet Sub Committee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58C3B72"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Quarterly </w:t>
            </w:r>
          </w:p>
        </w:tc>
      </w:tr>
      <w:tr w:rsidR="00D20C5A" w:rsidRPr="00D20C5A" w14:paraId="0742F718" w14:textId="77777777" w:rsidTr="00E85938">
        <w:trPr>
          <w:trHeight w:val="330"/>
        </w:trPr>
        <w:tc>
          <w:tcPr>
            <w:tcW w:w="7080" w:type="dxa"/>
            <w:tcBorders>
              <w:top w:val="single" w:sz="6" w:space="0" w:color="auto"/>
              <w:left w:val="single" w:sz="6" w:space="0" w:color="auto"/>
              <w:bottom w:val="single" w:sz="6" w:space="0" w:color="auto"/>
              <w:right w:val="single" w:sz="6" w:space="0" w:color="auto"/>
            </w:tcBorders>
            <w:vAlign w:val="center"/>
            <w:hideMark/>
          </w:tcPr>
          <w:p w14:paraId="57B05F21"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Residents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43E5B58" w14:textId="77777777" w:rsidR="00D20C5A" w:rsidRPr="00D20C5A" w:rsidRDefault="00D20C5A" w:rsidP="00D20C5A">
            <w:pPr>
              <w:spacing w:after="0"/>
              <w:textAlignment w:val="baseline"/>
              <w:rPr>
                <w:rFonts w:ascii="Times New Roman" w:eastAsia="Times New Roman" w:hAnsi="Times New Roman" w:cs="Times New Roman"/>
                <w:color w:val="000000"/>
                <w:szCs w:val="24"/>
                <w:lang w:eastAsia="en-GB"/>
              </w:rPr>
            </w:pPr>
            <w:r w:rsidRPr="00D20C5A">
              <w:rPr>
                <w:rFonts w:eastAsia="Times New Roman" w:cs="Arial"/>
                <w:color w:val="000000"/>
                <w:szCs w:val="24"/>
                <w:lang w:eastAsia="en-GB"/>
              </w:rPr>
              <w:t>Monthly </w:t>
            </w:r>
          </w:p>
        </w:tc>
      </w:tr>
    </w:tbl>
    <w:p w14:paraId="2F0E0912" w14:textId="77777777" w:rsidR="00D20C5A" w:rsidRPr="00D20C5A" w:rsidRDefault="00D20C5A" w:rsidP="00D20C5A">
      <w:pPr>
        <w:spacing w:after="0"/>
        <w:textAlignment w:val="baseline"/>
        <w:rPr>
          <w:rFonts w:ascii="Segoe UI" w:eastAsia="Times New Roman" w:hAnsi="Segoe UI" w:cs="Segoe UI"/>
          <w:color w:val="000000"/>
          <w:sz w:val="18"/>
          <w:szCs w:val="18"/>
          <w:lang w:eastAsia="en-GB"/>
        </w:rPr>
      </w:pPr>
      <w:r w:rsidRPr="00D20C5A">
        <w:rPr>
          <w:rFonts w:eastAsia="Times New Roman" w:cs="Arial"/>
          <w:color w:val="000000"/>
          <w:szCs w:val="24"/>
          <w:lang w:eastAsia="en-GB"/>
        </w:rPr>
        <w:t> </w:t>
      </w:r>
    </w:p>
    <w:p w14:paraId="487EB79A" w14:textId="1FFC31DB" w:rsidR="00D20C5A" w:rsidRDefault="00D20C5A" w:rsidP="00D20C5A">
      <w:pPr>
        <w:spacing w:after="0"/>
        <w:textAlignment w:val="baseline"/>
        <w:rPr>
          <w:rFonts w:eastAsia="Times New Roman" w:cs="Arial"/>
          <w:color w:val="000000"/>
          <w:szCs w:val="24"/>
          <w:lang w:eastAsia="en-GB"/>
        </w:rPr>
      </w:pPr>
      <w:r w:rsidRPr="00D20C5A">
        <w:rPr>
          <w:rFonts w:eastAsia="Times New Roman" w:cs="Arial"/>
          <w:color w:val="000000"/>
          <w:szCs w:val="24"/>
          <w:lang w:eastAsia="en-GB"/>
        </w:rPr>
        <w:t>We will also report the following:</w:t>
      </w:r>
    </w:p>
    <w:p w14:paraId="18D29174" w14:textId="77777777" w:rsidR="00E85938" w:rsidRPr="00D20C5A" w:rsidRDefault="00E85938" w:rsidP="00D20C5A">
      <w:pPr>
        <w:spacing w:after="0"/>
        <w:textAlignment w:val="baseline"/>
        <w:rPr>
          <w:rFonts w:ascii="Segoe UI" w:eastAsia="Times New Roman" w:hAnsi="Segoe UI" w:cs="Segoe UI"/>
          <w:color w:val="000000"/>
          <w:sz w:val="18"/>
          <w:szCs w:val="18"/>
          <w:lang w:eastAsia="en-GB"/>
        </w:rPr>
      </w:pPr>
    </w:p>
    <w:p w14:paraId="40567466" w14:textId="77777777" w:rsidR="00D20C5A" w:rsidRDefault="00D20C5A" w:rsidP="00D20C5A">
      <w:pPr>
        <w:spacing w:after="0"/>
        <w:textAlignment w:val="baseline"/>
        <w:rPr>
          <w:rFonts w:eastAsia="Times New Roman" w:cs="Arial"/>
          <w:b/>
          <w:bCs/>
          <w:color w:val="000000"/>
          <w:szCs w:val="24"/>
          <w:lang w:eastAsia="en-GB"/>
        </w:rPr>
      </w:pPr>
      <w:r w:rsidRPr="00D20C5A">
        <w:rPr>
          <w:rFonts w:eastAsia="Times New Roman" w:cs="Arial"/>
          <w:b/>
          <w:bCs/>
          <w:color w:val="000000"/>
          <w:szCs w:val="24"/>
          <w:lang w:eastAsia="en-GB"/>
        </w:rPr>
        <w:t>Data – the total number of: </w:t>
      </w:r>
    </w:p>
    <w:p w14:paraId="73029601" w14:textId="77777777" w:rsidR="00E85938" w:rsidRDefault="00E85938" w:rsidP="00D20C5A">
      <w:pPr>
        <w:spacing w:after="0"/>
        <w:textAlignment w:val="baseline"/>
        <w:rPr>
          <w:rFonts w:eastAsia="Times New Roman" w:cs="Arial"/>
          <w:b/>
          <w:bCs/>
          <w:color w:val="000000"/>
          <w:szCs w:val="24"/>
          <w:lang w:eastAsia="en-GB"/>
        </w:rPr>
      </w:pPr>
    </w:p>
    <w:p w14:paraId="4FBC44A5" w14:textId="3AB82F53" w:rsidR="00D20C5A" w:rsidRPr="00D20C5A" w:rsidRDefault="00D20C5A" w:rsidP="00E85938">
      <w:pPr>
        <w:pStyle w:val="ListBullet"/>
        <w:rPr>
          <w:lang w:eastAsia="en-GB"/>
        </w:rPr>
      </w:pPr>
      <w:r w:rsidRPr="00D20C5A">
        <w:rPr>
          <w:lang w:eastAsia="en-GB"/>
        </w:rPr>
        <w:t>Properties split by category (domestic, communal, commercial/others) </w:t>
      </w:r>
    </w:p>
    <w:p w14:paraId="04A254BF" w14:textId="56D35C9C" w:rsidR="00D20C5A" w:rsidRPr="00D20C5A" w:rsidRDefault="00D20C5A" w:rsidP="00E85938">
      <w:pPr>
        <w:pStyle w:val="ListBullet"/>
        <w:rPr>
          <w:lang w:eastAsia="en-GB"/>
        </w:rPr>
      </w:pPr>
      <w:r w:rsidRPr="00D20C5A">
        <w:rPr>
          <w:lang w:eastAsia="en-GB"/>
        </w:rPr>
        <w:t>Properties on programme split by category</w:t>
      </w:r>
    </w:p>
    <w:p w14:paraId="6299DEF4" w14:textId="34F827EA" w:rsidR="00D20C5A" w:rsidRPr="00D20C5A" w:rsidRDefault="00D20C5A" w:rsidP="00E85938">
      <w:pPr>
        <w:pStyle w:val="ListBullet"/>
        <w:rPr>
          <w:lang w:eastAsia="en-GB"/>
        </w:rPr>
      </w:pPr>
      <w:r w:rsidRPr="00D20C5A">
        <w:rPr>
          <w:lang w:eastAsia="en-GB"/>
        </w:rPr>
        <w:t>Properties not on programme</w:t>
      </w:r>
    </w:p>
    <w:p w14:paraId="440B1FFD" w14:textId="7C913BE6" w:rsidR="00D20C5A" w:rsidRPr="00D20C5A" w:rsidRDefault="00D20C5A" w:rsidP="00E85938">
      <w:pPr>
        <w:pStyle w:val="ListBullet"/>
        <w:rPr>
          <w:lang w:eastAsia="en-GB"/>
        </w:rPr>
      </w:pPr>
      <w:r w:rsidRPr="00D20C5A">
        <w:rPr>
          <w:lang w:eastAsia="en-GB"/>
        </w:rPr>
        <w:t>Properties with a satisfactory and in date EICR</w:t>
      </w:r>
    </w:p>
    <w:p w14:paraId="79D71595" w14:textId="539F168E" w:rsidR="00D20C5A" w:rsidRPr="00D20C5A" w:rsidRDefault="00D20C5A" w:rsidP="00E85938">
      <w:pPr>
        <w:pStyle w:val="ListBullet"/>
        <w:rPr>
          <w:lang w:eastAsia="en-GB"/>
        </w:rPr>
      </w:pPr>
      <w:r w:rsidRPr="00D20C5A">
        <w:rPr>
          <w:lang w:eastAsia="en-GB"/>
        </w:rPr>
        <w:t>Properties without a satisfactory and in date EICR</w:t>
      </w:r>
    </w:p>
    <w:p w14:paraId="4B63EBD1" w14:textId="0C9AE9C1" w:rsidR="00D20C5A" w:rsidRPr="00D20C5A" w:rsidRDefault="00D20C5A" w:rsidP="00E85938">
      <w:pPr>
        <w:pStyle w:val="ListBullet"/>
        <w:rPr>
          <w:lang w:eastAsia="en-GB"/>
        </w:rPr>
      </w:pPr>
      <w:r w:rsidRPr="00D20C5A">
        <w:rPr>
          <w:lang w:eastAsia="en-GB"/>
        </w:rPr>
        <w:t>Properties due to be inspected and tested within the next 30 days</w:t>
      </w:r>
    </w:p>
    <w:p w14:paraId="535A7FF9" w14:textId="07089F60" w:rsidR="00D20C5A" w:rsidRDefault="00D20C5A" w:rsidP="00E85938">
      <w:pPr>
        <w:pStyle w:val="ListBullet"/>
        <w:rPr>
          <w:lang w:eastAsia="en-GB"/>
        </w:rPr>
      </w:pPr>
      <w:r w:rsidRPr="00D20C5A">
        <w:rPr>
          <w:lang w:eastAsia="en-GB"/>
        </w:rPr>
        <w:t>Follow-up actions arising from the programme (in time and overdue).</w:t>
      </w:r>
    </w:p>
    <w:p w14:paraId="7B5A9A83" w14:textId="77777777" w:rsidR="00E85938" w:rsidRPr="00D20C5A" w:rsidRDefault="00E85938" w:rsidP="00E85938">
      <w:pPr>
        <w:spacing w:after="0"/>
        <w:textAlignment w:val="baseline"/>
        <w:rPr>
          <w:rFonts w:eastAsia="Times New Roman" w:cs="Arial"/>
          <w:color w:val="000000"/>
          <w:szCs w:val="24"/>
          <w:lang w:eastAsia="en-GB"/>
        </w:rPr>
      </w:pPr>
    </w:p>
    <w:p w14:paraId="51EC657F" w14:textId="2E065A05" w:rsidR="00D20C5A" w:rsidRDefault="00D20C5A" w:rsidP="00D20C5A">
      <w:pPr>
        <w:spacing w:after="0"/>
        <w:textAlignment w:val="baseline"/>
        <w:rPr>
          <w:rFonts w:eastAsia="Times New Roman" w:cs="Arial"/>
          <w:b/>
          <w:bCs/>
          <w:color w:val="000000"/>
          <w:szCs w:val="24"/>
          <w:lang w:eastAsia="en-GB"/>
        </w:rPr>
      </w:pPr>
      <w:r w:rsidRPr="00D20C5A">
        <w:rPr>
          <w:rFonts w:eastAsia="Times New Roman" w:cs="Arial"/>
          <w:b/>
          <w:bCs/>
          <w:color w:val="000000"/>
          <w:szCs w:val="24"/>
          <w:lang w:eastAsia="en-GB"/>
        </w:rPr>
        <w:t>Narrative - an explanation of the:</w:t>
      </w:r>
    </w:p>
    <w:p w14:paraId="6BB72F29" w14:textId="77777777" w:rsidR="0097073F" w:rsidRPr="00D20C5A" w:rsidRDefault="0097073F" w:rsidP="00D20C5A">
      <w:pPr>
        <w:spacing w:after="0"/>
        <w:textAlignment w:val="baseline"/>
        <w:rPr>
          <w:rFonts w:ascii="Segoe UI" w:eastAsia="Times New Roman" w:hAnsi="Segoe UI" w:cs="Segoe UI"/>
          <w:b/>
          <w:bCs/>
          <w:color w:val="000000"/>
          <w:sz w:val="18"/>
          <w:szCs w:val="18"/>
          <w:lang w:eastAsia="en-GB"/>
        </w:rPr>
      </w:pPr>
    </w:p>
    <w:p w14:paraId="74FEA482" w14:textId="165BCAD2" w:rsidR="00D20C5A" w:rsidRPr="00D20C5A" w:rsidRDefault="00D20C5A" w:rsidP="0097073F">
      <w:pPr>
        <w:pStyle w:val="ListBullet"/>
        <w:rPr>
          <w:lang w:eastAsia="en-GB"/>
        </w:rPr>
      </w:pPr>
      <w:r w:rsidRPr="00D20C5A">
        <w:rPr>
          <w:lang w:eastAsia="en-GB"/>
        </w:rPr>
        <w:t>Current position</w:t>
      </w:r>
    </w:p>
    <w:p w14:paraId="67F9F43A" w14:textId="13B6C841" w:rsidR="00D20C5A" w:rsidRPr="00D20C5A" w:rsidRDefault="00D20C5A" w:rsidP="0097073F">
      <w:pPr>
        <w:pStyle w:val="ListBullet"/>
        <w:rPr>
          <w:lang w:eastAsia="en-GB"/>
        </w:rPr>
      </w:pPr>
      <w:r w:rsidRPr="00D20C5A">
        <w:rPr>
          <w:lang w:eastAsia="en-GB"/>
        </w:rPr>
        <w:t>Corrective action required</w:t>
      </w:r>
    </w:p>
    <w:p w14:paraId="271BAAA9" w14:textId="09760F2C" w:rsidR="0097073F" w:rsidRPr="00D20C5A" w:rsidRDefault="00D20C5A" w:rsidP="0097073F">
      <w:pPr>
        <w:pStyle w:val="ListBullet"/>
        <w:rPr>
          <w:lang w:eastAsia="en-GB"/>
        </w:rPr>
      </w:pPr>
      <w:r w:rsidRPr="00D20C5A">
        <w:rPr>
          <w:lang w:eastAsia="en-GB"/>
        </w:rPr>
        <w:t>Progress with completion of follow-up works. </w:t>
      </w:r>
    </w:p>
    <w:p w14:paraId="61C8B9EE" w14:textId="77777777" w:rsidR="00D20C5A" w:rsidRPr="00D20C5A" w:rsidRDefault="00D20C5A" w:rsidP="00D20C5A">
      <w:pPr>
        <w:spacing w:after="0"/>
        <w:textAlignment w:val="baseline"/>
        <w:rPr>
          <w:rFonts w:ascii="Segoe UI" w:eastAsia="Times New Roman" w:hAnsi="Segoe UI" w:cs="Segoe UI"/>
          <w:b/>
          <w:bCs/>
          <w:color w:val="000000"/>
          <w:sz w:val="18"/>
          <w:szCs w:val="18"/>
          <w:lang w:eastAsia="en-GB"/>
        </w:rPr>
      </w:pPr>
      <w:r w:rsidRPr="00D20C5A">
        <w:rPr>
          <w:rFonts w:eastAsia="Times New Roman" w:cs="Arial"/>
          <w:b/>
          <w:bCs/>
          <w:color w:val="000000"/>
          <w:szCs w:val="24"/>
          <w:lang w:eastAsia="en-GB"/>
        </w:rPr>
        <w:t>In addition: </w:t>
      </w:r>
    </w:p>
    <w:p w14:paraId="6C91BF4B" w14:textId="77777777" w:rsidR="00D20C5A" w:rsidRPr="00D20C5A" w:rsidRDefault="00D20C5A" w:rsidP="0097073F">
      <w:pPr>
        <w:pStyle w:val="ListBullet"/>
        <w:rPr>
          <w:lang w:eastAsia="en-GB"/>
        </w:rPr>
      </w:pPr>
      <w:r w:rsidRPr="00D20C5A">
        <w:rPr>
          <w:lang w:eastAsia="en-GB"/>
        </w:rPr>
        <w:t>The number of RIDDOR notifications to the HSE with regards to electrical safety. </w:t>
      </w:r>
    </w:p>
    <w:p w14:paraId="2A5DB0AB" w14:textId="0623DCEC" w:rsidR="0086146B" w:rsidRDefault="0086146B" w:rsidP="0086146B">
      <w:pPr>
        <w:pStyle w:val="Heading1"/>
        <w:rPr>
          <w:lang w:val="en-US"/>
        </w:rPr>
      </w:pPr>
      <w:bookmarkStart w:id="21" w:name="_Toc220507356"/>
      <w:r>
        <w:rPr>
          <w:lang w:val="en-US"/>
        </w:rPr>
        <w:t>Quality Assurance</w:t>
      </w:r>
      <w:bookmarkEnd w:id="21"/>
    </w:p>
    <w:p w14:paraId="2C4EB1DE" w14:textId="646405BD" w:rsidR="00D20C5A" w:rsidRPr="009E75EF" w:rsidRDefault="00D20C5A" w:rsidP="00D20C5A">
      <w:pPr>
        <w:pStyle w:val="paragraph"/>
        <w:spacing w:before="0" w:beforeAutospacing="0" w:after="0" w:afterAutospacing="0"/>
        <w:textAlignment w:val="baseline"/>
        <w:rPr>
          <w:rStyle w:val="eop"/>
          <w:rFonts w:ascii="Arial" w:hAnsi="Arial" w:cs="Arial"/>
          <w:color w:val="000000"/>
        </w:rPr>
      </w:pPr>
      <w:r w:rsidRPr="009E75EF">
        <w:rPr>
          <w:rStyle w:val="normaltextrun"/>
          <w:rFonts w:ascii="Arial" w:hAnsi="Arial" w:cs="Arial"/>
          <w:color w:val="000000"/>
        </w:rPr>
        <w:t>We will ensure there is programme of third-party quality assurance audits of electrical safety checks. This will be:</w:t>
      </w:r>
    </w:p>
    <w:p w14:paraId="7B6B6272" w14:textId="77777777" w:rsidR="009E75EF" w:rsidRPr="009E75EF" w:rsidRDefault="009E75EF" w:rsidP="00D20C5A">
      <w:pPr>
        <w:pStyle w:val="paragraph"/>
        <w:spacing w:before="0" w:beforeAutospacing="0" w:after="0" w:afterAutospacing="0"/>
        <w:textAlignment w:val="baseline"/>
        <w:rPr>
          <w:rFonts w:ascii="Arial" w:hAnsi="Arial" w:cs="Arial"/>
          <w:color w:val="000000"/>
          <w:sz w:val="18"/>
          <w:szCs w:val="18"/>
        </w:rPr>
      </w:pPr>
    </w:p>
    <w:p w14:paraId="620A59A7" w14:textId="7C74CFA4" w:rsidR="00D20C5A" w:rsidRPr="009E75EF" w:rsidRDefault="00D20C5A" w:rsidP="009E75EF">
      <w:pPr>
        <w:pStyle w:val="ListBullet"/>
        <w:rPr>
          <w:rFonts w:cs="Arial"/>
          <w:szCs w:val="24"/>
        </w:rPr>
      </w:pPr>
      <w:r w:rsidRPr="009E75EF">
        <w:rPr>
          <w:rStyle w:val="normaltextrun"/>
          <w:rFonts w:cs="Arial"/>
          <w:color w:val="000000"/>
        </w:rPr>
        <w:t>100 per cent of all new installations</w:t>
      </w:r>
    </w:p>
    <w:p w14:paraId="421E4ADD" w14:textId="3E662423" w:rsidR="00D20C5A" w:rsidRPr="009E75EF" w:rsidRDefault="00D20C5A" w:rsidP="009E75EF">
      <w:pPr>
        <w:pStyle w:val="ListBullet"/>
        <w:rPr>
          <w:rFonts w:cs="Arial"/>
        </w:rPr>
      </w:pPr>
      <w:r w:rsidRPr="009E75EF">
        <w:rPr>
          <w:rStyle w:val="normaltextrun"/>
          <w:rFonts w:cs="Arial"/>
          <w:color w:val="000000"/>
        </w:rPr>
        <w:t>Ten per cent sample of field checks</w:t>
      </w:r>
      <w:r w:rsidRPr="009E75EF">
        <w:rPr>
          <w:rStyle w:val="eop"/>
          <w:rFonts w:cs="Arial"/>
          <w:color w:val="000000"/>
        </w:rPr>
        <w:t> </w:t>
      </w:r>
    </w:p>
    <w:p w14:paraId="334BDE17" w14:textId="6F85358B" w:rsidR="009E75EF" w:rsidRPr="009E75EF" w:rsidRDefault="00D20C5A" w:rsidP="009E75EF">
      <w:pPr>
        <w:pStyle w:val="ListBullet"/>
        <w:rPr>
          <w:rStyle w:val="normaltextrun"/>
          <w:rFonts w:cs="Arial"/>
          <w:color w:val="000000"/>
        </w:rPr>
      </w:pPr>
      <w:r w:rsidRPr="009E75EF">
        <w:rPr>
          <w:rStyle w:val="normaltextrun"/>
          <w:rFonts w:cs="Arial"/>
          <w:color w:val="000000"/>
        </w:rPr>
        <w:t>Five per cent of all certificates</w:t>
      </w:r>
      <w:r w:rsidR="009E75EF" w:rsidRPr="009E75EF">
        <w:rPr>
          <w:rStyle w:val="normaltextrun"/>
          <w:rFonts w:cs="Arial"/>
          <w:color w:val="000000"/>
        </w:rPr>
        <w:t>.</w:t>
      </w:r>
    </w:p>
    <w:p w14:paraId="285CFA50" w14:textId="77777777" w:rsidR="009E75EF" w:rsidRPr="009E75EF" w:rsidRDefault="009E75EF" w:rsidP="009E75EF">
      <w:pPr>
        <w:pStyle w:val="paragraph"/>
        <w:spacing w:before="0" w:beforeAutospacing="0" w:after="0" w:afterAutospacing="0"/>
        <w:ind w:left="720"/>
        <w:textAlignment w:val="baseline"/>
        <w:rPr>
          <w:rFonts w:ascii="Arial" w:hAnsi="Arial" w:cs="Arial"/>
          <w:color w:val="000000"/>
        </w:rPr>
      </w:pPr>
    </w:p>
    <w:p w14:paraId="476F6CC8" w14:textId="38C417BB" w:rsidR="00D20C5A" w:rsidRDefault="00D20C5A" w:rsidP="00D20C5A">
      <w:pPr>
        <w:pStyle w:val="paragraph"/>
        <w:spacing w:before="0" w:beforeAutospacing="0" w:after="0" w:afterAutospacing="0"/>
        <w:textAlignment w:val="baseline"/>
        <w:rPr>
          <w:rStyle w:val="normaltextrun"/>
          <w:rFonts w:ascii="Arial" w:hAnsi="Arial" w:cs="Arial"/>
          <w:color w:val="000000"/>
        </w:rPr>
      </w:pPr>
      <w:r w:rsidRPr="009E75EF">
        <w:rPr>
          <w:rStyle w:val="normaltextrun"/>
          <w:rFonts w:ascii="Arial" w:hAnsi="Arial" w:cs="Arial"/>
          <w:color w:val="000000"/>
        </w:rPr>
        <w:t>Internally we will undertake 100 per cent desktop audits of all EICRs and other records and certificates outlined in Section 9.</w:t>
      </w:r>
    </w:p>
    <w:p w14:paraId="3D811CE4" w14:textId="77777777" w:rsidR="00585F25" w:rsidRPr="009E75EF" w:rsidRDefault="00585F25" w:rsidP="00D20C5A">
      <w:pPr>
        <w:pStyle w:val="paragraph"/>
        <w:spacing w:before="0" w:beforeAutospacing="0" w:after="0" w:afterAutospacing="0"/>
        <w:textAlignment w:val="baseline"/>
        <w:rPr>
          <w:rFonts w:ascii="Arial" w:hAnsi="Arial" w:cs="Arial"/>
          <w:color w:val="000000"/>
          <w:sz w:val="18"/>
          <w:szCs w:val="18"/>
        </w:rPr>
      </w:pPr>
    </w:p>
    <w:p w14:paraId="18AD20EE" w14:textId="77777777" w:rsidR="00D20C5A" w:rsidRPr="009E75EF" w:rsidRDefault="00D20C5A" w:rsidP="00D20C5A">
      <w:pPr>
        <w:pStyle w:val="paragraph"/>
        <w:spacing w:before="0" w:beforeAutospacing="0" w:after="0" w:afterAutospacing="0"/>
        <w:textAlignment w:val="baseline"/>
        <w:rPr>
          <w:rFonts w:ascii="Arial" w:hAnsi="Arial" w:cs="Arial"/>
          <w:color w:val="000000"/>
          <w:sz w:val="18"/>
          <w:szCs w:val="18"/>
        </w:rPr>
      </w:pPr>
      <w:r w:rsidRPr="009E75EF">
        <w:rPr>
          <w:rStyle w:val="normaltextrun"/>
          <w:rFonts w:ascii="Arial" w:hAnsi="Arial" w:cs="Arial"/>
          <w:color w:val="000000"/>
        </w:rPr>
        <w:lastRenderedPageBreak/>
        <w:t>We will carry out an independent audit of electrical safety at least once every two years, to specifically test for compliance with legal and regulatory obligations and to identify non-compliance issues for correction.</w:t>
      </w:r>
      <w:r w:rsidRPr="009E75EF">
        <w:rPr>
          <w:rStyle w:val="eop"/>
          <w:rFonts w:ascii="Arial" w:hAnsi="Arial" w:cs="Arial"/>
          <w:color w:val="000000"/>
        </w:rPr>
        <w:t> </w:t>
      </w:r>
    </w:p>
    <w:p w14:paraId="29F61857" w14:textId="44D50FFF" w:rsidR="00D20C5A" w:rsidRPr="00D20C5A" w:rsidRDefault="00D20C5A" w:rsidP="00D20C5A">
      <w:pPr>
        <w:rPr>
          <w:lang w:val="en-US" w:eastAsia="en-GB"/>
        </w:rPr>
      </w:pPr>
    </w:p>
    <w:p w14:paraId="279D93DB" w14:textId="103658BF" w:rsidR="002F40F4" w:rsidRDefault="0086146B" w:rsidP="002F40F4">
      <w:pPr>
        <w:pStyle w:val="Heading1"/>
        <w:rPr>
          <w:lang w:val="en-US"/>
        </w:rPr>
      </w:pPr>
      <w:bookmarkStart w:id="22" w:name="_Toc220507357"/>
      <w:r>
        <w:rPr>
          <w:lang w:val="en-US"/>
        </w:rPr>
        <w:t>Significant Non-Compliance and Escalation</w:t>
      </w:r>
      <w:bookmarkEnd w:id="22"/>
    </w:p>
    <w:p w14:paraId="319F8095" w14:textId="67481E5D" w:rsidR="00CB3B9A" w:rsidRDefault="00CB3B9A" w:rsidP="00CB3B9A">
      <w:pPr>
        <w:pStyle w:val="paragraph"/>
        <w:spacing w:before="0" w:beforeAutospacing="0" w:after="0" w:afterAutospacing="0"/>
        <w:textAlignment w:val="baseline"/>
        <w:rPr>
          <w:rStyle w:val="normaltextrun"/>
          <w:rFonts w:ascii="Arial" w:hAnsi="Arial" w:cs="Arial"/>
          <w:color w:val="000000"/>
        </w:rPr>
      </w:pPr>
      <w:r w:rsidRPr="00AC4AD3">
        <w:rPr>
          <w:rStyle w:val="normaltextrun"/>
          <w:rFonts w:ascii="Arial" w:hAnsi="Arial" w:cs="Arial"/>
          <w:color w:val="000000"/>
        </w:rPr>
        <w:t>Our definition of significant non-compliance is any incident which has the potential to result in a potential breach of legislation or regulatory standard, or which causes a risk to health or safety, and which needs to be managed as an exception to routine processes and procedures.</w:t>
      </w:r>
    </w:p>
    <w:p w14:paraId="26A3717A" w14:textId="77777777" w:rsidR="00AC4AD3" w:rsidRPr="00AC4AD3" w:rsidRDefault="00AC4AD3" w:rsidP="00CB3B9A">
      <w:pPr>
        <w:pStyle w:val="paragraph"/>
        <w:spacing w:before="0" w:beforeAutospacing="0" w:after="0" w:afterAutospacing="0"/>
        <w:textAlignment w:val="baseline"/>
        <w:rPr>
          <w:rFonts w:ascii="Arial" w:hAnsi="Arial" w:cs="Arial"/>
          <w:color w:val="000000"/>
          <w:sz w:val="18"/>
          <w:szCs w:val="18"/>
        </w:rPr>
      </w:pPr>
    </w:p>
    <w:p w14:paraId="3EED8D28" w14:textId="4EEFB218" w:rsidR="00AC4AD3" w:rsidRDefault="00CB3B9A" w:rsidP="00CB3B9A">
      <w:pPr>
        <w:pStyle w:val="paragraph"/>
        <w:spacing w:before="0" w:beforeAutospacing="0" w:after="0" w:afterAutospacing="0"/>
        <w:textAlignment w:val="baseline"/>
        <w:rPr>
          <w:rStyle w:val="normaltextrun"/>
          <w:rFonts w:ascii="Arial" w:hAnsi="Arial" w:cs="Arial"/>
          <w:color w:val="000000"/>
        </w:rPr>
      </w:pPr>
      <w:r w:rsidRPr="00AC4AD3">
        <w:rPr>
          <w:rStyle w:val="normaltextrun"/>
          <w:rFonts w:ascii="Arial" w:hAnsi="Arial" w:cs="Arial"/>
          <w:color w:val="000000"/>
        </w:rPr>
        <w:t>All non-compliance issues will be reported and escalated as soon as possible, and no later than 24 hours after the incident occurred, or of an LBTH employee becoming aware of it</w:t>
      </w:r>
      <w:r w:rsidR="00AC4AD3">
        <w:rPr>
          <w:rStyle w:val="normaltextrun"/>
          <w:rFonts w:ascii="Arial" w:hAnsi="Arial" w:cs="Arial"/>
          <w:color w:val="000000"/>
        </w:rPr>
        <w:t>.</w:t>
      </w:r>
    </w:p>
    <w:p w14:paraId="2084A189" w14:textId="77777777" w:rsidR="00644DDC" w:rsidRPr="00644DDC" w:rsidRDefault="00644DDC" w:rsidP="00CB3B9A">
      <w:pPr>
        <w:pStyle w:val="paragraph"/>
        <w:spacing w:before="0" w:beforeAutospacing="0" w:after="0" w:afterAutospacing="0"/>
        <w:textAlignment w:val="baseline"/>
        <w:rPr>
          <w:rFonts w:ascii="Arial" w:hAnsi="Arial" w:cs="Arial"/>
          <w:color w:val="000000"/>
          <w:sz w:val="18"/>
          <w:szCs w:val="18"/>
        </w:rPr>
      </w:pPr>
    </w:p>
    <w:p w14:paraId="66322279" w14:textId="322803DC" w:rsidR="00CB3B9A" w:rsidRDefault="00CB3B9A" w:rsidP="00CB3B9A">
      <w:pPr>
        <w:pStyle w:val="paragraph"/>
        <w:spacing w:before="0" w:beforeAutospacing="0" w:after="0" w:afterAutospacing="0"/>
        <w:textAlignment w:val="baseline"/>
        <w:rPr>
          <w:rStyle w:val="eop"/>
          <w:rFonts w:ascii="Arial" w:hAnsi="Arial" w:cs="Arial"/>
          <w:color w:val="000000"/>
        </w:rPr>
      </w:pPr>
      <w:r w:rsidRPr="00AC4AD3">
        <w:rPr>
          <w:rStyle w:val="normaltextrun"/>
          <w:rFonts w:ascii="Arial" w:hAnsi="Arial" w:cs="Arial"/>
          <w:color w:val="000000"/>
        </w:rPr>
        <w:t>Any non-compliance issue identified at an operational level will be formally reported to the Head of Asset Management and Compliance in the first instance, who will agree an appropriate course of corrective action with the Director of Asset Management and report details of the same to the HPIC.</w:t>
      </w:r>
    </w:p>
    <w:p w14:paraId="7156886C" w14:textId="77777777" w:rsidR="00644DDC" w:rsidRPr="00AC4AD3" w:rsidRDefault="00644DDC" w:rsidP="00CB3B9A">
      <w:pPr>
        <w:pStyle w:val="paragraph"/>
        <w:spacing w:before="0" w:beforeAutospacing="0" w:after="0" w:afterAutospacing="0"/>
        <w:textAlignment w:val="baseline"/>
        <w:rPr>
          <w:rFonts w:ascii="Arial" w:hAnsi="Arial" w:cs="Arial"/>
          <w:color w:val="000000"/>
          <w:sz w:val="18"/>
          <w:szCs w:val="18"/>
        </w:rPr>
      </w:pPr>
    </w:p>
    <w:p w14:paraId="2C61642F" w14:textId="1FBC8874" w:rsidR="00CB3B9A" w:rsidRDefault="00CB3B9A" w:rsidP="00CB3B9A">
      <w:pPr>
        <w:pStyle w:val="paragraph"/>
        <w:spacing w:before="0" w:beforeAutospacing="0" w:after="0" w:afterAutospacing="0"/>
        <w:textAlignment w:val="baseline"/>
        <w:rPr>
          <w:rStyle w:val="eop"/>
          <w:rFonts w:ascii="Arial" w:hAnsi="Arial" w:cs="Arial"/>
          <w:color w:val="000000"/>
        </w:rPr>
      </w:pPr>
      <w:r w:rsidRPr="00AC4AD3">
        <w:rPr>
          <w:rStyle w:val="normaltextrun"/>
          <w:rFonts w:ascii="Arial" w:hAnsi="Arial" w:cs="Arial"/>
          <w:color w:val="000000"/>
        </w:rPr>
        <w:t>In cases of serious non-compliance, HPIC and Housing Management Cabinet Sub Committee will consider whether it is necessary to disclose the issue to the Regulator of Social Housing as required by the regulatory framework, or any other relevant organisation such as the Health and Safety Executive.</w:t>
      </w:r>
    </w:p>
    <w:p w14:paraId="0245498E" w14:textId="77777777" w:rsidR="00644DDC" w:rsidRPr="00AC4AD3" w:rsidRDefault="00644DDC" w:rsidP="00CB3B9A">
      <w:pPr>
        <w:pStyle w:val="paragraph"/>
        <w:spacing w:before="0" w:beforeAutospacing="0" w:after="0" w:afterAutospacing="0"/>
        <w:textAlignment w:val="baseline"/>
        <w:rPr>
          <w:rFonts w:ascii="Arial" w:hAnsi="Arial" w:cs="Arial"/>
          <w:color w:val="000000"/>
          <w:sz w:val="18"/>
          <w:szCs w:val="18"/>
        </w:rPr>
      </w:pPr>
    </w:p>
    <w:p w14:paraId="2F4D2BF4" w14:textId="77777777" w:rsidR="00CB3B9A" w:rsidRPr="00AC4AD3" w:rsidRDefault="00CB3B9A" w:rsidP="00CB3B9A">
      <w:pPr>
        <w:pStyle w:val="paragraph"/>
        <w:spacing w:before="0" w:beforeAutospacing="0" w:after="0" w:afterAutospacing="0"/>
        <w:textAlignment w:val="baseline"/>
        <w:rPr>
          <w:rFonts w:ascii="Arial" w:hAnsi="Arial" w:cs="Arial"/>
          <w:color w:val="000000"/>
          <w:sz w:val="18"/>
          <w:szCs w:val="18"/>
        </w:rPr>
      </w:pPr>
      <w:r w:rsidRPr="00AC4AD3">
        <w:rPr>
          <w:rStyle w:val="normaltextrun"/>
          <w:rFonts w:ascii="Arial" w:hAnsi="Arial" w:cs="Arial"/>
          <w:color w:val="000000"/>
        </w:rPr>
        <w:t>We will ensure there is a robust process in place to investigate and manage all RIDDOR notifications made to the HSE in relation to electrical safety and will take action to address any issues identified and lessons we have learned, to prevent a similar incident occurring again.</w:t>
      </w:r>
      <w:r w:rsidRPr="00AC4AD3">
        <w:rPr>
          <w:rStyle w:val="eop"/>
          <w:rFonts w:ascii="Arial" w:hAnsi="Arial" w:cs="Arial"/>
          <w:color w:val="000000"/>
        </w:rPr>
        <w:t> </w:t>
      </w:r>
    </w:p>
    <w:p w14:paraId="20108EA7" w14:textId="43F64492" w:rsidR="0086146B" w:rsidRDefault="0086146B" w:rsidP="0086146B">
      <w:pPr>
        <w:pStyle w:val="Heading1"/>
        <w:rPr>
          <w:lang w:val="en-US"/>
        </w:rPr>
      </w:pPr>
      <w:bookmarkStart w:id="23" w:name="_Toc220507358"/>
      <w:r>
        <w:rPr>
          <w:lang w:val="en-US"/>
        </w:rPr>
        <w:t>Glossary</w:t>
      </w:r>
      <w:bookmarkEnd w:id="23"/>
    </w:p>
    <w:p w14:paraId="009C8AD7" w14:textId="12DBF79C" w:rsidR="00CB3B9A" w:rsidRDefault="00CB3B9A" w:rsidP="00CB3B9A">
      <w:pPr>
        <w:pStyle w:val="paragraph"/>
        <w:spacing w:before="0" w:beforeAutospacing="0" w:after="0" w:afterAutospacing="0"/>
        <w:textAlignment w:val="baseline"/>
        <w:rPr>
          <w:rStyle w:val="eop"/>
          <w:rFonts w:ascii="Arial" w:hAnsi="Arial" w:cs="Arial"/>
          <w:color w:val="000000"/>
        </w:rPr>
      </w:pPr>
      <w:r w:rsidRPr="00AC4AD3">
        <w:rPr>
          <w:rStyle w:val="normaltextrun"/>
          <w:rFonts w:ascii="Arial" w:hAnsi="Arial" w:cs="Arial"/>
          <w:color w:val="000000"/>
        </w:rPr>
        <w:t>This glossary defines key terms used throughout this policy:</w:t>
      </w:r>
      <w:r w:rsidRPr="00AC4AD3">
        <w:rPr>
          <w:rStyle w:val="eop"/>
          <w:rFonts w:ascii="Arial" w:hAnsi="Arial" w:cs="Arial"/>
          <w:color w:val="000000"/>
        </w:rPr>
        <w:t> </w:t>
      </w:r>
    </w:p>
    <w:p w14:paraId="5271913B" w14:textId="77777777" w:rsidR="00AC4AD3" w:rsidRPr="00AC4AD3" w:rsidRDefault="00AC4AD3" w:rsidP="00CB3B9A">
      <w:pPr>
        <w:pStyle w:val="paragraph"/>
        <w:spacing w:before="0" w:beforeAutospacing="0" w:after="0" w:afterAutospacing="0"/>
        <w:textAlignment w:val="baseline"/>
        <w:rPr>
          <w:rFonts w:ascii="Arial" w:hAnsi="Arial" w:cs="Arial"/>
          <w:color w:val="000000"/>
          <w:sz w:val="18"/>
          <w:szCs w:val="18"/>
        </w:rPr>
      </w:pPr>
    </w:p>
    <w:p w14:paraId="1087092A" w14:textId="69DD6038" w:rsidR="00CB3B9A" w:rsidRDefault="00CB3B9A" w:rsidP="00CB3B9A">
      <w:pPr>
        <w:pStyle w:val="paragraph"/>
        <w:spacing w:before="0" w:beforeAutospacing="0" w:after="0" w:afterAutospacing="0"/>
        <w:textAlignment w:val="baseline"/>
        <w:rPr>
          <w:rStyle w:val="eop"/>
          <w:rFonts w:ascii="Arial" w:hAnsi="Arial" w:cs="Arial"/>
          <w:b/>
          <w:bCs/>
          <w:color w:val="000000"/>
        </w:rPr>
      </w:pPr>
      <w:r w:rsidRPr="00AC4AD3">
        <w:rPr>
          <w:rStyle w:val="normaltextrun"/>
          <w:rFonts w:ascii="Arial" w:hAnsi="Arial" w:cs="Arial"/>
          <w:b/>
          <w:bCs/>
          <w:color w:val="000000"/>
        </w:rPr>
        <w:t>EICR</w:t>
      </w:r>
    </w:p>
    <w:p w14:paraId="4A9E00FE" w14:textId="77777777" w:rsidR="00AC4AD3" w:rsidRPr="00AC4AD3" w:rsidRDefault="00AC4AD3" w:rsidP="00CB3B9A">
      <w:pPr>
        <w:pStyle w:val="paragraph"/>
        <w:spacing w:before="0" w:beforeAutospacing="0" w:after="0" w:afterAutospacing="0"/>
        <w:textAlignment w:val="baseline"/>
        <w:rPr>
          <w:rFonts w:ascii="Arial" w:hAnsi="Arial" w:cs="Arial"/>
          <w:b/>
          <w:bCs/>
          <w:color w:val="000000"/>
          <w:sz w:val="18"/>
          <w:szCs w:val="18"/>
        </w:rPr>
      </w:pPr>
    </w:p>
    <w:p w14:paraId="47152F50" w14:textId="4BF9B819" w:rsidR="00AC4AD3" w:rsidRDefault="00CB3B9A" w:rsidP="00CB3B9A">
      <w:pPr>
        <w:pStyle w:val="paragraph"/>
        <w:spacing w:before="0" w:beforeAutospacing="0" w:after="0" w:afterAutospacing="0"/>
        <w:textAlignment w:val="baseline"/>
        <w:rPr>
          <w:rStyle w:val="eop"/>
          <w:rFonts w:ascii="Arial" w:hAnsi="Arial" w:cs="Arial"/>
          <w:color w:val="000000"/>
        </w:rPr>
      </w:pPr>
      <w:r w:rsidRPr="00AC4AD3">
        <w:rPr>
          <w:rStyle w:val="normaltextrun"/>
          <w:rFonts w:ascii="Arial" w:hAnsi="Arial" w:cs="Arial"/>
          <w:color w:val="000000"/>
        </w:rPr>
        <w:t>Electrical Installation Condition Report - a formal document that is produced following an assessment of the electrical installation within a property (domestic or communal). It must be carried out by an experienced qualified electrician or approved contractor.</w:t>
      </w:r>
    </w:p>
    <w:p w14:paraId="32C21EA2" w14:textId="77777777" w:rsidR="00AC4AD3" w:rsidRPr="00AC4AD3" w:rsidRDefault="00AC4AD3" w:rsidP="00CB3B9A">
      <w:pPr>
        <w:pStyle w:val="paragraph"/>
        <w:spacing w:before="0" w:beforeAutospacing="0" w:after="0" w:afterAutospacing="0"/>
        <w:textAlignment w:val="baseline"/>
        <w:rPr>
          <w:rFonts w:ascii="Arial" w:hAnsi="Arial" w:cs="Arial"/>
          <w:color w:val="000000"/>
        </w:rPr>
      </w:pPr>
    </w:p>
    <w:p w14:paraId="25D5DBD1" w14:textId="5C1DED83" w:rsidR="00CB3B9A" w:rsidRDefault="00CB3B9A" w:rsidP="00CB3B9A">
      <w:pPr>
        <w:pStyle w:val="paragraph"/>
        <w:spacing w:before="0" w:beforeAutospacing="0" w:after="0" w:afterAutospacing="0"/>
        <w:textAlignment w:val="baseline"/>
        <w:rPr>
          <w:rStyle w:val="eop"/>
          <w:rFonts w:ascii="Arial" w:hAnsi="Arial" w:cs="Arial"/>
          <w:b/>
          <w:bCs/>
          <w:color w:val="000000"/>
        </w:rPr>
      </w:pPr>
      <w:r w:rsidRPr="00AC4AD3">
        <w:rPr>
          <w:rStyle w:val="normaltextrun"/>
          <w:rFonts w:ascii="Arial" w:hAnsi="Arial" w:cs="Arial"/>
          <w:b/>
          <w:bCs/>
          <w:color w:val="000000"/>
        </w:rPr>
        <w:t>NICEIC</w:t>
      </w:r>
    </w:p>
    <w:p w14:paraId="0AFC7F96" w14:textId="77777777" w:rsidR="00AC4AD3" w:rsidRPr="00AC4AD3" w:rsidRDefault="00AC4AD3" w:rsidP="00CB3B9A">
      <w:pPr>
        <w:pStyle w:val="paragraph"/>
        <w:spacing w:before="0" w:beforeAutospacing="0" w:after="0" w:afterAutospacing="0"/>
        <w:textAlignment w:val="baseline"/>
        <w:rPr>
          <w:rFonts w:ascii="Arial" w:hAnsi="Arial" w:cs="Arial"/>
          <w:b/>
          <w:bCs/>
          <w:color w:val="000000"/>
          <w:sz w:val="18"/>
          <w:szCs w:val="18"/>
        </w:rPr>
      </w:pPr>
    </w:p>
    <w:p w14:paraId="185EA7B3" w14:textId="77777777" w:rsidR="00CB3B9A" w:rsidRPr="00AC4AD3" w:rsidRDefault="00CB3B9A" w:rsidP="00CB3B9A">
      <w:pPr>
        <w:pStyle w:val="paragraph"/>
        <w:spacing w:before="0" w:beforeAutospacing="0" w:after="0" w:afterAutospacing="0"/>
        <w:textAlignment w:val="baseline"/>
        <w:rPr>
          <w:rFonts w:ascii="Arial" w:hAnsi="Arial" w:cs="Arial"/>
          <w:color w:val="000000"/>
          <w:sz w:val="18"/>
          <w:szCs w:val="18"/>
        </w:rPr>
      </w:pPr>
      <w:r w:rsidRPr="00AC4AD3">
        <w:rPr>
          <w:rStyle w:val="normaltextrun"/>
          <w:rFonts w:ascii="Arial" w:hAnsi="Arial" w:cs="Arial"/>
          <w:color w:val="000000"/>
        </w:rPr>
        <w:t>National Inspection Council for Electrical Installation Contracting – an organisation which regulates the training and work of electrical contractors in the UK. The NICEIC is one of several providers given Government approval to offer Competent Person Schemes to oversee electrical work within the electrical industry.</w:t>
      </w:r>
      <w:r w:rsidRPr="00AC4AD3">
        <w:rPr>
          <w:rStyle w:val="eop"/>
          <w:rFonts w:ascii="Arial" w:hAnsi="Arial" w:cs="Arial"/>
          <w:color w:val="000000"/>
        </w:rPr>
        <w:t> </w:t>
      </w:r>
    </w:p>
    <w:p w14:paraId="2EA8968F" w14:textId="025433CB" w:rsidR="00CB3B9A" w:rsidRPr="00CB3B9A" w:rsidRDefault="00CB3B9A" w:rsidP="00CB3B9A">
      <w:pPr>
        <w:rPr>
          <w:lang w:val="en-US" w:eastAsia="en-GB"/>
        </w:rPr>
      </w:pPr>
    </w:p>
    <w:p w14:paraId="39CD8DBB" w14:textId="77777777" w:rsidR="00E40637" w:rsidRPr="00B846CB" w:rsidRDefault="00E40637" w:rsidP="00900578">
      <w:pPr>
        <w:pStyle w:val="ListBullet"/>
        <w:numPr>
          <w:ilvl w:val="0"/>
          <w:numId w:val="0"/>
        </w:numPr>
        <w:ind w:left="360" w:hanging="360"/>
        <w:rPr>
          <w:lang w:eastAsia="en-GB"/>
        </w:rPr>
      </w:pPr>
    </w:p>
    <w:sectPr w:rsidR="00E40637" w:rsidRPr="00B846CB" w:rsidSect="006462B8">
      <w:headerReference w:type="even" r:id="rId12"/>
      <w:headerReference w:type="default" r:id="rId13"/>
      <w:footerReference w:type="default" r:id="rId14"/>
      <w:headerReference w:type="first" r:id="rId15"/>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A1EF" w14:textId="77777777" w:rsidR="00D26116" w:rsidRDefault="00D26116" w:rsidP="00DC0AA1">
      <w:pPr>
        <w:spacing w:after="0"/>
      </w:pPr>
      <w:r>
        <w:separator/>
      </w:r>
    </w:p>
  </w:endnote>
  <w:endnote w:type="continuationSeparator" w:id="0">
    <w:p w14:paraId="54378F72" w14:textId="77777777" w:rsidR="00D26116" w:rsidRDefault="00D26116" w:rsidP="00DC0AA1">
      <w:pPr>
        <w:spacing w:after="0"/>
      </w:pPr>
      <w:r>
        <w:continuationSeparator/>
      </w:r>
    </w:p>
  </w:endnote>
  <w:endnote w:type="continuationNotice" w:id="1">
    <w:p w14:paraId="3FD2D90C" w14:textId="77777777" w:rsidR="00D26116" w:rsidRDefault="00D261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26A787B3" w:rsidR="00316ED1" w:rsidRPr="00931C93" w:rsidRDefault="00CB3B9A" w:rsidP="007C32E3">
    <w:pPr>
      <w:pStyle w:val="Footer"/>
    </w:pPr>
    <w:r>
      <w:t>Electrical Safety Po</w:t>
    </w:r>
    <w:r w:rsidR="00AC4AD3">
      <w:t>licy</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EB05" w14:textId="77777777" w:rsidR="00D26116" w:rsidRDefault="00D26116" w:rsidP="00DC0AA1">
      <w:pPr>
        <w:spacing w:after="0"/>
      </w:pPr>
      <w:r>
        <w:separator/>
      </w:r>
    </w:p>
  </w:footnote>
  <w:footnote w:type="continuationSeparator" w:id="0">
    <w:p w14:paraId="45A4108D" w14:textId="77777777" w:rsidR="00D26116" w:rsidRDefault="00D26116" w:rsidP="00DC0AA1">
      <w:pPr>
        <w:spacing w:after="0"/>
      </w:pPr>
      <w:r>
        <w:continuationSeparator/>
      </w:r>
    </w:p>
  </w:footnote>
  <w:footnote w:type="continuationNotice" w:id="1">
    <w:p w14:paraId="4101C2B3" w14:textId="77777777" w:rsidR="00D26116" w:rsidRDefault="00D261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850" w14:textId="77777777" w:rsidR="00316ED1" w:rsidRPr="00777D19" w:rsidRDefault="00316ED1" w:rsidP="00777D19"/>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65F98"/>
    <w:multiLevelType w:val="multilevel"/>
    <w:tmpl w:val="2826A87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9F94265"/>
    <w:multiLevelType w:val="multilevel"/>
    <w:tmpl w:val="E0A6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06DA7"/>
    <w:multiLevelType w:val="multilevel"/>
    <w:tmpl w:val="EF5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673CD"/>
    <w:multiLevelType w:val="multilevel"/>
    <w:tmpl w:val="C03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10337"/>
    <w:multiLevelType w:val="hybridMultilevel"/>
    <w:tmpl w:val="AB08BC18"/>
    <w:lvl w:ilvl="0" w:tplc="E492710E">
      <w:start w:val="1"/>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24B11"/>
    <w:multiLevelType w:val="multilevel"/>
    <w:tmpl w:val="144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81756"/>
    <w:multiLevelType w:val="multilevel"/>
    <w:tmpl w:val="E44E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351B8"/>
    <w:multiLevelType w:val="multilevel"/>
    <w:tmpl w:val="78C8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14BEE"/>
    <w:multiLevelType w:val="multilevel"/>
    <w:tmpl w:val="501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7D13FB"/>
    <w:multiLevelType w:val="multilevel"/>
    <w:tmpl w:val="78A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B145A"/>
    <w:multiLevelType w:val="multilevel"/>
    <w:tmpl w:val="ADEE2140"/>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2" w15:restartNumberingAfterBreak="0">
    <w:nsid w:val="1E7B1707"/>
    <w:multiLevelType w:val="hybridMultilevel"/>
    <w:tmpl w:val="9F562568"/>
    <w:lvl w:ilvl="0" w:tplc="A88A2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21F43"/>
    <w:multiLevelType w:val="hybridMultilevel"/>
    <w:tmpl w:val="5F1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544D5"/>
    <w:multiLevelType w:val="multilevel"/>
    <w:tmpl w:val="D2B8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F06F8"/>
    <w:multiLevelType w:val="hybridMultilevel"/>
    <w:tmpl w:val="DFB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E4B79"/>
    <w:multiLevelType w:val="multilevel"/>
    <w:tmpl w:val="696C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8A1248"/>
    <w:multiLevelType w:val="multilevel"/>
    <w:tmpl w:val="F8DE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A61D0"/>
    <w:multiLevelType w:val="multilevel"/>
    <w:tmpl w:val="83A6F32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9980620"/>
    <w:multiLevelType w:val="multilevel"/>
    <w:tmpl w:val="316C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79576A"/>
    <w:multiLevelType w:val="multilevel"/>
    <w:tmpl w:val="9B06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D17E56"/>
    <w:multiLevelType w:val="multilevel"/>
    <w:tmpl w:val="056A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3B7A83"/>
    <w:multiLevelType w:val="multilevel"/>
    <w:tmpl w:val="7AC8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059B3"/>
    <w:multiLevelType w:val="multilevel"/>
    <w:tmpl w:val="072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BD056A"/>
    <w:multiLevelType w:val="hybridMultilevel"/>
    <w:tmpl w:val="A0F6A25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207CB3"/>
    <w:multiLevelType w:val="multilevel"/>
    <w:tmpl w:val="587A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EC5274"/>
    <w:multiLevelType w:val="multilevel"/>
    <w:tmpl w:val="09C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657E9F"/>
    <w:multiLevelType w:val="multilevel"/>
    <w:tmpl w:val="D5E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13653B"/>
    <w:multiLevelType w:val="multilevel"/>
    <w:tmpl w:val="9BB0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390813"/>
    <w:multiLevelType w:val="multilevel"/>
    <w:tmpl w:val="F2E00F1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3" w15:restartNumberingAfterBreak="0">
    <w:nsid w:val="664835DC"/>
    <w:multiLevelType w:val="hybridMultilevel"/>
    <w:tmpl w:val="E1284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77D02"/>
    <w:multiLevelType w:val="hybridMultilevel"/>
    <w:tmpl w:val="2B18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A16B4E"/>
    <w:multiLevelType w:val="hybridMultilevel"/>
    <w:tmpl w:val="DE04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085249"/>
    <w:multiLevelType w:val="hybridMultilevel"/>
    <w:tmpl w:val="FDDC8CD4"/>
    <w:lvl w:ilvl="0" w:tplc="EB1C45D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212D3"/>
    <w:multiLevelType w:val="hybridMultilevel"/>
    <w:tmpl w:val="C19AC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260EE"/>
    <w:multiLevelType w:val="multilevel"/>
    <w:tmpl w:val="973434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9" w15:restartNumberingAfterBreak="0">
    <w:nsid w:val="6FA55AFB"/>
    <w:multiLevelType w:val="multilevel"/>
    <w:tmpl w:val="492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0E314C"/>
    <w:multiLevelType w:val="hybridMultilevel"/>
    <w:tmpl w:val="C302C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66EF8"/>
    <w:multiLevelType w:val="hybridMultilevel"/>
    <w:tmpl w:val="DD4C3218"/>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D4090"/>
    <w:multiLevelType w:val="multilevel"/>
    <w:tmpl w:val="4BE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4E5A08"/>
    <w:multiLevelType w:val="multilevel"/>
    <w:tmpl w:val="4F6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1960777">
    <w:abstractNumId w:val="11"/>
  </w:num>
  <w:num w:numId="2" w16cid:durableId="1705208553">
    <w:abstractNumId w:val="0"/>
  </w:num>
  <w:num w:numId="3" w16cid:durableId="748619934">
    <w:abstractNumId w:val="15"/>
  </w:num>
  <w:num w:numId="4" w16cid:durableId="1175612746">
    <w:abstractNumId w:val="28"/>
  </w:num>
  <w:num w:numId="5" w16cid:durableId="150758067">
    <w:abstractNumId w:val="24"/>
  </w:num>
  <w:num w:numId="6" w16cid:durableId="1335104762">
    <w:abstractNumId w:val="5"/>
  </w:num>
  <w:num w:numId="7" w16cid:durableId="1681195345">
    <w:abstractNumId w:val="36"/>
  </w:num>
  <w:num w:numId="8" w16cid:durableId="1829320817">
    <w:abstractNumId w:val="40"/>
  </w:num>
  <w:num w:numId="9" w16cid:durableId="1277370078">
    <w:abstractNumId w:val="33"/>
  </w:num>
  <w:num w:numId="10" w16cid:durableId="52582525">
    <w:abstractNumId w:val="41"/>
  </w:num>
  <w:num w:numId="11" w16cid:durableId="404567286">
    <w:abstractNumId w:val="16"/>
  </w:num>
  <w:num w:numId="12" w16cid:durableId="266234446">
    <w:abstractNumId w:val="1"/>
  </w:num>
  <w:num w:numId="13" w16cid:durableId="1039477582">
    <w:abstractNumId w:val="37"/>
  </w:num>
  <w:num w:numId="14" w16cid:durableId="2062629888">
    <w:abstractNumId w:val="13"/>
  </w:num>
  <w:num w:numId="15" w16cid:durableId="1757289560">
    <w:abstractNumId w:val="34"/>
  </w:num>
  <w:num w:numId="16" w16cid:durableId="867764011">
    <w:abstractNumId w:val="35"/>
  </w:num>
  <w:num w:numId="17" w16cid:durableId="84158987">
    <w:abstractNumId w:val="12"/>
  </w:num>
  <w:num w:numId="18" w16cid:durableId="884291539">
    <w:abstractNumId w:val="26"/>
  </w:num>
  <w:num w:numId="19" w16cid:durableId="632251757">
    <w:abstractNumId w:val="32"/>
  </w:num>
  <w:num w:numId="20" w16cid:durableId="1258633885">
    <w:abstractNumId w:val="38"/>
  </w:num>
  <w:num w:numId="21" w16cid:durableId="1844856377">
    <w:abstractNumId w:val="19"/>
  </w:num>
  <w:num w:numId="22" w16cid:durableId="2038113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358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009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7624379">
    <w:abstractNumId w:val="18"/>
  </w:num>
  <w:num w:numId="26" w16cid:durableId="84619680">
    <w:abstractNumId w:val="6"/>
  </w:num>
  <w:num w:numId="27" w16cid:durableId="1109003933">
    <w:abstractNumId w:val="43"/>
  </w:num>
  <w:num w:numId="28" w16cid:durableId="1385103553">
    <w:abstractNumId w:val="31"/>
  </w:num>
  <w:num w:numId="29" w16cid:durableId="342325523">
    <w:abstractNumId w:val="7"/>
  </w:num>
  <w:num w:numId="30" w16cid:durableId="1937202634">
    <w:abstractNumId w:val="21"/>
  </w:num>
  <w:num w:numId="31" w16cid:durableId="832452415">
    <w:abstractNumId w:val="20"/>
  </w:num>
  <w:num w:numId="32" w16cid:durableId="451020897">
    <w:abstractNumId w:val="10"/>
  </w:num>
  <w:num w:numId="33" w16cid:durableId="1118067962">
    <w:abstractNumId w:val="14"/>
  </w:num>
  <w:num w:numId="34" w16cid:durableId="2140225863">
    <w:abstractNumId w:val="2"/>
  </w:num>
  <w:num w:numId="35" w16cid:durableId="1899781058">
    <w:abstractNumId w:val="3"/>
  </w:num>
  <w:num w:numId="36" w16cid:durableId="285940023">
    <w:abstractNumId w:val="29"/>
  </w:num>
  <w:num w:numId="37" w16cid:durableId="196436519">
    <w:abstractNumId w:val="8"/>
  </w:num>
  <w:num w:numId="38" w16cid:durableId="936134832">
    <w:abstractNumId w:val="25"/>
  </w:num>
  <w:num w:numId="39" w16cid:durableId="1015115371">
    <w:abstractNumId w:val="23"/>
  </w:num>
  <w:num w:numId="40" w16cid:durableId="1169441996">
    <w:abstractNumId w:val="17"/>
  </w:num>
  <w:num w:numId="41" w16cid:durableId="631324988">
    <w:abstractNumId w:val="42"/>
  </w:num>
  <w:num w:numId="42" w16cid:durableId="1082490802">
    <w:abstractNumId w:val="27"/>
  </w:num>
  <w:num w:numId="43" w16cid:durableId="967400082">
    <w:abstractNumId w:val="9"/>
  </w:num>
  <w:num w:numId="44" w16cid:durableId="1243687201">
    <w:abstractNumId w:val="30"/>
  </w:num>
  <w:num w:numId="45" w16cid:durableId="1842164154">
    <w:abstractNumId w:val="4"/>
  </w:num>
  <w:num w:numId="46" w16cid:durableId="296255454">
    <w:abstractNumId w:val="39"/>
  </w:num>
  <w:num w:numId="47" w16cid:durableId="947198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13716"/>
    <w:rsid w:val="000170A7"/>
    <w:rsid w:val="00042CE3"/>
    <w:rsid w:val="00045607"/>
    <w:rsid w:val="0004750C"/>
    <w:rsid w:val="00050AF7"/>
    <w:rsid w:val="00050E1F"/>
    <w:rsid w:val="00061541"/>
    <w:rsid w:val="00062AAD"/>
    <w:rsid w:val="000636FF"/>
    <w:rsid w:val="0006671A"/>
    <w:rsid w:val="00076C28"/>
    <w:rsid w:val="0008384C"/>
    <w:rsid w:val="00097F1E"/>
    <w:rsid w:val="000C7F53"/>
    <w:rsid w:val="000D62B1"/>
    <w:rsid w:val="000F027E"/>
    <w:rsid w:val="000F4D8B"/>
    <w:rsid w:val="001041A6"/>
    <w:rsid w:val="00122C8F"/>
    <w:rsid w:val="0013455F"/>
    <w:rsid w:val="0013514C"/>
    <w:rsid w:val="00142076"/>
    <w:rsid w:val="00154C29"/>
    <w:rsid w:val="00184E25"/>
    <w:rsid w:val="00186A92"/>
    <w:rsid w:val="00195072"/>
    <w:rsid w:val="001C29F6"/>
    <w:rsid w:val="001D06DC"/>
    <w:rsid w:val="001D1BFD"/>
    <w:rsid w:val="001D66A2"/>
    <w:rsid w:val="001E4CC6"/>
    <w:rsid w:val="002144E5"/>
    <w:rsid w:val="0021651B"/>
    <w:rsid w:val="00216994"/>
    <w:rsid w:val="00222E6A"/>
    <w:rsid w:val="00224595"/>
    <w:rsid w:val="00236E5F"/>
    <w:rsid w:val="002669FB"/>
    <w:rsid w:val="00266F71"/>
    <w:rsid w:val="002756B8"/>
    <w:rsid w:val="00296F84"/>
    <w:rsid w:val="002B0D22"/>
    <w:rsid w:val="002D2F0B"/>
    <w:rsid w:val="002E5F89"/>
    <w:rsid w:val="002F2B09"/>
    <w:rsid w:val="002F3459"/>
    <w:rsid w:val="002F40F4"/>
    <w:rsid w:val="002F4369"/>
    <w:rsid w:val="00301853"/>
    <w:rsid w:val="00316ED1"/>
    <w:rsid w:val="0032442E"/>
    <w:rsid w:val="00324E1D"/>
    <w:rsid w:val="00340A5E"/>
    <w:rsid w:val="003516DA"/>
    <w:rsid w:val="00354C28"/>
    <w:rsid w:val="00375B7F"/>
    <w:rsid w:val="00380ED9"/>
    <w:rsid w:val="00387221"/>
    <w:rsid w:val="00390FFD"/>
    <w:rsid w:val="003A1621"/>
    <w:rsid w:val="003B294A"/>
    <w:rsid w:val="003B5089"/>
    <w:rsid w:val="003B5BD1"/>
    <w:rsid w:val="003C7E3F"/>
    <w:rsid w:val="003E2238"/>
    <w:rsid w:val="003E75E8"/>
    <w:rsid w:val="003F0F5D"/>
    <w:rsid w:val="003F373D"/>
    <w:rsid w:val="00417A9D"/>
    <w:rsid w:val="00447908"/>
    <w:rsid w:val="004604D2"/>
    <w:rsid w:val="00467183"/>
    <w:rsid w:val="0047235A"/>
    <w:rsid w:val="00473EEC"/>
    <w:rsid w:val="00485688"/>
    <w:rsid w:val="00495E66"/>
    <w:rsid w:val="004B4E78"/>
    <w:rsid w:val="004C259A"/>
    <w:rsid w:val="004D7FB8"/>
    <w:rsid w:val="004F1EEF"/>
    <w:rsid w:val="004F725B"/>
    <w:rsid w:val="00503A25"/>
    <w:rsid w:val="00504792"/>
    <w:rsid w:val="00537900"/>
    <w:rsid w:val="0054289E"/>
    <w:rsid w:val="005443D5"/>
    <w:rsid w:val="0055326C"/>
    <w:rsid w:val="005611FC"/>
    <w:rsid w:val="00564CE8"/>
    <w:rsid w:val="00570FA0"/>
    <w:rsid w:val="00581AD7"/>
    <w:rsid w:val="00585F25"/>
    <w:rsid w:val="005B7EE3"/>
    <w:rsid w:val="005D25D4"/>
    <w:rsid w:val="005D398A"/>
    <w:rsid w:val="005E3E2F"/>
    <w:rsid w:val="005F2F34"/>
    <w:rsid w:val="005F4AF3"/>
    <w:rsid w:val="00604141"/>
    <w:rsid w:val="00641A05"/>
    <w:rsid w:val="00644DDC"/>
    <w:rsid w:val="006462B8"/>
    <w:rsid w:val="006605C0"/>
    <w:rsid w:val="006616D1"/>
    <w:rsid w:val="0066664D"/>
    <w:rsid w:val="00672420"/>
    <w:rsid w:val="00677F1F"/>
    <w:rsid w:val="006B30DA"/>
    <w:rsid w:val="006B4C52"/>
    <w:rsid w:val="006B7A44"/>
    <w:rsid w:val="006B7A79"/>
    <w:rsid w:val="006C0A0D"/>
    <w:rsid w:val="006C16DD"/>
    <w:rsid w:val="006D21A3"/>
    <w:rsid w:val="006D312C"/>
    <w:rsid w:val="006E1C8C"/>
    <w:rsid w:val="0070334B"/>
    <w:rsid w:val="007076AC"/>
    <w:rsid w:val="007235F3"/>
    <w:rsid w:val="00733F4D"/>
    <w:rsid w:val="00744284"/>
    <w:rsid w:val="007632B7"/>
    <w:rsid w:val="007871A2"/>
    <w:rsid w:val="007914A8"/>
    <w:rsid w:val="007A0E9D"/>
    <w:rsid w:val="007D01DB"/>
    <w:rsid w:val="007D2518"/>
    <w:rsid w:val="00803E0D"/>
    <w:rsid w:val="0081073A"/>
    <w:rsid w:val="00814FBF"/>
    <w:rsid w:val="00822678"/>
    <w:rsid w:val="008444DD"/>
    <w:rsid w:val="0084766C"/>
    <w:rsid w:val="0085234F"/>
    <w:rsid w:val="0085417F"/>
    <w:rsid w:val="008572FF"/>
    <w:rsid w:val="0085730D"/>
    <w:rsid w:val="0086146B"/>
    <w:rsid w:val="0086528E"/>
    <w:rsid w:val="00896FCB"/>
    <w:rsid w:val="008A7185"/>
    <w:rsid w:val="008B0457"/>
    <w:rsid w:val="008F4840"/>
    <w:rsid w:val="00900578"/>
    <w:rsid w:val="009008FA"/>
    <w:rsid w:val="009051A4"/>
    <w:rsid w:val="00921ED9"/>
    <w:rsid w:val="00924E3F"/>
    <w:rsid w:val="00925EC8"/>
    <w:rsid w:val="00932F8A"/>
    <w:rsid w:val="0097073F"/>
    <w:rsid w:val="00973C9D"/>
    <w:rsid w:val="009874B2"/>
    <w:rsid w:val="00991883"/>
    <w:rsid w:val="00992771"/>
    <w:rsid w:val="009A573D"/>
    <w:rsid w:val="009C2383"/>
    <w:rsid w:val="009E3268"/>
    <w:rsid w:val="009E75EF"/>
    <w:rsid w:val="009F43CD"/>
    <w:rsid w:val="00A03AC5"/>
    <w:rsid w:val="00A254F4"/>
    <w:rsid w:val="00A37112"/>
    <w:rsid w:val="00A37161"/>
    <w:rsid w:val="00A42952"/>
    <w:rsid w:val="00A519C1"/>
    <w:rsid w:val="00A611F2"/>
    <w:rsid w:val="00A62058"/>
    <w:rsid w:val="00A63781"/>
    <w:rsid w:val="00A87133"/>
    <w:rsid w:val="00A9345F"/>
    <w:rsid w:val="00AB5E2A"/>
    <w:rsid w:val="00AC4AD3"/>
    <w:rsid w:val="00AD353B"/>
    <w:rsid w:val="00AE3D55"/>
    <w:rsid w:val="00AF45F0"/>
    <w:rsid w:val="00AF7D67"/>
    <w:rsid w:val="00B1311A"/>
    <w:rsid w:val="00B14528"/>
    <w:rsid w:val="00B2645F"/>
    <w:rsid w:val="00B267ED"/>
    <w:rsid w:val="00B30334"/>
    <w:rsid w:val="00B34A16"/>
    <w:rsid w:val="00B37C25"/>
    <w:rsid w:val="00B41DA4"/>
    <w:rsid w:val="00B511F2"/>
    <w:rsid w:val="00B551A1"/>
    <w:rsid w:val="00B57CEC"/>
    <w:rsid w:val="00B819D7"/>
    <w:rsid w:val="00B81CAE"/>
    <w:rsid w:val="00B846CB"/>
    <w:rsid w:val="00B93946"/>
    <w:rsid w:val="00B9401F"/>
    <w:rsid w:val="00BA26D0"/>
    <w:rsid w:val="00BA4EDA"/>
    <w:rsid w:val="00BC07BB"/>
    <w:rsid w:val="00BE0359"/>
    <w:rsid w:val="00BF377C"/>
    <w:rsid w:val="00C10561"/>
    <w:rsid w:val="00C128C8"/>
    <w:rsid w:val="00C14F50"/>
    <w:rsid w:val="00C26C7A"/>
    <w:rsid w:val="00C307FE"/>
    <w:rsid w:val="00C31CA7"/>
    <w:rsid w:val="00C66F34"/>
    <w:rsid w:val="00C716B1"/>
    <w:rsid w:val="00C83793"/>
    <w:rsid w:val="00C96A26"/>
    <w:rsid w:val="00CA10D9"/>
    <w:rsid w:val="00CB3B9A"/>
    <w:rsid w:val="00CC1D7B"/>
    <w:rsid w:val="00CC5539"/>
    <w:rsid w:val="00CD6288"/>
    <w:rsid w:val="00CE1DCA"/>
    <w:rsid w:val="00CE5847"/>
    <w:rsid w:val="00CF2687"/>
    <w:rsid w:val="00CF4ADE"/>
    <w:rsid w:val="00CF7D3C"/>
    <w:rsid w:val="00D20C5A"/>
    <w:rsid w:val="00D25E12"/>
    <w:rsid w:val="00D26116"/>
    <w:rsid w:val="00D42166"/>
    <w:rsid w:val="00D454CA"/>
    <w:rsid w:val="00D46BF2"/>
    <w:rsid w:val="00D47B82"/>
    <w:rsid w:val="00D52438"/>
    <w:rsid w:val="00D731F4"/>
    <w:rsid w:val="00D76D9B"/>
    <w:rsid w:val="00DA51BD"/>
    <w:rsid w:val="00DB0198"/>
    <w:rsid w:val="00DB3315"/>
    <w:rsid w:val="00DC0AA1"/>
    <w:rsid w:val="00DC1BF1"/>
    <w:rsid w:val="00DC2350"/>
    <w:rsid w:val="00DD705B"/>
    <w:rsid w:val="00DF5111"/>
    <w:rsid w:val="00E02115"/>
    <w:rsid w:val="00E2160C"/>
    <w:rsid w:val="00E26D05"/>
    <w:rsid w:val="00E27357"/>
    <w:rsid w:val="00E3313B"/>
    <w:rsid w:val="00E40637"/>
    <w:rsid w:val="00E4412C"/>
    <w:rsid w:val="00E62B29"/>
    <w:rsid w:val="00E635EA"/>
    <w:rsid w:val="00E65B85"/>
    <w:rsid w:val="00E7358C"/>
    <w:rsid w:val="00E83B5A"/>
    <w:rsid w:val="00E85938"/>
    <w:rsid w:val="00E92F42"/>
    <w:rsid w:val="00E93EDE"/>
    <w:rsid w:val="00EA3594"/>
    <w:rsid w:val="00EB198D"/>
    <w:rsid w:val="00EB5F76"/>
    <w:rsid w:val="00EC585B"/>
    <w:rsid w:val="00EC65DE"/>
    <w:rsid w:val="00EE2B0F"/>
    <w:rsid w:val="00EE6215"/>
    <w:rsid w:val="00EF0DE6"/>
    <w:rsid w:val="00F013B5"/>
    <w:rsid w:val="00F03DDC"/>
    <w:rsid w:val="00F15B41"/>
    <w:rsid w:val="00F431ED"/>
    <w:rsid w:val="00F557ED"/>
    <w:rsid w:val="00F74AB4"/>
    <w:rsid w:val="00F93665"/>
    <w:rsid w:val="00F97417"/>
    <w:rsid w:val="00FA4E6B"/>
    <w:rsid w:val="00FE6667"/>
    <w:rsid w:val="00FF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900578"/>
    <w:pPr>
      <w:keepNext/>
      <w:keepLines/>
      <w:numPr>
        <w:ilvl w:val="1"/>
        <w:numId w:val="1"/>
      </w:numPr>
      <w:tabs>
        <w:tab w:val="left" w:pos="567"/>
      </w:tabs>
      <w:spacing w:after="120"/>
      <w:ind w:left="113" w:firstLine="0"/>
      <w:outlineLvl w:val="1"/>
    </w:pPr>
    <w:rPr>
      <w:rFonts w:eastAsia="Times New Roman" w:cs="Times New Roman"/>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900578"/>
    <w:rPr>
      <w:rFonts w:ascii="Arial" w:eastAsia="Times New Roman" w:hAnsi="Arial" w:cs="Times New Roman"/>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 w:type="character" w:customStyle="1" w:styleId="normaltextrun">
    <w:name w:val="normaltextrun"/>
    <w:basedOn w:val="DefaultParagraphFont"/>
    <w:rsid w:val="00AF7D67"/>
  </w:style>
  <w:style w:type="character" w:customStyle="1" w:styleId="eop">
    <w:name w:val="eop"/>
    <w:basedOn w:val="DefaultParagraphFont"/>
    <w:rsid w:val="00AF7D67"/>
  </w:style>
  <w:style w:type="paragraph" w:customStyle="1" w:styleId="paragraph">
    <w:name w:val="paragraph"/>
    <w:basedOn w:val="Normal"/>
    <w:rsid w:val="00F557ED"/>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idehousing.co.uk/comment/comment/fitness-for-habitation--the-new-law-explained-60546"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QIA xmlns="63a41b16-6feb-49be-a44c-c1e291ffd80a">N/A</EQIA>
    <Document_x0020_Type xmlns="63a41b16-6feb-49be-a44c-c1e291ffd80a">Policy</Document_x0020_Type>
    <Review_x0020_Cycle xmlns="63a41b16-6feb-49be-a44c-c1e291ffd80a">3 Years</Review_x0020_Cycle>
    <Audience xmlns="63a41b16-6feb-49be-a44c-c1e291ffd80a">Internal</Audience>
    <Approval_x0020_Level xmlns="63a41b16-6feb-49be-a44c-c1e291ffd80a">
      <Value>Cabinet</Value>
    </Approval_x0020_Level>
    <_Status xmlns="http://schemas.microsoft.com/sharepoint/v3/fields">Published</_Status>
    <_ExtendedDescription xmlns="http://schemas.microsoft.com/sharepoint/v3" xsi:nil="true"/>
    <Owner xmlns="63a41b16-6feb-49be-a44c-c1e291ffd80a">
      <UserInfo>
        <DisplayName>Darren Cruice</DisplayName>
        <AccountId>41</AccountId>
        <AccountType/>
      </UserInfo>
    </Owner>
    <Planned_x0020_Review_x0020_Date xmlns="63a41b16-6feb-49be-a44c-c1e291ffd80a">2028-04-05T23:00:00+00:00</Planned_x0020_Review_x0020_Date>
    <Resident_x0020_Consultation xmlns="63a41b16-6feb-49be-a44c-c1e291ffd80a">N/A</Resident_x0020_Consultation>
    <Function xmlns="e918a934-f880-47b6-8635-719b6fa25435">Asset Management &amp; Compliance</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0884232C7621A34C934C3C3E869CB23A" ma:contentTypeVersion="16" ma:contentTypeDescription="Template for creating both new Policies &amp; Procedures Documents." ma:contentTypeScope="" ma:versionID="4addfacd85be1f32b7d9d7e46d8fadf6">
  <xsd:schema xmlns:xsd="http://www.w3.org/2001/XMLSchema" xmlns:xs="http://www.w3.org/2001/XMLSchema" xmlns:p="http://schemas.microsoft.com/office/2006/metadata/properties" xmlns:ns1="http://schemas.microsoft.com/sharepoint/v3" xmlns:ns2="e918a934-f880-47b6-8635-719b6fa25435" xmlns:ns3="63a41b16-6feb-49be-a44c-c1e291ffd80a" xmlns:ns4="http://schemas.microsoft.com/sharepoint/v3/fields" targetNamespace="http://schemas.microsoft.com/office/2006/metadata/properties" ma:root="true" ma:fieldsID="c8afb6410931df0d099552aac4829794" ns1:_="" ns2:_="" ns3:_="" ns4:_="">
    <xsd:import namespace="http://schemas.microsoft.com/sharepoint/v3"/>
    <xsd:import namespace="e918a934-f880-47b6-8635-719b6fa25435"/>
    <xsd:import namespace="63a41b16-6feb-49be-a44c-c1e291ffd80a"/>
    <xsd:import namespace="http://schemas.microsoft.com/sharepoint/v3/fields"/>
    <xsd:element name="properties">
      <xsd:complexType>
        <xsd:sequence>
          <xsd:element name="documentManagement">
            <xsd:complexType>
              <xsd:all>
                <xsd:element ref="ns2:Function"/>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1:_Extended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934-f880-47b6-8635-719b6fa25435"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Asset Management &amp; Compliance"/>
          <xsd:enumeration value="Capital Delivery"/>
          <xsd:enumeration value="Procurement &amp; Contracts"/>
          <xsd:enumeration value="Repairs"/>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5"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6"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7"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8"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9"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0" ma:displayName="Planned Review Date" ma:format="DateOnly" ma:internalName="Planned_x0020_Review_x0020_Date" ma:readOnly="false">
      <xsd:simpleType>
        <xsd:restriction base="dms:DateTime"/>
      </xsd:simpleType>
    </xsd:element>
    <xsd:element name="Review_x0020_Cycle" ma:index="11"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9A73A-70A6-4792-9FED-5CF00C51BD8D}">
  <ds:schemaRefs>
    <ds:schemaRef ds:uri="http://schemas.openxmlformats.org/package/2006/metadata/core-properties"/>
    <ds:schemaRef ds:uri="http://schemas.microsoft.com/sharepoint/v3/fields"/>
    <ds:schemaRef ds:uri="63a41b16-6feb-49be-a44c-c1e291ffd80a"/>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e918a934-f880-47b6-8635-719b6fa25435"/>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3.xml><?xml version="1.0" encoding="utf-8"?>
<ds:datastoreItem xmlns:ds="http://schemas.openxmlformats.org/officeDocument/2006/customXml" ds:itemID="{15ECBAED-4A69-41AC-B8F1-4F468DC59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18a934-f880-47b6-8635-719b6fa25435"/>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3115</Words>
  <Characters>17480</Characters>
  <Application>Microsoft Office Word</Application>
  <DocSecurity>4</DocSecurity>
  <Lines>460</Lines>
  <Paragraphs>239</Paragraphs>
  <ScaleCrop>false</ScaleCrop>
  <HeadingPairs>
    <vt:vector size="2" baseType="variant">
      <vt:variant>
        <vt:lpstr>Title</vt:lpstr>
      </vt:variant>
      <vt:variant>
        <vt:i4>1</vt:i4>
      </vt:variant>
    </vt:vector>
  </HeadingPairs>
  <TitlesOfParts>
    <vt:vector size="1" baseType="lpstr">
      <vt:lpstr>Electrical Safety</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Safety</dc:title>
  <dc:subject/>
  <dc:creator>Tyran Pierre</dc:creator>
  <cp:keywords/>
  <dc:description/>
  <cp:lastModifiedBy>Phillip Nduoyo</cp:lastModifiedBy>
  <cp:revision>2</cp:revision>
  <dcterms:created xsi:type="dcterms:W3CDTF">2026-04-07T11:01:00Z</dcterms:created>
  <dcterms:modified xsi:type="dcterms:W3CDTF">2026-04-07T11:01:00Z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0x0101001C71EB6EB42EF242ADEEEF0D01C9D846000884232C7621A34C934C3C3E869CB23A</vt:lpwstr>
  </property>
</Properties>
</file>