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672E" w14:textId="423BE765" w:rsidR="00D52438" w:rsidRDefault="00D52438" w:rsidP="00DC0AA1">
      <w:pPr>
        <w:pStyle w:val="Title"/>
      </w:pPr>
      <w:r>
        <w:rPr>
          <w:noProof/>
        </w:rPr>
        <w:drawing>
          <wp:anchor distT="0" distB="0" distL="114300" distR="114300" simplePos="0" relativeHeight="251658240" behindDoc="1" locked="0" layoutInCell="1" allowOverlap="1" wp14:anchorId="613DB87B" wp14:editId="6BC1FFC8">
            <wp:simplePos x="0" y="0"/>
            <wp:positionH relativeFrom="page">
              <wp:align>right</wp:align>
            </wp:positionH>
            <wp:positionV relativeFrom="paragraph">
              <wp:posOffset>-963543</wp:posOffset>
            </wp:positionV>
            <wp:extent cx="7704814" cy="1068133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04814" cy="10681335"/>
                    </a:xfrm>
                    <a:prstGeom prst="rect">
                      <a:avLst/>
                    </a:prstGeom>
                    <a:noFill/>
                  </pic:spPr>
                </pic:pic>
              </a:graphicData>
            </a:graphic>
            <wp14:sizeRelH relativeFrom="margin">
              <wp14:pctWidth>0</wp14:pctWidth>
            </wp14:sizeRelH>
            <wp14:sizeRelV relativeFrom="margin">
              <wp14:pctHeight>0</wp14:pctHeight>
            </wp14:sizeRelV>
          </wp:anchor>
        </w:drawing>
      </w:r>
    </w:p>
    <w:p w14:paraId="092930D2" w14:textId="77777777" w:rsidR="00D52438" w:rsidRDefault="00D52438" w:rsidP="00DC0AA1">
      <w:pPr>
        <w:pStyle w:val="Title"/>
      </w:pPr>
    </w:p>
    <w:p w14:paraId="74B464F9" w14:textId="77777777" w:rsidR="00DC0AA1" w:rsidRPr="00BD0219" w:rsidRDefault="00DC0AA1" w:rsidP="00DC0AA1">
      <w:pPr>
        <w:pStyle w:val="Title"/>
      </w:pPr>
      <w:r>
        <w:t>London Borough of Tower Hamlets</w:t>
      </w:r>
    </w:p>
    <w:p w14:paraId="47929706" w14:textId="77777777" w:rsidR="00DC0AA1" w:rsidRPr="00552F80" w:rsidRDefault="00DC0AA1" w:rsidP="00DC0AA1"/>
    <w:p w14:paraId="0C933257" w14:textId="7831C41E" w:rsidR="00DC0AA1" w:rsidRDefault="000A6F0D" w:rsidP="009C2383">
      <w:pPr>
        <w:pStyle w:val="DocTitle"/>
      </w:pPr>
      <w:r>
        <w:t>Enlarg</w:t>
      </w:r>
      <w:r w:rsidR="00076C28">
        <w:t>e</w:t>
      </w:r>
      <w:r>
        <w:t xml:space="preserve">ments </w:t>
      </w:r>
      <w:r w:rsidR="002B57E5">
        <w:t>and</w:t>
      </w:r>
      <w:r>
        <w:t xml:space="preserve"> Adaptations Policy</w:t>
      </w:r>
    </w:p>
    <w:p w14:paraId="2A7E29BD" w14:textId="77777777" w:rsidR="00B93946" w:rsidRDefault="00B93946" w:rsidP="009C2383">
      <w:pPr>
        <w:pStyle w:val="DocTitle"/>
      </w:pPr>
    </w:p>
    <w:tbl>
      <w:tblPr>
        <w:tblStyle w:val="TableGrid"/>
        <w:tblW w:w="9067" w:type="dxa"/>
        <w:tblLook w:val="04A0" w:firstRow="1" w:lastRow="0" w:firstColumn="1" w:lastColumn="0" w:noHBand="0" w:noVBand="1"/>
      </w:tblPr>
      <w:tblGrid>
        <w:gridCol w:w="9067"/>
      </w:tblGrid>
      <w:tr w:rsidR="00DC0AA1" w:rsidRPr="00FB7D3F" w14:paraId="32D5C7DC" w14:textId="77777777" w:rsidTr="00FF42BA">
        <w:tc>
          <w:tcPr>
            <w:tcW w:w="9067" w:type="dxa"/>
          </w:tcPr>
          <w:p w14:paraId="05FEDFE4" w14:textId="194E82C1" w:rsidR="00DC0AA1" w:rsidRPr="00FE574E" w:rsidRDefault="0032442E" w:rsidP="00B65CD1">
            <w:bookmarkStart w:id="0" w:name="_Hlk103025915"/>
            <w:r>
              <w:t>Policy</w:t>
            </w:r>
          </w:p>
          <w:p w14:paraId="1DDFEEB8" w14:textId="77777777" w:rsidR="00DC0AA1" w:rsidRPr="00EC2D1B" w:rsidRDefault="00DC0AA1" w:rsidP="00B65CD1"/>
        </w:tc>
      </w:tr>
      <w:tr w:rsidR="00DC0AA1" w:rsidRPr="00FB7D3F" w14:paraId="5AF8386D" w14:textId="77777777" w:rsidTr="00FF42BA">
        <w:tc>
          <w:tcPr>
            <w:tcW w:w="9067" w:type="dxa"/>
          </w:tcPr>
          <w:p w14:paraId="4E61138B" w14:textId="04590FE7" w:rsidR="00DC0AA1" w:rsidRPr="00FE574E" w:rsidRDefault="00734C91" w:rsidP="00B65CD1">
            <w:r>
              <w:t xml:space="preserve">Outlines LBTH's enlargements and adaptations within their social housing stock including the legal framework and definitions, responsibilities, governance and </w:t>
            </w:r>
            <w:r w:rsidRPr="003D5D1D">
              <w:t>training.</w:t>
            </w:r>
          </w:p>
          <w:p w14:paraId="7D37A66A" w14:textId="77777777" w:rsidR="00DC0AA1" w:rsidRPr="00EC2D1B" w:rsidRDefault="00DC0AA1" w:rsidP="00B65CD1"/>
        </w:tc>
      </w:tr>
      <w:tr w:rsidR="00485688" w:rsidRPr="00FB7D3F" w14:paraId="615777F8" w14:textId="77777777" w:rsidTr="00FF42BA">
        <w:trPr>
          <w:trHeight w:val="567"/>
        </w:trPr>
        <w:tc>
          <w:tcPr>
            <w:tcW w:w="9067" w:type="dxa"/>
            <w:shd w:val="clear" w:color="auto" w:fill="D9D9D9" w:themeFill="background1" w:themeFillShade="D9"/>
          </w:tcPr>
          <w:p w14:paraId="42CD8441" w14:textId="1BEF300B" w:rsidR="00485688" w:rsidRPr="00FE574E" w:rsidRDefault="00485688" w:rsidP="00485688">
            <w:pPr>
              <w:pStyle w:val="BoldNormal"/>
            </w:pPr>
            <w:r>
              <w:t xml:space="preserve">Date edited: </w:t>
            </w:r>
            <w:r w:rsidR="006631B5">
              <w:t>30/10/25</w:t>
            </w:r>
          </w:p>
        </w:tc>
      </w:tr>
      <w:tr w:rsidR="00485688" w:rsidRPr="00FB7D3F" w14:paraId="509CFE2E" w14:textId="77777777" w:rsidTr="00FF42BA">
        <w:trPr>
          <w:trHeight w:val="567"/>
        </w:trPr>
        <w:tc>
          <w:tcPr>
            <w:tcW w:w="9067" w:type="dxa"/>
            <w:shd w:val="clear" w:color="auto" w:fill="D9D9D9" w:themeFill="background1" w:themeFillShade="D9"/>
          </w:tcPr>
          <w:p w14:paraId="3A39A5DE" w14:textId="6F382EDE" w:rsidR="00485688" w:rsidRDefault="00485688" w:rsidP="00485688">
            <w:pPr>
              <w:pStyle w:val="BoldNormal"/>
            </w:pPr>
            <w:r>
              <w:t xml:space="preserve">Author: </w:t>
            </w:r>
            <w:r w:rsidR="00295D85">
              <w:t>Alfie Coates - Housing Policy &amp; Regulations Officer</w:t>
            </w:r>
          </w:p>
        </w:tc>
      </w:tr>
      <w:tr w:rsidR="00485688" w:rsidRPr="00FB7D3F" w14:paraId="45D2B857" w14:textId="77777777" w:rsidTr="00FF42BA">
        <w:trPr>
          <w:trHeight w:val="567"/>
        </w:trPr>
        <w:tc>
          <w:tcPr>
            <w:tcW w:w="9067" w:type="dxa"/>
            <w:shd w:val="clear" w:color="auto" w:fill="D9D9D9" w:themeFill="background1" w:themeFillShade="D9"/>
          </w:tcPr>
          <w:p w14:paraId="0CC6E884" w14:textId="70DE9826" w:rsidR="00485688" w:rsidRDefault="00485688" w:rsidP="00485688">
            <w:pPr>
              <w:pStyle w:val="BoldNormal"/>
            </w:pPr>
            <w:r>
              <w:t xml:space="preserve">Owner: </w:t>
            </w:r>
            <w:r w:rsidR="00E8308E">
              <w:t>Stephen Platt - Director of Property and Asset Management</w:t>
            </w:r>
          </w:p>
        </w:tc>
      </w:tr>
      <w:tr w:rsidR="00485688" w:rsidRPr="00FB7D3F" w14:paraId="16B3E0BE" w14:textId="77777777" w:rsidTr="00FF42BA">
        <w:trPr>
          <w:trHeight w:val="567"/>
        </w:trPr>
        <w:tc>
          <w:tcPr>
            <w:tcW w:w="9067" w:type="dxa"/>
            <w:shd w:val="clear" w:color="auto" w:fill="D9D9D9" w:themeFill="background1" w:themeFillShade="D9"/>
          </w:tcPr>
          <w:p w14:paraId="297F60DE" w14:textId="0566CCAA" w:rsidR="00485688" w:rsidRPr="00FE574E" w:rsidRDefault="00485688" w:rsidP="00485688">
            <w:pPr>
              <w:pStyle w:val="BoldNormal"/>
            </w:pPr>
            <w:r w:rsidRPr="00777D19">
              <w:t>Approved by:</w:t>
            </w:r>
            <w:r>
              <w:t xml:space="preserve"> </w:t>
            </w:r>
            <w:r w:rsidR="006631B5">
              <w:t>Mayor in Housing Management Cabinet Sub-Committee 05/11/25</w:t>
            </w:r>
          </w:p>
        </w:tc>
      </w:tr>
      <w:tr w:rsidR="00485688" w:rsidRPr="00FB7D3F" w14:paraId="135D6043" w14:textId="77777777" w:rsidTr="00FF42BA">
        <w:trPr>
          <w:trHeight w:val="567"/>
        </w:trPr>
        <w:tc>
          <w:tcPr>
            <w:tcW w:w="9067" w:type="dxa"/>
            <w:shd w:val="clear" w:color="auto" w:fill="D9D9D9" w:themeFill="background1" w:themeFillShade="D9"/>
          </w:tcPr>
          <w:p w14:paraId="66317B8B" w14:textId="4B9ACE4C" w:rsidR="00485688" w:rsidRPr="00FE574E" w:rsidRDefault="00485688" w:rsidP="00485688">
            <w:pPr>
              <w:pStyle w:val="BoldNormal"/>
            </w:pPr>
            <w:r w:rsidRPr="00777D19">
              <w:t>Review cycle:</w:t>
            </w:r>
            <w:r>
              <w:t xml:space="preserve"> </w:t>
            </w:r>
            <w:r w:rsidR="006631B5">
              <w:t>4 years</w:t>
            </w:r>
          </w:p>
        </w:tc>
      </w:tr>
      <w:tr w:rsidR="00485688" w:rsidRPr="00FB7D3F" w14:paraId="1E6D7631" w14:textId="77777777" w:rsidTr="00FF42BA">
        <w:trPr>
          <w:trHeight w:val="567"/>
        </w:trPr>
        <w:tc>
          <w:tcPr>
            <w:tcW w:w="9067" w:type="dxa"/>
            <w:shd w:val="clear" w:color="auto" w:fill="D9D9D9" w:themeFill="background1" w:themeFillShade="D9"/>
          </w:tcPr>
          <w:p w14:paraId="15EF7523" w14:textId="1045837C" w:rsidR="00485688" w:rsidRPr="00FE574E" w:rsidRDefault="00485688" w:rsidP="00485688">
            <w:pPr>
              <w:pStyle w:val="BoldNormal"/>
            </w:pPr>
            <w:r w:rsidRPr="00777D19">
              <w:t>Next review date:</w:t>
            </w:r>
            <w:r>
              <w:t xml:space="preserve"> </w:t>
            </w:r>
            <w:r w:rsidR="006631B5">
              <w:t>2029</w:t>
            </w:r>
          </w:p>
        </w:tc>
      </w:tr>
      <w:bookmarkEnd w:id="0"/>
    </w:tbl>
    <w:p w14:paraId="685BF9AA" w14:textId="77777777" w:rsidR="00DC0AA1" w:rsidRDefault="00DC0AA1" w:rsidP="00DC0AA1"/>
    <w:p w14:paraId="2B85E632" w14:textId="77777777" w:rsidR="00DC0AA1" w:rsidRPr="00DC0AA1" w:rsidRDefault="00DC0AA1" w:rsidP="00DC0AA1">
      <w:pPr>
        <w:rPr>
          <w:rStyle w:val="Emphasiseitalic"/>
        </w:rPr>
      </w:pPr>
      <w:r>
        <w:br w:type="page"/>
      </w:r>
    </w:p>
    <w:p w14:paraId="4ADCD42B" w14:textId="77777777" w:rsidR="00DC0AA1" w:rsidRDefault="00DC0AA1" w:rsidP="00DC0AA1"/>
    <w:p w14:paraId="14C464D1" w14:textId="77777777" w:rsidR="00DC0AA1" w:rsidRDefault="00DC0AA1" w:rsidP="00DC0AA1">
      <w:pPr>
        <w:pStyle w:val="BoldNormal"/>
      </w:pPr>
      <w:r w:rsidRPr="00536639">
        <w:t>Regulatory Standards, Legislation and Codes of practice</w:t>
      </w:r>
    </w:p>
    <w:tbl>
      <w:tblPr>
        <w:tblStyle w:val="Table-SideShade"/>
        <w:tblpPr w:leftFromText="180" w:rightFromText="180" w:vertAnchor="text" w:horzAnchor="margin" w:tblpY="314"/>
        <w:tblW w:w="9209" w:type="dxa"/>
        <w:tblLook w:val="04A0" w:firstRow="1" w:lastRow="0" w:firstColumn="1" w:lastColumn="0" w:noHBand="0" w:noVBand="1"/>
      </w:tblPr>
      <w:tblGrid>
        <w:gridCol w:w="2978"/>
        <w:gridCol w:w="6231"/>
      </w:tblGrid>
      <w:tr w:rsidR="00DC0AA1" w:rsidRPr="00DE6AD5" w14:paraId="4E4E42B1" w14:textId="77777777" w:rsidTr="0082750F">
        <w:trPr>
          <w:trHeight w:val="413"/>
        </w:trPr>
        <w:tc>
          <w:tcPr>
            <w:cnfStyle w:val="001000000000" w:firstRow="0" w:lastRow="0" w:firstColumn="1" w:lastColumn="0" w:oddVBand="0" w:evenVBand="0" w:oddHBand="0" w:evenHBand="0" w:firstRowFirstColumn="0" w:firstRowLastColumn="0" w:lastRowFirstColumn="0" w:lastRowLastColumn="0"/>
            <w:tcW w:w="2978" w:type="dxa"/>
          </w:tcPr>
          <w:p w14:paraId="4D5C6EAE" w14:textId="77777777" w:rsidR="00DC0AA1" w:rsidRPr="00FE574E" w:rsidRDefault="00DC0AA1" w:rsidP="00B65CD1">
            <w:pPr>
              <w:pStyle w:val="BoldNormal"/>
            </w:pPr>
            <w:r w:rsidRPr="00777D19">
              <w:t>Regulator:</w:t>
            </w:r>
          </w:p>
        </w:tc>
        <w:tc>
          <w:tcPr>
            <w:tcW w:w="6231" w:type="dxa"/>
          </w:tcPr>
          <w:p w14:paraId="25F41043" w14:textId="77777777" w:rsidR="00AF5515" w:rsidRPr="009451DA" w:rsidRDefault="00AF5515" w:rsidP="00AF5515">
            <w:pPr>
              <w:cnfStyle w:val="000000000000" w:firstRow="0" w:lastRow="0" w:firstColumn="0" w:lastColumn="0" w:oddVBand="0" w:evenVBand="0" w:oddHBand="0" w:evenHBand="0" w:firstRowFirstColumn="0" w:firstRowLastColumn="0" w:lastRowFirstColumn="0" w:lastRowLastColumn="0"/>
            </w:pPr>
            <w:r>
              <w:t>The Regulator for Social Housing's Consumer Standards:</w:t>
            </w:r>
          </w:p>
          <w:p w14:paraId="1F20AB44" w14:textId="77777777" w:rsidR="00AF5515" w:rsidRPr="009451DA" w:rsidRDefault="00AF5515" w:rsidP="00AF5515">
            <w:pPr>
              <w:pStyle w:val="ListBullet"/>
              <w:cnfStyle w:val="000000000000" w:firstRow="0" w:lastRow="0" w:firstColumn="0" w:lastColumn="0" w:oddVBand="0" w:evenVBand="0" w:oddHBand="0" w:evenHBand="0" w:firstRowFirstColumn="0" w:firstRowLastColumn="0" w:lastRowFirstColumn="0" w:lastRowLastColumn="0"/>
            </w:pPr>
            <w:r>
              <w:t>Safety &amp; Quality Standard</w:t>
            </w:r>
          </w:p>
          <w:p w14:paraId="435720C7" w14:textId="77777777" w:rsidR="00AF5515" w:rsidRDefault="00AF5515" w:rsidP="00AF5515">
            <w:pPr>
              <w:pStyle w:val="ListBullet"/>
              <w:cnfStyle w:val="000000000000" w:firstRow="0" w:lastRow="0" w:firstColumn="0" w:lastColumn="0" w:oddVBand="0" w:evenVBand="0" w:oddHBand="0" w:evenHBand="0" w:firstRowFirstColumn="0" w:firstRowLastColumn="0" w:lastRowFirstColumn="0" w:lastRowLastColumn="0"/>
            </w:pPr>
            <w:r>
              <w:t>Transparency, Influence</w:t>
            </w:r>
            <w:r w:rsidRPr="009451DA">
              <w:t xml:space="preserve"> </w:t>
            </w:r>
            <w:r>
              <w:t xml:space="preserve">&amp; Accountability </w:t>
            </w:r>
            <w:r w:rsidRPr="009451DA">
              <w:t>Standard</w:t>
            </w:r>
          </w:p>
          <w:p w14:paraId="6E0EF15C" w14:textId="5A7ECFC0" w:rsidR="006C16DD" w:rsidRPr="00777D19" w:rsidRDefault="00AF5515" w:rsidP="004A5100">
            <w:pPr>
              <w:pStyle w:val="ListBullet"/>
              <w:cnfStyle w:val="000000000000" w:firstRow="0" w:lastRow="0" w:firstColumn="0" w:lastColumn="0" w:oddVBand="0" w:evenVBand="0" w:oddHBand="0" w:evenHBand="0" w:firstRowFirstColumn="0" w:firstRowLastColumn="0" w:lastRowFirstColumn="0" w:lastRowLastColumn="0"/>
            </w:pPr>
            <w:r>
              <w:t>Neighbourhood &amp; Community Standard</w:t>
            </w:r>
          </w:p>
        </w:tc>
      </w:tr>
      <w:tr w:rsidR="00DC0AA1" w:rsidRPr="00DE6AD5" w14:paraId="783D00AD" w14:textId="77777777" w:rsidTr="0082750F">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2B616C46" w14:textId="77777777" w:rsidR="00DC0AA1" w:rsidRPr="00FE574E" w:rsidRDefault="00DC0AA1" w:rsidP="00B65CD1">
            <w:pPr>
              <w:pStyle w:val="BoldNormal"/>
            </w:pPr>
            <w:r w:rsidRPr="00777D19">
              <w:t>Legislation:</w:t>
            </w:r>
          </w:p>
        </w:tc>
        <w:tc>
          <w:tcPr>
            <w:tcW w:w="6231" w:type="dxa"/>
          </w:tcPr>
          <w:p w14:paraId="1D45AA37"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Building Safety Act 2022 </w:t>
            </w:r>
          </w:p>
          <w:p w14:paraId="149FB602"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Building Regulations 2010 (as amended) </w:t>
            </w:r>
          </w:p>
          <w:p w14:paraId="4E161CC7"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Planning (Listed Buildings and Conservation Areas) Act 1990 </w:t>
            </w:r>
          </w:p>
          <w:p w14:paraId="415AE505"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Party Wall etc. Act 1996 </w:t>
            </w:r>
          </w:p>
          <w:p w14:paraId="5710CBC7"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Landlord and Tenant Act 1985 </w:t>
            </w:r>
          </w:p>
          <w:p w14:paraId="3A667EC4"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The Homes (Fitness for Human Habitation) Act 2018 </w:t>
            </w:r>
          </w:p>
          <w:p w14:paraId="0919E725"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The Decent Homes Standard </w:t>
            </w:r>
          </w:p>
          <w:p w14:paraId="41C523EC"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Housing Act 2004 </w:t>
            </w:r>
          </w:p>
          <w:p w14:paraId="42FFF864"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Town and Country Planning Act 1990 </w:t>
            </w:r>
          </w:p>
          <w:p w14:paraId="70E8DE21"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Construction (Design and Management) Regulations 2015 </w:t>
            </w:r>
          </w:p>
          <w:p w14:paraId="309E94F8" w14:textId="77777777" w:rsidR="00E454E2" w:rsidRPr="00456CF0"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 xml:space="preserve">Health and Safety at Work etc. Act 1974 </w:t>
            </w:r>
          </w:p>
          <w:p w14:paraId="4EC5C708" w14:textId="71D52259" w:rsidR="00E454E2" w:rsidRDefault="00E454E2" w:rsidP="00E454E2">
            <w:pPr>
              <w:pStyle w:val="ListBullet"/>
              <w:cnfStyle w:val="000000000000" w:firstRow="0" w:lastRow="0" w:firstColumn="0" w:lastColumn="0" w:oddVBand="0" w:evenVBand="0" w:oddHBand="0" w:evenHBand="0" w:firstRowFirstColumn="0" w:firstRowLastColumn="0" w:lastRowFirstColumn="0" w:lastRowLastColumn="0"/>
            </w:pPr>
            <w:r w:rsidRPr="00456CF0">
              <w:t>Equality Act 2010</w:t>
            </w:r>
          </w:p>
          <w:p w14:paraId="53838974" w14:textId="4348D2EA" w:rsidR="00DC0AA1" w:rsidRPr="00777D19" w:rsidRDefault="00E454E2" w:rsidP="004A5100">
            <w:pPr>
              <w:pStyle w:val="ListBullet"/>
              <w:cnfStyle w:val="000000000000" w:firstRow="0" w:lastRow="0" w:firstColumn="0" w:lastColumn="0" w:oddVBand="0" w:evenVBand="0" w:oddHBand="0" w:evenHBand="0" w:firstRowFirstColumn="0" w:firstRowLastColumn="0" w:lastRowFirstColumn="0" w:lastRowLastColumn="0"/>
            </w:pPr>
            <w:r w:rsidRPr="00456CF0">
              <w:t>Right to Buy legislation (Housing Act 1985)</w:t>
            </w:r>
          </w:p>
        </w:tc>
      </w:tr>
      <w:tr w:rsidR="00DC0AA1" w:rsidRPr="00DE6AD5" w14:paraId="5DD7D76E" w14:textId="77777777" w:rsidTr="0082750F">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574FEF5F" w14:textId="77777777" w:rsidR="00DC0AA1" w:rsidRPr="00FE574E" w:rsidRDefault="00DC0AA1" w:rsidP="00B65CD1">
            <w:pPr>
              <w:pStyle w:val="BoldNormal"/>
            </w:pPr>
            <w:r w:rsidRPr="00777D19">
              <w:t>Codes of practice:</w:t>
            </w:r>
          </w:p>
        </w:tc>
        <w:tc>
          <w:tcPr>
            <w:tcW w:w="6231" w:type="dxa"/>
          </w:tcPr>
          <w:p w14:paraId="4E8CB4F6" w14:textId="77777777" w:rsidR="00AC596C" w:rsidRPr="00823869" w:rsidRDefault="00AC596C" w:rsidP="00AC596C">
            <w:pPr>
              <w:pStyle w:val="ListBullet"/>
              <w:cnfStyle w:val="000000000000" w:firstRow="0" w:lastRow="0" w:firstColumn="0" w:lastColumn="0" w:oddVBand="0" w:evenVBand="0" w:oddHBand="0" w:evenHBand="0" w:firstRowFirstColumn="0" w:firstRowLastColumn="0" w:lastRowFirstColumn="0" w:lastRowLastColumn="0"/>
            </w:pPr>
            <w:r w:rsidRPr="00823869">
              <w:t xml:space="preserve">Housing Health and Safety Rating System (HHSRS) </w:t>
            </w:r>
          </w:p>
          <w:p w14:paraId="07071358" w14:textId="77777777" w:rsidR="00AC596C" w:rsidRPr="00823869" w:rsidRDefault="00AC596C" w:rsidP="00AC596C">
            <w:pPr>
              <w:pStyle w:val="ListBullet"/>
              <w:cnfStyle w:val="000000000000" w:firstRow="0" w:lastRow="0" w:firstColumn="0" w:lastColumn="0" w:oddVBand="0" w:evenVBand="0" w:oddHBand="0" w:evenHBand="0" w:firstRowFirstColumn="0" w:firstRowLastColumn="0" w:lastRowFirstColumn="0" w:lastRowLastColumn="0"/>
            </w:pPr>
            <w:r w:rsidRPr="00823869">
              <w:t xml:space="preserve">London Housing Design Guide </w:t>
            </w:r>
          </w:p>
          <w:p w14:paraId="357DBF82" w14:textId="77777777" w:rsidR="00AC596C" w:rsidRPr="00823869" w:rsidRDefault="00AC596C" w:rsidP="00AC596C">
            <w:pPr>
              <w:pStyle w:val="ListBullet"/>
              <w:cnfStyle w:val="000000000000" w:firstRow="0" w:lastRow="0" w:firstColumn="0" w:lastColumn="0" w:oddVBand="0" w:evenVBand="0" w:oddHBand="0" w:evenHBand="0" w:firstRowFirstColumn="0" w:firstRowLastColumn="0" w:lastRowFirstColumn="0" w:lastRowLastColumn="0"/>
            </w:pPr>
            <w:r w:rsidRPr="00823869">
              <w:t xml:space="preserve">British Standards for construction and fire safety </w:t>
            </w:r>
          </w:p>
          <w:p w14:paraId="34289BF8" w14:textId="5E0DEC77" w:rsidR="00AC596C" w:rsidRDefault="00AC596C" w:rsidP="00AC596C">
            <w:pPr>
              <w:pStyle w:val="ListBullet"/>
              <w:cnfStyle w:val="000000000000" w:firstRow="0" w:lastRow="0" w:firstColumn="0" w:lastColumn="0" w:oddVBand="0" w:evenVBand="0" w:oddHBand="0" w:evenHBand="0" w:firstRowFirstColumn="0" w:firstRowLastColumn="0" w:lastRowFirstColumn="0" w:lastRowLastColumn="0"/>
            </w:pPr>
            <w:r w:rsidRPr="00823869">
              <w:t>National Planning Policy Framework (NPPF)</w:t>
            </w:r>
          </w:p>
          <w:p w14:paraId="309EF989" w14:textId="10BAC1D7" w:rsidR="00DC0AA1" w:rsidRPr="00777D19" w:rsidRDefault="00AC596C" w:rsidP="00AC596C">
            <w:pPr>
              <w:pStyle w:val="ListBullet"/>
              <w:cnfStyle w:val="000000000000" w:firstRow="0" w:lastRow="0" w:firstColumn="0" w:lastColumn="0" w:oddVBand="0" w:evenVBand="0" w:oddHBand="0" w:evenHBand="0" w:firstRowFirstColumn="0" w:firstRowLastColumn="0" w:lastRowFirstColumn="0" w:lastRowLastColumn="0"/>
            </w:pPr>
            <w:r>
              <w:t xml:space="preserve">Building </w:t>
            </w:r>
            <w:r w:rsidRPr="00823869">
              <w:t>Regulations Approved Documents</w:t>
            </w:r>
          </w:p>
        </w:tc>
      </w:tr>
      <w:tr w:rsidR="00DC0AA1" w:rsidRPr="00DE6AD5" w14:paraId="21E9BEE1" w14:textId="77777777" w:rsidTr="0082750F">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3C708EEC" w14:textId="77777777" w:rsidR="00DC0AA1" w:rsidRPr="00FE574E" w:rsidRDefault="00DC0AA1" w:rsidP="00B65CD1">
            <w:pPr>
              <w:pStyle w:val="BoldNormal"/>
            </w:pPr>
            <w:r w:rsidRPr="00777D19">
              <w:t>The policy also operates in the context of:</w:t>
            </w:r>
          </w:p>
        </w:tc>
        <w:tc>
          <w:tcPr>
            <w:tcW w:w="6231" w:type="dxa"/>
          </w:tcPr>
          <w:p w14:paraId="3CB7025F" w14:textId="77777777" w:rsidR="003F5885" w:rsidRPr="00823869"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 xml:space="preserve">Asset Management Strategy </w:t>
            </w:r>
          </w:p>
          <w:p w14:paraId="53E2CCD4" w14:textId="77777777" w:rsidR="003F5885" w:rsidRPr="00823869"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 xml:space="preserve">Fire Safety Policy </w:t>
            </w:r>
          </w:p>
          <w:p w14:paraId="3ED8C472" w14:textId="77777777" w:rsidR="003F5885" w:rsidRPr="00823869"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 xml:space="preserve">Electrical Safety Policy </w:t>
            </w:r>
          </w:p>
          <w:p w14:paraId="1CF524AE" w14:textId="77777777" w:rsidR="003F5885" w:rsidRPr="00823869"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 xml:space="preserve">Asbestos Policy </w:t>
            </w:r>
          </w:p>
          <w:p w14:paraId="038CE3D5" w14:textId="77777777" w:rsidR="003F5885" w:rsidRPr="00823869"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 xml:space="preserve">Gas and Heating Policy </w:t>
            </w:r>
          </w:p>
          <w:p w14:paraId="4F0D13D5" w14:textId="77777777" w:rsidR="003F5885" w:rsidRPr="00823869"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 xml:space="preserve">Lift Safety Policy </w:t>
            </w:r>
          </w:p>
          <w:p w14:paraId="43BEA7B9" w14:textId="77777777" w:rsidR="003F5885" w:rsidRPr="00823869"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 xml:space="preserve">Water Hygiene Policy </w:t>
            </w:r>
          </w:p>
          <w:p w14:paraId="043539C7" w14:textId="77777777" w:rsidR="003F5885" w:rsidRPr="00823869"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 xml:space="preserve">Repairs Policy </w:t>
            </w:r>
          </w:p>
          <w:p w14:paraId="08F64B68" w14:textId="77777777" w:rsidR="003F5885" w:rsidRPr="00823869"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 xml:space="preserve">Tenant Handbook </w:t>
            </w:r>
          </w:p>
          <w:p w14:paraId="6BB78C87" w14:textId="4FEA5466" w:rsidR="003F5885" w:rsidRDefault="003F5885" w:rsidP="003F5885">
            <w:pPr>
              <w:pStyle w:val="ListBullet"/>
              <w:cnfStyle w:val="000000000000" w:firstRow="0" w:lastRow="0" w:firstColumn="0" w:lastColumn="0" w:oddVBand="0" w:evenVBand="0" w:oddHBand="0" w:evenHBand="0" w:firstRowFirstColumn="0" w:firstRowLastColumn="0" w:lastRowFirstColumn="0" w:lastRowLastColumn="0"/>
            </w:pPr>
            <w:r w:rsidRPr="00823869">
              <w:t>Getting to Know You Procedure</w:t>
            </w:r>
          </w:p>
          <w:p w14:paraId="4527C628" w14:textId="3DD7C4F5" w:rsidR="00925EC8" w:rsidRPr="00777D19" w:rsidRDefault="00EF7CE8" w:rsidP="008C09D4">
            <w:pPr>
              <w:pStyle w:val="ListBullet"/>
              <w:cnfStyle w:val="000000000000" w:firstRow="0" w:lastRow="0" w:firstColumn="0" w:lastColumn="0" w:oddVBand="0" w:evenVBand="0" w:oddHBand="0" w:evenHBand="0" w:firstRowFirstColumn="0" w:firstRowLastColumn="0" w:lastRowFirstColumn="0" w:lastRowLastColumn="0"/>
            </w:pPr>
            <w:r>
              <w:t>Pro</w:t>
            </w:r>
            <w:r w:rsidR="003F5885" w:rsidRPr="00823869">
              <w:t>curement and Contract Management Framework</w:t>
            </w:r>
          </w:p>
        </w:tc>
      </w:tr>
    </w:tbl>
    <w:p w14:paraId="1F4C891E" w14:textId="77777777" w:rsidR="00DC0AA1" w:rsidRDefault="00DC0AA1" w:rsidP="00DC0AA1"/>
    <w:p w14:paraId="56351365" w14:textId="77777777" w:rsidR="00DC0AA1" w:rsidRDefault="00387221" w:rsidP="00387221">
      <w:pPr>
        <w:tabs>
          <w:tab w:val="left" w:pos="1545"/>
        </w:tabs>
      </w:pPr>
      <w:r>
        <w:tab/>
      </w:r>
    </w:p>
    <w:p w14:paraId="4D35FF2E" w14:textId="77777777" w:rsidR="00DC0AA1" w:rsidRDefault="00DC0AA1" w:rsidP="00DC0AA1">
      <w:pPr>
        <w:pStyle w:val="CentreNormal"/>
        <w:jc w:val="left"/>
      </w:pPr>
      <w:r>
        <w:br w:type="page"/>
      </w:r>
    </w:p>
    <w:sdt>
      <w:sdtPr>
        <w:rPr>
          <w:rFonts w:eastAsiaTheme="minorHAnsi"/>
          <w:b w:val="0"/>
          <w:color w:val="000000" w:themeColor="text1"/>
          <w:sz w:val="24"/>
          <w:lang w:val="en-GB"/>
        </w:rPr>
        <w:id w:val="730502372"/>
        <w:docPartObj>
          <w:docPartGallery w:val="Table of Contents"/>
          <w:docPartUnique/>
        </w:docPartObj>
      </w:sdtPr>
      <w:sdtEndPr>
        <w:rPr>
          <w:bCs/>
          <w:noProof/>
        </w:rPr>
      </w:sdtEndPr>
      <w:sdtContent>
        <w:p w14:paraId="75C8FB6F" w14:textId="1EACF5C2" w:rsidR="000170A7" w:rsidRPr="0084766C" w:rsidRDefault="00DC0AA1" w:rsidP="0084766C">
          <w:pPr>
            <w:pStyle w:val="TOCHeading"/>
          </w:pPr>
          <w:r>
            <w:t>Contents</w:t>
          </w:r>
        </w:p>
        <w:p w14:paraId="73D21D59" w14:textId="642F53A3" w:rsidR="005A7DBC" w:rsidRDefault="00DC0AA1">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213852644" w:history="1">
            <w:r w:rsidR="005A7DBC" w:rsidRPr="009D5737">
              <w:rPr>
                <w:rStyle w:val="Hyperlink"/>
              </w:rPr>
              <w:t>1.</w:t>
            </w:r>
            <w:r w:rsidR="005A7DBC">
              <w:rPr>
                <w:rFonts w:asciiTheme="minorHAnsi" w:eastAsiaTheme="minorEastAsia" w:hAnsiTheme="minorHAnsi" w:cstheme="minorBidi"/>
                <w:color w:val="auto"/>
                <w:kern w:val="2"/>
                <w:szCs w:val="24"/>
                <w:lang w:eastAsia="en-GB"/>
                <w14:ligatures w14:val="standardContextual"/>
              </w:rPr>
              <w:tab/>
            </w:r>
            <w:r w:rsidR="005A7DBC" w:rsidRPr="009D5737">
              <w:rPr>
                <w:rStyle w:val="Hyperlink"/>
              </w:rPr>
              <w:t>Introduction and Objectives</w:t>
            </w:r>
            <w:r w:rsidR="005A7DBC">
              <w:rPr>
                <w:webHidden/>
              </w:rPr>
              <w:tab/>
            </w:r>
            <w:r w:rsidR="005A7DBC">
              <w:rPr>
                <w:webHidden/>
              </w:rPr>
              <w:fldChar w:fldCharType="begin"/>
            </w:r>
            <w:r w:rsidR="005A7DBC">
              <w:rPr>
                <w:webHidden/>
              </w:rPr>
              <w:instrText xml:space="preserve"> PAGEREF _Toc213852644 \h </w:instrText>
            </w:r>
            <w:r w:rsidR="005A7DBC">
              <w:rPr>
                <w:webHidden/>
              </w:rPr>
            </w:r>
            <w:r w:rsidR="005A7DBC">
              <w:rPr>
                <w:webHidden/>
              </w:rPr>
              <w:fldChar w:fldCharType="separate"/>
            </w:r>
            <w:r w:rsidR="005A7DBC">
              <w:rPr>
                <w:webHidden/>
              </w:rPr>
              <w:t>5</w:t>
            </w:r>
            <w:r w:rsidR="005A7DBC">
              <w:rPr>
                <w:webHidden/>
              </w:rPr>
              <w:fldChar w:fldCharType="end"/>
            </w:r>
          </w:hyperlink>
        </w:p>
        <w:p w14:paraId="5EBCC3E2" w14:textId="07115B12"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45" w:history="1">
            <w:r w:rsidRPr="009D5737">
              <w:rPr>
                <w:rStyle w:val="Hyperlink"/>
              </w:rPr>
              <w:t>2.</w:t>
            </w:r>
            <w:r>
              <w:rPr>
                <w:rFonts w:asciiTheme="minorHAnsi" w:eastAsiaTheme="minorEastAsia" w:hAnsiTheme="minorHAnsi" w:cstheme="minorBidi"/>
                <w:color w:val="auto"/>
                <w:kern w:val="2"/>
                <w:szCs w:val="24"/>
                <w:lang w:eastAsia="en-GB"/>
                <w14:ligatures w14:val="standardContextual"/>
              </w:rPr>
              <w:tab/>
            </w:r>
            <w:r w:rsidRPr="009D5737">
              <w:rPr>
                <w:rStyle w:val="Hyperlink"/>
              </w:rPr>
              <w:t>Scope</w:t>
            </w:r>
            <w:r>
              <w:rPr>
                <w:webHidden/>
              </w:rPr>
              <w:tab/>
            </w:r>
            <w:r>
              <w:rPr>
                <w:webHidden/>
              </w:rPr>
              <w:fldChar w:fldCharType="begin"/>
            </w:r>
            <w:r>
              <w:rPr>
                <w:webHidden/>
              </w:rPr>
              <w:instrText xml:space="preserve"> PAGEREF _Toc213852645 \h </w:instrText>
            </w:r>
            <w:r>
              <w:rPr>
                <w:webHidden/>
              </w:rPr>
            </w:r>
            <w:r>
              <w:rPr>
                <w:webHidden/>
              </w:rPr>
              <w:fldChar w:fldCharType="separate"/>
            </w:r>
            <w:r>
              <w:rPr>
                <w:webHidden/>
              </w:rPr>
              <w:t>6</w:t>
            </w:r>
            <w:r>
              <w:rPr>
                <w:webHidden/>
              </w:rPr>
              <w:fldChar w:fldCharType="end"/>
            </w:r>
          </w:hyperlink>
        </w:p>
        <w:p w14:paraId="0AB3AC51" w14:textId="7C1A1ACB"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46" w:history="1">
            <w:r w:rsidRPr="009D5737">
              <w:rPr>
                <w:rStyle w:val="Hyperlink"/>
              </w:rPr>
              <w:t>3.</w:t>
            </w:r>
            <w:r>
              <w:rPr>
                <w:rFonts w:asciiTheme="minorHAnsi" w:eastAsiaTheme="minorEastAsia" w:hAnsiTheme="minorHAnsi" w:cstheme="minorBidi"/>
                <w:color w:val="auto"/>
                <w:kern w:val="2"/>
                <w:szCs w:val="24"/>
                <w:lang w:eastAsia="en-GB"/>
                <w14:ligatures w14:val="standardContextual"/>
              </w:rPr>
              <w:tab/>
            </w:r>
            <w:r w:rsidRPr="009D5737">
              <w:rPr>
                <w:rStyle w:val="Hyperlink"/>
              </w:rPr>
              <w:t>Statement of Intent</w:t>
            </w:r>
            <w:r>
              <w:rPr>
                <w:webHidden/>
              </w:rPr>
              <w:tab/>
            </w:r>
            <w:r>
              <w:rPr>
                <w:webHidden/>
              </w:rPr>
              <w:fldChar w:fldCharType="begin"/>
            </w:r>
            <w:r>
              <w:rPr>
                <w:webHidden/>
              </w:rPr>
              <w:instrText xml:space="preserve"> PAGEREF _Toc213852646 \h </w:instrText>
            </w:r>
            <w:r>
              <w:rPr>
                <w:webHidden/>
              </w:rPr>
            </w:r>
            <w:r>
              <w:rPr>
                <w:webHidden/>
              </w:rPr>
              <w:fldChar w:fldCharType="separate"/>
            </w:r>
            <w:r>
              <w:rPr>
                <w:webHidden/>
              </w:rPr>
              <w:t>6</w:t>
            </w:r>
            <w:r>
              <w:rPr>
                <w:webHidden/>
              </w:rPr>
              <w:fldChar w:fldCharType="end"/>
            </w:r>
          </w:hyperlink>
        </w:p>
        <w:p w14:paraId="29E65287" w14:textId="05339FEE"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47" w:history="1">
            <w:r w:rsidRPr="009D5737">
              <w:rPr>
                <w:rStyle w:val="Hyperlink"/>
              </w:rPr>
              <w:t>4.</w:t>
            </w:r>
            <w:r>
              <w:rPr>
                <w:rFonts w:asciiTheme="minorHAnsi" w:eastAsiaTheme="minorEastAsia" w:hAnsiTheme="minorHAnsi" w:cstheme="minorBidi"/>
                <w:color w:val="auto"/>
                <w:kern w:val="2"/>
                <w:szCs w:val="24"/>
                <w:lang w:eastAsia="en-GB"/>
                <w14:ligatures w14:val="standardContextual"/>
              </w:rPr>
              <w:tab/>
            </w:r>
            <w:r w:rsidRPr="009D5737">
              <w:rPr>
                <w:rStyle w:val="Hyperlink"/>
              </w:rPr>
              <w:t>Definitions and Classifications</w:t>
            </w:r>
            <w:r>
              <w:rPr>
                <w:webHidden/>
              </w:rPr>
              <w:tab/>
            </w:r>
            <w:r>
              <w:rPr>
                <w:webHidden/>
              </w:rPr>
              <w:fldChar w:fldCharType="begin"/>
            </w:r>
            <w:r>
              <w:rPr>
                <w:webHidden/>
              </w:rPr>
              <w:instrText xml:space="preserve"> PAGEREF _Toc213852647 \h </w:instrText>
            </w:r>
            <w:r>
              <w:rPr>
                <w:webHidden/>
              </w:rPr>
            </w:r>
            <w:r>
              <w:rPr>
                <w:webHidden/>
              </w:rPr>
              <w:fldChar w:fldCharType="separate"/>
            </w:r>
            <w:r>
              <w:rPr>
                <w:webHidden/>
              </w:rPr>
              <w:t>7</w:t>
            </w:r>
            <w:r>
              <w:rPr>
                <w:webHidden/>
              </w:rPr>
              <w:fldChar w:fldCharType="end"/>
            </w:r>
          </w:hyperlink>
        </w:p>
        <w:p w14:paraId="03F8DA3E" w14:textId="79AFA90F"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48" w:history="1">
            <w:r w:rsidRPr="009D5737">
              <w:rPr>
                <w:rStyle w:val="Hyperlink"/>
              </w:rPr>
              <w:t>4.1</w:t>
            </w:r>
            <w:r>
              <w:rPr>
                <w:rFonts w:asciiTheme="minorHAnsi" w:eastAsiaTheme="minorEastAsia" w:hAnsiTheme="minorHAnsi" w:cstheme="minorBidi"/>
                <w:color w:val="auto"/>
                <w:kern w:val="2"/>
                <w:szCs w:val="24"/>
                <w:lang w:eastAsia="en-GB"/>
                <w14:ligatures w14:val="standardContextual"/>
              </w:rPr>
              <w:tab/>
            </w:r>
            <w:r w:rsidRPr="009D5737">
              <w:rPr>
                <w:rStyle w:val="Hyperlink"/>
              </w:rPr>
              <w:t>Knock-through</w:t>
            </w:r>
            <w:r>
              <w:rPr>
                <w:webHidden/>
              </w:rPr>
              <w:tab/>
            </w:r>
            <w:r>
              <w:rPr>
                <w:webHidden/>
              </w:rPr>
              <w:fldChar w:fldCharType="begin"/>
            </w:r>
            <w:r>
              <w:rPr>
                <w:webHidden/>
              </w:rPr>
              <w:instrText xml:space="preserve"> PAGEREF _Toc213852648 \h </w:instrText>
            </w:r>
            <w:r>
              <w:rPr>
                <w:webHidden/>
              </w:rPr>
            </w:r>
            <w:r>
              <w:rPr>
                <w:webHidden/>
              </w:rPr>
              <w:fldChar w:fldCharType="separate"/>
            </w:r>
            <w:r>
              <w:rPr>
                <w:webHidden/>
              </w:rPr>
              <w:t>7</w:t>
            </w:r>
            <w:r>
              <w:rPr>
                <w:webHidden/>
              </w:rPr>
              <w:fldChar w:fldCharType="end"/>
            </w:r>
          </w:hyperlink>
        </w:p>
        <w:p w14:paraId="7CD91DCA" w14:textId="03365DCE"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49" w:history="1">
            <w:r w:rsidRPr="009D5737">
              <w:rPr>
                <w:rStyle w:val="Hyperlink"/>
              </w:rPr>
              <w:t>4.2</w:t>
            </w:r>
            <w:r>
              <w:rPr>
                <w:rFonts w:asciiTheme="minorHAnsi" w:eastAsiaTheme="minorEastAsia" w:hAnsiTheme="minorHAnsi" w:cstheme="minorBidi"/>
                <w:color w:val="auto"/>
                <w:kern w:val="2"/>
                <w:szCs w:val="24"/>
                <w:lang w:eastAsia="en-GB"/>
                <w14:ligatures w14:val="standardContextual"/>
              </w:rPr>
              <w:tab/>
            </w:r>
            <w:r w:rsidRPr="009D5737">
              <w:rPr>
                <w:rStyle w:val="Hyperlink"/>
              </w:rPr>
              <w:t>Extension</w:t>
            </w:r>
            <w:r>
              <w:rPr>
                <w:webHidden/>
              </w:rPr>
              <w:tab/>
            </w:r>
            <w:r>
              <w:rPr>
                <w:webHidden/>
              </w:rPr>
              <w:fldChar w:fldCharType="begin"/>
            </w:r>
            <w:r>
              <w:rPr>
                <w:webHidden/>
              </w:rPr>
              <w:instrText xml:space="preserve"> PAGEREF _Toc213852649 \h </w:instrText>
            </w:r>
            <w:r>
              <w:rPr>
                <w:webHidden/>
              </w:rPr>
            </w:r>
            <w:r>
              <w:rPr>
                <w:webHidden/>
              </w:rPr>
              <w:fldChar w:fldCharType="separate"/>
            </w:r>
            <w:r>
              <w:rPr>
                <w:webHidden/>
              </w:rPr>
              <w:t>7</w:t>
            </w:r>
            <w:r>
              <w:rPr>
                <w:webHidden/>
              </w:rPr>
              <w:fldChar w:fldCharType="end"/>
            </w:r>
          </w:hyperlink>
        </w:p>
        <w:p w14:paraId="3058C119" w14:textId="7A029F7D"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50" w:history="1">
            <w:r w:rsidRPr="009D5737">
              <w:rPr>
                <w:rStyle w:val="Hyperlink"/>
              </w:rPr>
              <w:t>4.3</w:t>
            </w:r>
            <w:r>
              <w:rPr>
                <w:rFonts w:asciiTheme="minorHAnsi" w:eastAsiaTheme="minorEastAsia" w:hAnsiTheme="minorHAnsi" w:cstheme="minorBidi"/>
                <w:color w:val="auto"/>
                <w:kern w:val="2"/>
                <w:szCs w:val="24"/>
                <w:lang w:eastAsia="en-GB"/>
                <w14:ligatures w14:val="standardContextual"/>
              </w:rPr>
              <w:tab/>
            </w:r>
            <w:r w:rsidRPr="009D5737">
              <w:rPr>
                <w:rStyle w:val="Hyperlink"/>
              </w:rPr>
              <w:t>Internal Modification</w:t>
            </w:r>
            <w:r>
              <w:rPr>
                <w:webHidden/>
              </w:rPr>
              <w:tab/>
            </w:r>
            <w:r>
              <w:rPr>
                <w:webHidden/>
              </w:rPr>
              <w:fldChar w:fldCharType="begin"/>
            </w:r>
            <w:r>
              <w:rPr>
                <w:webHidden/>
              </w:rPr>
              <w:instrText xml:space="preserve"> PAGEREF _Toc213852650 \h </w:instrText>
            </w:r>
            <w:r>
              <w:rPr>
                <w:webHidden/>
              </w:rPr>
            </w:r>
            <w:r>
              <w:rPr>
                <w:webHidden/>
              </w:rPr>
              <w:fldChar w:fldCharType="separate"/>
            </w:r>
            <w:r>
              <w:rPr>
                <w:webHidden/>
              </w:rPr>
              <w:t>7</w:t>
            </w:r>
            <w:r>
              <w:rPr>
                <w:webHidden/>
              </w:rPr>
              <w:fldChar w:fldCharType="end"/>
            </w:r>
          </w:hyperlink>
        </w:p>
        <w:p w14:paraId="57F4B984" w14:textId="05B7379E"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51" w:history="1">
            <w:r w:rsidRPr="009D5737">
              <w:rPr>
                <w:rStyle w:val="Hyperlink"/>
              </w:rPr>
              <w:t>4.4</w:t>
            </w:r>
            <w:r>
              <w:rPr>
                <w:rFonts w:asciiTheme="minorHAnsi" w:eastAsiaTheme="minorEastAsia" w:hAnsiTheme="minorHAnsi" w:cstheme="minorBidi"/>
                <w:color w:val="auto"/>
                <w:kern w:val="2"/>
                <w:szCs w:val="24"/>
                <w:lang w:eastAsia="en-GB"/>
                <w14:ligatures w14:val="standardContextual"/>
              </w:rPr>
              <w:tab/>
            </w:r>
            <w:r w:rsidRPr="009D5737">
              <w:rPr>
                <w:rStyle w:val="Hyperlink"/>
              </w:rPr>
              <w:t>High-risk building</w:t>
            </w:r>
            <w:r>
              <w:rPr>
                <w:webHidden/>
              </w:rPr>
              <w:tab/>
            </w:r>
            <w:r>
              <w:rPr>
                <w:webHidden/>
              </w:rPr>
              <w:fldChar w:fldCharType="begin"/>
            </w:r>
            <w:r>
              <w:rPr>
                <w:webHidden/>
              </w:rPr>
              <w:instrText xml:space="preserve"> PAGEREF _Toc213852651 \h </w:instrText>
            </w:r>
            <w:r>
              <w:rPr>
                <w:webHidden/>
              </w:rPr>
            </w:r>
            <w:r>
              <w:rPr>
                <w:webHidden/>
              </w:rPr>
              <w:fldChar w:fldCharType="separate"/>
            </w:r>
            <w:r>
              <w:rPr>
                <w:webHidden/>
              </w:rPr>
              <w:t>7</w:t>
            </w:r>
            <w:r>
              <w:rPr>
                <w:webHidden/>
              </w:rPr>
              <w:fldChar w:fldCharType="end"/>
            </w:r>
          </w:hyperlink>
        </w:p>
        <w:p w14:paraId="627DEA32" w14:textId="25EC9FA1"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52" w:history="1">
            <w:r w:rsidRPr="009D5737">
              <w:rPr>
                <w:rStyle w:val="Hyperlink"/>
              </w:rPr>
              <w:t>5.</w:t>
            </w:r>
            <w:r>
              <w:rPr>
                <w:rFonts w:asciiTheme="minorHAnsi" w:eastAsiaTheme="minorEastAsia" w:hAnsiTheme="minorHAnsi" w:cstheme="minorBidi"/>
                <w:color w:val="auto"/>
                <w:kern w:val="2"/>
                <w:szCs w:val="24"/>
                <w:lang w:eastAsia="en-GB"/>
                <w14:ligatures w14:val="standardContextual"/>
              </w:rPr>
              <w:tab/>
            </w:r>
            <w:r w:rsidRPr="009D5737">
              <w:rPr>
                <w:rStyle w:val="Hyperlink"/>
              </w:rPr>
              <w:t>LBTH Responsibilities</w:t>
            </w:r>
            <w:r>
              <w:rPr>
                <w:webHidden/>
              </w:rPr>
              <w:tab/>
            </w:r>
            <w:r>
              <w:rPr>
                <w:webHidden/>
              </w:rPr>
              <w:fldChar w:fldCharType="begin"/>
            </w:r>
            <w:r>
              <w:rPr>
                <w:webHidden/>
              </w:rPr>
              <w:instrText xml:space="preserve"> PAGEREF _Toc213852652 \h </w:instrText>
            </w:r>
            <w:r>
              <w:rPr>
                <w:webHidden/>
              </w:rPr>
            </w:r>
            <w:r>
              <w:rPr>
                <w:webHidden/>
              </w:rPr>
              <w:fldChar w:fldCharType="separate"/>
            </w:r>
            <w:r>
              <w:rPr>
                <w:webHidden/>
              </w:rPr>
              <w:t>7</w:t>
            </w:r>
            <w:r>
              <w:rPr>
                <w:webHidden/>
              </w:rPr>
              <w:fldChar w:fldCharType="end"/>
            </w:r>
          </w:hyperlink>
        </w:p>
        <w:p w14:paraId="138E79ED" w14:textId="099A21B0"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53" w:history="1">
            <w:r w:rsidRPr="009D5737">
              <w:rPr>
                <w:rStyle w:val="Hyperlink"/>
              </w:rPr>
              <w:t>5.1</w:t>
            </w:r>
            <w:r>
              <w:rPr>
                <w:rFonts w:asciiTheme="minorHAnsi" w:eastAsiaTheme="minorEastAsia" w:hAnsiTheme="minorHAnsi" w:cstheme="minorBidi"/>
                <w:color w:val="auto"/>
                <w:kern w:val="2"/>
                <w:szCs w:val="24"/>
                <w:lang w:eastAsia="en-GB"/>
                <w14:ligatures w14:val="standardContextual"/>
              </w:rPr>
              <w:tab/>
            </w:r>
            <w:r w:rsidRPr="009D5737">
              <w:rPr>
                <w:rStyle w:val="Hyperlink"/>
              </w:rPr>
              <w:t>Statutory and Regulatory Compliance</w:t>
            </w:r>
            <w:r>
              <w:rPr>
                <w:webHidden/>
              </w:rPr>
              <w:tab/>
            </w:r>
            <w:r>
              <w:rPr>
                <w:webHidden/>
              </w:rPr>
              <w:fldChar w:fldCharType="begin"/>
            </w:r>
            <w:r>
              <w:rPr>
                <w:webHidden/>
              </w:rPr>
              <w:instrText xml:space="preserve"> PAGEREF _Toc213852653 \h </w:instrText>
            </w:r>
            <w:r>
              <w:rPr>
                <w:webHidden/>
              </w:rPr>
            </w:r>
            <w:r>
              <w:rPr>
                <w:webHidden/>
              </w:rPr>
              <w:fldChar w:fldCharType="separate"/>
            </w:r>
            <w:r>
              <w:rPr>
                <w:webHidden/>
              </w:rPr>
              <w:t>7</w:t>
            </w:r>
            <w:r>
              <w:rPr>
                <w:webHidden/>
              </w:rPr>
              <w:fldChar w:fldCharType="end"/>
            </w:r>
          </w:hyperlink>
        </w:p>
        <w:p w14:paraId="5BE832F1" w14:textId="3A112933"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54" w:history="1">
            <w:r w:rsidRPr="009D5737">
              <w:rPr>
                <w:rStyle w:val="Hyperlink"/>
              </w:rPr>
              <w:t>5.2</w:t>
            </w:r>
            <w:r>
              <w:rPr>
                <w:rFonts w:asciiTheme="minorHAnsi" w:eastAsiaTheme="minorEastAsia" w:hAnsiTheme="minorHAnsi" w:cstheme="minorBidi"/>
                <w:color w:val="auto"/>
                <w:kern w:val="2"/>
                <w:szCs w:val="24"/>
                <w:lang w:eastAsia="en-GB"/>
                <w14:ligatures w14:val="standardContextual"/>
              </w:rPr>
              <w:tab/>
            </w:r>
            <w:r w:rsidRPr="009D5737">
              <w:rPr>
                <w:rStyle w:val="Hyperlink"/>
              </w:rPr>
              <w:t>Assessment and Decision-Making</w:t>
            </w:r>
            <w:r>
              <w:rPr>
                <w:webHidden/>
              </w:rPr>
              <w:tab/>
            </w:r>
            <w:r>
              <w:rPr>
                <w:webHidden/>
              </w:rPr>
              <w:fldChar w:fldCharType="begin"/>
            </w:r>
            <w:r>
              <w:rPr>
                <w:webHidden/>
              </w:rPr>
              <w:instrText xml:space="preserve"> PAGEREF _Toc213852654 \h </w:instrText>
            </w:r>
            <w:r>
              <w:rPr>
                <w:webHidden/>
              </w:rPr>
            </w:r>
            <w:r>
              <w:rPr>
                <w:webHidden/>
              </w:rPr>
              <w:fldChar w:fldCharType="separate"/>
            </w:r>
            <w:r>
              <w:rPr>
                <w:webHidden/>
              </w:rPr>
              <w:t>7</w:t>
            </w:r>
            <w:r>
              <w:rPr>
                <w:webHidden/>
              </w:rPr>
              <w:fldChar w:fldCharType="end"/>
            </w:r>
          </w:hyperlink>
        </w:p>
        <w:p w14:paraId="75F72A14" w14:textId="52B1C4D7"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55" w:history="1">
            <w:r w:rsidRPr="009D5737">
              <w:rPr>
                <w:rStyle w:val="Hyperlink"/>
              </w:rPr>
              <w:t>5.3</w:t>
            </w:r>
            <w:r>
              <w:rPr>
                <w:rFonts w:asciiTheme="minorHAnsi" w:eastAsiaTheme="minorEastAsia" w:hAnsiTheme="minorHAnsi" w:cstheme="minorBidi"/>
                <w:color w:val="auto"/>
                <w:kern w:val="2"/>
                <w:szCs w:val="24"/>
                <w:lang w:eastAsia="en-GB"/>
                <w14:ligatures w14:val="standardContextual"/>
              </w:rPr>
              <w:tab/>
            </w:r>
            <w:r w:rsidRPr="009D5737">
              <w:rPr>
                <w:rStyle w:val="Hyperlink"/>
              </w:rPr>
              <w:t>Resource Allocation and Planning</w:t>
            </w:r>
            <w:r>
              <w:rPr>
                <w:webHidden/>
              </w:rPr>
              <w:tab/>
            </w:r>
            <w:r>
              <w:rPr>
                <w:webHidden/>
              </w:rPr>
              <w:fldChar w:fldCharType="begin"/>
            </w:r>
            <w:r>
              <w:rPr>
                <w:webHidden/>
              </w:rPr>
              <w:instrText xml:space="preserve"> PAGEREF _Toc213852655 \h </w:instrText>
            </w:r>
            <w:r>
              <w:rPr>
                <w:webHidden/>
              </w:rPr>
            </w:r>
            <w:r>
              <w:rPr>
                <w:webHidden/>
              </w:rPr>
              <w:fldChar w:fldCharType="separate"/>
            </w:r>
            <w:r>
              <w:rPr>
                <w:webHidden/>
              </w:rPr>
              <w:t>7</w:t>
            </w:r>
            <w:r>
              <w:rPr>
                <w:webHidden/>
              </w:rPr>
              <w:fldChar w:fldCharType="end"/>
            </w:r>
          </w:hyperlink>
        </w:p>
        <w:p w14:paraId="26163C00" w14:textId="15A480D3"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56" w:history="1">
            <w:r w:rsidRPr="009D5737">
              <w:rPr>
                <w:rStyle w:val="Hyperlink"/>
              </w:rPr>
              <w:t>5.4</w:t>
            </w:r>
            <w:r>
              <w:rPr>
                <w:rFonts w:asciiTheme="minorHAnsi" w:eastAsiaTheme="minorEastAsia" w:hAnsiTheme="minorHAnsi" w:cstheme="minorBidi"/>
                <w:color w:val="auto"/>
                <w:kern w:val="2"/>
                <w:szCs w:val="24"/>
                <w:lang w:eastAsia="en-GB"/>
                <w14:ligatures w14:val="standardContextual"/>
              </w:rPr>
              <w:tab/>
            </w:r>
            <w:r w:rsidRPr="009D5737">
              <w:rPr>
                <w:rStyle w:val="Hyperlink"/>
              </w:rPr>
              <w:t>Project Delivery</w:t>
            </w:r>
            <w:r>
              <w:rPr>
                <w:webHidden/>
              </w:rPr>
              <w:tab/>
            </w:r>
            <w:r>
              <w:rPr>
                <w:webHidden/>
              </w:rPr>
              <w:fldChar w:fldCharType="begin"/>
            </w:r>
            <w:r>
              <w:rPr>
                <w:webHidden/>
              </w:rPr>
              <w:instrText xml:space="preserve"> PAGEREF _Toc213852656 \h </w:instrText>
            </w:r>
            <w:r>
              <w:rPr>
                <w:webHidden/>
              </w:rPr>
            </w:r>
            <w:r>
              <w:rPr>
                <w:webHidden/>
              </w:rPr>
              <w:fldChar w:fldCharType="separate"/>
            </w:r>
            <w:r>
              <w:rPr>
                <w:webHidden/>
              </w:rPr>
              <w:t>8</w:t>
            </w:r>
            <w:r>
              <w:rPr>
                <w:webHidden/>
              </w:rPr>
              <w:fldChar w:fldCharType="end"/>
            </w:r>
          </w:hyperlink>
        </w:p>
        <w:p w14:paraId="3E0893DB" w14:textId="0292248A"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57" w:history="1">
            <w:r w:rsidRPr="009D5737">
              <w:rPr>
                <w:rStyle w:val="Hyperlink"/>
              </w:rPr>
              <w:t>5.5</w:t>
            </w:r>
            <w:r>
              <w:rPr>
                <w:rFonts w:asciiTheme="minorHAnsi" w:eastAsiaTheme="minorEastAsia" w:hAnsiTheme="minorHAnsi" w:cstheme="minorBidi"/>
                <w:color w:val="auto"/>
                <w:kern w:val="2"/>
                <w:szCs w:val="24"/>
                <w:lang w:eastAsia="en-GB"/>
                <w14:ligatures w14:val="standardContextual"/>
              </w:rPr>
              <w:tab/>
            </w:r>
            <w:r w:rsidRPr="009D5737">
              <w:rPr>
                <w:rStyle w:val="Hyperlink"/>
              </w:rPr>
              <w:t>Communication and Support</w:t>
            </w:r>
            <w:r>
              <w:rPr>
                <w:webHidden/>
              </w:rPr>
              <w:tab/>
            </w:r>
            <w:r>
              <w:rPr>
                <w:webHidden/>
              </w:rPr>
              <w:fldChar w:fldCharType="begin"/>
            </w:r>
            <w:r>
              <w:rPr>
                <w:webHidden/>
              </w:rPr>
              <w:instrText xml:space="preserve"> PAGEREF _Toc213852657 \h </w:instrText>
            </w:r>
            <w:r>
              <w:rPr>
                <w:webHidden/>
              </w:rPr>
            </w:r>
            <w:r>
              <w:rPr>
                <w:webHidden/>
              </w:rPr>
              <w:fldChar w:fldCharType="separate"/>
            </w:r>
            <w:r>
              <w:rPr>
                <w:webHidden/>
              </w:rPr>
              <w:t>8</w:t>
            </w:r>
            <w:r>
              <w:rPr>
                <w:webHidden/>
              </w:rPr>
              <w:fldChar w:fldCharType="end"/>
            </w:r>
          </w:hyperlink>
        </w:p>
        <w:p w14:paraId="6A1D19D0" w14:textId="2EFFBEBA"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58" w:history="1">
            <w:r w:rsidRPr="009D5737">
              <w:rPr>
                <w:rStyle w:val="Hyperlink"/>
              </w:rPr>
              <w:t>5.6</w:t>
            </w:r>
            <w:r>
              <w:rPr>
                <w:rFonts w:asciiTheme="minorHAnsi" w:eastAsiaTheme="minorEastAsia" w:hAnsiTheme="minorHAnsi" w:cstheme="minorBidi"/>
                <w:color w:val="auto"/>
                <w:kern w:val="2"/>
                <w:szCs w:val="24"/>
                <w:lang w:eastAsia="en-GB"/>
                <w14:ligatures w14:val="standardContextual"/>
              </w:rPr>
              <w:tab/>
            </w:r>
            <w:r w:rsidRPr="009D5737">
              <w:rPr>
                <w:rStyle w:val="Hyperlink"/>
              </w:rPr>
              <w:t>Financial Management</w:t>
            </w:r>
            <w:r>
              <w:rPr>
                <w:webHidden/>
              </w:rPr>
              <w:tab/>
            </w:r>
            <w:r>
              <w:rPr>
                <w:webHidden/>
              </w:rPr>
              <w:fldChar w:fldCharType="begin"/>
            </w:r>
            <w:r>
              <w:rPr>
                <w:webHidden/>
              </w:rPr>
              <w:instrText xml:space="preserve"> PAGEREF _Toc213852658 \h </w:instrText>
            </w:r>
            <w:r>
              <w:rPr>
                <w:webHidden/>
              </w:rPr>
            </w:r>
            <w:r>
              <w:rPr>
                <w:webHidden/>
              </w:rPr>
              <w:fldChar w:fldCharType="separate"/>
            </w:r>
            <w:r>
              <w:rPr>
                <w:webHidden/>
              </w:rPr>
              <w:t>8</w:t>
            </w:r>
            <w:r>
              <w:rPr>
                <w:webHidden/>
              </w:rPr>
              <w:fldChar w:fldCharType="end"/>
            </w:r>
          </w:hyperlink>
        </w:p>
        <w:p w14:paraId="797437EC" w14:textId="7CAC4E19"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59" w:history="1">
            <w:r w:rsidRPr="009D5737">
              <w:rPr>
                <w:rStyle w:val="Hyperlink"/>
              </w:rPr>
              <w:t>5.7</w:t>
            </w:r>
            <w:r>
              <w:rPr>
                <w:rFonts w:asciiTheme="minorHAnsi" w:eastAsiaTheme="minorEastAsia" w:hAnsiTheme="minorHAnsi" w:cstheme="minorBidi"/>
                <w:color w:val="auto"/>
                <w:kern w:val="2"/>
                <w:szCs w:val="24"/>
                <w:lang w:eastAsia="en-GB"/>
                <w14:ligatures w14:val="standardContextual"/>
              </w:rPr>
              <w:tab/>
            </w:r>
            <w:r w:rsidRPr="009D5737">
              <w:rPr>
                <w:rStyle w:val="Hyperlink"/>
              </w:rPr>
              <w:t>Quality Assurance and Learning</w:t>
            </w:r>
            <w:r>
              <w:rPr>
                <w:webHidden/>
              </w:rPr>
              <w:tab/>
            </w:r>
            <w:r>
              <w:rPr>
                <w:webHidden/>
              </w:rPr>
              <w:fldChar w:fldCharType="begin"/>
            </w:r>
            <w:r>
              <w:rPr>
                <w:webHidden/>
              </w:rPr>
              <w:instrText xml:space="preserve"> PAGEREF _Toc213852659 \h </w:instrText>
            </w:r>
            <w:r>
              <w:rPr>
                <w:webHidden/>
              </w:rPr>
            </w:r>
            <w:r>
              <w:rPr>
                <w:webHidden/>
              </w:rPr>
              <w:fldChar w:fldCharType="separate"/>
            </w:r>
            <w:r>
              <w:rPr>
                <w:webHidden/>
              </w:rPr>
              <w:t>8</w:t>
            </w:r>
            <w:r>
              <w:rPr>
                <w:webHidden/>
              </w:rPr>
              <w:fldChar w:fldCharType="end"/>
            </w:r>
          </w:hyperlink>
        </w:p>
        <w:p w14:paraId="7A924022" w14:textId="35DC950F"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60" w:history="1">
            <w:r w:rsidRPr="009D5737">
              <w:rPr>
                <w:rStyle w:val="Hyperlink"/>
                <w:lang w:val="en-US"/>
              </w:rPr>
              <w:t>6.</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Tenant Responsibilities</w:t>
            </w:r>
            <w:r>
              <w:rPr>
                <w:webHidden/>
              </w:rPr>
              <w:tab/>
            </w:r>
            <w:r>
              <w:rPr>
                <w:webHidden/>
              </w:rPr>
              <w:fldChar w:fldCharType="begin"/>
            </w:r>
            <w:r>
              <w:rPr>
                <w:webHidden/>
              </w:rPr>
              <w:instrText xml:space="preserve"> PAGEREF _Toc213852660 \h </w:instrText>
            </w:r>
            <w:r>
              <w:rPr>
                <w:webHidden/>
              </w:rPr>
            </w:r>
            <w:r>
              <w:rPr>
                <w:webHidden/>
              </w:rPr>
              <w:fldChar w:fldCharType="separate"/>
            </w:r>
            <w:r>
              <w:rPr>
                <w:webHidden/>
              </w:rPr>
              <w:t>8</w:t>
            </w:r>
            <w:r>
              <w:rPr>
                <w:webHidden/>
              </w:rPr>
              <w:fldChar w:fldCharType="end"/>
            </w:r>
          </w:hyperlink>
        </w:p>
        <w:p w14:paraId="57B34BAA" w14:textId="7CE375E5"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61" w:history="1">
            <w:r w:rsidRPr="009D5737">
              <w:rPr>
                <w:rStyle w:val="Hyperlink"/>
              </w:rPr>
              <w:t>6.1</w:t>
            </w:r>
            <w:r>
              <w:rPr>
                <w:rFonts w:asciiTheme="minorHAnsi" w:eastAsiaTheme="minorEastAsia" w:hAnsiTheme="minorHAnsi" w:cstheme="minorBidi"/>
                <w:color w:val="auto"/>
                <w:kern w:val="2"/>
                <w:szCs w:val="24"/>
                <w:lang w:eastAsia="en-GB"/>
                <w14:ligatures w14:val="standardContextual"/>
              </w:rPr>
              <w:tab/>
            </w:r>
            <w:r w:rsidRPr="009D5737">
              <w:rPr>
                <w:rStyle w:val="Hyperlink"/>
              </w:rPr>
              <w:t>Application and Assessment Process</w:t>
            </w:r>
            <w:r>
              <w:rPr>
                <w:webHidden/>
              </w:rPr>
              <w:tab/>
            </w:r>
            <w:r>
              <w:rPr>
                <w:webHidden/>
              </w:rPr>
              <w:fldChar w:fldCharType="begin"/>
            </w:r>
            <w:r>
              <w:rPr>
                <w:webHidden/>
              </w:rPr>
              <w:instrText xml:space="preserve"> PAGEREF _Toc213852661 \h </w:instrText>
            </w:r>
            <w:r>
              <w:rPr>
                <w:webHidden/>
              </w:rPr>
            </w:r>
            <w:r>
              <w:rPr>
                <w:webHidden/>
              </w:rPr>
              <w:fldChar w:fldCharType="separate"/>
            </w:r>
            <w:r>
              <w:rPr>
                <w:webHidden/>
              </w:rPr>
              <w:t>8</w:t>
            </w:r>
            <w:r>
              <w:rPr>
                <w:webHidden/>
              </w:rPr>
              <w:fldChar w:fldCharType="end"/>
            </w:r>
          </w:hyperlink>
        </w:p>
        <w:p w14:paraId="146AA794" w14:textId="48FC766B"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62" w:history="1">
            <w:r w:rsidRPr="009D5737">
              <w:rPr>
                <w:rStyle w:val="Hyperlink"/>
              </w:rPr>
              <w:t>6.2</w:t>
            </w:r>
            <w:r>
              <w:rPr>
                <w:rFonts w:asciiTheme="minorHAnsi" w:eastAsiaTheme="minorEastAsia" w:hAnsiTheme="minorHAnsi" w:cstheme="minorBidi"/>
                <w:color w:val="auto"/>
                <w:kern w:val="2"/>
                <w:szCs w:val="24"/>
                <w:lang w:eastAsia="en-GB"/>
                <w14:ligatures w14:val="standardContextual"/>
              </w:rPr>
              <w:tab/>
            </w:r>
            <w:r w:rsidRPr="009D5737">
              <w:rPr>
                <w:rStyle w:val="Hyperlink"/>
              </w:rPr>
              <w:t>Financial Obligations</w:t>
            </w:r>
            <w:r>
              <w:rPr>
                <w:webHidden/>
              </w:rPr>
              <w:tab/>
            </w:r>
            <w:r>
              <w:rPr>
                <w:webHidden/>
              </w:rPr>
              <w:fldChar w:fldCharType="begin"/>
            </w:r>
            <w:r>
              <w:rPr>
                <w:webHidden/>
              </w:rPr>
              <w:instrText xml:space="preserve"> PAGEREF _Toc213852662 \h </w:instrText>
            </w:r>
            <w:r>
              <w:rPr>
                <w:webHidden/>
              </w:rPr>
            </w:r>
            <w:r>
              <w:rPr>
                <w:webHidden/>
              </w:rPr>
              <w:fldChar w:fldCharType="separate"/>
            </w:r>
            <w:r>
              <w:rPr>
                <w:webHidden/>
              </w:rPr>
              <w:t>9</w:t>
            </w:r>
            <w:r>
              <w:rPr>
                <w:webHidden/>
              </w:rPr>
              <w:fldChar w:fldCharType="end"/>
            </w:r>
          </w:hyperlink>
        </w:p>
        <w:p w14:paraId="5AABA50B" w14:textId="7C771608"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63" w:history="1">
            <w:r w:rsidRPr="009D5737">
              <w:rPr>
                <w:rStyle w:val="Hyperlink"/>
              </w:rPr>
              <w:t>6.3</w:t>
            </w:r>
            <w:r>
              <w:rPr>
                <w:rFonts w:asciiTheme="minorHAnsi" w:eastAsiaTheme="minorEastAsia" w:hAnsiTheme="minorHAnsi" w:cstheme="minorBidi"/>
                <w:color w:val="auto"/>
                <w:kern w:val="2"/>
                <w:szCs w:val="24"/>
                <w:lang w:eastAsia="en-GB"/>
                <w14:ligatures w14:val="standardContextual"/>
              </w:rPr>
              <w:tab/>
            </w:r>
            <w:r w:rsidRPr="009D5737">
              <w:rPr>
                <w:rStyle w:val="Hyperlink"/>
              </w:rPr>
              <w:t>During Works</w:t>
            </w:r>
            <w:r>
              <w:rPr>
                <w:webHidden/>
              </w:rPr>
              <w:tab/>
            </w:r>
            <w:r>
              <w:rPr>
                <w:webHidden/>
              </w:rPr>
              <w:fldChar w:fldCharType="begin"/>
            </w:r>
            <w:r>
              <w:rPr>
                <w:webHidden/>
              </w:rPr>
              <w:instrText xml:space="preserve"> PAGEREF _Toc213852663 \h </w:instrText>
            </w:r>
            <w:r>
              <w:rPr>
                <w:webHidden/>
              </w:rPr>
            </w:r>
            <w:r>
              <w:rPr>
                <w:webHidden/>
              </w:rPr>
              <w:fldChar w:fldCharType="separate"/>
            </w:r>
            <w:r>
              <w:rPr>
                <w:webHidden/>
              </w:rPr>
              <w:t>9</w:t>
            </w:r>
            <w:r>
              <w:rPr>
                <w:webHidden/>
              </w:rPr>
              <w:fldChar w:fldCharType="end"/>
            </w:r>
          </w:hyperlink>
        </w:p>
        <w:p w14:paraId="05E76D64" w14:textId="1941F43B"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64" w:history="1">
            <w:r w:rsidRPr="009D5737">
              <w:rPr>
                <w:rStyle w:val="Hyperlink"/>
              </w:rPr>
              <w:t>6.4</w:t>
            </w:r>
            <w:r>
              <w:rPr>
                <w:rFonts w:asciiTheme="minorHAnsi" w:eastAsiaTheme="minorEastAsia" w:hAnsiTheme="minorHAnsi" w:cstheme="minorBidi"/>
                <w:color w:val="auto"/>
                <w:kern w:val="2"/>
                <w:szCs w:val="24"/>
                <w:lang w:eastAsia="en-GB"/>
                <w14:ligatures w14:val="standardContextual"/>
              </w:rPr>
              <w:tab/>
            </w:r>
            <w:r w:rsidRPr="009D5737">
              <w:rPr>
                <w:rStyle w:val="Hyperlink"/>
              </w:rPr>
              <w:t>Post-Completion</w:t>
            </w:r>
            <w:r>
              <w:rPr>
                <w:webHidden/>
              </w:rPr>
              <w:tab/>
            </w:r>
            <w:r>
              <w:rPr>
                <w:webHidden/>
              </w:rPr>
              <w:fldChar w:fldCharType="begin"/>
            </w:r>
            <w:r>
              <w:rPr>
                <w:webHidden/>
              </w:rPr>
              <w:instrText xml:space="preserve"> PAGEREF _Toc213852664 \h </w:instrText>
            </w:r>
            <w:r>
              <w:rPr>
                <w:webHidden/>
              </w:rPr>
            </w:r>
            <w:r>
              <w:rPr>
                <w:webHidden/>
              </w:rPr>
              <w:fldChar w:fldCharType="separate"/>
            </w:r>
            <w:r>
              <w:rPr>
                <w:webHidden/>
              </w:rPr>
              <w:t>9</w:t>
            </w:r>
            <w:r>
              <w:rPr>
                <w:webHidden/>
              </w:rPr>
              <w:fldChar w:fldCharType="end"/>
            </w:r>
          </w:hyperlink>
        </w:p>
        <w:p w14:paraId="1A5C595E" w14:textId="36A4EFBB"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65" w:history="1">
            <w:r w:rsidRPr="009D5737">
              <w:rPr>
                <w:rStyle w:val="Hyperlink"/>
              </w:rPr>
              <w:t>6.5</w:t>
            </w:r>
            <w:r>
              <w:rPr>
                <w:rFonts w:asciiTheme="minorHAnsi" w:eastAsiaTheme="minorEastAsia" w:hAnsiTheme="minorHAnsi" w:cstheme="minorBidi"/>
                <w:color w:val="auto"/>
                <w:kern w:val="2"/>
                <w:szCs w:val="24"/>
                <w:lang w:eastAsia="en-GB"/>
                <w14:ligatures w14:val="standardContextual"/>
              </w:rPr>
              <w:tab/>
            </w:r>
            <w:r w:rsidRPr="009D5737">
              <w:rPr>
                <w:rStyle w:val="Hyperlink"/>
              </w:rPr>
              <w:t>Ongoing Tenancy Compliance</w:t>
            </w:r>
            <w:r>
              <w:rPr>
                <w:webHidden/>
              </w:rPr>
              <w:tab/>
            </w:r>
            <w:r>
              <w:rPr>
                <w:webHidden/>
              </w:rPr>
              <w:fldChar w:fldCharType="begin"/>
            </w:r>
            <w:r>
              <w:rPr>
                <w:webHidden/>
              </w:rPr>
              <w:instrText xml:space="preserve"> PAGEREF _Toc213852665 \h </w:instrText>
            </w:r>
            <w:r>
              <w:rPr>
                <w:webHidden/>
              </w:rPr>
            </w:r>
            <w:r>
              <w:rPr>
                <w:webHidden/>
              </w:rPr>
              <w:fldChar w:fldCharType="separate"/>
            </w:r>
            <w:r>
              <w:rPr>
                <w:webHidden/>
              </w:rPr>
              <w:t>9</w:t>
            </w:r>
            <w:r>
              <w:rPr>
                <w:webHidden/>
              </w:rPr>
              <w:fldChar w:fldCharType="end"/>
            </w:r>
          </w:hyperlink>
        </w:p>
        <w:p w14:paraId="63DD1BED" w14:textId="06247236"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66" w:history="1">
            <w:r w:rsidRPr="009D5737">
              <w:rPr>
                <w:rStyle w:val="Hyperlink"/>
              </w:rPr>
              <w:t>6.6</w:t>
            </w:r>
            <w:r>
              <w:rPr>
                <w:rFonts w:asciiTheme="minorHAnsi" w:eastAsiaTheme="minorEastAsia" w:hAnsiTheme="minorHAnsi" w:cstheme="minorBidi"/>
                <w:color w:val="auto"/>
                <w:kern w:val="2"/>
                <w:szCs w:val="24"/>
                <w:lang w:eastAsia="en-GB"/>
                <w14:ligatures w14:val="standardContextual"/>
              </w:rPr>
              <w:tab/>
            </w:r>
            <w:r w:rsidRPr="009D5737">
              <w:rPr>
                <w:rStyle w:val="Hyperlink"/>
              </w:rPr>
              <w:t>Fraud Prevention</w:t>
            </w:r>
            <w:r>
              <w:rPr>
                <w:webHidden/>
              </w:rPr>
              <w:tab/>
            </w:r>
            <w:r>
              <w:rPr>
                <w:webHidden/>
              </w:rPr>
              <w:fldChar w:fldCharType="begin"/>
            </w:r>
            <w:r>
              <w:rPr>
                <w:webHidden/>
              </w:rPr>
              <w:instrText xml:space="preserve"> PAGEREF _Toc213852666 \h </w:instrText>
            </w:r>
            <w:r>
              <w:rPr>
                <w:webHidden/>
              </w:rPr>
            </w:r>
            <w:r>
              <w:rPr>
                <w:webHidden/>
              </w:rPr>
              <w:fldChar w:fldCharType="separate"/>
            </w:r>
            <w:r>
              <w:rPr>
                <w:webHidden/>
              </w:rPr>
              <w:t>9</w:t>
            </w:r>
            <w:r>
              <w:rPr>
                <w:webHidden/>
              </w:rPr>
              <w:fldChar w:fldCharType="end"/>
            </w:r>
          </w:hyperlink>
        </w:p>
        <w:p w14:paraId="34853674" w14:textId="4F5CB8D7"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67" w:history="1">
            <w:r w:rsidRPr="009D5737">
              <w:rPr>
                <w:rStyle w:val="Hyperlink"/>
              </w:rPr>
              <w:t>6.7</w:t>
            </w:r>
            <w:r>
              <w:rPr>
                <w:rFonts w:asciiTheme="minorHAnsi" w:eastAsiaTheme="minorEastAsia" w:hAnsiTheme="minorHAnsi" w:cstheme="minorBidi"/>
                <w:color w:val="auto"/>
                <w:kern w:val="2"/>
                <w:szCs w:val="24"/>
                <w:lang w:eastAsia="en-GB"/>
                <w14:ligatures w14:val="standardContextual"/>
              </w:rPr>
              <w:tab/>
            </w:r>
            <w:r w:rsidRPr="009D5737">
              <w:rPr>
                <w:rStyle w:val="Hyperlink"/>
              </w:rPr>
              <w:t>Access and Safety</w:t>
            </w:r>
            <w:r>
              <w:rPr>
                <w:webHidden/>
              </w:rPr>
              <w:tab/>
            </w:r>
            <w:r>
              <w:rPr>
                <w:webHidden/>
              </w:rPr>
              <w:fldChar w:fldCharType="begin"/>
            </w:r>
            <w:r>
              <w:rPr>
                <w:webHidden/>
              </w:rPr>
              <w:instrText xml:space="preserve"> PAGEREF _Toc213852667 \h </w:instrText>
            </w:r>
            <w:r>
              <w:rPr>
                <w:webHidden/>
              </w:rPr>
            </w:r>
            <w:r>
              <w:rPr>
                <w:webHidden/>
              </w:rPr>
              <w:fldChar w:fldCharType="separate"/>
            </w:r>
            <w:r>
              <w:rPr>
                <w:webHidden/>
              </w:rPr>
              <w:t>9</w:t>
            </w:r>
            <w:r>
              <w:rPr>
                <w:webHidden/>
              </w:rPr>
              <w:fldChar w:fldCharType="end"/>
            </w:r>
          </w:hyperlink>
        </w:p>
        <w:p w14:paraId="7586D46F" w14:textId="37A66FFB"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68" w:history="1">
            <w:r w:rsidRPr="009D5737">
              <w:rPr>
                <w:rStyle w:val="Hyperlink"/>
                <w:lang w:val="en-US"/>
              </w:rPr>
              <w:t>7.</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Referral Channels</w:t>
            </w:r>
            <w:r>
              <w:rPr>
                <w:webHidden/>
              </w:rPr>
              <w:tab/>
            </w:r>
            <w:r>
              <w:rPr>
                <w:webHidden/>
              </w:rPr>
              <w:fldChar w:fldCharType="begin"/>
            </w:r>
            <w:r>
              <w:rPr>
                <w:webHidden/>
              </w:rPr>
              <w:instrText xml:space="preserve"> PAGEREF _Toc213852668 \h </w:instrText>
            </w:r>
            <w:r>
              <w:rPr>
                <w:webHidden/>
              </w:rPr>
            </w:r>
            <w:r>
              <w:rPr>
                <w:webHidden/>
              </w:rPr>
              <w:fldChar w:fldCharType="separate"/>
            </w:r>
            <w:r>
              <w:rPr>
                <w:webHidden/>
              </w:rPr>
              <w:t>10</w:t>
            </w:r>
            <w:r>
              <w:rPr>
                <w:webHidden/>
              </w:rPr>
              <w:fldChar w:fldCharType="end"/>
            </w:r>
          </w:hyperlink>
        </w:p>
        <w:p w14:paraId="50908D6D" w14:textId="5DB58DF4"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69" w:history="1">
            <w:r w:rsidRPr="009D5737">
              <w:rPr>
                <w:rStyle w:val="Hyperlink"/>
                <w:lang w:val="en-US"/>
              </w:rPr>
              <w:t>8.</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Eligibility</w:t>
            </w:r>
            <w:r>
              <w:rPr>
                <w:webHidden/>
              </w:rPr>
              <w:tab/>
            </w:r>
            <w:r>
              <w:rPr>
                <w:webHidden/>
              </w:rPr>
              <w:fldChar w:fldCharType="begin"/>
            </w:r>
            <w:r>
              <w:rPr>
                <w:webHidden/>
              </w:rPr>
              <w:instrText xml:space="preserve"> PAGEREF _Toc213852669 \h </w:instrText>
            </w:r>
            <w:r>
              <w:rPr>
                <w:webHidden/>
              </w:rPr>
            </w:r>
            <w:r>
              <w:rPr>
                <w:webHidden/>
              </w:rPr>
              <w:fldChar w:fldCharType="separate"/>
            </w:r>
            <w:r>
              <w:rPr>
                <w:webHidden/>
              </w:rPr>
              <w:t>10</w:t>
            </w:r>
            <w:r>
              <w:rPr>
                <w:webHidden/>
              </w:rPr>
              <w:fldChar w:fldCharType="end"/>
            </w:r>
          </w:hyperlink>
        </w:p>
        <w:p w14:paraId="548E660A" w14:textId="220EB060"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70" w:history="1">
            <w:r w:rsidRPr="009D5737">
              <w:rPr>
                <w:rStyle w:val="Hyperlink"/>
                <w:lang w:val="en-US"/>
              </w:rPr>
              <w:t>9.</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Assessment Process</w:t>
            </w:r>
            <w:r>
              <w:rPr>
                <w:webHidden/>
              </w:rPr>
              <w:tab/>
            </w:r>
            <w:r>
              <w:rPr>
                <w:webHidden/>
              </w:rPr>
              <w:fldChar w:fldCharType="begin"/>
            </w:r>
            <w:r>
              <w:rPr>
                <w:webHidden/>
              </w:rPr>
              <w:instrText xml:space="preserve"> PAGEREF _Toc213852670 \h </w:instrText>
            </w:r>
            <w:r>
              <w:rPr>
                <w:webHidden/>
              </w:rPr>
            </w:r>
            <w:r>
              <w:rPr>
                <w:webHidden/>
              </w:rPr>
              <w:fldChar w:fldCharType="separate"/>
            </w:r>
            <w:r>
              <w:rPr>
                <w:webHidden/>
              </w:rPr>
              <w:t>10</w:t>
            </w:r>
            <w:r>
              <w:rPr>
                <w:webHidden/>
              </w:rPr>
              <w:fldChar w:fldCharType="end"/>
            </w:r>
          </w:hyperlink>
        </w:p>
        <w:p w14:paraId="75ED667F" w14:textId="5FC16FF3"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71" w:history="1">
            <w:r w:rsidRPr="009D5737">
              <w:rPr>
                <w:rStyle w:val="Hyperlink"/>
                <w:lang w:val="en-US"/>
              </w:rPr>
              <w:t>10.</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Building Considerations</w:t>
            </w:r>
            <w:r>
              <w:rPr>
                <w:webHidden/>
              </w:rPr>
              <w:tab/>
            </w:r>
            <w:r>
              <w:rPr>
                <w:webHidden/>
              </w:rPr>
              <w:fldChar w:fldCharType="begin"/>
            </w:r>
            <w:r>
              <w:rPr>
                <w:webHidden/>
              </w:rPr>
              <w:instrText xml:space="preserve"> PAGEREF _Toc213852671 \h </w:instrText>
            </w:r>
            <w:r>
              <w:rPr>
                <w:webHidden/>
              </w:rPr>
            </w:r>
            <w:r>
              <w:rPr>
                <w:webHidden/>
              </w:rPr>
              <w:fldChar w:fldCharType="separate"/>
            </w:r>
            <w:r>
              <w:rPr>
                <w:webHidden/>
              </w:rPr>
              <w:t>11</w:t>
            </w:r>
            <w:r>
              <w:rPr>
                <w:webHidden/>
              </w:rPr>
              <w:fldChar w:fldCharType="end"/>
            </w:r>
          </w:hyperlink>
        </w:p>
        <w:p w14:paraId="2F820050" w14:textId="1EC4BED3"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72" w:history="1">
            <w:r w:rsidRPr="009D5737">
              <w:rPr>
                <w:rStyle w:val="Hyperlink"/>
              </w:rPr>
              <w:t>10.1</w:t>
            </w:r>
            <w:r>
              <w:rPr>
                <w:rFonts w:asciiTheme="minorHAnsi" w:eastAsiaTheme="minorEastAsia" w:hAnsiTheme="minorHAnsi" w:cstheme="minorBidi"/>
                <w:color w:val="auto"/>
                <w:kern w:val="2"/>
                <w:szCs w:val="24"/>
                <w:lang w:eastAsia="en-GB"/>
                <w14:ligatures w14:val="standardContextual"/>
              </w:rPr>
              <w:tab/>
            </w:r>
            <w:r w:rsidRPr="009D5737">
              <w:rPr>
                <w:rStyle w:val="Hyperlink"/>
              </w:rPr>
              <w:t>Design Standards</w:t>
            </w:r>
            <w:r>
              <w:rPr>
                <w:webHidden/>
              </w:rPr>
              <w:tab/>
            </w:r>
            <w:r>
              <w:rPr>
                <w:webHidden/>
              </w:rPr>
              <w:fldChar w:fldCharType="begin"/>
            </w:r>
            <w:r>
              <w:rPr>
                <w:webHidden/>
              </w:rPr>
              <w:instrText xml:space="preserve"> PAGEREF _Toc213852672 \h </w:instrText>
            </w:r>
            <w:r>
              <w:rPr>
                <w:webHidden/>
              </w:rPr>
            </w:r>
            <w:r>
              <w:rPr>
                <w:webHidden/>
              </w:rPr>
              <w:fldChar w:fldCharType="separate"/>
            </w:r>
            <w:r>
              <w:rPr>
                <w:webHidden/>
              </w:rPr>
              <w:t>11</w:t>
            </w:r>
            <w:r>
              <w:rPr>
                <w:webHidden/>
              </w:rPr>
              <w:fldChar w:fldCharType="end"/>
            </w:r>
          </w:hyperlink>
        </w:p>
        <w:p w14:paraId="2952BF60" w14:textId="3DCE0558"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73" w:history="1">
            <w:r w:rsidRPr="009D5737">
              <w:rPr>
                <w:rStyle w:val="Hyperlink"/>
              </w:rPr>
              <w:t>10.2</w:t>
            </w:r>
            <w:r>
              <w:rPr>
                <w:rFonts w:asciiTheme="minorHAnsi" w:eastAsiaTheme="minorEastAsia" w:hAnsiTheme="minorHAnsi" w:cstheme="minorBidi"/>
                <w:color w:val="auto"/>
                <w:kern w:val="2"/>
                <w:szCs w:val="24"/>
                <w:lang w:eastAsia="en-GB"/>
                <w14:ligatures w14:val="standardContextual"/>
              </w:rPr>
              <w:tab/>
            </w:r>
            <w:r w:rsidRPr="009D5737">
              <w:rPr>
                <w:rStyle w:val="Hyperlink"/>
              </w:rPr>
              <w:t>Quality and Compliance Standards</w:t>
            </w:r>
            <w:r>
              <w:rPr>
                <w:webHidden/>
              </w:rPr>
              <w:tab/>
            </w:r>
            <w:r>
              <w:rPr>
                <w:webHidden/>
              </w:rPr>
              <w:fldChar w:fldCharType="begin"/>
            </w:r>
            <w:r>
              <w:rPr>
                <w:webHidden/>
              </w:rPr>
              <w:instrText xml:space="preserve"> PAGEREF _Toc213852673 \h </w:instrText>
            </w:r>
            <w:r>
              <w:rPr>
                <w:webHidden/>
              </w:rPr>
            </w:r>
            <w:r>
              <w:rPr>
                <w:webHidden/>
              </w:rPr>
              <w:fldChar w:fldCharType="separate"/>
            </w:r>
            <w:r>
              <w:rPr>
                <w:webHidden/>
              </w:rPr>
              <w:t>11</w:t>
            </w:r>
            <w:r>
              <w:rPr>
                <w:webHidden/>
              </w:rPr>
              <w:fldChar w:fldCharType="end"/>
            </w:r>
          </w:hyperlink>
        </w:p>
        <w:p w14:paraId="66849632" w14:textId="2BB21126"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74" w:history="1">
            <w:r w:rsidRPr="009D5737">
              <w:rPr>
                <w:rStyle w:val="Hyperlink"/>
              </w:rPr>
              <w:t>10.3</w:t>
            </w:r>
            <w:r>
              <w:rPr>
                <w:rFonts w:asciiTheme="minorHAnsi" w:eastAsiaTheme="minorEastAsia" w:hAnsiTheme="minorHAnsi" w:cstheme="minorBidi"/>
                <w:color w:val="auto"/>
                <w:kern w:val="2"/>
                <w:szCs w:val="24"/>
                <w:lang w:eastAsia="en-GB"/>
                <w14:ligatures w14:val="standardContextual"/>
              </w:rPr>
              <w:tab/>
            </w:r>
            <w:r w:rsidRPr="009D5737">
              <w:rPr>
                <w:rStyle w:val="Hyperlink"/>
              </w:rPr>
              <w:t>Knock-Through Specific Requirements</w:t>
            </w:r>
            <w:r>
              <w:rPr>
                <w:webHidden/>
              </w:rPr>
              <w:tab/>
            </w:r>
            <w:r>
              <w:rPr>
                <w:webHidden/>
              </w:rPr>
              <w:fldChar w:fldCharType="begin"/>
            </w:r>
            <w:r>
              <w:rPr>
                <w:webHidden/>
              </w:rPr>
              <w:instrText xml:space="preserve"> PAGEREF _Toc213852674 \h </w:instrText>
            </w:r>
            <w:r>
              <w:rPr>
                <w:webHidden/>
              </w:rPr>
            </w:r>
            <w:r>
              <w:rPr>
                <w:webHidden/>
              </w:rPr>
              <w:fldChar w:fldCharType="separate"/>
            </w:r>
            <w:r>
              <w:rPr>
                <w:webHidden/>
              </w:rPr>
              <w:t>12</w:t>
            </w:r>
            <w:r>
              <w:rPr>
                <w:webHidden/>
              </w:rPr>
              <w:fldChar w:fldCharType="end"/>
            </w:r>
          </w:hyperlink>
        </w:p>
        <w:p w14:paraId="0782F195" w14:textId="25172CAB"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75" w:history="1">
            <w:r w:rsidRPr="009D5737">
              <w:rPr>
                <w:rStyle w:val="Hyperlink"/>
              </w:rPr>
              <w:t>10.4</w:t>
            </w:r>
            <w:r>
              <w:rPr>
                <w:rFonts w:asciiTheme="minorHAnsi" w:eastAsiaTheme="minorEastAsia" w:hAnsiTheme="minorHAnsi" w:cstheme="minorBidi"/>
                <w:color w:val="auto"/>
                <w:kern w:val="2"/>
                <w:szCs w:val="24"/>
                <w:lang w:eastAsia="en-GB"/>
                <w14:ligatures w14:val="standardContextual"/>
              </w:rPr>
              <w:tab/>
            </w:r>
            <w:r w:rsidRPr="009D5737">
              <w:rPr>
                <w:rStyle w:val="Hyperlink"/>
              </w:rPr>
              <w:t>Extension Specific Requirements</w:t>
            </w:r>
            <w:r>
              <w:rPr>
                <w:webHidden/>
              </w:rPr>
              <w:tab/>
            </w:r>
            <w:r>
              <w:rPr>
                <w:webHidden/>
              </w:rPr>
              <w:fldChar w:fldCharType="begin"/>
            </w:r>
            <w:r>
              <w:rPr>
                <w:webHidden/>
              </w:rPr>
              <w:instrText xml:space="preserve"> PAGEREF _Toc213852675 \h </w:instrText>
            </w:r>
            <w:r>
              <w:rPr>
                <w:webHidden/>
              </w:rPr>
            </w:r>
            <w:r>
              <w:rPr>
                <w:webHidden/>
              </w:rPr>
              <w:fldChar w:fldCharType="separate"/>
            </w:r>
            <w:r>
              <w:rPr>
                <w:webHidden/>
              </w:rPr>
              <w:t>12</w:t>
            </w:r>
            <w:r>
              <w:rPr>
                <w:webHidden/>
              </w:rPr>
              <w:fldChar w:fldCharType="end"/>
            </w:r>
          </w:hyperlink>
        </w:p>
        <w:p w14:paraId="457A8671" w14:textId="39FAD0A1"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76" w:history="1">
            <w:r w:rsidRPr="009D5737">
              <w:rPr>
                <w:rStyle w:val="Hyperlink"/>
              </w:rPr>
              <w:t>10.5</w:t>
            </w:r>
            <w:r>
              <w:rPr>
                <w:rFonts w:asciiTheme="minorHAnsi" w:eastAsiaTheme="minorEastAsia" w:hAnsiTheme="minorHAnsi" w:cstheme="minorBidi"/>
                <w:color w:val="auto"/>
                <w:kern w:val="2"/>
                <w:szCs w:val="24"/>
                <w:lang w:eastAsia="en-GB"/>
                <w14:ligatures w14:val="standardContextual"/>
              </w:rPr>
              <w:tab/>
            </w:r>
            <w:r w:rsidRPr="009D5737">
              <w:rPr>
                <w:rStyle w:val="Hyperlink"/>
              </w:rPr>
              <w:t>Internal Modification Requirements</w:t>
            </w:r>
            <w:r>
              <w:rPr>
                <w:webHidden/>
              </w:rPr>
              <w:tab/>
            </w:r>
            <w:r>
              <w:rPr>
                <w:webHidden/>
              </w:rPr>
              <w:fldChar w:fldCharType="begin"/>
            </w:r>
            <w:r>
              <w:rPr>
                <w:webHidden/>
              </w:rPr>
              <w:instrText xml:space="preserve"> PAGEREF _Toc213852676 \h </w:instrText>
            </w:r>
            <w:r>
              <w:rPr>
                <w:webHidden/>
              </w:rPr>
            </w:r>
            <w:r>
              <w:rPr>
                <w:webHidden/>
              </w:rPr>
              <w:fldChar w:fldCharType="separate"/>
            </w:r>
            <w:r>
              <w:rPr>
                <w:webHidden/>
              </w:rPr>
              <w:t>12</w:t>
            </w:r>
            <w:r>
              <w:rPr>
                <w:webHidden/>
              </w:rPr>
              <w:fldChar w:fldCharType="end"/>
            </w:r>
          </w:hyperlink>
        </w:p>
        <w:p w14:paraId="0884886D" w14:textId="5677C64F"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77" w:history="1">
            <w:r w:rsidRPr="009D5737">
              <w:rPr>
                <w:rStyle w:val="Hyperlink"/>
              </w:rPr>
              <w:t>10.6</w:t>
            </w:r>
            <w:r>
              <w:rPr>
                <w:rFonts w:asciiTheme="minorHAnsi" w:eastAsiaTheme="minorEastAsia" w:hAnsiTheme="minorHAnsi" w:cstheme="minorBidi"/>
                <w:color w:val="auto"/>
                <w:kern w:val="2"/>
                <w:szCs w:val="24"/>
                <w:lang w:eastAsia="en-GB"/>
                <w14:ligatures w14:val="standardContextual"/>
              </w:rPr>
              <w:tab/>
            </w:r>
            <w:r w:rsidRPr="009D5737">
              <w:rPr>
                <w:rStyle w:val="Hyperlink"/>
              </w:rPr>
              <w:t>Post Completion Requirements</w:t>
            </w:r>
            <w:r>
              <w:rPr>
                <w:webHidden/>
              </w:rPr>
              <w:tab/>
            </w:r>
            <w:r>
              <w:rPr>
                <w:webHidden/>
              </w:rPr>
              <w:fldChar w:fldCharType="begin"/>
            </w:r>
            <w:r>
              <w:rPr>
                <w:webHidden/>
              </w:rPr>
              <w:instrText xml:space="preserve"> PAGEREF _Toc213852677 \h </w:instrText>
            </w:r>
            <w:r>
              <w:rPr>
                <w:webHidden/>
              </w:rPr>
            </w:r>
            <w:r>
              <w:rPr>
                <w:webHidden/>
              </w:rPr>
              <w:fldChar w:fldCharType="separate"/>
            </w:r>
            <w:r>
              <w:rPr>
                <w:webHidden/>
              </w:rPr>
              <w:t>13</w:t>
            </w:r>
            <w:r>
              <w:rPr>
                <w:webHidden/>
              </w:rPr>
              <w:fldChar w:fldCharType="end"/>
            </w:r>
          </w:hyperlink>
        </w:p>
        <w:p w14:paraId="5F727C3C" w14:textId="2718F553"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78" w:history="1">
            <w:r w:rsidRPr="009D5737">
              <w:rPr>
                <w:rStyle w:val="Hyperlink"/>
              </w:rPr>
              <w:t>10.7</w:t>
            </w:r>
            <w:r>
              <w:rPr>
                <w:rFonts w:asciiTheme="minorHAnsi" w:eastAsiaTheme="minorEastAsia" w:hAnsiTheme="minorHAnsi" w:cstheme="minorBidi"/>
                <w:color w:val="auto"/>
                <w:kern w:val="2"/>
                <w:szCs w:val="24"/>
                <w:lang w:eastAsia="en-GB"/>
                <w14:ligatures w14:val="standardContextual"/>
              </w:rPr>
              <w:tab/>
            </w:r>
            <w:r w:rsidRPr="009D5737">
              <w:rPr>
                <w:rStyle w:val="Hyperlink"/>
              </w:rPr>
              <w:t>Considerations and Scope</w:t>
            </w:r>
            <w:r>
              <w:rPr>
                <w:webHidden/>
              </w:rPr>
              <w:tab/>
            </w:r>
            <w:r>
              <w:rPr>
                <w:webHidden/>
              </w:rPr>
              <w:fldChar w:fldCharType="begin"/>
            </w:r>
            <w:r>
              <w:rPr>
                <w:webHidden/>
              </w:rPr>
              <w:instrText xml:space="preserve"> PAGEREF _Toc213852678 \h </w:instrText>
            </w:r>
            <w:r>
              <w:rPr>
                <w:webHidden/>
              </w:rPr>
            </w:r>
            <w:r>
              <w:rPr>
                <w:webHidden/>
              </w:rPr>
              <w:fldChar w:fldCharType="separate"/>
            </w:r>
            <w:r>
              <w:rPr>
                <w:webHidden/>
              </w:rPr>
              <w:t>13</w:t>
            </w:r>
            <w:r>
              <w:rPr>
                <w:webHidden/>
              </w:rPr>
              <w:fldChar w:fldCharType="end"/>
            </w:r>
          </w:hyperlink>
        </w:p>
        <w:p w14:paraId="4615044E" w14:textId="1DFF8BF7"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79" w:history="1">
            <w:r w:rsidRPr="009D5737">
              <w:rPr>
                <w:rStyle w:val="Hyperlink"/>
                <w:lang w:val="en-US"/>
              </w:rPr>
              <w:t>11.</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Financial Framework</w:t>
            </w:r>
            <w:r>
              <w:rPr>
                <w:webHidden/>
              </w:rPr>
              <w:tab/>
            </w:r>
            <w:r>
              <w:rPr>
                <w:webHidden/>
              </w:rPr>
              <w:fldChar w:fldCharType="begin"/>
            </w:r>
            <w:r>
              <w:rPr>
                <w:webHidden/>
              </w:rPr>
              <w:instrText xml:space="preserve"> PAGEREF _Toc213852679 \h </w:instrText>
            </w:r>
            <w:r>
              <w:rPr>
                <w:webHidden/>
              </w:rPr>
            </w:r>
            <w:r>
              <w:rPr>
                <w:webHidden/>
              </w:rPr>
              <w:fldChar w:fldCharType="separate"/>
            </w:r>
            <w:r>
              <w:rPr>
                <w:webHidden/>
              </w:rPr>
              <w:t>13</w:t>
            </w:r>
            <w:r>
              <w:rPr>
                <w:webHidden/>
              </w:rPr>
              <w:fldChar w:fldCharType="end"/>
            </w:r>
          </w:hyperlink>
        </w:p>
        <w:p w14:paraId="2F52FD80" w14:textId="4D4BB5FD"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80" w:history="1">
            <w:r w:rsidRPr="009D5737">
              <w:rPr>
                <w:rStyle w:val="Hyperlink"/>
              </w:rPr>
              <w:t>11.1</w:t>
            </w:r>
            <w:r>
              <w:rPr>
                <w:rFonts w:asciiTheme="minorHAnsi" w:eastAsiaTheme="minorEastAsia" w:hAnsiTheme="minorHAnsi" w:cstheme="minorBidi"/>
                <w:color w:val="auto"/>
                <w:kern w:val="2"/>
                <w:szCs w:val="24"/>
                <w:lang w:eastAsia="en-GB"/>
                <w14:ligatures w14:val="standardContextual"/>
              </w:rPr>
              <w:tab/>
            </w:r>
            <w:r w:rsidRPr="009D5737">
              <w:rPr>
                <w:rStyle w:val="Hyperlink"/>
              </w:rPr>
              <w:t>Rent-adjustment Methodology</w:t>
            </w:r>
            <w:r>
              <w:rPr>
                <w:webHidden/>
              </w:rPr>
              <w:tab/>
            </w:r>
            <w:r>
              <w:rPr>
                <w:webHidden/>
              </w:rPr>
              <w:fldChar w:fldCharType="begin"/>
            </w:r>
            <w:r>
              <w:rPr>
                <w:webHidden/>
              </w:rPr>
              <w:instrText xml:space="preserve"> PAGEREF _Toc213852680 \h </w:instrText>
            </w:r>
            <w:r>
              <w:rPr>
                <w:webHidden/>
              </w:rPr>
            </w:r>
            <w:r>
              <w:rPr>
                <w:webHidden/>
              </w:rPr>
              <w:fldChar w:fldCharType="separate"/>
            </w:r>
            <w:r>
              <w:rPr>
                <w:webHidden/>
              </w:rPr>
              <w:t>13</w:t>
            </w:r>
            <w:r>
              <w:rPr>
                <w:webHidden/>
              </w:rPr>
              <w:fldChar w:fldCharType="end"/>
            </w:r>
          </w:hyperlink>
        </w:p>
        <w:p w14:paraId="1DD3F730" w14:textId="278175B2"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81" w:history="1">
            <w:r w:rsidRPr="009D5737">
              <w:rPr>
                <w:rStyle w:val="Hyperlink"/>
              </w:rPr>
              <w:t>11.2</w:t>
            </w:r>
            <w:r>
              <w:rPr>
                <w:rFonts w:asciiTheme="minorHAnsi" w:eastAsiaTheme="minorEastAsia" w:hAnsiTheme="minorHAnsi" w:cstheme="minorBidi"/>
                <w:color w:val="auto"/>
                <w:kern w:val="2"/>
                <w:szCs w:val="24"/>
                <w:lang w:eastAsia="en-GB"/>
                <w14:ligatures w14:val="standardContextual"/>
              </w:rPr>
              <w:tab/>
            </w:r>
            <w:r w:rsidRPr="009D5737">
              <w:rPr>
                <w:rStyle w:val="Hyperlink"/>
              </w:rPr>
              <w:t>Property Purchase</w:t>
            </w:r>
            <w:r>
              <w:rPr>
                <w:webHidden/>
              </w:rPr>
              <w:tab/>
            </w:r>
            <w:r>
              <w:rPr>
                <w:webHidden/>
              </w:rPr>
              <w:fldChar w:fldCharType="begin"/>
            </w:r>
            <w:r>
              <w:rPr>
                <w:webHidden/>
              </w:rPr>
              <w:instrText xml:space="preserve"> PAGEREF _Toc213852681 \h </w:instrText>
            </w:r>
            <w:r>
              <w:rPr>
                <w:webHidden/>
              </w:rPr>
            </w:r>
            <w:r>
              <w:rPr>
                <w:webHidden/>
              </w:rPr>
              <w:fldChar w:fldCharType="separate"/>
            </w:r>
            <w:r>
              <w:rPr>
                <w:webHidden/>
              </w:rPr>
              <w:t>13</w:t>
            </w:r>
            <w:r>
              <w:rPr>
                <w:webHidden/>
              </w:rPr>
              <w:fldChar w:fldCharType="end"/>
            </w:r>
          </w:hyperlink>
        </w:p>
        <w:p w14:paraId="67BE9E30" w14:textId="39153528" w:rsidR="005A7DBC" w:rsidRDefault="005A7DBC">
          <w:pPr>
            <w:pStyle w:val="TOC2"/>
            <w:rPr>
              <w:rFonts w:asciiTheme="minorHAnsi" w:eastAsiaTheme="minorEastAsia" w:hAnsiTheme="minorHAnsi" w:cstheme="minorBidi"/>
              <w:color w:val="auto"/>
              <w:kern w:val="2"/>
              <w:szCs w:val="24"/>
              <w:lang w:eastAsia="en-GB"/>
              <w14:ligatures w14:val="standardContextual"/>
            </w:rPr>
          </w:pPr>
          <w:hyperlink w:anchor="_Toc213852682" w:history="1">
            <w:r w:rsidRPr="009D5737">
              <w:rPr>
                <w:rStyle w:val="Hyperlink"/>
              </w:rPr>
              <w:t>11.3</w:t>
            </w:r>
            <w:r>
              <w:rPr>
                <w:rFonts w:asciiTheme="minorHAnsi" w:eastAsiaTheme="minorEastAsia" w:hAnsiTheme="minorHAnsi" w:cstheme="minorBidi"/>
                <w:color w:val="auto"/>
                <w:kern w:val="2"/>
                <w:szCs w:val="24"/>
                <w:lang w:eastAsia="en-GB"/>
                <w14:ligatures w14:val="standardContextual"/>
              </w:rPr>
              <w:tab/>
            </w:r>
            <w:r w:rsidRPr="009D5737">
              <w:rPr>
                <w:rStyle w:val="Hyperlink"/>
              </w:rPr>
              <w:t>Funding allocation</w:t>
            </w:r>
            <w:r>
              <w:rPr>
                <w:webHidden/>
              </w:rPr>
              <w:tab/>
            </w:r>
            <w:r>
              <w:rPr>
                <w:webHidden/>
              </w:rPr>
              <w:fldChar w:fldCharType="begin"/>
            </w:r>
            <w:r>
              <w:rPr>
                <w:webHidden/>
              </w:rPr>
              <w:instrText xml:space="preserve"> PAGEREF _Toc213852682 \h </w:instrText>
            </w:r>
            <w:r>
              <w:rPr>
                <w:webHidden/>
              </w:rPr>
            </w:r>
            <w:r>
              <w:rPr>
                <w:webHidden/>
              </w:rPr>
              <w:fldChar w:fldCharType="separate"/>
            </w:r>
            <w:r>
              <w:rPr>
                <w:webHidden/>
              </w:rPr>
              <w:t>14</w:t>
            </w:r>
            <w:r>
              <w:rPr>
                <w:webHidden/>
              </w:rPr>
              <w:fldChar w:fldCharType="end"/>
            </w:r>
          </w:hyperlink>
        </w:p>
        <w:p w14:paraId="16C788A8" w14:textId="41C56371"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83" w:history="1">
            <w:r w:rsidRPr="009D5737">
              <w:rPr>
                <w:rStyle w:val="Hyperlink"/>
                <w:lang w:val="en-US"/>
              </w:rPr>
              <w:t>12.</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Process Outline</w:t>
            </w:r>
            <w:r>
              <w:rPr>
                <w:webHidden/>
              </w:rPr>
              <w:tab/>
            </w:r>
            <w:r>
              <w:rPr>
                <w:webHidden/>
              </w:rPr>
              <w:fldChar w:fldCharType="begin"/>
            </w:r>
            <w:r>
              <w:rPr>
                <w:webHidden/>
              </w:rPr>
              <w:instrText xml:space="preserve"> PAGEREF _Toc213852683 \h </w:instrText>
            </w:r>
            <w:r>
              <w:rPr>
                <w:webHidden/>
              </w:rPr>
            </w:r>
            <w:r>
              <w:rPr>
                <w:webHidden/>
              </w:rPr>
              <w:fldChar w:fldCharType="separate"/>
            </w:r>
            <w:r>
              <w:rPr>
                <w:webHidden/>
              </w:rPr>
              <w:t>14</w:t>
            </w:r>
            <w:r>
              <w:rPr>
                <w:webHidden/>
              </w:rPr>
              <w:fldChar w:fldCharType="end"/>
            </w:r>
          </w:hyperlink>
        </w:p>
        <w:p w14:paraId="7FD25A1D" w14:textId="1CED520D"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84" w:history="1">
            <w:r w:rsidRPr="009D5737">
              <w:rPr>
                <w:rStyle w:val="Hyperlink"/>
                <w:lang w:val="en-US"/>
              </w:rPr>
              <w:t>13.</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Monitoring and Governance</w:t>
            </w:r>
            <w:r>
              <w:rPr>
                <w:webHidden/>
              </w:rPr>
              <w:tab/>
            </w:r>
            <w:r>
              <w:rPr>
                <w:webHidden/>
              </w:rPr>
              <w:fldChar w:fldCharType="begin"/>
            </w:r>
            <w:r>
              <w:rPr>
                <w:webHidden/>
              </w:rPr>
              <w:instrText xml:space="preserve"> PAGEREF _Toc213852684 \h </w:instrText>
            </w:r>
            <w:r>
              <w:rPr>
                <w:webHidden/>
              </w:rPr>
            </w:r>
            <w:r>
              <w:rPr>
                <w:webHidden/>
              </w:rPr>
              <w:fldChar w:fldCharType="separate"/>
            </w:r>
            <w:r>
              <w:rPr>
                <w:webHidden/>
              </w:rPr>
              <w:t>14</w:t>
            </w:r>
            <w:r>
              <w:rPr>
                <w:webHidden/>
              </w:rPr>
              <w:fldChar w:fldCharType="end"/>
            </w:r>
          </w:hyperlink>
        </w:p>
        <w:p w14:paraId="43D7F682" w14:textId="3A9BB024"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85" w:history="1">
            <w:r w:rsidRPr="009D5737">
              <w:rPr>
                <w:rStyle w:val="Hyperlink"/>
                <w:lang w:val="en-US"/>
              </w:rPr>
              <w:t>14.</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Training</w:t>
            </w:r>
            <w:r>
              <w:rPr>
                <w:webHidden/>
              </w:rPr>
              <w:tab/>
            </w:r>
            <w:r>
              <w:rPr>
                <w:webHidden/>
              </w:rPr>
              <w:fldChar w:fldCharType="begin"/>
            </w:r>
            <w:r>
              <w:rPr>
                <w:webHidden/>
              </w:rPr>
              <w:instrText xml:space="preserve"> PAGEREF _Toc213852685 \h </w:instrText>
            </w:r>
            <w:r>
              <w:rPr>
                <w:webHidden/>
              </w:rPr>
            </w:r>
            <w:r>
              <w:rPr>
                <w:webHidden/>
              </w:rPr>
              <w:fldChar w:fldCharType="separate"/>
            </w:r>
            <w:r>
              <w:rPr>
                <w:webHidden/>
              </w:rPr>
              <w:t>15</w:t>
            </w:r>
            <w:r>
              <w:rPr>
                <w:webHidden/>
              </w:rPr>
              <w:fldChar w:fldCharType="end"/>
            </w:r>
          </w:hyperlink>
        </w:p>
        <w:p w14:paraId="4F18A953" w14:textId="6BB0395A" w:rsidR="005A7DBC" w:rsidRDefault="005A7DBC">
          <w:pPr>
            <w:pStyle w:val="TOC1"/>
            <w:rPr>
              <w:rFonts w:asciiTheme="minorHAnsi" w:eastAsiaTheme="minorEastAsia" w:hAnsiTheme="minorHAnsi" w:cstheme="minorBidi"/>
              <w:color w:val="auto"/>
              <w:kern w:val="2"/>
              <w:szCs w:val="24"/>
              <w:lang w:eastAsia="en-GB"/>
              <w14:ligatures w14:val="standardContextual"/>
            </w:rPr>
          </w:pPr>
          <w:hyperlink w:anchor="_Toc213852686" w:history="1">
            <w:r w:rsidRPr="009D5737">
              <w:rPr>
                <w:rStyle w:val="Hyperlink"/>
                <w:lang w:val="en-US"/>
              </w:rPr>
              <w:t>15.</w:t>
            </w:r>
            <w:r>
              <w:rPr>
                <w:rFonts w:asciiTheme="minorHAnsi" w:eastAsiaTheme="minorEastAsia" w:hAnsiTheme="minorHAnsi" w:cstheme="minorBidi"/>
                <w:color w:val="auto"/>
                <w:kern w:val="2"/>
                <w:szCs w:val="24"/>
                <w:lang w:eastAsia="en-GB"/>
                <w14:ligatures w14:val="standardContextual"/>
              </w:rPr>
              <w:tab/>
            </w:r>
            <w:r w:rsidRPr="009D5737">
              <w:rPr>
                <w:rStyle w:val="Hyperlink"/>
                <w:lang w:val="en-US"/>
              </w:rPr>
              <w:t>Appendices</w:t>
            </w:r>
            <w:r>
              <w:rPr>
                <w:webHidden/>
              </w:rPr>
              <w:tab/>
            </w:r>
            <w:r>
              <w:rPr>
                <w:webHidden/>
              </w:rPr>
              <w:fldChar w:fldCharType="begin"/>
            </w:r>
            <w:r>
              <w:rPr>
                <w:webHidden/>
              </w:rPr>
              <w:instrText xml:space="preserve"> PAGEREF _Toc213852686 \h </w:instrText>
            </w:r>
            <w:r>
              <w:rPr>
                <w:webHidden/>
              </w:rPr>
            </w:r>
            <w:r>
              <w:rPr>
                <w:webHidden/>
              </w:rPr>
              <w:fldChar w:fldCharType="separate"/>
            </w:r>
            <w:r>
              <w:rPr>
                <w:webHidden/>
              </w:rPr>
              <w:t>15</w:t>
            </w:r>
            <w:r>
              <w:rPr>
                <w:webHidden/>
              </w:rPr>
              <w:fldChar w:fldCharType="end"/>
            </w:r>
          </w:hyperlink>
        </w:p>
        <w:p w14:paraId="1A6BC306" w14:textId="0024B5AA" w:rsidR="00DC0AA1" w:rsidRDefault="00DC0AA1" w:rsidP="00DC0AA1">
          <w:r>
            <w:rPr>
              <w:b/>
              <w:bCs/>
              <w:noProof/>
            </w:rPr>
            <w:fldChar w:fldCharType="end"/>
          </w:r>
        </w:p>
      </w:sdtContent>
    </w:sdt>
    <w:p w14:paraId="33257274" w14:textId="77777777" w:rsidR="00DC0AA1" w:rsidRPr="002926FB" w:rsidRDefault="00DC0AA1" w:rsidP="00DC1BF1">
      <w:r>
        <w:br w:type="page"/>
      </w:r>
    </w:p>
    <w:p w14:paraId="1B8A30A5" w14:textId="5C9C1EC7" w:rsidR="00B846CB" w:rsidRPr="00B846CB" w:rsidRDefault="00B846CB" w:rsidP="00B9401F">
      <w:pPr>
        <w:pStyle w:val="Heading1"/>
      </w:pPr>
      <w:bookmarkStart w:id="1" w:name="_Toc213852644"/>
      <w:r w:rsidRPr="00B846CB">
        <w:lastRenderedPageBreak/>
        <w:t>In</w:t>
      </w:r>
      <w:r w:rsidR="00006119">
        <w:t>troduction</w:t>
      </w:r>
      <w:r w:rsidR="00776897">
        <w:t xml:space="preserve"> and Objectives</w:t>
      </w:r>
      <w:bookmarkEnd w:id="1"/>
    </w:p>
    <w:p w14:paraId="0AEF2CAD" w14:textId="26F6C330" w:rsidR="00A11844" w:rsidRPr="00A11844" w:rsidRDefault="00A11844" w:rsidP="00A11844">
      <w:pPr>
        <w:pStyle w:val="NormalWeb"/>
        <w:rPr>
          <w:rFonts w:ascii="Arial" w:hAnsi="Arial" w:cs="Arial"/>
          <w:color w:val="000000"/>
        </w:rPr>
      </w:pPr>
      <w:bookmarkStart w:id="2" w:name="_Hlk60741059"/>
      <w:r w:rsidRPr="00A11844">
        <w:rPr>
          <w:rFonts w:ascii="Arial" w:hAnsi="Arial" w:cs="Arial"/>
          <w:color w:val="000000"/>
        </w:rPr>
        <w:t>Overcrowding has profound negative impacts on residents' health, wellbeing, and life opportunities. Children in overcrowded homes face increased risk of respiratory infections, developmental delays, and educational underachievement. Adult residents experience higher rates of mental health issues, relationship stress, and reduced employment prospects due to lack of private space for remote work or study. The absence of adequate personal space undermines family relationships.</w:t>
      </w:r>
    </w:p>
    <w:p w14:paraId="14918E3D" w14:textId="77777777" w:rsidR="00A11844" w:rsidRPr="00A11844" w:rsidRDefault="00A11844" w:rsidP="00A11844">
      <w:pPr>
        <w:pStyle w:val="NormalWeb"/>
        <w:rPr>
          <w:rFonts w:ascii="Arial" w:hAnsi="Arial" w:cs="Arial"/>
          <w:color w:val="000000"/>
        </w:rPr>
      </w:pPr>
      <w:r w:rsidRPr="00A11844">
        <w:rPr>
          <w:rFonts w:ascii="Arial" w:hAnsi="Arial" w:cs="Arial"/>
          <w:color w:val="000000"/>
        </w:rPr>
        <w:t>According to the ONS, Tower Hamlets is the second-most overcrowded borough in London. As of September 2025, there are 1,312 overcrowded properties within the Council’s own stock. 9 of these council homes are lacking 1 bedroom, 200 are lacking 2 bedrooms, 880 are lacking 3 bedrooms, 207 are lacking 4 bedrooms, 14 are lacking 5 bedrooms, and 2 are lacking 6 bedrooms. This presents unique challenges that demand innovative solutions.</w:t>
      </w:r>
    </w:p>
    <w:p w14:paraId="2F0A8624" w14:textId="77777777" w:rsidR="00A11844" w:rsidRPr="00A11844" w:rsidRDefault="00A11844" w:rsidP="00A11844">
      <w:pPr>
        <w:pStyle w:val="NormalWeb"/>
        <w:rPr>
          <w:rFonts w:ascii="Arial" w:hAnsi="Arial" w:cs="Arial"/>
          <w:color w:val="000000"/>
        </w:rPr>
      </w:pPr>
      <w:r w:rsidRPr="00A11844">
        <w:rPr>
          <w:rFonts w:ascii="Arial" w:hAnsi="Arial" w:cs="Arial"/>
          <w:color w:val="000000"/>
        </w:rPr>
        <w:t>London Borough of Tower Hamlets (LBTH) has established a strong track record in addressing overcrowding through our estate regeneration, acquisitions, and new build programme. Where families can’t wait for new homes to be built, we will innovate to enable residents to achieve adequate space within their existing homes, preserving important community connections, school placements, and support networks that contribute to thriving neighbourhoods.</w:t>
      </w:r>
    </w:p>
    <w:p w14:paraId="41C8CD99" w14:textId="77777777" w:rsidR="00A11844" w:rsidRPr="00A11844" w:rsidRDefault="00A11844" w:rsidP="00A11844">
      <w:pPr>
        <w:pStyle w:val="NormalWeb"/>
        <w:rPr>
          <w:rFonts w:ascii="Arial" w:hAnsi="Arial" w:cs="Arial"/>
          <w:color w:val="000000"/>
        </w:rPr>
      </w:pPr>
      <w:r w:rsidRPr="00A11844">
        <w:rPr>
          <w:rFonts w:ascii="Arial" w:hAnsi="Arial" w:cs="Arial"/>
          <w:color w:val="000000"/>
        </w:rPr>
        <w:t>The Building Safety Act 2022 and enhanced regulatory framework from the Regulator of Social Housing create new parameters within which we operate. We view these as the foundation for delivering safe, compliant adaptations that will serve residents well for decades to come.</w:t>
      </w:r>
    </w:p>
    <w:p w14:paraId="4F843B1A" w14:textId="77777777" w:rsidR="00A11844" w:rsidRPr="00A11844" w:rsidRDefault="00A11844" w:rsidP="00A11844">
      <w:pPr>
        <w:pStyle w:val="NormalWeb"/>
        <w:rPr>
          <w:rFonts w:ascii="Arial" w:hAnsi="Arial" w:cs="Arial"/>
          <w:color w:val="000000"/>
        </w:rPr>
      </w:pPr>
      <w:r w:rsidRPr="00BD3782">
        <w:rPr>
          <w:rFonts w:ascii="Arial" w:hAnsi="Arial" w:cs="Arial"/>
          <w:b/>
          <w:bCs/>
          <w:color w:val="000000"/>
        </w:rPr>
        <w:t>This policy sets out how we enable appropriate enlargements and adaptations within this strengthened regulatory environment</w:t>
      </w:r>
      <w:r w:rsidRPr="00A11844">
        <w:rPr>
          <w:rFonts w:ascii="Arial" w:hAnsi="Arial" w:cs="Arial"/>
          <w:color w:val="000000"/>
        </w:rPr>
        <w:t>, ensuring every project meets the highest standards for fire safety, structural integrity, and regulatory compliance while delivering meaningful improvements to residents' quality of life.</w:t>
      </w:r>
    </w:p>
    <w:p w14:paraId="1EDC2A17" w14:textId="77777777" w:rsidR="00A11844" w:rsidRPr="00A11844" w:rsidRDefault="00A11844" w:rsidP="00A11844">
      <w:pPr>
        <w:pStyle w:val="NormalWeb"/>
        <w:rPr>
          <w:rFonts w:ascii="Arial" w:hAnsi="Arial" w:cs="Arial"/>
          <w:color w:val="000000"/>
        </w:rPr>
      </w:pPr>
      <w:r w:rsidRPr="00A11844">
        <w:rPr>
          <w:rFonts w:ascii="Arial" w:hAnsi="Arial" w:cs="Arial"/>
          <w:color w:val="000000"/>
        </w:rPr>
        <w:t>This policy document sets out how we will deliver the enlargements and adaptations element of this strategy, ensuring that:</w:t>
      </w:r>
    </w:p>
    <w:p w14:paraId="08FC78B2" w14:textId="77777777" w:rsidR="00BD3782" w:rsidRDefault="00A11844" w:rsidP="00370097">
      <w:pPr>
        <w:pStyle w:val="ListBullet"/>
      </w:pPr>
      <w:r w:rsidRPr="00A11844">
        <w:t>Properties and households are assessed fairly against clear, published criteria, enabling transparency</w:t>
      </w:r>
    </w:p>
    <w:p w14:paraId="74F09F4F" w14:textId="6D9BB1AF" w:rsidR="00A11844" w:rsidRPr="00A11844" w:rsidRDefault="00A11844" w:rsidP="00370097">
      <w:pPr>
        <w:pStyle w:val="ListBullet"/>
      </w:pPr>
      <w:r w:rsidRPr="00A11844">
        <w:t>Enlargement and adaptation opportunities are identified proactively and reactively</w:t>
      </w:r>
    </w:p>
    <w:p w14:paraId="4E1C9FBF" w14:textId="4961668C" w:rsidR="00A11844" w:rsidRPr="00A11844" w:rsidRDefault="00A11844" w:rsidP="00370097">
      <w:pPr>
        <w:pStyle w:val="ListBullet"/>
      </w:pPr>
      <w:r w:rsidRPr="00A11844">
        <w:t>All work meets exacting safety and quality standards</w:t>
      </w:r>
    </w:p>
    <w:p w14:paraId="3B293A94" w14:textId="1A468EFF" w:rsidR="00A11844" w:rsidRPr="00A11844" w:rsidRDefault="00A11844" w:rsidP="00370097">
      <w:pPr>
        <w:pStyle w:val="ListBullet"/>
      </w:pPr>
      <w:r w:rsidRPr="00A11844">
        <w:t>Residents are supported throughout the process</w:t>
      </w:r>
    </w:p>
    <w:p w14:paraId="37B91197" w14:textId="388A078C" w:rsidR="00A11844" w:rsidRPr="00A11844" w:rsidRDefault="00A11844" w:rsidP="00370097">
      <w:pPr>
        <w:pStyle w:val="ListBullet"/>
      </w:pPr>
      <w:r w:rsidRPr="00A11844">
        <w:t>Public investment delivers long-term value for our communities and the council as well as safeguarding the council’s asset and investment.</w:t>
      </w:r>
    </w:p>
    <w:p w14:paraId="51E48ED1" w14:textId="77777777" w:rsidR="00A11844" w:rsidRPr="00A11844" w:rsidRDefault="00A11844" w:rsidP="00A11844">
      <w:pPr>
        <w:pStyle w:val="NormalWeb"/>
        <w:rPr>
          <w:rFonts w:ascii="Arial" w:hAnsi="Arial" w:cs="Arial"/>
          <w:color w:val="000000"/>
        </w:rPr>
      </w:pPr>
      <w:r w:rsidRPr="00A11844">
        <w:rPr>
          <w:rFonts w:ascii="Arial" w:hAnsi="Arial" w:cs="Arial"/>
          <w:color w:val="000000"/>
        </w:rPr>
        <w:t>This policy establishes how we will create genuine social value through targeted interventions, while ensuring every project represents responsible stewardship of public resources that delivers lasting positive outcomes for residents and communities. The Director of Property and Asset Management will consult the Lead Member for Housing on a monthly basis on the progress of the programme.</w:t>
      </w:r>
    </w:p>
    <w:p w14:paraId="31D1D30C" w14:textId="19A27904" w:rsidR="00B846CB" w:rsidRPr="00B846CB" w:rsidRDefault="00776897" w:rsidP="00B846CB">
      <w:pPr>
        <w:pStyle w:val="Heading1"/>
      </w:pPr>
      <w:bookmarkStart w:id="3" w:name="_Toc213852645"/>
      <w:bookmarkEnd w:id="2"/>
      <w:r>
        <w:lastRenderedPageBreak/>
        <w:t>Scope</w:t>
      </w:r>
      <w:bookmarkEnd w:id="3"/>
    </w:p>
    <w:p w14:paraId="12CADFD6" w14:textId="775A7BC5" w:rsidR="00135A50" w:rsidRPr="00BD1181" w:rsidRDefault="00135A50" w:rsidP="00135A50">
      <w:r>
        <w:rPr>
          <w:rFonts w:eastAsia="Arial"/>
        </w:rPr>
        <w:t>T</w:t>
      </w:r>
      <w:r w:rsidRPr="00BD1181">
        <w:rPr>
          <w:rFonts w:eastAsia="Arial"/>
        </w:rPr>
        <w:t>his policy is limited to council-owned stock. It covers four types of enlargement</w:t>
      </w:r>
      <w:r>
        <w:rPr>
          <w:rFonts w:eastAsia="Arial"/>
        </w:rPr>
        <w:t>s</w:t>
      </w:r>
      <w:r w:rsidRPr="00BD1181">
        <w:rPr>
          <w:rFonts w:eastAsia="Arial"/>
        </w:rPr>
        <w:t xml:space="preserve"> or </w:t>
      </w:r>
      <w:r>
        <w:rPr>
          <w:rFonts w:eastAsia="Arial"/>
        </w:rPr>
        <w:t>adaptation</w:t>
      </w:r>
      <w:r w:rsidRPr="00BD1181">
        <w:rPr>
          <w:rFonts w:eastAsia="Arial"/>
        </w:rPr>
        <w:t>.</w:t>
      </w:r>
    </w:p>
    <w:p w14:paraId="0BF9D6D5" w14:textId="77777777" w:rsidR="00135A50" w:rsidRPr="00BD1181" w:rsidRDefault="00135A50" w:rsidP="00135A50">
      <w:pPr>
        <w:pStyle w:val="ListParagraph"/>
        <w:numPr>
          <w:ilvl w:val="0"/>
          <w:numId w:val="26"/>
        </w:numPr>
        <w:spacing w:after="0"/>
        <w:rPr>
          <w:rFonts w:eastAsia="Arial"/>
        </w:rPr>
      </w:pPr>
      <w:r w:rsidRPr="00BD1181">
        <w:rPr>
          <w:rFonts w:eastAsia="Arial"/>
        </w:rPr>
        <w:t>Knock-throughs</w:t>
      </w:r>
    </w:p>
    <w:p w14:paraId="0AB364CD" w14:textId="77777777" w:rsidR="00135A50" w:rsidRPr="00BD1181" w:rsidRDefault="00135A50" w:rsidP="00135A50">
      <w:pPr>
        <w:pStyle w:val="ListParagraph"/>
        <w:numPr>
          <w:ilvl w:val="0"/>
          <w:numId w:val="26"/>
        </w:numPr>
        <w:spacing w:after="0"/>
        <w:rPr>
          <w:rFonts w:eastAsia="Arial"/>
        </w:rPr>
      </w:pPr>
      <w:r w:rsidRPr="00BD1181">
        <w:rPr>
          <w:rFonts w:eastAsia="Arial"/>
        </w:rPr>
        <w:t>Ground-floor extensions</w:t>
      </w:r>
    </w:p>
    <w:p w14:paraId="1F2EC186" w14:textId="77777777" w:rsidR="00135A50" w:rsidRPr="00BD1181" w:rsidRDefault="00135A50" w:rsidP="00135A50">
      <w:pPr>
        <w:pStyle w:val="ListParagraph"/>
        <w:numPr>
          <w:ilvl w:val="0"/>
          <w:numId w:val="26"/>
        </w:numPr>
        <w:spacing w:after="0"/>
        <w:rPr>
          <w:rFonts w:eastAsia="Arial"/>
        </w:rPr>
      </w:pPr>
      <w:r w:rsidRPr="00BD1181">
        <w:rPr>
          <w:rFonts w:eastAsia="Arial"/>
        </w:rPr>
        <w:t>Vertical extensions</w:t>
      </w:r>
    </w:p>
    <w:p w14:paraId="5FC2FC3B" w14:textId="497131BC" w:rsidR="00135A50" w:rsidRPr="00936978" w:rsidRDefault="00135A50" w:rsidP="00135A50">
      <w:pPr>
        <w:pStyle w:val="ListParagraph"/>
        <w:numPr>
          <w:ilvl w:val="0"/>
          <w:numId w:val="26"/>
        </w:numPr>
        <w:spacing w:after="0"/>
        <w:rPr>
          <w:rFonts w:eastAsia="Arial"/>
        </w:rPr>
      </w:pPr>
      <w:r w:rsidRPr="00BD1181">
        <w:rPr>
          <w:rFonts w:eastAsia="Arial"/>
        </w:rPr>
        <w:t>Internal modifications</w:t>
      </w:r>
      <w:r w:rsidR="005F120D">
        <w:rPr>
          <w:rFonts w:eastAsia="Arial"/>
        </w:rPr>
        <w:t>.</w:t>
      </w:r>
    </w:p>
    <w:p w14:paraId="4341787C" w14:textId="77777777" w:rsidR="00776897" w:rsidRDefault="00776897" w:rsidP="00A37161">
      <w:pPr>
        <w:pStyle w:val="ListBullet"/>
        <w:numPr>
          <w:ilvl w:val="0"/>
          <w:numId w:val="0"/>
        </w:numPr>
        <w:ind w:left="360" w:hanging="360"/>
      </w:pPr>
    </w:p>
    <w:p w14:paraId="0FCDD444" w14:textId="33D3E231" w:rsidR="00776897" w:rsidRDefault="00676E55" w:rsidP="00776897">
      <w:pPr>
        <w:pStyle w:val="Heading1"/>
      </w:pPr>
      <w:bookmarkStart w:id="4" w:name="_Toc213852646"/>
      <w:r>
        <w:t>Statement of Intent</w:t>
      </w:r>
      <w:bookmarkEnd w:id="4"/>
    </w:p>
    <w:p w14:paraId="100B48CE" w14:textId="17BD9AE1" w:rsidR="002408BD" w:rsidRPr="002408BD" w:rsidRDefault="002408BD" w:rsidP="002408BD">
      <w:pPr>
        <w:pStyle w:val="NormalWeb"/>
        <w:rPr>
          <w:rFonts w:ascii="Arial" w:hAnsi="Arial" w:cs="Arial"/>
          <w:color w:val="000000"/>
        </w:rPr>
      </w:pPr>
      <w:r w:rsidRPr="002408BD">
        <w:rPr>
          <w:rFonts w:ascii="Arial" w:hAnsi="Arial" w:cs="Arial"/>
          <w:color w:val="000000"/>
        </w:rPr>
        <w:t>We acknowledge and accept our responsibilities under the relevant legislation regarding property reconfiguration.</w:t>
      </w:r>
    </w:p>
    <w:p w14:paraId="1BF4C9AD" w14:textId="77777777" w:rsidR="002408BD" w:rsidRPr="002408BD" w:rsidRDefault="002408BD" w:rsidP="002408BD">
      <w:pPr>
        <w:pStyle w:val="NormalWeb"/>
        <w:rPr>
          <w:rFonts w:ascii="Arial" w:hAnsi="Arial" w:cs="Arial"/>
          <w:color w:val="000000"/>
        </w:rPr>
      </w:pPr>
      <w:r w:rsidRPr="002408BD">
        <w:rPr>
          <w:rFonts w:ascii="Arial" w:hAnsi="Arial" w:cs="Arial"/>
          <w:color w:val="000000"/>
        </w:rPr>
        <w:t>This policy aims to modernise the determination of an enlargement or adaptation, taking into account recent legislative and regulatory changes.</w:t>
      </w:r>
    </w:p>
    <w:p w14:paraId="18E9A63A" w14:textId="77777777" w:rsidR="002408BD" w:rsidRPr="002408BD" w:rsidRDefault="002408BD" w:rsidP="002408BD">
      <w:pPr>
        <w:pStyle w:val="NormalWeb"/>
        <w:rPr>
          <w:rFonts w:ascii="Arial" w:hAnsi="Arial" w:cs="Arial"/>
          <w:color w:val="000000"/>
        </w:rPr>
      </w:pPr>
      <w:r w:rsidRPr="002408BD">
        <w:rPr>
          <w:rFonts w:ascii="Arial" w:hAnsi="Arial" w:cs="Arial"/>
          <w:color w:val="000000"/>
        </w:rPr>
        <w:t>There are a number of legislative and regulatory requirements that need to be considered within this policy, which are listed under Regulatory Standards, Legislation and Codes of practice at the start of this document.</w:t>
      </w:r>
    </w:p>
    <w:p w14:paraId="569AB145" w14:textId="77777777" w:rsidR="002408BD" w:rsidRPr="002408BD" w:rsidRDefault="002408BD" w:rsidP="002408BD">
      <w:pPr>
        <w:pStyle w:val="NormalWeb"/>
        <w:rPr>
          <w:rFonts w:ascii="Arial" w:hAnsi="Arial" w:cs="Arial"/>
          <w:color w:val="000000"/>
        </w:rPr>
      </w:pPr>
      <w:r w:rsidRPr="002408BD">
        <w:rPr>
          <w:rFonts w:ascii="Arial" w:hAnsi="Arial" w:cs="Arial"/>
          <w:color w:val="000000"/>
        </w:rPr>
        <w:t>We will enable equitable access to enlargements and adaptations by operating proactively as well as reactively. Enlargement and adaptation opportunities will be identified through regular engagement with residents.</w:t>
      </w:r>
    </w:p>
    <w:p w14:paraId="078F98BC" w14:textId="77777777" w:rsidR="002408BD" w:rsidRPr="002408BD" w:rsidRDefault="002408BD" w:rsidP="002408BD">
      <w:pPr>
        <w:pStyle w:val="NormalWeb"/>
        <w:rPr>
          <w:rFonts w:ascii="Arial" w:hAnsi="Arial" w:cs="Arial"/>
          <w:color w:val="000000"/>
        </w:rPr>
      </w:pPr>
      <w:r w:rsidRPr="002408BD">
        <w:rPr>
          <w:rFonts w:ascii="Arial" w:hAnsi="Arial" w:cs="Arial"/>
          <w:color w:val="000000"/>
        </w:rPr>
        <w:t>Our Multi-Agency Support Team will enable vulnerable households to access enlargements and adaptations, ensuring that support needs never become barriers to achieving adequate housing.</w:t>
      </w:r>
    </w:p>
    <w:p w14:paraId="2AE310A8" w14:textId="77777777" w:rsidR="002408BD" w:rsidRPr="002408BD" w:rsidRDefault="002408BD" w:rsidP="002408BD">
      <w:pPr>
        <w:pStyle w:val="NormalWeb"/>
        <w:rPr>
          <w:rFonts w:ascii="Arial" w:hAnsi="Arial" w:cs="Arial"/>
          <w:color w:val="000000"/>
        </w:rPr>
      </w:pPr>
      <w:r w:rsidRPr="002408BD">
        <w:rPr>
          <w:rFonts w:ascii="Arial" w:hAnsi="Arial" w:cs="Arial"/>
          <w:color w:val="000000"/>
        </w:rPr>
        <w:t>Building and Fire Safety is a key consideration, and we will act in full accordance with LBTH’s Fire Safety Policy, Electrical Safety Policy, Asbestos Policy, Gas and Heating Policy, Lift Safety Policy, Water Hygiene Policy, and the Building Safety Act 2022. These considerations will be key factors in the council’s decision-making. These are set out in more detail in Section 10.</w:t>
      </w:r>
    </w:p>
    <w:p w14:paraId="6402C4E3" w14:textId="77777777" w:rsidR="002408BD" w:rsidRPr="002408BD" w:rsidRDefault="002408BD" w:rsidP="002408BD">
      <w:pPr>
        <w:pStyle w:val="NormalWeb"/>
        <w:rPr>
          <w:rFonts w:ascii="Arial" w:hAnsi="Arial" w:cs="Arial"/>
          <w:color w:val="000000"/>
        </w:rPr>
      </w:pPr>
      <w:r w:rsidRPr="002408BD">
        <w:rPr>
          <w:rFonts w:ascii="Arial" w:hAnsi="Arial" w:cs="Arial"/>
          <w:color w:val="000000"/>
        </w:rPr>
        <w:t>We will operate effective contract management arrangements with the contractors responsible for delivering the service, including ensuring contracts/service level agreements are in place, conducting client-led performance meetings, and ensuring that contractors’ employee and public liability insurances are up to date on an annual basis.</w:t>
      </w:r>
    </w:p>
    <w:p w14:paraId="594819B8" w14:textId="77777777" w:rsidR="002408BD" w:rsidRPr="002408BD" w:rsidRDefault="002408BD" w:rsidP="002408BD">
      <w:pPr>
        <w:pStyle w:val="NormalWeb"/>
        <w:rPr>
          <w:rFonts w:ascii="Arial" w:hAnsi="Arial" w:cs="Arial"/>
          <w:color w:val="000000"/>
        </w:rPr>
      </w:pPr>
      <w:r w:rsidRPr="002408BD">
        <w:rPr>
          <w:rFonts w:ascii="Arial" w:hAnsi="Arial" w:cs="Arial"/>
          <w:color w:val="000000"/>
        </w:rPr>
        <w:t>The policy forms part of LBTH’s Asset Management Strategy and will sit within that strategy.</w:t>
      </w:r>
    </w:p>
    <w:p w14:paraId="1FED0B0B" w14:textId="3E0F9F34" w:rsidR="00D75C3B" w:rsidRDefault="00D75C3B" w:rsidP="002408BD"/>
    <w:p w14:paraId="7D7E2A22" w14:textId="77777777" w:rsidR="0085234F" w:rsidRPr="00B846CB" w:rsidRDefault="0085234F" w:rsidP="00A37161">
      <w:pPr>
        <w:pStyle w:val="ListBullet"/>
        <w:numPr>
          <w:ilvl w:val="0"/>
          <w:numId w:val="0"/>
        </w:numPr>
        <w:ind w:left="360" w:hanging="360"/>
        <w:rPr>
          <w:lang w:eastAsia="en-GB"/>
        </w:rPr>
      </w:pPr>
    </w:p>
    <w:p w14:paraId="5DEE9820" w14:textId="23683068" w:rsidR="00B846CB" w:rsidRPr="00B846CB" w:rsidRDefault="00676E55" w:rsidP="00B846CB">
      <w:pPr>
        <w:pStyle w:val="Heading1"/>
      </w:pPr>
      <w:bookmarkStart w:id="5" w:name="_Toc213852647"/>
      <w:r>
        <w:lastRenderedPageBreak/>
        <w:t>Definitions and Classifications</w:t>
      </w:r>
      <w:bookmarkEnd w:id="5"/>
      <w:r w:rsidR="00B846CB" w:rsidRPr="00B846CB">
        <w:tab/>
      </w:r>
      <w:r w:rsidR="00B846CB" w:rsidRPr="00B846CB">
        <w:tab/>
      </w:r>
      <w:r w:rsidR="00B846CB" w:rsidRPr="00B846CB">
        <w:tab/>
      </w:r>
      <w:r w:rsidR="00B846CB" w:rsidRPr="00B846CB">
        <w:tab/>
      </w:r>
      <w:r w:rsidR="00B846CB" w:rsidRPr="00B846CB">
        <w:tab/>
      </w:r>
    </w:p>
    <w:p w14:paraId="2F537FC0" w14:textId="720922A4" w:rsidR="007D2518" w:rsidRPr="00485688" w:rsidRDefault="00676E55" w:rsidP="00900578">
      <w:pPr>
        <w:pStyle w:val="Heading2"/>
      </w:pPr>
      <w:bookmarkStart w:id="6" w:name="_Toc213852648"/>
      <w:r>
        <w:t>Knock</w:t>
      </w:r>
      <w:r w:rsidR="00652334">
        <w:t>-</w:t>
      </w:r>
      <w:r>
        <w:t>through</w:t>
      </w:r>
      <w:bookmarkEnd w:id="6"/>
    </w:p>
    <w:p w14:paraId="2513A39E" w14:textId="26A6482F" w:rsidR="00B12CD4" w:rsidRDefault="00B12CD4" w:rsidP="00B12CD4">
      <w:r w:rsidRPr="0090750B">
        <w:t>A knock-through is the removal or partial removal of internal walls to create larger living spaces by combining two or more rooms.</w:t>
      </w:r>
      <w:r>
        <w:t xml:space="preserve"> A knock-through may also extend one property into an adjoining void property, combining the two properties into one.</w:t>
      </w:r>
    </w:p>
    <w:p w14:paraId="38A9323D" w14:textId="6651F143" w:rsidR="00B12CD4" w:rsidRDefault="00B12CD4" w:rsidP="00B12CD4">
      <w:pPr>
        <w:pStyle w:val="Heading2"/>
      </w:pPr>
      <w:bookmarkStart w:id="7" w:name="_Toc213852649"/>
      <w:r>
        <w:t>Extension</w:t>
      </w:r>
      <w:bookmarkEnd w:id="7"/>
    </w:p>
    <w:p w14:paraId="201BDA1B" w14:textId="3D7CB490" w:rsidR="00900578" w:rsidRPr="00B12CD4" w:rsidRDefault="00A51178" w:rsidP="00B12CD4">
      <w:pPr>
        <w:pStyle w:val="ListBullet"/>
        <w:numPr>
          <w:ilvl w:val="0"/>
          <w:numId w:val="0"/>
        </w:numPr>
      </w:pPr>
      <w:r>
        <w:t>An e</w:t>
      </w:r>
      <w:r w:rsidR="00652334">
        <w:t>xtension</w:t>
      </w:r>
      <w:r w:rsidR="00D44469">
        <w:t xml:space="preserve"> </w:t>
      </w:r>
      <w:r w:rsidRPr="006308E1">
        <w:t>is any addition to the existing structure of a property that increases its internal floor area, including single-storey rear extensions, side returns, loft conversions, and basement excavations.</w:t>
      </w:r>
    </w:p>
    <w:p w14:paraId="3E5976D0" w14:textId="0EC50C80" w:rsidR="00900578" w:rsidRDefault="00652334" w:rsidP="00652334">
      <w:pPr>
        <w:pStyle w:val="Heading2"/>
      </w:pPr>
      <w:bookmarkStart w:id="8" w:name="_Toc213852650"/>
      <w:r>
        <w:t>Internal Modification</w:t>
      </w:r>
      <w:bookmarkEnd w:id="8"/>
    </w:p>
    <w:p w14:paraId="4B2AA886" w14:textId="13BC2B87" w:rsidR="005F1A22" w:rsidRPr="006308E1" w:rsidRDefault="005F1A22" w:rsidP="005F1A22">
      <w:r w:rsidRPr="006308E1">
        <w:t>An internal modification is any alteration to the interior layout, structure, or fixtures of a property that does not increase the overall footprint, including partition walls, kitchen/bathroom relocations, and utility installations.</w:t>
      </w:r>
    </w:p>
    <w:p w14:paraId="54A2CBA8" w14:textId="4509B085" w:rsidR="00652334" w:rsidRDefault="00652334" w:rsidP="00652334">
      <w:pPr>
        <w:pStyle w:val="Heading2"/>
      </w:pPr>
      <w:bookmarkStart w:id="9" w:name="_Toc213852651"/>
      <w:r>
        <w:t>High-risk building</w:t>
      </w:r>
      <w:bookmarkEnd w:id="9"/>
    </w:p>
    <w:p w14:paraId="5520C1DA" w14:textId="0E98B617" w:rsidR="00FE317C" w:rsidRDefault="00FE317C" w:rsidP="00FE317C">
      <w:r w:rsidRPr="0094084B">
        <w:t xml:space="preserve">A high-risk building is defined under the Building Safety Act 2022, requiring </w:t>
      </w:r>
      <w:r>
        <w:t>enhanced</w:t>
      </w:r>
      <w:r w:rsidRPr="0094084B">
        <w:t xml:space="preserve"> safety measures and approval processes for alterations. This includes Tower Hamlets' significant portfolio of post-war social housing estates and listed Victorian/Edwardian properties where structural alterations require specialist assessment due to their age, construction methods, and heritage status.</w:t>
      </w:r>
    </w:p>
    <w:p w14:paraId="192D9B32" w14:textId="77777777" w:rsidR="00FE317C" w:rsidRDefault="00FE317C" w:rsidP="00FE317C"/>
    <w:p w14:paraId="772CE37B" w14:textId="74F6A720" w:rsidR="00B846CB" w:rsidRPr="00B846CB" w:rsidRDefault="00652334" w:rsidP="00C14F50">
      <w:pPr>
        <w:pStyle w:val="Heading1"/>
      </w:pPr>
      <w:bookmarkStart w:id="10" w:name="_Toc213852652"/>
      <w:r>
        <w:t>LBTH Responsibilities</w:t>
      </w:r>
      <w:bookmarkEnd w:id="10"/>
    </w:p>
    <w:p w14:paraId="101FE956" w14:textId="5F8A92DE" w:rsidR="00B846CB" w:rsidRDefault="00652334" w:rsidP="00652334">
      <w:pPr>
        <w:pStyle w:val="Heading2"/>
      </w:pPr>
      <w:bookmarkStart w:id="11" w:name="_Toc213852653"/>
      <w:r>
        <w:t>Statutory and Regulatory Compliance</w:t>
      </w:r>
      <w:bookmarkEnd w:id="11"/>
    </w:p>
    <w:p w14:paraId="2AB0AC07" w14:textId="0B3BA9F1" w:rsidR="00A3244B" w:rsidRDefault="00A3244B" w:rsidP="00A3244B">
      <w:pPr>
        <w:pStyle w:val="ListParagraph"/>
        <w:numPr>
          <w:ilvl w:val="0"/>
          <w:numId w:val="27"/>
        </w:numPr>
      </w:pPr>
      <w:r>
        <w:t>Ensure all adaptations comply with Building Safety Act 2022, fire safety regulations, and planning requirements</w:t>
      </w:r>
    </w:p>
    <w:p w14:paraId="56C4580A" w14:textId="77777777" w:rsidR="00A3244B" w:rsidRDefault="00A3244B" w:rsidP="00A3244B">
      <w:pPr>
        <w:pStyle w:val="ListParagraph"/>
        <w:numPr>
          <w:ilvl w:val="0"/>
          <w:numId w:val="27"/>
        </w:numPr>
      </w:pPr>
      <w:r>
        <w:t>Maintain compliance with Regulator for Social Housing Consumer Standards, particularly Safety &amp; Quality Standard</w:t>
      </w:r>
    </w:p>
    <w:p w14:paraId="45726D1F" w14:textId="77777777" w:rsidR="00A3244B" w:rsidRDefault="00A3244B" w:rsidP="00A3244B">
      <w:pPr>
        <w:pStyle w:val="ListParagraph"/>
        <w:numPr>
          <w:ilvl w:val="0"/>
          <w:numId w:val="27"/>
        </w:numPr>
      </w:pPr>
      <w:r>
        <w:t>Uphold obligations under Landlord and Tenant Act 1985 and Decent Homes Standard</w:t>
      </w:r>
    </w:p>
    <w:p w14:paraId="51D110E8" w14:textId="77777777" w:rsidR="00A3244B" w:rsidRDefault="00A3244B" w:rsidP="00A3244B">
      <w:pPr>
        <w:pStyle w:val="ListParagraph"/>
        <w:numPr>
          <w:ilvl w:val="0"/>
          <w:numId w:val="27"/>
        </w:numPr>
      </w:pPr>
      <w:r>
        <w:t>Treat residents fairly and consistently in accordance with Equalities Act 2010</w:t>
      </w:r>
    </w:p>
    <w:p w14:paraId="5C827B88" w14:textId="24CBCADE" w:rsidR="00A3244B" w:rsidRDefault="00A3244B" w:rsidP="00A3244B">
      <w:pPr>
        <w:pStyle w:val="ListParagraph"/>
        <w:numPr>
          <w:ilvl w:val="0"/>
          <w:numId w:val="27"/>
        </w:numPr>
      </w:pPr>
      <w:r>
        <w:t>Update compliance records in line with property characteristics</w:t>
      </w:r>
      <w:r w:rsidR="00DB1A4D">
        <w:t>.</w:t>
      </w:r>
    </w:p>
    <w:p w14:paraId="36007C5A" w14:textId="116C6016" w:rsidR="00652334" w:rsidRDefault="00652334" w:rsidP="00652334">
      <w:pPr>
        <w:pStyle w:val="Heading2"/>
      </w:pPr>
      <w:bookmarkStart w:id="12" w:name="_Toc213852654"/>
      <w:r>
        <w:t>Assessment and Decision</w:t>
      </w:r>
      <w:r w:rsidR="00D20EB6">
        <w:t>-Making</w:t>
      </w:r>
      <w:bookmarkEnd w:id="12"/>
    </w:p>
    <w:p w14:paraId="1F720990" w14:textId="059851C5" w:rsidR="00977D13" w:rsidRDefault="00977D13" w:rsidP="00977D13">
      <w:pPr>
        <w:pStyle w:val="ListParagraph"/>
        <w:numPr>
          <w:ilvl w:val="0"/>
          <w:numId w:val="28"/>
        </w:numPr>
      </w:pPr>
      <w:r>
        <w:t>Operate a transparent, evidence-based assessment process</w:t>
      </w:r>
    </w:p>
    <w:p w14:paraId="74E5A80F" w14:textId="77777777" w:rsidR="00977D13" w:rsidRDefault="00977D13" w:rsidP="00977D13">
      <w:pPr>
        <w:pStyle w:val="ListParagraph"/>
        <w:numPr>
          <w:ilvl w:val="0"/>
          <w:numId w:val="28"/>
        </w:numPr>
      </w:pPr>
      <w:r>
        <w:t>Conduct thorough structural integrity and fire safety evaluations using qualified professionals</w:t>
      </w:r>
    </w:p>
    <w:p w14:paraId="296D43FB" w14:textId="77777777" w:rsidR="00977D13" w:rsidRDefault="00977D13" w:rsidP="00977D13">
      <w:pPr>
        <w:pStyle w:val="ListParagraph"/>
        <w:numPr>
          <w:ilvl w:val="0"/>
          <w:numId w:val="28"/>
        </w:numPr>
      </w:pPr>
      <w:r>
        <w:t>Apply consistent cost-benefit analysis methodology across all applications</w:t>
      </w:r>
    </w:p>
    <w:p w14:paraId="5FD5C9D3" w14:textId="39327C98" w:rsidR="00977D13" w:rsidRDefault="00977D13" w:rsidP="00977D13">
      <w:pPr>
        <w:pStyle w:val="ListParagraph"/>
        <w:numPr>
          <w:ilvl w:val="0"/>
          <w:numId w:val="28"/>
        </w:numPr>
      </w:pPr>
      <w:r>
        <w:t>Maintain clear, auditable records of all decisions and their rationale</w:t>
      </w:r>
      <w:r w:rsidR="00DB1A4D">
        <w:t>.</w:t>
      </w:r>
    </w:p>
    <w:p w14:paraId="0BB2CDB7" w14:textId="4EC932BC" w:rsidR="00652334" w:rsidRDefault="00D20EB6" w:rsidP="00652334">
      <w:pPr>
        <w:pStyle w:val="Heading2"/>
      </w:pPr>
      <w:bookmarkStart w:id="13" w:name="_Toc213852655"/>
      <w:r>
        <w:t>Resource Allocation and Planning</w:t>
      </w:r>
      <w:bookmarkEnd w:id="13"/>
    </w:p>
    <w:p w14:paraId="2E9174DB" w14:textId="4C5D7AE6" w:rsidR="00C03F72" w:rsidRDefault="00C03F72" w:rsidP="00C03F72">
      <w:pPr>
        <w:pStyle w:val="ListParagraph"/>
        <w:numPr>
          <w:ilvl w:val="0"/>
          <w:numId w:val="29"/>
        </w:numPr>
      </w:pPr>
      <w:r>
        <w:t>Allocate sufficient capital funding through annual budget planning processes</w:t>
      </w:r>
    </w:p>
    <w:p w14:paraId="1D3CB5A0" w14:textId="77777777" w:rsidR="00C03F72" w:rsidRDefault="00C03F72" w:rsidP="00C03F72">
      <w:pPr>
        <w:pStyle w:val="ListParagraph"/>
        <w:numPr>
          <w:ilvl w:val="0"/>
          <w:numId w:val="29"/>
        </w:numPr>
      </w:pPr>
      <w:r>
        <w:t>Recruit and maintain appropriately skilled staff for identification, assessment, and project management</w:t>
      </w:r>
    </w:p>
    <w:p w14:paraId="3D107A37" w14:textId="77777777" w:rsidR="00C03F72" w:rsidRDefault="00C03F72" w:rsidP="00C03F72">
      <w:pPr>
        <w:pStyle w:val="ListParagraph"/>
        <w:numPr>
          <w:ilvl w:val="0"/>
          <w:numId w:val="29"/>
        </w:numPr>
      </w:pPr>
      <w:r>
        <w:lastRenderedPageBreak/>
        <w:t>Ensure contractor competency through robust procurement and performance management</w:t>
      </w:r>
    </w:p>
    <w:p w14:paraId="3C2D6792" w14:textId="722BAA43" w:rsidR="00C03F72" w:rsidRDefault="00C03F72" w:rsidP="00C03F72">
      <w:pPr>
        <w:pStyle w:val="ListParagraph"/>
        <w:numPr>
          <w:ilvl w:val="0"/>
          <w:numId w:val="29"/>
        </w:numPr>
      </w:pPr>
      <w:r>
        <w:t>Integrate adaptation opportunities into wider Asset Management Strategy planning</w:t>
      </w:r>
      <w:r w:rsidR="0008134C">
        <w:t>.</w:t>
      </w:r>
    </w:p>
    <w:p w14:paraId="7F2CAA45" w14:textId="4E4D8CAE" w:rsidR="00652334" w:rsidRDefault="00D20EB6" w:rsidP="00652334">
      <w:pPr>
        <w:pStyle w:val="Heading2"/>
      </w:pPr>
      <w:bookmarkStart w:id="14" w:name="_Toc213852656"/>
      <w:r>
        <w:t>Project Delivery</w:t>
      </w:r>
      <w:bookmarkEnd w:id="14"/>
    </w:p>
    <w:p w14:paraId="3838BA90" w14:textId="77777777" w:rsidR="004D5F6E" w:rsidRDefault="004D5F6E" w:rsidP="004D5F6E">
      <w:pPr>
        <w:pStyle w:val="ListParagraph"/>
        <w:numPr>
          <w:ilvl w:val="0"/>
          <w:numId w:val="30"/>
        </w:numPr>
        <w:rPr>
          <w:rFonts w:eastAsia="Times New Roman"/>
        </w:rPr>
      </w:pPr>
      <w:r w:rsidRPr="004D5F6E">
        <w:rPr>
          <w:rFonts w:eastAsia="Times New Roman"/>
        </w:rPr>
        <w:t>Complete works to agreed specifications and quality standards within published timescale</w:t>
      </w:r>
      <w:r>
        <w:rPr>
          <w:rFonts w:eastAsia="Times New Roman"/>
        </w:rPr>
        <w:t>s</w:t>
      </w:r>
    </w:p>
    <w:p w14:paraId="0731F8EF" w14:textId="77777777" w:rsidR="004D5F6E" w:rsidRDefault="004D5F6E" w:rsidP="004D5F6E">
      <w:pPr>
        <w:pStyle w:val="ListParagraph"/>
        <w:numPr>
          <w:ilvl w:val="0"/>
          <w:numId w:val="30"/>
        </w:numPr>
        <w:rPr>
          <w:rFonts w:eastAsia="Times New Roman"/>
        </w:rPr>
      </w:pPr>
      <w:r w:rsidRPr="004D5F6E">
        <w:rPr>
          <w:rFonts w:eastAsia="Times New Roman"/>
        </w:rPr>
        <w:t>Provide regular progress updates to affected tenants during works</w:t>
      </w:r>
    </w:p>
    <w:p w14:paraId="0DB22298" w14:textId="77777777" w:rsidR="004D5F6E" w:rsidRDefault="004D5F6E" w:rsidP="004D5F6E">
      <w:pPr>
        <w:pStyle w:val="ListParagraph"/>
        <w:numPr>
          <w:ilvl w:val="0"/>
          <w:numId w:val="30"/>
        </w:numPr>
        <w:rPr>
          <w:rFonts w:eastAsia="Times New Roman"/>
        </w:rPr>
      </w:pPr>
      <w:r w:rsidRPr="004D5F6E">
        <w:rPr>
          <w:rFonts w:eastAsia="Times New Roman"/>
        </w:rPr>
        <w:t>Conduct thorough post-completion inspections and remedy defects promptly</w:t>
      </w:r>
    </w:p>
    <w:p w14:paraId="24EA5BCF" w14:textId="57D2B8A0" w:rsidR="004D5F6E" w:rsidRPr="004D5F6E" w:rsidRDefault="004D5F6E" w:rsidP="004D5F6E">
      <w:pPr>
        <w:pStyle w:val="ListParagraph"/>
        <w:numPr>
          <w:ilvl w:val="0"/>
          <w:numId w:val="30"/>
        </w:numPr>
        <w:rPr>
          <w:rFonts w:eastAsia="Times New Roman"/>
        </w:rPr>
      </w:pPr>
      <w:r w:rsidRPr="004D5F6E">
        <w:rPr>
          <w:rFonts w:eastAsia="Times New Roman"/>
        </w:rPr>
        <w:t>Implement effective contract management with clear service level agreements</w:t>
      </w:r>
      <w:r w:rsidR="00680217">
        <w:rPr>
          <w:rFonts w:eastAsia="Times New Roman"/>
        </w:rPr>
        <w:t>.</w:t>
      </w:r>
    </w:p>
    <w:p w14:paraId="07D11847" w14:textId="2E275658" w:rsidR="00652334" w:rsidRDefault="00D20EB6" w:rsidP="00652334">
      <w:pPr>
        <w:pStyle w:val="Heading2"/>
      </w:pPr>
      <w:bookmarkStart w:id="15" w:name="_Toc213852657"/>
      <w:r>
        <w:t>Communication and Support</w:t>
      </w:r>
      <w:bookmarkEnd w:id="15"/>
    </w:p>
    <w:p w14:paraId="24F5C17C" w14:textId="598AA249" w:rsidR="00DE2F74" w:rsidRDefault="00DE2F74" w:rsidP="00DE2F74">
      <w:pPr>
        <w:pStyle w:val="ListParagraph"/>
        <w:numPr>
          <w:ilvl w:val="0"/>
          <w:numId w:val="31"/>
        </w:numPr>
      </w:pPr>
      <w:r>
        <w:t>Clearly explain the assessment process, criteria, and timescales to applicants</w:t>
      </w:r>
    </w:p>
    <w:p w14:paraId="030C8AD7" w14:textId="77777777" w:rsidR="00DE2F74" w:rsidRDefault="00DE2F74" w:rsidP="00DE2F74">
      <w:pPr>
        <w:pStyle w:val="ListParagraph"/>
        <w:numPr>
          <w:ilvl w:val="0"/>
          <w:numId w:val="31"/>
        </w:numPr>
      </w:pPr>
      <w:r>
        <w:t>Provide advance notice of any disruption during works</w:t>
      </w:r>
    </w:p>
    <w:p w14:paraId="133716F3" w14:textId="77777777" w:rsidR="00DE2F74" w:rsidRDefault="00DE2F74" w:rsidP="00DE2F74">
      <w:pPr>
        <w:pStyle w:val="ListParagraph"/>
        <w:numPr>
          <w:ilvl w:val="0"/>
          <w:numId w:val="31"/>
        </w:numPr>
      </w:pPr>
      <w:r>
        <w:t>Offer temporary accommodation where works make properties uninhabitable</w:t>
      </w:r>
    </w:p>
    <w:p w14:paraId="43782EA3" w14:textId="4F7A8E7F" w:rsidR="00DE2F74" w:rsidRDefault="00DE2F74" w:rsidP="00DE2F74">
      <w:pPr>
        <w:pStyle w:val="ListParagraph"/>
        <w:numPr>
          <w:ilvl w:val="0"/>
          <w:numId w:val="31"/>
        </w:numPr>
      </w:pPr>
      <w:r>
        <w:t>Support vulnerable residents throughout the process, following Getting to Know You procedures</w:t>
      </w:r>
      <w:r w:rsidR="001840C5">
        <w:t>.</w:t>
      </w:r>
    </w:p>
    <w:p w14:paraId="47085B24" w14:textId="42F4C29B" w:rsidR="00652334" w:rsidRDefault="00D20EB6" w:rsidP="00652334">
      <w:pPr>
        <w:pStyle w:val="Heading2"/>
      </w:pPr>
      <w:bookmarkStart w:id="16" w:name="_Toc213852658"/>
      <w:r>
        <w:t>Financial Management</w:t>
      </w:r>
      <w:bookmarkEnd w:id="16"/>
    </w:p>
    <w:p w14:paraId="30A8FAB0" w14:textId="51AFE519" w:rsidR="00FC1FAF" w:rsidRDefault="00FC1FAF" w:rsidP="00FC1FAF">
      <w:pPr>
        <w:pStyle w:val="ListParagraph"/>
        <w:numPr>
          <w:ilvl w:val="0"/>
          <w:numId w:val="32"/>
        </w:numPr>
      </w:pPr>
      <w:r>
        <w:t>Apply rent adjustment methodology transparently and in accordance with tenancy agreements</w:t>
      </w:r>
    </w:p>
    <w:p w14:paraId="5DA5FEAA" w14:textId="77777777" w:rsidR="00FC1FAF" w:rsidRDefault="00FC1FAF" w:rsidP="00FC1FAF">
      <w:pPr>
        <w:pStyle w:val="ListParagraph"/>
        <w:numPr>
          <w:ilvl w:val="0"/>
          <w:numId w:val="32"/>
        </w:numPr>
      </w:pPr>
      <w:r>
        <w:t>Secure overage agreements prior to works commencement</w:t>
      </w:r>
    </w:p>
    <w:p w14:paraId="44279999" w14:textId="77777777" w:rsidR="00FC1FAF" w:rsidRDefault="00FC1FAF" w:rsidP="00FC1FAF">
      <w:pPr>
        <w:pStyle w:val="ListParagraph"/>
        <w:numPr>
          <w:ilvl w:val="0"/>
          <w:numId w:val="32"/>
        </w:numPr>
      </w:pPr>
      <w:r>
        <w:t>Maintain accurate records for future RTB valuations and overage calculations</w:t>
      </w:r>
    </w:p>
    <w:p w14:paraId="3E3C5441" w14:textId="704DAEEC" w:rsidR="00FC1FAF" w:rsidRDefault="00FC1FAF" w:rsidP="00FC1FAF">
      <w:pPr>
        <w:pStyle w:val="ListParagraph"/>
        <w:numPr>
          <w:ilvl w:val="0"/>
          <w:numId w:val="32"/>
        </w:numPr>
      </w:pPr>
      <w:r>
        <w:t>Monitor programme costs against budget allocation and report variances</w:t>
      </w:r>
      <w:r w:rsidR="00AF00A9">
        <w:t>.</w:t>
      </w:r>
    </w:p>
    <w:p w14:paraId="5FDA11B3" w14:textId="0CF7A293" w:rsidR="00652334" w:rsidRDefault="00D20EB6" w:rsidP="00652334">
      <w:pPr>
        <w:pStyle w:val="Heading2"/>
      </w:pPr>
      <w:bookmarkStart w:id="17" w:name="_Toc213852659"/>
      <w:r>
        <w:t>Quality Assurance and Learning</w:t>
      </w:r>
      <w:bookmarkEnd w:id="17"/>
    </w:p>
    <w:p w14:paraId="6A1EDBC1" w14:textId="06E7CF06" w:rsidR="002E238C" w:rsidRDefault="002E238C" w:rsidP="002E238C">
      <w:pPr>
        <w:pStyle w:val="ListParagraph"/>
        <w:numPr>
          <w:ilvl w:val="0"/>
          <w:numId w:val="33"/>
        </w:numPr>
      </w:pPr>
      <w:r>
        <w:t>Ensure all staff receive appropriate training on identification, assessment, and delivery standards</w:t>
      </w:r>
    </w:p>
    <w:p w14:paraId="3CE17D44" w14:textId="77777777" w:rsidR="002E238C" w:rsidRDefault="002E238C" w:rsidP="002E238C">
      <w:pPr>
        <w:pStyle w:val="ListParagraph"/>
        <w:numPr>
          <w:ilvl w:val="0"/>
          <w:numId w:val="33"/>
        </w:numPr>
      </w:pPr>
      <w:r>
        <w:t>Continuously review completion standards based on tenant feedback and technical performance</w:t>
      </w:r>
    </w:p>
    <w:p w14:paraId="318F60BD" w14:textId="77777777" w:rsidR="002E238C" w:rsidRDefault="002E238C" w:rsidP="002E238C">
      <w:pPr>
        <w:pStyle w:val="ListParagraph"/>
        <w:numPr>
          <w:ilvl w:val="0"/>
          <w:numId w:val="33"/>
        </w:numPr>
      </w:pPr>
      <w:r>
        <w:t>Share learning with other housing providers and adopt best practice innovations</w:t>
      </w:r>
    </w:p>
    <w:p w14:paraId="647EEDA0" w14:textId="4A0F565E" w:rsidR="002E238C" w:rsidRDefault="002E238C" w:rsidP="002E238C">
      <w:pPr>
        <w:pStyle w:val="ListParagraph"/>
        <w:numPr>
          <w:ilvl w:val="0"/>
          <w:numId w:val="33"/>
        </w:numPr>
      </w:pPr>
      <w:r>
        <w:t>Maintain relationships with regulatory bodies and advisory agencies</w:t>
      </w:r>
      <w:r w:rsidR="005F120D">
        <w:t>.</w:t>
      </w:r>
    </w:p>
    <w:p w14:paraId="0D860A5E" w14:textId="77777777" w:rsidR="002E238C" w:rsidRDefault="002E238C" w:rsidP="002E238C"/>
    <w:p w14:paraId="38B750CB" w14:textId="6A9934A0" w:rsidR="00652334" w:rsidRDefault="00652334" w:rsidP="00652334">
      <w:pPr>
        <w:pStyle w:val="Heading1"/>
        <w:rPr>
          <w:lang w:val="en-US"/>
        </w:rPr>
      </w:pPr>
      <w:bookmarkStart w:id="18" w:name="_Toc213852660"/>
      <w:r>
        <w:rPr>
          <w:lang w:val="en-US"/>
        </w:rPr>
        <w:t>Tenant Responsibilities</w:t>
      </w:r>
      <w:bookmarkEnd w:id="18"/>
    </w:p>
    <w:p w14:paraId="2BAFFE57" w14:textId="11A34B34" w:rsidR="000E1CE8" w:rsidRDefault="008513C2" w:rsidP="000E1CE8">
      <w:pPr>
        <w:pStyle w:val="Heading2"/>
      </w:pPr>
      <w:bookmarkStart w:id="19" w:name="_Toc213852661"/>
      <w:r>
        <w:t>Application and Assessment Process</w:t>
      </w:r>
      <w:bookmarkEnd w:id="19"/>
    </w:p>
    <w:p w14:paraId="18174894" w14:textId="2D0F4350" w:rsidR="00E7435A" w:rsidRDefault="00E7435A" w:rsidP="00E7435A">
      <w:pPr>
        <w:pStyle w:val="ListParagraph"/>
        <w:numPr>
          <w:ilvl w:val="0"/>
          <w:numId w:val="34"/>
        </w:numPr>
      </w:pPr>
      <w:r>
        <w:t>Provide accurate information about household composition, occupancy duration, and circumstances leading to overcrowding</w:t>
      </w:r>
    </w:p>
    <w:p w14:paraId="5048123B" w14:textId="77777777" w:rsidR="00E7435A" w:rsidRDefault="00E7435A" w:rsidP="00E7435A">
      <w:pPr>
        <w:pStyle w:val="ListParagraph"/>
        <w:numPr>
          <w:ilvl w:val="0"/>
          <w:numId w:val="34"/>
        </w:numPr>
      </w:pPr>
      <w:r>
        <w:t>Allow access for structural integrity, fire safety, and feasibility assessments within reasonable notice periods</w:t>
      </w:r>
    </w:p>
    <w:p w14:paraId="77F051AC" w14:textId="77777777" w:rsidR="00E7435A" w:rsidRDefault="00E7435A" w:rsidP="00E7435A">
      <w:pPr>
        <w:pStyle w:val="ListParagraph"/>
        <w:numPr>
          <w:ilvl w:val="0"/>
          <w:numId w:val="34"/>
        </w:numPr>
      </w:pPr>
      <w:r>
        <w:t>Cooperate fully with surveyor inspections and technical evaluations</w:t>
      </w:r>
    </w:p>
    <w:p w14:paraId="597A376F" w14:textId="1545FCFE" w:rsidR="00E7435A" w:rsidRDefault="00E7435A" w:rsidP="00E7435A">
      <w:pPr>
        <w:pStyle w:val="ListParagraph"/>
        <w:numPr>
          <w:ilvl w:val="0"/>
          <w:numId w:val="34"/>
        </w:numPr>
      </w:pPr>
      <w:r>
        <w:t>Respond promptly to requests for additional information or documentation</w:t>
      </w:r>
      <w:r w:rsidR="00643262">
        <w:t>.</w:t>
      </w:r>
    </w:p>
    <w:p w14:paraId="759DD3BE" w14:textId="0DEBD8D7" w:rsidR="000E1CE8" w:rsidRDefault="008513C2" w:rsidP="000E1CE8">
      <w:pPr>
        <w:pStyle w:val="Heading2"/>
      </w:pPr>
      <w:bookmarkStart w:id="20" w:name="_Toc213852662"/>
      <w:r>
        <w:lastRenderedPageBreak/>
        <w:t>Financial Obligations</w:t>
      </w:r>
      <w:bookmarkEnd w:id="20"/>
    </w:p>
    <w:p w14:paraId="3DEC8DEF" w14:textId="32B99062" w:rsidR="000258F7" w:rsidRDefault="000258F7" w:rsidP="000258F7">
      <w:pPr>
        <w:pStyle w:val="ListParagraph"/>
        <w:numPr>
          <w:ilvl w:val="0"/>
          <w:numId w:val="35"/>
        </w:numPr>
      </w:pPr>
      <w:r>
        <w:t>Understand and accept rent adjustment will be necessary in accordance with published methodology following completion of works</w:t>
      </w:r>
    </w:p>
    <w:p w14:paraId="370DCED6" w14:textId="77777777" w:rsidR="000258F7" w:rsidRDefault="000258F7" w:rsidP="000258F7">
      <w:pPr>
        <w:pStyle w:val="ListParagraph"/>
        <w:numPr>
          <w:ilvl w:val="0"/>
          <w:numId w:val="35"/>
        </w:numPr>
      </w:pPr>
      <w:r>
        <w:t>Understand that an overage agreement will be signed before works commence, acknowledging repayment obligations upon any future disposal</w:t>
      </w:r>
    </w:p>
    <w:p w14:paraId="27C4A662" w14:textId="77777777" w:rsidR="000258F7" w:rsidRDefault="000258F7" w:rsidP="000258F7">
      <w:pPr>
        <w:pStyle w:val="ListParagraph"/>
        <w:numPr>
          <w:ilvl w:val="0"/>
          <w:numId w:val="35"/>
        </w:numPr>
      </w:pPr>
      <w:r>
        <w:t>Understand and accept that Right-to-Buy valuations will reflect adapted property value</w:t>
      </w:r>
    </w:p>
    <w:p w14:paraId="3E2FD1BF" w14:textId="17C6B0EE" w:rsidR="000258F7" w:rsidRDefault="000258F7" w:rsidP="000258F7">
      <w:pPr>
        <w:pStyle w:val="ListParagraph"/>
        <w:numPr>
          <w:ilvl w:val="0"/>
          <w:numId w:val="35"/>
        </w:numPr>
      </w:pPr>
      <w:r>
        <w:t>Understand and accept to meet any additional utility or maintenance costs arising from enlarged accommodation</w:t>
      </w:r>
      <w:r w:rsidR="00AA1BF1">
        <w:t>.</w:t>
      </w:r>
    </w:p>
    <w:p w14:paraId="4272D583" w14:textId="45E4A5F3" w:rsidR="000E1CE8" w:rsidRDefault="008513C2" w:rsidP="000E1CE8">
      <w:pPr>
        <w:pStyle w:val="Heading2"/>
      </w:pPr>
      <w:bookmarkStart w:id="21" w:name="_Toc213852663"/>
      <w:r>
        <w:t>During Works</w:t>
      </w:r>
      <w:bookmarkEnd w:id="21"/>
    </w:p>
    <w:p w14:paraId="4F30CB92" w14:textId="5709D9F5" w:rsidR="007150DE" w:rsidRDefault="007150DE" w:rsidP="007150DE">
      <w:pPr>
        <w:pStyle w:val="ListParagraph"/>
        <w:numPr>
          <w:ilvl w:val="0"/>
          <w:numId w:val="36"/>
        </w:numPr>
      </w:pPr>
      <w:r>
        <w:t>Provide access for contractors and site inspections in accordance with tenancy agreement</w:t>
      </w:r>
    </w:p>
    <w:p w14:paraId="1DFE6D12" w14:textId="77777777" w:rsidR="007150DE" w:rsidRDefault="007150DE" w:rsidP="007150DE">
      <w:pPr>
        <w:pStyle w:val="ListParagraph"/>
        <w:numPr>
          <w:ilvl w:val="0"/>
          <w:numId w:val="36"/>
        </w:numPr>
      </w:pPr>
      <w:r>
        <w:t>Comply with health and safety requirements and site management instructions</w:t>
      </w:r>
    </w:p>
    <w:p w14:paraId="44AB02E9" w14:textId="77777777" w:rsidR="007150DE" w:rsidRDefault="007150DE" w:rsidP="007150DE">
      <w:pPr>
        <w:pStyle w:val="ListParagraph"/>
        <w:numPr>
          <w:ilvl w:val="0"/>
          <w:numId w:val="36"/>
        </w:numPr>
      </w:pPr>
      <w:r>
        <w:t>Remove or protect personal belongings as advised by project management</w:t>
      </w:r>
    </w:p>
    <w:p w14:paraId="6F9B8766" w14:textId="05222B89" w:rsidR="007150DE" w:rsidRDefault="007150DE" w:rsidP="007150DE">
      <w:pPr>
        <w:pStyle w:val="ListParagraph"/>
        <w:numPr>
          <w:ilvl w:val="0"/>
          <w:numId w:val="36"/>
        </w:numPr>
      </w:pPr>
      <w:r>
        <w:t>Accept temporary alternative accommodation if works make property uninhabitable</w:t>
      </w:r>
      <w:r w:rsidR="003B625E">
        <w:t>.</w:t>
      </w:r>
    </w:p>
    <w:p w14:paraId="7D8D69F8" w14:textId="261AC844" w:rsidR="000E1CE8" w:rsidRDefault="008513C2" w:rsidP="000E1CE8">
      <w:pPr>
        <w:pStyle w:val="Heading2"/>
      </w:pPr>
      <w:bookmarkStart w:id="22" w:name="_Toc213852664"/>
      <w:r>
        <w:t>Post-Completion</w:t>
      </w:r>
      <w:bookmarkEnd w:id="22"/>
    </w:p>
    <w:p w14:paraId="4229CF2F" w14:textId="35BD1E9B" w:rsidR="000030B8" w:rsidRDefault="000030B8" w:rsidP="000030B8">
      <w:pPr>
        <w:pStyle w:val="ListParagraph"/>
        <w:numPr>
          <w:ilvl w:val="0"/>
          <w:numId w:val="37"/>
        </w:numPr>
      </w:pPr>
      <w:r>
        <w:t>Report defects promptly</w:t>
      </w:r>
    </w:p>
    <w:p w14:paraId="58FE1357" w14:textId="0AECE0B1" w:rsidR="000030B8" w:rsidRDefault="000030B8" w:rsidP="000030B8">
      <w:pPr>
        <w:pStyle w:val="ListParagraph"/>
        <w:numPr>
          <w:ilvl w:val="0"/>
          <w:numId w:val="37"/>
        </w:numPr>
      </w:pPr>
      <w:r>
        <w:t>Understand ongoing obligations regarding property configuration and any restrictions on future modifications</w:t>
      </w:r>
      <w:r w:rsidR="003B625E">
        <w:t>.</w:t>
      </w:r>
    </w:p>
    <w:p w14:paraId="16F8DFFC" w14:textId="3D48CC7B" w:rsidR="000E1CE8" w:rsidRDefault="008513C2" w:rsidP="000E1CE8">
      <w:pPr>
        <w:pStyle w:val="Heading2"/>
      </w:pPr>
      <w:bookmarkStart w:id="23" w:name="_Toc213852665"/>
      <w:r>
        <w:t>Ongoing Tenancy Compliance</w:t>
      </w:r>
      <w:bookmarkEnd w:id="23"/>
    </w:p>
    <w:p w14:paraId="0A904F23" w14:textId="4EA4587B" w:rsidR="00611527" w:rsidRDefault="00611527" w:rsidP="00611527">
      <w:pPr>
        <w:pStyle w:val="ListParagraph"/>
        <w:numPr>
          <w:ilvl w:val="0"/>
          <w:numId w:val="38"/>
        </w:numPr>
      </w:pPr>
      <w:r>
        <w:t>Continue to occupy property as main residence in accordance with tenancy agreement</w:t>
      </w:r>
    </w:p>
    <w:p w14:paraId="5D389D9F" w14:textId="77777777" w:rsidR="00611527" w:rsidRDefault="00611527" w:rsidP="00611527">
      <w:pPr>
        <w:pStyle w:val="ListParagraph"/>
        <w:numPr>
          <w:ilvl w:val="0"/>
          <w:numId w:val="38"/>
        </w:numPr>
      </w:pPr>
      <w:r>
        <w:t>Do not sublet adapted accommodation</w:t>
      </w:r>
    </w:p>
    <w:p w14:paraId="6003C788" w14:textId="6E6C4041" w:rsidR="00611527" w:rsidRDefault="00611527" w:rsidP="00611527">
      <w:pPr>
        <w:pStyle w:val="ListParagraph"/>
        <w:numPr>
          <w:ilvl w:val="0"/>
          <w:numId w:val="38"/>
        </w:numPr>
      </w:pPr>
      <w:r>
        <w:t>Comply with any specific conditions attached to the adaptation (e.g. fire safety requirements)</w:t>
      </w:r>
      <w:r w:rsidR="0006224C">
        <w:t>.</w:t>
      </w:r>
    </w:p>
    <w:p w14:paraId="0A994FF6" w14:textId="33649F22" w:rsidR="000E1CE8" w:rsidRDefault="008513C2" w:rsidP="000E1CE8">
      <w:pPr>
        <w:pStyle w:val="Heading2"/>
      </w:pPr>
      <w:bookmarkStart w:id="24" w:name="_Toc213852666"/>
      <w:r>
        <w:t>Fraud Prevention</w:t>
      </w:r>
      <w:bookmarkEnd w:id="24"/>
    </w:p>
    <w:p w14:paraId="2296684B" w14:textId="0168954D" w:rsidR="00443F9D" w:rsidRDefault="00443F9D" w:rsidP="00443F9D">
      <w:pPr>
        <w:pStyle w:val="ListParagraph"/>
        <w:numPr>
          <w:ilvl w:val="0"/>
          <w:numId w:val="39"/>
        </w:numPr>
      </w:pPr>
      <w:r>
        <w:t>Declare all household members accurately - false claims of overcrowding may result in legal action</w:t>
      </w:r>
    </w:p>
    <w:p w14:paraId="7F2BD172" w14:textId="77777777" w:rsidR="00443F9D" w:rsidRDefault="00443F9D" w:rsidP="00443F9D">
      <w:pPr>
        <w:pStyle w:val="ListParagraph"/>
        <w:numPr>
          <w:ilvl w:val="0"/>
          <w:numId w:val="39"/>
        </w:numPr>
      </w:pPr>
      <w:r>
        <w:t>Report any changes in circumstances that affect eligibility during assessment process</w:t>
      </w:r>
    </w:p>
    <w:p w14:paraId="4F0EF833" w14:textId="62B87525" w:rsidR="00443F9D" w:rsidRDefault="00443F9D" w:rsidP="00443F9D">
      <w:pPr>
        <w:pStyle w:val="ListParagraph"/>
        <w:numPr>
          <w:ilvl w:val="0"/>
          <w:numId w:val="39"/>
        </w:numPr>
      </w:pPr>
      <w:r>
        <w:t>Understand that fraudulent applications may result in recovery of costs and tenancy enforcement action</w:t>
      </w:r>
      <w:r w:rsidR="001159EB">
        <w:t>.</w:t>
      </w:r>
    </w:p>
    <w:p w14:paraId="276980EF" w14:textId="743EC00D" w:rsidR="000E1CE8" w:rsidRDefault="008513C2" w:rsidP="000E1CE8">
      <w:pPr>
        <w:pStyle w:val="Heading2"/>
      </w:pPr>
      <w:bookmarkStart w:id="25" w:name="_Toc213852667"/>
      <w:r>
        <w:t>Access and Safety</w:t>
      </w:r>
      <w:bookmarkEnd w:id="25"/>
    </w:p>
    <w:p w14:paraId="2DA126D0" w14:textId="3862CBF4" w:rsidR="00440B85" w:rsidRDefault="00440B85" w:rsidP="00440B85">
      <w:pPr>
        <w:pStyle w:val="ListParagraph"/>
        <w:numPr>
          <w:ilvl w:val="0"/>
          <w:numId w:val="40"/>
        </w:numPr>
      </w:pPr>
      <w:r>
        <w:t>Maintain clear evacuation routes and comply with any fire safety measures introduced</w:t>
      </w:r>
    </w:p>
    <w:p w14:paraId="1A5AD4FA" w14:textId="77777777" w:rsidR="00440B85" w:rsidRDefault="00440B85" w:rsidP="00440B85">
      <w:pPr>
        <w:pStyle w:val="ListParagraph"/>
        <w:numPr>
          <w:ilvl w:val="0"/>
          <w:numId w:val="40"/>
        </w:numPr>
      </w:pPr>
      <w:r>
        <w:t>Allow access for annual safety inspections or maintenance of adapted features</w:t>
      </w:r>
    </w:p>
    <w:p w14:paraId="29A94560" w14:textId="31955CA1" w:rsidR="00440B85" w:rsidRDefault="00440B85" w:rsidP="00440B85">
      <w:pPr>
        <w:pStyle w:val="ListParagraph"/>
        <w:numPr>
          <w:ilvl w:val="0"/>
          <w:numId w:val="40"/>
        </w:numPr>
      </w:pPr>
      <w:r>
        <w:t>Not carry out unauthorized modifications that could compromise structural integrity or safety systems</w:t>
      </w:r>
      <w:r w:rsidR="005F120D">
        <w:t>.</w:t>
      </w:r>
    </w:p>
    <w:p w14:paraId="67A5859D" w14:textId="77777777" w:rsidR="00440B85" w:rsidRPr="00736D44" w:rsidRDefault="00440B85" w:rsidP="00440B85"/>
    <w:p w14:paraId="51F3C419" w14:textId="09FC7A3D" w:rsidR="000E1CE8" w:rsidRDefault="00CF70CD" w:rsidP="00CF70CD">
      <w:pPr>
        <w:pStyle w:val="Heading1"/>
        <w:rPr>
          <w:lang w:val="en-US"/>
        </w:rPr>
      </w:pPr>
      <w:bookmarkStart w:id="26" w:name="_Toc213852668"/>
      <w:r>
        <w:rPr>
          <w:lang w:val="en-US"/>
        </w:rPr>
        <w:lastRenderedPageBreak/>
        <w:t>Referral Channels</w:t>
      </w:r>
      <w:bookmarkEnd w:id="26"/>
    </w:p>
    <w:p w14:paraId="4A87EFA8" w14:textId="465715D5" w:rsidR="002957D5" w:rsidRPr="00CD57F1" w:rsidRDefault="002957D5" w:rsidP="002957D5">
      <w:pPr>
        <w:rPr>
          <w:rFonts w:eastAsia="Arial"/>
        </w:rPr>
      </w:pPr>
      <w:r w:rsidRPr="00CD57F1">
        <w:rPr>
          <w:rFonts w:eastAsia="Arial"/>
        </w:rPr>
        <w:t>Tenants can refer their property for consideration for an enlargement or adaptation by submitting a completed application form. Applications for a knock-through will be considered if and when an adjacent property becomes void.</w:t>
      </w:r>
    </w:p>
    <w:p w14:paraId="5C01CCE8" w14:textId="77777777" w:rsidR="002957D5" w:rsidRDefault="002957D5" w:rsidP="002957D5">
      <w:pPr>
        <w:rPr>
          <w:rFonts w:eastAsia="Arial"/>
        </w:rPr>
      </w:pPr>
      <w:r w:rsidRPr="00CD57F1">
        <w:rPr>
          <w:rFonts w:eastAsia="Arial"/>
        </w:rPr>
        <w:t>The Multi-Agency Support Team supporting vulnerable households or individuals may refer properties on the behalf of residents.</w:t>
      </w:r>
    </w:p>
    <w:p w14:paraId="1B66B81B" w14:textId="54FE3049" w:rsidR="00443992" w:rsidRPr="00443992" w:rsidRDefault="00443992" w:rsidP="002957D5">
      <w:pPr>
        <w:rPr>
          <w:rFonts w:eastAsia="Arial"/>
          <w:szCs w:val="24"/>
        </w:rPr>
      </w:pPr>
      <w:r w:rsidRPr="00443992">
        <w:rPr>
          <w:color w:val="000000"/>
          <w:szCs w:val="24"/>
        </w:rPr>
        <w:t>The Voids Team can refer properties on the behalf of residents following void inspection. The voids team will always check (in the case of knock-throughs) whether a property adjacent to a void has an application to be rehoused due to overcrowding.</w:t>
      </w:r>
    </w:p>
    <w:p w14:paraId="72AE0AFF" w14:textId="21935A09" w:rsidR="00CF70CD" w:rsidRDefault="002957D5" w:rsidP="00CF70CD">
      <w:pPr>
        <w:rPr>
          <w:lang w:val="en-US" w:eastAsia="en-GB"/>
        </w:rPr>
      </w:pPr>
      <w:r w:rsidRPr="00CD57F1">
        <w:rPr>
          <w:rFonts w:eastAsia="Arial"/>
        </w:rPr>
        <w:t>Members can refer properties on behalf of residents.</w:t>
      </w:r>
    </w:p>
    <w:p w14:paraId="27135247" w14:textId="77777777" w:rsidR="00CF70CD" w:rsidRDefault="00CF70CD" w:rsidP="00CF70CD">
      <w:pPr>
        <w:rPr>
          <w:lang w:val="en-US" w:eastAsia="en-GB"/>
        </w:rPr>
      </w:pPr>
    </w:p>
    <w:p w14:paraId="65ACCC6F" w14:textId="21299CEC" w:rsidR="00CF70CD" w:rsidRDefault="00CF70CD" w:rsidP="00CF70CD">
      <w:pPr>
        <w:pStyle w:val="Heading1"/>
        <w:rPr>
          <w:lang w:val="en-US"/>
        </w:rPr>
      </w:pPr>
      <w:bookmarkStart w:id="27" w:name="_Toc213852669"/>
      <w:r>
        <w:rPr>
          <w:lang w:val="en-US"/>
        </w:rPr>
        <w:t>Eligibility</w:t>
      </w:r>
      <w:bookmarkEnd w:id="27"/>
    </w:p>
    <w:p w14:paraId="0D5AA751" w14:textId="65D45EC5" w:rsidR="007E386B" w:rsidRDefault="007E386B" w:rsidP="007E386B">
      <w:r>
        <w:t>Overcrowded families seeking an adaptation or enlargement to their property must fulfil several criteria:</w:t>
      </w:r>
    </w:p>
    <w:p w14:paraId="69D17802" w14:textId="77777777" w:rsidR="007E386B" w:rsidRDefault="007E386B" w:rsidP="007E386B">
      <w:pPr>
        <w:pStyle w:val="ListParagraph"/>
        <w:numPr>
          <w:ilvl w:val="0"/>
          <w:numId w:val="41"/>
        </w:numPr>
      </w:pPr>
      <w:r>
        <w:t xml:space="preserve">Keeping to the terms of the tenancy agreement </w:t>
      </w:r>
    </w:p>
    <w:p w14:paraId="23F5DDAA" w14:textId="77777777" w:rsidR="007E386B" w:rsidRDefault="007E386B" w:rsidP="007E386B">
      <w:pPr>
        <w:pStyle w:val="ListParagraph"/>
        <w:numPr>
          <w:ilvl w:val="0"/>
          <w:numId w:val="41"/>
        </w:numPr>
      </w:pPr>
      <w:r w:rsidRPr="00472288">
        <w:t>The tenants must have been occupying the property for a minimum of 3 years. This period aligns with established Right to Buy residency requirements and ensures residents are committed to the property as their long-term home.</w:t>
      </w:r>
    </w:p>
    <w:p w14:paraId="2A457CAE" w14:textId="0FFF365E" w:rsidR="007E386B" w:rsidRDefault="007E386B" w:rsidP="007E386B">
      <w:r>
        <w:t xml:space="preserve">The property must have become overcrowded due to factors outside the occupying residents’ control, i.e. childbirth, children of different sexes in a shared bedroom becoming </w:t>
      </w:r>
      <w:r w:rsidR="009022A6">
        <w:t>adults or</w:t>
      </w:r>
      <w:r>
        <w:t xml:space="preserve"> caring for an elderly relative.</w:t>
      </w:r>
    </w:p>
    <w:p w14:paraId="6C697044" w14:textId="77777777" w:rsidR="007E386B" w:rsidRDefault="007E386B" w:rsidP="007E386B"/>
    <w:p w14:paraId="57765767" w14:textId="774A928D" w:rsidR="00CF70CD" w:rsidRPr="00C45F43" w:rsidRDefault="00CF70CD" w:rsidP="00C45F43">
      <w:pPr>
        <w:pStyle w:val="Heading1"/>
        <w:rPr>
          <w:lang w:val="en-US"/>
        </w:rPr>
      </w:pPr>
      <w:bookmarkStart w:id="28" w:name="_Toc213852670"/>
      <w:r>
        <w:rPr>
          <w:lang w:val="en-US"/>
        </w:rPr>
        <w:t>Assessment Process</w:t>
      </w:r>
      <w:bookmarkEnd w:id="28"/>
    </w:p>
    <w:p w14:paraId="643EDA81" w14:textId="10947A24" w:rsidR="00C45F43" w:rsidRDefault="00C45F43" w:rsidP="00CA1BC5">
      <w:pPr>
        <w:pStyle w:val="ListBullet"/>
      </w:pPr>
      <w:r>
        <w:t>An initial survey will be carried out by the Feasibility Project Team to establish whether the property can be enlarged or internally modified to meet the needs of the residents</w:t>
      </w:r>
    </w:p>
    <w:p w14:paraId="5D170DDB" w14:textId="2B1E6CF4" w:rsidR="00C45F43" w:rsidRDefault="00C45F43" w:rsidP="00CA1BC5">
      <w:pPr>
        <w:pStyle w:val="ListBullet"/>
      </w:pPr>
      <w:r>
        <w:t>A survey (which will include a fire safety assessment and a structural integrity assessment) will be carried out considering potential technical barriers and any possible negative impact on residents which may arise from a building proposal</w:t>
      </w:r>
    </w:p>
    <w:p w14:paraId="587B7CE6" w14:textId="4946971E" w:rsidR="00C45F43" w:rsidRDefault="00C45F43" w:rsidP="00CA1BC5">
      <w:pPr>
        <w:pStyle w:val="ListBullet"/>
      </w:pPr>
      <w:r>
        <w:t>The Asset Investment Programme will review proposed eligible projects monthly and consult with the Lead Member/Mayor</w:t>
      </w:r>
    </w:p>
    <w:p w14:paraId="45A4F974" w14:textId="02A1E13A" w:rsidR="00D03F44" w:rsidRDefault="00C45F43" w:rsidP="00CA1BC5">
      <w:pPr>
        <w:pStyle w:val="ListBullet"/>
      </w:pPr>
      <w:r>
        <w:t>Further details of the approvals process are set out in Section 13</w:t>
      </w:r>
      <w:r w:rsidR="00CA1BC5">
        <w:t>.</w:t>
      </w:r>
    </w:p>
    <w:p w14:paraId="0A457C13" w14:textId="77777777" w:rsidR="00CA1BC5" w:rsidRPr="00C45F43" w:rsidRDefault="00CA1BC5" w:rsidP="00CA1BC5">
      <w:pPr>
        <w:pStyle w:val="ListBullet"/>
        <w:numPr>
          <w:ilvl w:val="0"/>
          <w:numId w:val="0"/>
        </w:numPr>
      </w:pPr>
    </w:p>
    <w:p w14:paraId="10FAFC52" w14:textId="02A4AD7E" w:rsidR="00CF70CD" w:rsidRDefault="00CF70CD" w:rsidP="00CF70CD">
      <w:pPr>
        <w:pStyle w:val="Heading1"/>
        <w:rPr>
          <w:lang w:val="en-US"/>
        </w:rPr>
      </w:pPr>
      <w:bookmarkStart w:id="29" w:name="_Toc213852671"/>
      <w:r>
        <w:rPr>
          <w:lang w:val="en-US"/>
        </w:rPr>
        <w:t>Building Considerations</w:t>
      </w:r>
      <w:bookmarkEnd w:id="29"/>
    </w:p>
    <w:p w14:paraId="2AF0B249" w14:textId="257593E1" w:rsidR="003B230C" w:rsidRPr="00B83517" w:rsidRDefault="003B230C" w:rsidP="003B230C">
      <w:r>
        <w:t xml:space="preserve">The Council will consider a broad range of standards to ensure compliance within the modern regulatory environment. </w:t>
      </w:r>
      <w:r w:rsidR="00F43A73">
        <w:t>This will be kept up to date with the most current regulatory standards</w:t>
      </w:r>
      <w:r w:rsidR="00450539">
        <w:t xml:space="preserve">. </w:t>
      </w:r>
      <w:r>
        <w:t>Key considerations include:</w:t>
      </w:r>
    </w:p>
    <w:p w14:paraId="3346B5B2" w14:textId="77C8D1C1" w:rsidR="00CF70CD" w:rsidRDefault="00CF70CD" w:rsidP="00CF70CD">
      <w:pPr>
        <w:pStyle w:val="Heading2"/>
      </w:pPr>
      <w:bookmarkStart w:id="30" w:name="_Toc213852672"/>
      <w:r>
        <w:lastRenderedPageBreak/>
        <w:t>Design Standards</w:t>
      </w:r>
      <w:bookmarkEnd w:id="30"/>
    </w:p>
    <w:p w14:paraId="0AE00BFE" w14:textId="28490843" w:rsidR="00510B5C" w:rsidRPr="00BB7F33" w:rsidRDefault="00510B5C" w:rsidP="00510B5C">
      <w:pPr>
        <w:rPr>
          <w:b/>
          <w:bCs/>
        </w:rPr>
      </w:pPr>
      <w:r w:rsidRPr="00A656A2">
        <w:rPr>
          <w:b/>
          <w:bCs/>
        </w:rPr>
        <w:t>Bedroom Access and Privacy</w:t>
      </w:r>
    </w:p>
    <w:p w14:paraId="7AB4675F" w14:textId="77777777" w:rsidR="00450539" w:rsidRDefault="00450539" w:rsidP="00450539">
      <w:pPr>
        <w:pStyle w:val="ListBullet"/>
        <w:rPr>
          <w:rFonts w:ascii="Times New Roman" w:hAnsi="Times New Roman" w:cs="Times New Roman"/>
        </w:rPr>
      </w:pPr>
      <w:r>
        <w:t>We will aim to keep bedrooms accessible directly via hallways, landings, or dedicated circulation spaces that maintain reasonable privacy and noise separation</w:t>
      </w:r>
    </w:p>
    <w:p w14:paraId="44E75FEB" w14:textId="1A48C531" w:rsidR="00450539" w:rsidRDefault="00450539" w:rsidP="00D6789D">
      <w:pPr>
        <w:pStyle w:val="ListBullet"/>
      </w:pPr>
      <w:r>
        <w:t>Bedroom reconfigurations should preserve independent access while enhancing overall layout functionality.</w:t>
      </w:r>
    </w:p>
    <w:p w14:paraId="45C48BC6" w14:textId="77777777" w:rsidR="00510B5C" w:rsidRPr="00A656A2" w:rsidRDefault="00510B5C" w:rsidP="00510B5C">
      <w:pPr>
        <w:rPr>
          <w:b/>
          <w:bCs/>
        </w:rPr>
      </w:pPr>
      <w:r w:rsidRPr="00A656A2">
        <w:rPr>
          <w:b/>
          <w:bCs/>
        </w:rPr>
        <w:t>Space Standards and Natural Light</w:t>
      </w:r>
    </w:p>
    <w:p w14:paraId="203307B1" w14:textId="77777777" w:rsidR="00510B5C" w:rsidRDefault="00510B5C" w:rsidP="00510B5C">
      <w:pPr>
        <w:pStyle w:val="ListParagraph"/>
        <w:numPr>
          <w:ilvl w:val="0"/>
          <w:numId w:val="44"/>
        </w:numPr>
      </w:pPr>
      <w:r>
        <w:t>All habitable rooms should meet or exceed minimum space standards as defined in the London Housing Design Guide</w:t>
      </w:r>
    </w:p>
    <w:p w14:paraId="60BAE631" w14:textId="77777777" w:rsidR="00510B5C" w:rsidRDefault="00510B5C" w:rsidP="00510B5C">
      <w:pPr>
        <w:pStyle w:val="ListParagraph"/>
        <w:numPr>
          <w:ilvl w:val="0"/>
          <w:numId w:val="44"/>
        </w:numPr>
      </w:pPr>
      <w:r>
        <w:t>Each bedroom should feature at least one external window providing adequate natural light and ventilation</w:t>
      </w:r>
    </w:p>
    <w:p w14:paraId="7D1DDE48" w14:textId="77777777" w:rsidR="00510B5C" w:rsidRDefault="00510B5C" w:rsidP="00510B5C">
      <w:pPr>
        <w:pStyle w:val="ListParagraph"/>
        <w:numPr>
          <w:ilvl w:val="0"/>
          <w:numId w:val="44"/>
        </w:numPr>
      </w:pPr>
      <w:r>
        <w:t>Habitable rooms should be designed to maximise direct access to natural light</w:t>
      </w:r>
    </w:p>
    <w:p w14:paraId="7DE5735A" w14:textId="2647489C" w:rsidR="00510B5C" w:rsidRDefault="00510B5C" w:rsidP="00510B5C">
      <w:pPr>
        <w:pStyle w:val="ListParagraph"/>
        <w:numPr>
          <w:ilvl w:val="0"/>
          <w:numId w:val="44"/>
        </w:numPr>
      </w:pPr>
      <w:r>
        <w:t>Property enlargements should be planned to preserve natural daylight access for adjoining homes</w:t>
      </w:r>
      <w:r w:rsidR="00B848E1">
        <w:t>.</w:t>
      </w:r>
    </w:p>
    <w:p w14:paraId="668745FE" w14:textId="77777777" w:rsidR="00510B5C" w:rsidRPr="00A656A2" w:rsidRDefault="00510B5C" w:rsidP="00510B5C">
      <w:pPr>
        <w:rPr>
          <w:b/>
          <w:bCs/>
        </w:rPr>
      </w:pPr>
      <w:r w:rsidRPr="00A656A2">
        <w:rPr>
          <w:b/>
          <w:bCs/>
        </w:rPr>
        <w:t>Fire Safety Requirements</w:t>
      </w:r>
    </w:p>
    <w:p w14:paraId="6E951CAE" w14:textId="77777777" w:rsidR="00510B5C" w:rsidRDefault="00510B5C" w:rsidP="00510B5C">
      <w:pPr>
        <w:pStyle w:val="ListParagraph"/>
        <w:numPr>
          <w:ilvl w:val="0"/>
          <w:numId w:val="45"/>
        </w:numPr>
      </w:pPr>
      <w:r>
        <w:t>All works should maintain or improve existing fire safety provisions in line with current standards</w:t>
      </w:r>
    </w:p>
    <w:p w14:paraId="697A1F44" w14:textId="77777777" w:rsidR="00510B5C" w:rsidRDefault="00510B5C" w:rsidP="00510B5C">
      <w:pPr>
        <w:pStyle w:val="ListParagraph"/>
        <w:numPr>
          <w:ilvl w:val="0"/>
          <w:numId w:val="45"/>
        </w:numPr>
      </w:pPr>
      <w:r>
        <w:t>Fire escape routes should remain clear and fully compliant with current Building Regulations requirements</w:t>
      </w:r>
    </w:p>
    <w:p w14:paraId="0D0E6ED0" w14:textId="77777777" w:rsidR="00510B5C" w:rsidRDefault="00510B5C" w:rsidP="00510B5C">
      <w:pPr>
        <w:pStyle w:val="ListParagraph"/>
        <w:numPr>
          <w:ilvl w:val="0"/>
          <w:numId w:val="45"/>
        </w:numPr>
      </w:pPr>
      <w:r>
        <w:t>Fire doors and compartmentation should be preserved or improved during modifications</w:t>
      </w:r>
    </w:p>
    <w:p w14:paraId="7DBDE5BE" w14:textId="77777777" w:rsidR="00510B5C" w:rsidRDefault="00510B5C" w:rsidP="00510B5C">
      <w:pPr>
        <w:pStyle w:val="ListParagraph"/>
        <w:numPr>
          <w:ilvl w:val="0"/>
          <w:numId w:val="45"/>
        </w:numPr>
      </w:pPr>
      <w:r>
        <w:t>Emergency egress from all bedrooms should comply with Building Regulations Approved Document B</w:t>
      </w:r>
    </w:p>
    <w:p w14:paraId="7923B576" w14:textId="790D5946" w:rsidR="00510B5C" w:rsidRDefault="00510B5C" w:rsidP="00510B5C">
      <w:pPr>
        <w:pStyle w:val="ListParagraph"/>
        <w:numPr>
          <w:ilvl w:val="0"/>
          <w:numId w:val="45"/>
        </w:numPr>
      </w:pPr>
      <w:r>
        <w:t>Smoke alarm systems will be assessed and upgraded where beneficial</w:t>
      </w:r>
      <w:r w:rsidR="00750CFA">
        <w:t>.</w:t>
      </w:r>
    </w:p>
    <w:p w14:paraId="69F5716A" w14:textId="77777777" w:rsidR="00510B5C" w:rsidRPr="00A656A2" w:rsidRDefault="00510B5C" w:rsidP="00510B5C">
      <w:pPr>
        <w:rPr>
          <w:b/>
          <w:bCs/>
        </w:rPr>
      </w:pPr>
      <w:r w:rsidRPr="00A656A2">
        <w:rPr>
          <w:b/>
          <w:bCs/>
        </w:rPr>
        <w:t>Structural Integrity</w:t>
      </w:r>
    </w:p>
    <w:p w14:paraId="080CF1F6" w14:textId="77777777" w:rsidR="00510B5C" w:rsidRPr="00D520F4" w:rsidRDefault="00510B5C" w:rsidP="00510B5C">
      <w:pPr>
        <w:pStyle w:val="ListParagraph"/>
        <w:numPr>
          <w:ilvl w:val="0"/>
          <w:numId w:val="46"/>
        </w:numPr>
      </w:pPr>
      <w:r w:rsidRPr="00D520F4">
        <w:t xml:space="preserve">Load-bearing wall modifications should be undertaken only with structural engineer approval and Building Control consent </w:t>
      </w:r>
    </w:p>
    <w:p w14:paraId="73AB26E8" w14:textId="77777777" w:rsidR="00510B5C" w:rsidRDefault="00510B5C" w:rsidP="00510B5C">
      <w:pPr>
        <w:pStyle w:val="ListParagraph"/>
        <w:numPr>
          <w:ilvl w:val="0"/>
          <w:numId w:val="46"/>
        </w:numPr>
      </w:pPr>
      <w:r>
        <w:t>All structural alterations should be certified by a qualified structural engineer to ensure safety</w:t>
      </w:r>
    </w:p>
    <w:p w14:paraId="6CC8730A" w14:textId="07A314D0" w:rsidR="00CF70CD" w:rsidRPr="009D3EE0" w:rsidRDefault="00510B5C" w:rsidP="00CF70CD">
      <w:pPr>
        <w:pStyle w:val="ListParagraph"/>
        <w:numPr>
          <w:ilvl w:val="0"/>
          <w:numId w:val="46"/>
        </w:numPr>
        <w:rPr>
          <w:lang w:val="en-US"/>
        </w:rPr>
      </w:pPr>
      <w:r w:rsidRPr="00D33827">
        <w:t>Party wall works should follow formal agreement procedures under Party Wall Act 1996</w:t>
      </w:r>
      <w:r w:rsidR="00742F7C">
        <w:t>.</w:t>
      </w:r>
    </w:p>
    <w:p w14:paraId="0E613724" w14:textId="0C9D6884" w:rsidR="00CF70CD" w:rsidRDefault="00CF70CD" w:rsidP="00CF70CD">
      <w:pPr>
        <w:pStyle w:val="Heading2"/>
      </w:pPr>
      <w:bookmarkStart w:id="31" w:name="_Toc213852673"/>
      <w:r>
        <w:t>Quality and Compliance Standards</w:t>
      </w:r>
      <w:bookmarkEnd w:id="31"/>
    </w:p>
    <w:p w14:paraId="0A82FD80" w14:textId="058EFA57" w:rsidR="00171EC1" w:rsidRPr="00BD5634" w:rsidRDefault="00171EC1" w:rsidP="00171EC1">
      <w:pPr>
        <w:rPr>
          <w:b/>
          <w:bCs/>
        </w:rPr>
      </w:pPr>
      <w:r w:rsidRPr="00BD5634">
        <w:rPr>
          <w:b/>
          <w:bCs/>
        </w:rPr>
        <w:t>Health and Safety</w:t>
      </w:r>
    </w:p>
    <w:p w14:paraId="5E43C73A" w14:textId="77777777" w:rsidR="00171EC1" w:rsidRDefault="00171EC1" w:rsidP="00171EC1">
      <w:pPr>
        <w:pStyle w:val="ListParagraph"/>
        <w:numPr>
          <w:ilvl w:val="0"/>
          <w:numId w:val="47"/>
        </w:numPr>
      </w:pPr>
      <w:r w:rsidRPr="003A5F45">
        <w:t>Pre-1980 properties should undergo asbestos surveys before any intrusive works commence</w:t>
      </w:r>
    </w:p>
    <w:p w14:paraId="693EF0F5" w14:textId="77777777" w:rsidR="00171EC1" w:rsidRDefault="00171EC1" w:rsidP="00171EC1">
      <w:pPr>
        <w:pStyle w:val="ListParagraph"/>
        <w:numPr>
          <w:ilvl w:val="0"/>
          <w:numId w:val="47"/>
        </w:numPr>
      </w:pPr>
      <w:r>
        <w:t>Construction Phase Plans should be developed for all works under CDM Regulations</w:t>
      </w:r>
    </w:p>
    <w:p w14:paraId="2EAECEA2" w14:textId="0860E0F7" w:rsidR="00171EC1" w:rsidRDefault="00171EC1" w:rsidP="00171EC1">
      <w:pPr>
        <w:pStyle w:val="ListParagraph"/>
        <w:numPr>
          <w:ilvl w:val="0"/>
          <w:numId w:val="47"/>
        </w:numPr>
      </w:pPr>
      <w:r w:rsidRPr="00B83F06">
        <w:t>Site safety measures should protect both workers and residents throughout the construction period</w:t>
      </w:r>
      <w:r w:rsidR="00742F7C">
        <w:t>.</w:t>
      </w:r>
    </w:p>
    <w:p w14:paraId="7847F069" w14:textId="15858DEB" w:rsidR="00CF70CD" w:rsidRDefault="00CF70CD" w:rsidP="00CF70CD">
      <w:pPr>
        <w:pStyle w:val="Heading2"/>
      </w:pPr>
      <w:bookmarkStart w:id="32" w:name="_Toc213852674"/>
      <w:r>
        <w:lastRenderedPageBreak/>
        <w:t>Knock-Through Specific Requirements</w:t>
      </w:r>
      <w:bookmarkEnd w:id="32"/>
    </w:p>
    <w:p w14:paraId="5D790558" w14:textId="4E42A3F7" w:rsidR="008845B4" w:rsidRPr="00A656A2" w:rsidRDefault="008845B4" w:rsidP="008845B4">
      <w:pPr>
        <w:rPr>
          <w:b/>
          <w:bCs/>
        </w:rPr>
      </w:pPr>
      <w:r w:rsidRPr="00A656A2">
        <w:rPr>
          <w:b/>
          <w:bCs/>
        </w:rPr>
        <w:t>Wall Removal Standards</w:t>
      </w:r>
    </w:p>
    <w:p w14:paraId="06CEE66D" w14:textId="77777777" w:rsidR="008845B4" w:rsidRDefault="008845B4" w:rsidP="008845B4">
      <w:pPr>
        <w:pStyle w:val="ListParagraph"/>
        <w:numPr>
          <w:ilvl w:val="0"/>
          <w:numId w:val="48"/>
        </w:numPr>
      </w:pPr>
      <w:r w:rsidRPr="00CF4142">
        <w:t>Structural surveys should confirm non-load-bearing status before wall removal proceeds</w:t>
      </w:r>
    </w:p>
    <w:p w14:paraId="4A6A94D3" w14:textId="77777777" w:rsidR="008845B4" w:rsidRDefault="008845B4" w:rsidP="008845B4">
      <w:pPr>
        <w:pStyle w:val="ListParagraph"/>
        <w:numPr>
          <w:ilvl w:val="0"/>
          <w:numId w:val="48"/>
        </w:numPr>
      </w:pPr>
      <w:r w:rsidRPr="006E3980">
        <w:t>Utilities (gas, water, electricity) should be safely redirected to accommodate modified layouts</w:t>
      </w:r>
    </w:p>
    <w:p w14:paraId="75DC4973" w14:textId="77777777" w:rsidR="008845B4" w:rsidRDefault="008845B4" w:rsidP="008845B4">
      <w:pPr>
        <w:pStyle w:val="ListParagraph"/>
        <w:numPr>
          <w:ilvl w:val="0"/>
          <w:numId w:val="48"/>
        </w:numPr>
      </w:pPr>
      <w:r w:rsidRPr="006E3980">
        <w:t>Sound insulation between properties should be maintained or enhanced</w:t>
      </w:r>
    </w:p>
    <w:p w14:paraId="1EFAC913" w14:textId="52B7B6F2" w:rsidR="008845B4" w:rsidRDefault="008845B4" w:rsidP="008845B4">
      <w:pPr>
        <w:pStyle w:val="ListParagraph"/>
        <w:numPr>
          <w:ilvl w:val="0"/>
          <w:numId w:val="48"/>
        </w:numPr>
      </w:pPr>
      <w:r w:rsidRPr="005A5D21">
        <w:t>Adjacent property adaptations should be considered, with household needs assessed where existing adaptations are present</w:t>
      </w:r>
      <w:r w:rsidR="00C07D4D">
        <w:t>.</w:t>
      </w:r>
    </w:p>
    <w:p w14:paraId="1600A0F7" w14:textId="77777777" w:rsidR="008845B4" w:rsidRPr="00A656A2" w:rsidRDefault="008845B4" w:rsidP="008845B4">
      <w:pPr>
        <w:rPr>
          <w:b/>
          <w:bCs/>
        </w:rPr>
      </w:pPr>
      <w:r w:rsidRPr="00A656A2">
        <w:rPr>
          <w:b/>
          <w:bCs/>
        </w:rPr>
        <w:t>Combined Living Spaces</w:t>
      </w:r>
    </w:p>
    <w:p w14:paraId="312BED03" w14:textId="77777777" w:rsidR="008845B4" w:rsidRDefault="008845B4" w:rsidP="008845B4">
      <w:pPr>
        <w:pStyle w:val="ListParagraph"/>
        <w:numPr>
          <w:ilvl w:val="0"/>
          <w:numId w:val="49"/>
        </w:numPr>
      </w:pPr>
      <w:r w:rsidRPr="003B7794">
        <w:t>Enlarged living areas should maintain appropriate ventilation rates for comfort</w:t>
      </w:r>
    </w:p>
    <w:p w14:paraId="7D30584A" w14:textId="6B431A9D" w:rsidR="008845B4" w:rsidRDefault="008845B4" w:rsidP="008845B4">
      <w:pPr>
        <w:pStyle w:val="ListParagraph"/>
        <w:numPr>
          <w:ilvl w:val="0"/>
          <w:numId w:val="49"/>
        </w:numPr>
      </w:pPr>
      <w:r w:rsidRPr="003B7794">
        <w:t>All gas appliances should be re-certified following layout changes to ensure safety</w:t>
      </w:r>
      <w:r w:rsidR="00742F7C">
        <w:t>.</w:t>
      </w:r>
    </w:p>
    <w:p w14:paraId="743E4A36" w14:textId="3508BB31" w:rsidR="00CF70CD" w:rsidRDefault="00CF70CD" w:rsidP="00CF70CD">
      <w:pPr>
        <w:pStyle w:val="Heading2"/>
      </w:pPr>
      <w:bookmarkStart w:id="33" w:name="_Toc213852675"/>
      <w:r>
        <w:t>Extension Specific Requirements</w:t>
      </w:r>
      <w:bookmarkEnd w:id="33"/>
    </w:p>
    <w:p w14:paraId="2D194C2B" w14:textId="286D9DA7" w:rsidR="00916F0E" w:rsidRPr="00DE3507" w:rsidRDefault="00916F0E" w:rsidP="00916F0E">
      <w:pPr>
        <w:rPr>
          <w:b/>
          <w:bCs/>
        </w:rPr>
      </w:pPr>
      <w:r w:rsidRPr="00DE3507">
        <w:rPr>
          <w:b/>
          <w:bCs/>
        </w:rPr>
        <w:t>Planning and Building Control</w:t>
      </w:r>
    </w:p>
    <w:p w14:paraId="3E8BE091" w14:textId="77777777" w:rsidR="00916F0E" w:rsidRDefault="00916F0E" w:rsidP="00916F0E">
      <w:pPr>
        <w:pStyle w:val="ListParagraph"/>
        <w:numPr>
          <w:ilvl w:val="0"/>
          <w:numId w:val="50"/>
        </w:numPr>
      </w:pPr>
      <w:r w:rsidRPr="009814E4">
        <w:t>Extensions should secure appropriate planning permission and Building Regulations approval</w:t>
      </w:r>
    </w:p>
    <w:p w14:paraId="1732F771" w14:textId="77777777" w:rsidR="00916F0E" w:rsidRDefault="00916F0E" w:rsidP="00916F0E">
      <w:pPr>
        <w:pStyle w:val="ListParagraph"/>
        <w:numPr>
          <w:ilvl w:val="0"/>
          <w:numId w:val="50"/>
        </w:numPr>
      </w:pPr>
      <w:r w:rsidRPr="00E3712E">
        <w:t>Permitted Development Rights should be assessed before works commence to streamline the process</w:t>
      </w:r>
    </w:p>
    <w:p w14:paraId="194B5895" w14:textId="77777777" w:rsidR="00916F0E" w:rsidRDefault="00916F0E" w:rsidP="00916F0E">
      <w:pPr>
        <w:pStyle w:val="ListParagraph"/>
        <w:numPr>
          <w:ilvl w:val="0"/>
          <w:numId w:val="50"/>
        </w:numPr>
      </w:pPr>
      <w:r>
        <w:t>Conservation area and listed building consents should be obtained where applicable</w:t>
      </w:r>
    </w:p>
    <w:p w14:paraId="7A921E3F" w14:textId="027267AD" w:rsidR="00916F0E" w:rsidRDefault="00916F0E" w:rsidP="00916F0E">
      <w:pPr>
        <w:pStyle w:val="ListParagraph"/>
        <w:numPr>
          <w:ilvl w:val="0"/>
          <w:numId w:val="50"/>
        </w:numPr>
      </w:pPr>
      <w:r>
        <w:t>Neighbour consultation should be completed in accordance with planning requirements</w:t>
      </w:r>
      <w:r w:rsidR="00240975">
        <w:t>.</w:t>
      </w:r>
    </w:p>
    <w:p w14:paraId="529F5A16" w14:textId="77777777" w:rsidR="00916F0E" w:rsidRPr="00DE3507" w:rsidRDefault="00916F0E" w:rsidP="00916F0E">
      <w:pPr>
        <w:rPr>
          <w:b/>
          <w:bCs/>
        </w:rPr>
      </w:pPr>
      <w:r w:rsidRPr="00DE3507">
        <w:rPr>
          <w:b/>
          <w:bCs/>
        </w:rPr>
        <w:t>Foundation and Structural Design</w:t>
      </w:r>
    </w:p>
    <w:p w14:paraId="464FD9EE" w14:textId="77777777" w:rsidR="00916F0E" w:rsidRDefault="00916F0E" w:rsidP="00916F0E">
      <w:pPr>
        <w:pStyle w:val="ListParagraph"/>
        <w:numPr>
          <w:ilvl w:val="0"/>
          <w:numId w:val="51"/>
        </w:numPr>
      </w:pPr>
      <w:r w:rsidRPr="00763AED">
        <w:t>Foundation design should account for existing building settlement and ground conditions</w:t>
      </w:r>
    </w:p>
    <w:p w14:paraId="0068546F" w14:textId="058570C0" w:rsidR="00916F0E" w:rsidRDefault="00916F0E" w:rsidP="00916F0E">
      <w:pPr>
        <w:pStyle w:val="ListParagraph"/>
        <w:numPr>
          <w:ilvl w:val="0"/>
          <w:numId w:val="51"/>
        </w:numPr>
      </w:pPr>
      <w:r w:rsidRPr="00763AED">
        <w:t>Structural connections to existing buildings should be designed by qualified engineers</w:t>
      </w:r>
      <w:r w:rsidR="00742F7C">
        <w:t>.</w:t>
      </w:r>
    </w:p>
    <w:p w14:paraId="443A99B1" w14:textId="6E1B0B58" w:rsidR="00CF70CD" w:rsidRDefault="00CF70CD" w:rsidP="00CF70CD">
      <w:pPr>
        <w:pStyle w:val="Heading2"/>
      </w:pPr>
      <w:bookmarkStart w:id="34" w:name="_Toc213852676"/>
      <w:r>
        <w:t>Internal Modification Requirements</w:t>
      </w:r>
      <w:bookmarkEnd w:id="34"/>
    </w:p>
    <w:p w14:paraId="427258F0" w14:textId="362BB5ED" w:rsidR="00005B49" w:rsidRPr="00FD1DE9" w:rsidRDefault="00005B49" w:rsidP="00005B49">
      <w:pPr>
        <w:rPr>
          <w:b/>
          <w:bCs/>
        </w:rPr>
      </w:pPr>
      <w:r w:rsidRPr="00FD1DE9">
        <w:rPr>
          <w:b/>
          <w:bCs/>
        </w:rPr>
        <w:t>Utilities and Services</w:t>
      </w:r>
    </w:p>
    <w:p w14:paraId="37CAD278" w14:textId="77777777" w:rsidR="00005B49" w:rsidRDefault="00005B49" w:rsidP="00005B49">
      <w:pPr>
        <w:pStyle w:val="ListParagraph"/>
        <w:numPr>
          <w:ilvl w:val="0"/>
          <w:numId w:val="52"/>
        </w:numPr>
      </w:pPr>
      <w:r w:rsidRPr="003F5AB7">
        <w:t>All electrical work should comply with BS 7671 and be certified by</w:t>
      </w:r>
      <w:r>
        <w:t xml:space="preserve"> a</w:t>
      </w:r>
      <w:r w:rsidRPr="003F5AB7">
        <w:t xml:space="preserve"> qualified electrician</w:t>
      </w:r>
    </w:p>
    <w:p w14:paraId="7AF912EB" w14:textId="77777777" w:rsidR="00005B49" w:rsidRDefault="00005B49" w:rsidP="00005B49">
      <w:pPr>
        <w:pStyle w:val="ListParagraph"/>
        <w:numPr>
          <w:ilvl w:val="0"/>
          <w:numId w:val="52"/>
        </w:numPr>
      </w:pPr>
      <w:r>
        <w:t>Plumbing modifications should maintain adequate water pressure throughout property</w:t>
      </w:r>
    </w:p>
    <w:p w14:paraId="4057AC98" w14:textId="77777777" w:rsidR="00005B49" w:rsidRDefault="00005B49" w:rsidP="00005B49">
      <w:pPr>
        <w:pStyle w:val="ListParagraph"/>
        <w:numPr>
          <w:ilvl w:val="0"/>
          <w:numId w:val="52"/>
        </w:numPr>
      </w:pPr>
      <w:r>
        <w:t>Gas installations should be carried out by Gas Safe registered engineers</w:t>
      </w:r>
    </w:p>
    <w:p w14:paraId="748A8E51" w14:textId="2A0B1084" w:rsidR="00CF70CD" w:rsidRPr="00005B49" w:rsidRDefault="00005B49" w:rsidP="00CF70CD">
      <w:pPr>
        <w:pStyle w:val="ListParagraph"/>
        <w:numPr>
          <w:ilvl w:val="0"/>
          <w:numId w:val="52"/>
        </w:numPr>
      </w:pPr>
      <w:r w:rsidRPr="008B1AA8">
        <w:t>Ventilation should be designed to suit new room functions, particularly for bathrooms and kitchens</w:t>
      </w:r>
      <w:r w:rsidR="00742F7C">
        <w:t>.</w:t>
      </w:r>
    </w:p>
    <w:p w14:paraId="062E76C2" w14:textId="6998FC7A" w:rsidR="00CF70CD" w:rsidRDefault="00CF70CD" w:rsidP="00CF70CD">
      <w:pPr>
        <w:pStyle w:val="Heading2"/>
      </w:pPr>
      <w:bookmarkStart w:id="35" w:name="_Toc213852677"/>
      <w:r>
        <w:t>Post Completion Requirements</w:t>
      </w:r>
      <w:bookmarkEnd w:id="35"/>
    </w:p>
    <w:p w14:paraId="6B7068D5" w14:textId="330B6C3F" w:rsidR="009401A3" w:rsidRPr="00BD5634" w:rsidRDefault="009401A3" w:rsidP="009401A3">
      <w:pPr>
        <w:rPr>
          <w:b/>
          <w:bCs/>
        </w:rPr>
      </w:pPr>
      <w:r w:rsidRPr="00BD5634">
        <w:rPr>
          <w:b/>
          <w:bCs/>
        </w:rPr>
        <w:t>Certification and Sign-Off</w:t>
      </w:r>
    </w:p>
    <w:p w14:paraId="5272B561" w14:textId="77777777" w:rsidR="009401A3" w:rsidRDefault="009401A3" w:rsidP="009401A3">
      <w:pPr>
        <w:pStyle w:val="ListParagraph"/>
        <w:numPr>
          <w:ilvl w:val="0"/>
          <w:numId w:val="53"/>
        </w:numPr>
      </w:pPr>
      <w:r>
        <w:lastRenderedPageBreak/>
        <w:t>Building Control completion certificates should be obtained for all regulated works</w:t>
      </w:r>
    </w:p>
    <w:p w14:paraId="15A53550" w14:textId="77777777" w:rsidR="009401A3" w:rsidRDefault="009401A3" w:rsidP="009401A3">
      <w:pPr>
        <w:pStyle w:val="ListParagraph"/>
        <w:numPr>
          <w:ilvl w:val="0"/>
          <w:numId w:val="53"/>
        </w:numPr>
      </w:pPr>
      <w:r>
        <w:t>Gas Safety certificates should be provided for any gas installation modifications</w:t>
      </w:r>
    </w:p>
    <w:p w14:paraId="7DFB0730" w14:textId="001B1541" w:rsidR="009401A3" w:rsidRDefault="009401A3" w:rsidP="009401A3">
      <w:pPr>
        <w:pStyle w:val="ListParagraph"/>
        <w:numPr>
          <w:ilvl w:val="0"/>
          <w:numId w:val="53"/>
        </w:numPr>
      </w:pPr>
      <w:r>
        <w:t>Electrical Installation certificates should be secured for new circuits or consumer unit changes</w:t>
      </w:r>
      <w:r w:rsidR="00742F7C">
        <w:t>.</w:t>
      </w:r>
    </w:p>
    <w:p w14:paraId="7312FB9A" w14:textId="61922FF4" w:rsidR="00CF70CD" w:rsidRDefault="00733B4A" w:rsidP="00CF70CD">
      <w:pPr>
        <w:pStyle w:val="Heading2"/>
      </w:pPr>
      <w:bookmarkStart w:id="36" w:name="_Toc213852678"/>
      <w:r>
        <w:t>Considerations and Scope</w:t>
      </w:r>
      <w:bookmarkEnd w:id="36"/>
    </w:p>
    <w:p w14:paraId="7FF5AE61" w14:textId="656B1E7F" w:rsidR="00F85AB1" w:rsidRPr="005B3C31" w:rsidRDefault="00F85AB1" w:rsidP="00F85AB1">
      <w:pPr>
        <w:rPr>
          <w:b/>
          <w:bCs/>
        </w:rPr>
      </w:pPr>
      <w:r>
        <w:rPr>
          <w:b/>
          <w:bCs/>
        </w:rPr>
        <w:t>Assessment Priorities</w:t>
      </w:r>
    </w:p>
    <w:p w14:paraId="0F2FCBF5" w14:textId="77777777" w:rsidR="00F85AB1" w:rsidRDefault="00F85AB1" w:rsidP="00F85AB1">
      <w:pPr>
        <w:pStyle w:val="ListParagraph"/>
        <w:numPr>
          <w:ilvl w:val="0"/>
          <w:numId w:val="54"/>
        </w:numPr>
      </w:pPr>
      <w:r w:rsidRPr="00AB3487">
        <w:t>Properties with existing structural defects should undergo remediation before adaptation works</w:t>
      </w:r>
    </w:p>
    <w:p w14:paraId="37B02E47" w14:textId="540970BC" w:rsidR="00F85AB1" w:rsidRDefault="00F85AB1" w:rsidP="00F85AB1">
      <w:pPr>
        <w:pStyle w:val="ListParagraph"/>
        <w:numPr>
          <w:ilvl w:val="0"/>
          <w:numId w:val="54"/>
        </w:numPr>
      </w:pPr>
      <w:r w:rsidRPr="00831EB1">
        <w:t>Buildings scheduled for major works programmes within 24 months should be assessed for timing coordination</w:t>
      </w:r>
      <w:r w:rsidR="006510A9">
        <w:t>.</w:t>
      </w:r>
    </w:p>
    <w:p w14:paraId="7CEC1D13" w14:textId="77777777" w:rsidR="00F85AB1" w:rsidRPr="005B3C31" w:rsidRDefault="00F85AB1" w:rsidP="00F85AB1">
      <w:pPr>
        <w:rPr>
          <w:b/>
          <w:bCs/>
        </w:rPr>
      </w:pPr>
      <w:r w:rsidRPr="005B3C31">
        <w:rPr>
          <w:b/>
          <w:bCs/>
        </w:rPr>
        <w:t xml:space="preserve">Technical </w:t>
      </w:r>
      <w:r>
        <w:rPr>
          <w:b/>
          <w:bCs/>
        </w:rPr>
        <w:t>Considerations</w:t>
      </w:r>
    </w:p>
    <w:p w14:paraId="09246674" w14:textId="77777777" w:rsidR="00F85AB1" w:rsidRDefault="00F85AB1" w:rsidP="00F85AB1">
      <w:pPr>
        <w:pStyle w:val="ListParagraph"/>
        <w:numPr>
          <w:ilvl w:val="0"/>
          <w:numId w:val="55"/>
        </w:numPr>
      </w:pPr>
      <w:r w:rsidRPr="00DC2DB3">
        <w:t>Works requiring major service infrastructure upgrades should include these within project scope planning</w:t>
      </w:r>
    </w:p>
    <w:p w14:paraId="547B300E" w14:textId="77777777" w:rsidR="00F85AB1" w:rsidRDefault="00F85AB1" w:rsidP="00F85AB1">
      <w:pPr>
        <w:pStyle w:val="ListParagraph"/>
        <w:numPr>
          <w:ilvl w:val="0"/>
          <w:numId w:val="55"/>
        </w:numPr>
      </w:pPr>
      <w:r w:rsidRPr="00DC2DB3">
        <w:t>Alterations should be designed to achieve planning permission approval</w:t>
      </w:r>
    </w:p>
    <w:p w14:paraId="14EF609B" w14:textId="77777777" w:rsidR="00F85AB1" w:rsidRDefault="00F85AB1" w:rsidP="00F85AB1">
      <w:pPr>
        <w:pStyle w:val="ListParagraph"/>
        <w:numPr>
          <w:ilvl w:val="0"/>
          <w:numId w:val="55"/>
        </w:numPr>
      </w:pPr>
      <w:r w:rsidRPr="00DC2DB3">
        <w:t>Modifications should create compliant room sizes under current housing standards</w:t>
      </w:r>
    </w:p>
    <w:p w14:paraId="3E59D3C7" w14:textId="589C52A3" w:rsidR="00F85AB1" w:rsidRDefault="00F85AB1" w:rsidP="00F85AB1">
      <w:pPr>
        <w:pStyle w:val="ListParagraph"/>
        <w:numPr>
          <w:ilvl w:val="0"/>
          <w:numId w:val="55"/>
        </w:numPr>
      </w:pPr>
      <w:r w:rsidRPr="004E2E31">
        <w:t>Changes should preserve future re-letting flexibility for the property</w:t>
      </w:r>
      <w:r w:rsidR="00742F7C">
        <w:t>.</w:t>
      </w:r>
    </w:p>
    <w:p w14:paraId="0D92381D" w14:textId="77777777" w:rsidR="00F85AB1" w:rsidRPr="005B3C31" w:rsidRDefault="00F85AB1" w:rsidP="00F85AB1"/>
    <w:p w14:paraId="1602AEEA" w14:textId="3E383D0B" w:rsidR="00CF70CD" w:rsidRDefault="00CF70CD" w:rsidP="00CF70CD">
      <w:pPr>
        <w:pStyle w:val="Heading1"/>
        <w:rPr>
          <w:lang w:val="en-US"/>
        </w:rPr>
      </w:pPr>
      <w:bookmarkStart w:id="37" w:name="_Toc213852679"/>
      <w:r>
        <w:rPr>
          <w:lang w:val="en-US"/>
        </w:rPr>
        <w:t>F</w:t>
      </w:r>
      <w:r w:rsidR="00733B4A">
        <w:rPr>
          <w:lang w:val="en-US"/>
        </w:rPr>
        <w:t>inancial Framework</w:t>
      </w:r>
      <w:bookmarkEnd w:id="37"/>
    </w:p>
    <w:p w14:paraId="484244FE" w14:textId="32C41CA3" w:rsidR="00CF70CD" w:rsidRDefault="00733B4A" w:rsidP="00CF70CD">
      <w:pPr>
        <w:pStyle w:val="Heading2"/>
      </w:pPr>
      <w:bookmarkStart w:id="38" w:name="_Toc213852680"/>
      <w:r>
        <w:t>Rent-adjustment Methodology</w:t>
      </w:r>
      <w:bookmarkEnd w:id="38"/>
    </w:p>
    <w:p w14:paraId="4C89F44D" w14:textId="44A63C2A" w:rsidR="00FA08E0" w:rsidRDefault="00FA08E0" w:rsidP="00FA08E0">
      <w:r w:rsidRPr="002D20F2">
        <w:t>Where a home is enlarged</w:t>
      </w:r>
      <w:r>
        <w:t>,</w:t>
      </w:r>
      <w:r w:rsidRPr="002D20F2">
        <w:t xml:space="preserve"> a new social rent will be cha</w:t>
      </w:r>
      <w:r>
        <w:t>r</w:t>
      </w:r>
      <w:r w:rsidRPr="002D20F2">
        <w:t>ged to reflect the increase in bedroom(s) in line the national rent setting policy for social landlords (the Rent Standard). This uses a set formula to calculate a social rent taking into account the number of bedrooms</w:t>
      </w:r>
      <w:r>
        <w:t>,</w:t>
      </w:r>
      <w:r w:rsidRPr="002D20F2">
        <w:t xml:space="preserve"> and what the value of the property would have been in 1999. This original property value is increased by £10k per additional bedroom created to reflect an updated 1999 price.</w:t>
      </w:r>
    </w:p>
    <w:p w14:paraId="085CBBF0" w14:textId="6AB856C3" w:rsidR="00CF70CD" w:rsidRDefault="002E28FE" w:rsidP="00CF70CD">
      <w:pPr>
        <w:pStyle w:val="Heading2"/>
      </w:pPr>
      <w:bookmarkStart w:id="39" w:name="_Toc213852681"/>
      <w:r>
        <w:t>Property Purchase</w:t>
      </w:r>
      <w:bookmarkEnd w:id="39"/>
    </w:p>
    <w:p w14:paraId="18F5352B" w14:textId="5FC6DF84" w:rsidR="00F96071" w:rsidRPr="00877ED7" w:rsidRDefault="00F96071" w:rsidP="00F96071">
      <w:r>
        <w:t>Adaptation</w:t>
      </w:r>
      <w:r w:rsidRPr="00877ED7">
        <w:t xml:space="preserve">s and enlargements are provided for resident wellbeing, not financial gain. </w:t>
      </w:r>
      <w:r>
        <w:t>Receiving an enhancement or adaptation will not change the existing rights of secure tenants</w:t>
      </w:r>
      <w:r w:rsidR="00F426FE">
        <w:t xml:space="preserve"> and it is not within the Council’s power to do so</w:t>
      </w:r>
      <w:r>
        <w:t>. However, b</w:t>
      </w:r>
      <w:r w:rsidRPr="00877ED7">
        <w:t xml:space="preserve">efore approval, applicants must </w:t>
      </w:r>
      <w:r>
        <w:t>understand</w:t>
      </w:r>
      <w:r w:rsidRPr="00877ED7">
        <w:t xml:space="preserve"> that:</w:t>
      </w:r>
    </w:p>
    <w:p w14:paraId="120570D1" w14:textId="77777777" w:rsidR="00F96071" w:rsidRPr="00877ED7" w:rsidRDefault="00F96071" w:rsidP="00F96071">
      <w:pPr>
        <w:numPr>
          <w:ilvl w:val="0"/>
          <w:numId w:val="56"/>
        </w:numPr>
      </w:pPr>
      <w:r w:rsidRPr="00877ED7">
        <w:rPr>
          <w:b/>
          <w:bCs/>
        </w:rPr>
        <w:t>Right-to-buy purchases</w:t>
      </w:r>
      <w:r w:rsidRPr="00877ED7">
        <w:t xml:space="preserve">: </w:t>
      </w:r>
      <w:r>
        <w:t>The s</w:t>
      </w:r>
      <w:r w:rsidRPr="00877ED7">
        <w:t xml:space="preserve">ale price reflects the </w:t>
      </w:r>
      <w:r>
        <w:t>adapted</w:t>
      </w:r>
      <w:r w:rsidRPr="00877ED7">
        <w:t xml:space="preserve"> property's current market value</w:t>
      </w:r>
    </w:p>
    <w:p w14:paraId="616705D0" w14:textId="3EEB0144" w:rsidR="00733B4A" w:rsidRPr="00F96071" w:rsidRDefault="00F96071" w:rsidP="00733B4A">
      <w:pPr>
        <w:numPr>
          <w:ilvl w:val="0"/>
          <w:numId w:val="56"/>
        </w:numPr>
      </w:pPr>
      <w:r w:rsidRPr="00877ED7">
        <w:rPr>
          <w:b/>
          <w:bCs/>
        </w:rPr>
        <w:t>Leasehold restrictions</w:t>
      </w:r>
      <w:r w:rsidRPr="00877ED7">
        <w:t>: Properties cannot be subdivided</w:t>
      </w:r>
      <w:r>
        <w:t xml:space="preserve"> </w:t>
      </w:r>
      <w:r w:rsidRPr="00877ED7">
        <w:t>back to original configuration without Council consent</w:t>
      </w:r>
      <w:r>
        <w:t xml:space="preserve"> post-RTB purchase, as per existing Leasehold Alterations policy</w:t>
      </w:r>
      <w:r w:rsidR="00742F7C">
        <w:t>.</w:t>
      </w:r>
    </w:p>
    <w:p w14:paraId="39400E0B" w14:textId="513C0422" w:rsidR="00CF70CD" w:rsidRDefault="00733B4A" w:rsidP="00CF70CD">
      <w:pPr>
        <w:pStyle w:val="Heading2"/>
      </w:pPr>
      <w:bookmarkStart w:id="40" w:name="_Toc213852682"/>
      <w:r>
        <w:t>Funding allocation</w:t>
      </w:r>
      <w:bookmarkEnd w:id="40"/>
    </w:p>
    <w:p w14:paraId="2E6F49DC" w14:textId="0BC4663D" w:rsidR="00733B4A" w:rsidRPr="00CE369A" w:rsidRDefault="00CE369A" w:rsidP="00733B4A">
      <w:pPr>
        <w:rPr>
          <w:rFonts w:eastAsiaTheme="majorEastAsia"/>
          <w:b/>
          <w:color w:val="0062AE"/>
          <w:sz w:val="28"/>
        </w:rPr>
      </w:pPr>
      <w:r>
        <w:t xml:space="preserve">Funding for the programme will be part of the overall capital programme and annual budget setting process and reviewed in accordance with the programme timescales. </w:t>
      </w:r>
    </w:p>
    <w:p w14:paraId="19D93A32" w14:textId="561BF8B4" w:rsidR="00CF70CD" w:rsidRDefault="000D31E9" w:rsidP="00CF70CD">
      <w:pPr>
        <w:pStyle w:val="Heading1"/>
        <w:rPr>
          <w:lang w:val="en-US"/>
        </w:rPr>
      </w:pPr>
      <w:bookmarkStart w:id="41" w:name="_Toc213852683"/>
      <w:r>
        <w:rPr>
          <w:lang w:val="en-US"/>
        </w:rPr>
        <w:lastRenderedPageBreak/>
        <w:t>Process Outline</w:t>
      </w:r>
      <w:bookmarkEnd w:id="41"/>
    </w:p>
    <w:p w14:paraId="1738DA5D" w14:textId="6C7A4C37" w:rsidR="00EE2715" w:rsidRPr="002E3CF6" w:rsidRDefault="00EE2715" w:rsidP="00EE2715">
      <w:pPr>
        <w:rPr>
          <w:b/>
          <w:bCs/>
        </w:rPr>
      </w:pPr>
      <w:r w:rsidRPr="002E3CF6">
        <w:rPr>
          <w:b/>
          <w:bCs/>
        </w:rPr>
        <w:t>Initial Assessment</w:t>
      </w:r>
    </w:p>
    <w:p w14:paraId="7B1DD269" w14:textId="77777777" w:rsidR="00EE2715" w:rsidRDefault="00EE2715" w:rsidP="00EE2715">
      <w:pPr>
        <w:pStyle w:val="ListParagraph"/>
        <w:numPr>
          <w:ilvl w:val="0"/>
          <w:numId w:val="57"/>
        </w:numPr>
      </w:pPr>
      <w:r>
        <w:t>Housing Officer identification to formal referral</w:t>
      </w:r>
    </w:p>
    <w:p w14:paraId="421E01ED" w14:textId="77777777" w:rsidR="00EE2715" w:rsidRDefault="00EE2715" w:rsidP="00EE2715">
      <w:pPr>
        <w:pStyle w:val="ListParagraph"/>
        <w:numPr>
          <w:ilvl w:val="0"/>
          <w:numId w:val="57"/>
        </w:numPr>
      </w:pPr>
      <w:r>
        <w:t>Structural and fire safety assessments</w:t>
      </w:r>
    </w:p>
    <w:p w14:paraId="143CBDA3" w14:textId="098DD2C3" w:rsidR="00EE2715" w:rsidRDefault="00EE2715" w:rsidP="00EE2715">
      <w:pPr>
        <w:pStyle w:val="ListParagraph"/>
        <w:numPr>
          <w:ilvl w:val="0"/>
          <w:numId w:val="57"/>
        </w:numPr>
      </w:pPr>
      <w:r>
        <w:t>Cost-benefit analysis completion</w:t>
      </w:r>
      <w:r w:rsidR="00B83E23">
        <w:t>.</w:t>
      </w:r>
    </w:p>
    <w:p w14:paraId="7943D633" w14:textId="77777777" w:rsidR="00EE2715" w:rsidRDefault="00EE2715" w:rsidP="00EE2715">
      <w:r w:rsidRPr="005643B8">
        <w:rPr>
          <w:b/>
          <w:bCs/>
        </w:rPr>
        <w:t>Decision</w:t>
      </w:r>
      <w:r>
        <w:t xml:space="preserve"> </w:t>
      </w:r>
      <w:r w:rsidRPr="005643B8">
        <w:rPr>
          <w:b/>
          <w:bCs/>
        </w:rPr>
        <w:t>Process</w:t>
      </w:r>
    </w:p>
    <w:p w14:paraId="3A7D6760" w14:textId="77777777" w:rsidR="00EE2715" w:rsidRDefault="00EE2715" w:rsidP="00EE2715">
      <w:pPr>
        <w:pStyle w:val="ListParagraph"/>
        <w:numPr>
          <w:ilvl w:val="0"/>
          <w:numId w:val="58"/>
        </w:numPr>
      </w:pPr>
      <w:r>
        <w:t>Consideration by Asset Investment Programme: Next available meeting following completed assessments</w:t>
      </w:r>
    </w:p>
    <w:p w14:paraId="77F3A9A9" w14:textId="0EA3CF5C" w:rsidR="00EE2715" w:rsidRDefault="00B83E23" w:rsidP="00EE2715">
      <w:pPr>
        <w:pStyle w:val="ListParagraph"/>
        <w:numPr>
          <w:ilvl w:val="0"/>
          <w:numId w:val="58"/>
        </w:numPr>
      </w:pPr>
      <w:r>
        <w:t>Sign-off given by Corporate Director in consultation with the Lead Member for Housing and Mayor.</w:t>
      </w:r>
    </w:p>
    <w:p w14:paraId="59C0A5CA" w14:textId="77777777" w:rsidR="00EE2715" w:rsidRDefault="00EE2715" w:rsidP="00EE2715">
      <w:r w:rsidRPr="00C54735">
        <w:rPr>
          <w:b/>
          <w:bCs/>
        </w:rPr>
        <w:t>Implementation</w:t>
      </w:r>
    </w:p>
    <w:p w14:paraId="4EA517B7" w14:textId="3D56C328" w:rsidR="00EE2715" w:rsidRDefault="00EE2715" w:rsidP="00EE2715">
      <w:pPr>
        <w:pStyle w:val="ListParagraph"/>
        <w:numPr>
          <w:ilvl w:val="0"/>
          <w:numId w:val="59"/>
        </w:numPr>
      </w:pPr>
      <w:r>
        <w:t>Works commencement: Subject to capital programme allocation and contractor availability</w:t>
      </w:r>
      <w:r w:rsidR="00B83E23">
        <w:t>.</w:t>
      </w:r>
    </w:p>
    <w:p w14:paraId="2E8B9F73" w14:textId="77777777" w:rsidR="00EE2715" w:rsidRPr="00331013" w:rsidRDefault="00EE2715" w:rsidP="00EE2715">
      <w:pPr>
        <w:rPr>
          <w:b/>
          <w:bCs/>
        </w:rPr>
      </w:pPr>
      <w:r w:rsidRPr="00331013">
        <w:rPr>
          <w:b/>
          <w:bCs/>
        </w:rPr>
        <w:t>Post-completion</w:t>
      </w:r>
    </w:p>
    <w:p w14:paraId="48D700C3" w14:textId="7FD66072" w:rsidR="00CF70CD" w:rsidRDefault="00EE2715" w:rsidP="00CF70CD">
      <w:pPr>
        <w:pStyle w:val="ListParagraph"/>
        <w:numPr>
          <w:ilvl w:val="0"/>
          <w:numId w:val="60"/>
        </w:numPr>
      </w:pPr>
      <w:r>
        <w:t>Final inspection and sign-off</w:t>
      </w:r>
    </w:p>
    <w:p w14:paraId="32149C82" w14:textId="07102D13" w:rsidR="00FB2187" w:rsidRDefault="00FB2187" w:rsidP="00CF70CD">
      <w:pPr>
        <w:pStyle w:val="ListParagraph"/>
        <w:numPr>
          <w:ilvl w:val="0"/>
          <w:numId w:val="60"/>
        </w:numPr>
      </w:pPr>
      <w:r>
        <w:t>Rent adjustment effective from first rent period following completion.</w:t>
      </w:r>
    </w:p>
    <w:p w14:paraId="52F5F1A5" w14:textId="20F2A208" w:rsidR="00E154E7" w:rsidRDefault="00E154E7" w:rsidP="00E154E7">
      <w:r>
        <w:t>See Appendix 1 for a graphical simplification of this process.</w:t>
      </w:r>
    </w:p>
    <w:p w14:paraId="4E83EB43" w14:textId="77777777" w:rsidR="00FB2187" w:rsidRPr="00B83E23" w:rsidRDefault="00FB2187" w:rsidP="00FB2187"/>
    <w:p w14:paraId="47B580ED" w14:textId="504F5386" w:rsidR="00CF70CD" w:rsidRDefault="00733B4A" w:rsidP="00CF70CD">
      <w:pPr>
        <w:pStyle w:val="Heading1"/>
        <w:rPr>
          <w:lang w:val="en-US"/>
        </w:rPr>
      </w:pPr>
      <w:bookmarkStart w:id="42" w:name="_Toc213852684"/>
      <w:r>
        <w:rPr>
          <w:lang w:val="en-US"/>
        </w:rPr>
        <w:t>Monitoring and Governance</w:t>
      </w:r>
      <w:bookmarkEnd w:id="42"/>
    </w:p>
    <w:p w14:paraId="219FF2F7" w14:textId="4066552F" w:rsidR="00F9508C" w:rsidRPr="00F9508C" w:rsidRDefault="00F9508C" w:rsidP="00F9508C">
      <w:r w:rsidRPr="00F9508C">
        <w:rPr>
          <w:rFonts w:cs="Arial"/>
          <w:color w:val="000000"/>
          <w:szCs w:val="24"/>
        </w:rPr>
        <w:t>The Executive Mayor, as Chair of the Housing Management Cabinet Sub-Committee, has overall governance responsibility for ensuring this policy is fully implemented to ensure full compliance with legislation and regulatory standards. As such, the Housing Management Cabinet Sub Committee will formally approve this policy and review it every four years (or sooner if there is a change in legislation, regulation or best practice).</w:t>
      </w:r>
    </w:p>
    <w:p w14:paraId="1038AEB2" w14:textId="77777777" w:rsidR="00F9508C" w:rsidRPr="00F9508C" w:rsidRDefault="00F9508C" w:rsidP="00F9508C">
      <w:pPr>
        <w:pStyle w:val="NormalWeb"/>
        <w:rPr>
          <w:rFonts w:ascii="Arial" w:hAnsi="Arial" w:cs="Arial"/>
          <w:color w:val="000000"/>
        </w:rPr>
      </w:pPr>
      <w:r w:rsidRPr="00F9508C">
        <w:rPr>
          <w:rFonts w:ascii="Arial" w:hAnsi="Arial" w:cs="Arial"/>
          <w:color w:val="000000"/>
        </w:rPr>
        <w:t>Housing Performance, Improvement &amp; Compliance Board (HPIC) will receive yearly performance reports and ensure compliance is being achieved. They will also be notified of any non-compliance issue identified.</w:t>
      </w:r>
    </w:p>
    <w:p w14:paraId="6992A8A5" w14:textId="77777777" w:rsidR="00F9508C" w:rsidRPr="00F9508C" w:rsidRDefault="00F9508C" w:rsidP="00F9508C">
      <w:pPr>
        <w:pStyle w:val="NormalWeb"/>
        <w:rPr>
          <w:rFonts w:ascii="Arial" w:hAnsi="Arial" w:cs="Arial"/>
          <w:color w:val="000000"/>
        </w:rPr>
      </w:pPr>
      <w:r w:rsidRPr="00F9508C">
        <w:rPr>
          <w:rFonts w:ascii="Arial" w:hAnsi="Arial" w:cs="Arial"/>
          <w:color w:val="000000"/>
        </w:rPr>
        <w:t>Proposed enlargements and adaptations will be referred to the Asset Investment Programme through the channels set out in Section 7. The programme will review the proposals monthly and will recommend the approval of proposals which are of clear benefit to both the Council and residents subject to feasibility criteria.</w:t>
      </w:r>
    </w:p>
    <w:p w14:paraId="3A5CB4CF" w14:textId="77777777" w:rsidR="00F9508C" w:rsidRPr="00F9508C" w:rsidRDefault="00F9508C" w:rsidP="00F9508C">
      <w:pPr>
        <w:pStyle w:val="NormalWeb"/>
        <w:rPr>
          <w:rFonts w:ascii="Arial" w:hAnsi="Arial" w:cs="Arial"/>
          <w:color w:val="000000"/>
        </w:rPr>
      </w:pPr>
      <w:r w:rsidRPr="00F9508C">
        <w:rPr>
          <w:rFonts w:ascii="Arial" w:hAnsi="Arial" w:cs="Arial"/>
          <w:color w:val="000000"/>
        </w:rPr>
        <w:t>On a monthly basis, the Corporate Director, in consultation with the Lead Member for Housing, will review the programme.</w:t>
      </w:r>
    </w:p>
    <w:p w14:paraId="11912E23" w14:textId="77777777" w:rsidR="00F9508C" w:rsidRPr="00F9508C" w:rsidRDefault="00F9508C" w:rsidP="00F9508C">
      <w:pPr>
        <w:pStyle w:val="NormalWeb"/>
        <w:rPr>
          <w:rFonts w:ascii="Arial" w:hAnsi="Arial" w:cs="Arial"/>
          <w:color w:val="000000"/>
        </w:rPr>
      </w:pPr>
      <w:r w:rsidRPr="00F9508C">
        <w:rPr>
          <w:rFonts w:ascii="Arial" w:hAnsi="Arial" w:cs="Arial"/>
          <w:color w:val="000000"/>
        </w:rPr>
        <w:t>The Director of Property and Asset Management has strategic responsibility for the processing and carrying out of enlargements and adaptations, and ensuring compliance is achieved and maintained. They will oversee the implementation of this policy.</w:t>
      </w:r>
    </w:p>
    <w:p w14:paraId="09A3AC64" w14:textId="77777777" w:rsidR="00F9508C" w:rsidRDefault="00F9508C" w:rsidP="00F9508C">
      <w:pPr>
        <w:pStyle w:val="NormalWeb"/>
        <w:rPr>
          <w:rFonts w:ascii="Arial" w:hAnsi="Arial" w:cs="Arial"/>
          <w:color w:val="000000"/>
        </w:rPr>
      </w:pPr>
      <w:r w:rsidRPr="00F9508C">
        <w:rPr>
          <w:rFonts w:ascii="Arial" w:hAnsi="Arial" w:cs="Arial"/>
          <w:color w:val="000000"/>
        </w:rPr>
        <w:lastRenderedPageBreak/>
        <w:t>The Head of Capital Delivery is responsible for the delivery of works once approval had been given to progress to the construction phase.</w:t>
      </w:r>
    </w:p>
    <w:p w14:paraId="1A9BEB3F" w14:textId="2B6E05BA" w:rsidR="00CF70CD" w:rsidRDefault="00733B4A" w:rsidP="00CF70CD">
      <w:pPr>
        <w:pStyle w:val="Heading1"/>
        <w:rPr>
          <w:lang w:val="en-US"/>
        </w:rPr>
      </w:pPr>
      <w:bookmarkStart w:id="43" w:name="_Toc213852685"/>
      <w:r>
        <w:rPr>
          <w:lang w:val="en-US"/>
        </w:rPr>
        <w:t>Training</w:t>
      </w:r>
      <w:bookmarkEnd w:id="43"/>
    </w:p>
    <w:p w14:paraId="5D7F6651" w14:textId="74444241" w:rsidR="00742F7C" w:rsidRDefault="00742F7C" w:rsidP="00742F7C">
      <w:pPr>
        <w:pStyle w:val="ListBullet"/>
        <w:jc w:val="both"/>
      </w:pPr>
      <w:r w:rsidRPr="00E97BD7">
        <w:t>Continuously review our approach in line with statutory requirements and good practice</w:t>
      </w:r>
    </w:p>
    <w:p w14:paraId="7B852590" w14:textId="77777777" w:rsidR="00742F7C" w:rsidRDefault="00742F7C" w:rsidP="00742F7C">
      <w:pPr>
        <w:pStyle w:val="ListBullet"/>
        <w:jc w:val="both"/>
      </w:pPr>
      <w:r w:rsidRPr="00B80B83">
        <w:t>Ensure that all staff and contractors</w:t>
      </w:r>
      <w:r>
        <w:t xml:space="preserve"> and third-party referral agencies </w:t>
      </w:r>
      <w:r w:rsidRPr="00B80B83">
        <w:t xml:space="preserve">are aware of our approach to </w:t>
      </w:r>
      <w:r>
        <w:t>enlargements and adaptations</w:t>
      </w:r>
    </w:p>
    <w:p w14:paraId="3DFEF3FB" w14:textId="77777777" w:rsidR="00742F7C" w:rsidRDefault="00742F7C" w:rsidP="00742F7C">
      <w:pPr>
        <w:pStyle w:val="ListBullet"/>
        <w:jc w:val="both"/>
      </w:pPr>
      <w:r w:rsidRPr="00B80B83">
        <w:t xml:space="preserve">Provide training for our staff and contractors across several levels dependent on their responsibilities in </w:t>
      </w:r>
      <w:r>
        <w:t>relation to enlargements and adaptations</w:t>
      </w:r>
    </w:p>
    <w:p w14:paraId="78E2C8F6" w14:textId="77777777" w:rsidR="00742F7C" w:rsidRDefault="00742F7C" w:rsidP="00742F7C">
      <w:pPr>
        <w:pStyle w:val="ListBullet"/>
        <w:jc w:val="both"/>
      </w:pPr>
      <w:r w:rsidRPr="00B80B83">
        <w:t>Ensure that only competent contractors are engaged to carry out any works</w:t>
      </w:r>
    </w:p>
    <w:p w14:paraId="2F446AF9" w14:textId="77777777" w:rsidR="00742F7C" w:rsidRDefault="00742F7C" w:rsidP="00742F7C">
      <w:pPr>
        <w:pStyle w:val="ListBullet"/>
        <w:jc w:val="both"/>
      </w:pPr>
      <w:r>
        <w:t>Provide s</w:t>
      </w:r>
      <w:r w:rsidRPr="00486B48">
        <w:t>pecialist training</w:t>
      </w:r>
      <w:r>
        <w:t xml:space="preserve"> for our Feasibility Project Team</w:t>
      </w:r>
      <w:r w:rsidRPr="00486B48">
        <w:t xml:space="preserve"> on structural feasibility assessment, fire safety considerations, and completion standards</w:t>
      </w:r>
    </w:p>
    <w:p w14:paraId="6EC8919E" w14:textId="79AEBD0F" w:rsidR="00742F7C" w:rsidRDefault="00742F7C" w:rsidP="00742F7C">
      <w:pPr>
        <w:pStyle w:val="ListBullet"/>
        <w:jc w:val="both"/>
      </w:pPr>
      <w:r>
        <w:t>Provide</w:t>
      </w:r>
      <w:r w:rsidRPr="00046862">
        <w:t xml:space="preserve"> training </w:t>
      </w:r>
      <w:r>
        <w:t xml:space="preserve">to housing officers </w:t>
      </w:r>
      <w:r w:rsidRPr="00046862">
        <w:t>on opportunity identification, overcrowding assessment criteria, and referral protocols</w:t>
      </w:r>
      <w:r>
        <w:t>.</w:t>
      </w:r>
    </w:p>
    <w:p w14:paraId="2EAA688D" w14:textId="211A352E" w:rsidR="000D31E9" w:rsidRDefault="000D31E9" w:rsidP="000D31E9">
      <w:pPr>
        <w:pStyle w:val="Heading1"/>
        <w:rPr>
          <w:lang w:val="en-US"/>
        </w:rPr>
      </w:pPr>
      <w:bookmarkStart w:id="44" w:name="_Toc213852686"/>
      <w:r>
        <w:rPr>
          <w:lang w:val="en-US"/>
        </w:rPr>
        <w:t>Appendices</w:t>
      </w:r>
      <w:bookmarkEnd w:id="44"/>
    </w:p>
    <w:p w14:paraId="22CD0746" w14:textId="11077762" w:rsidR="00C265BC" w:rsidRDefault="000D31E9" w:rsidP="000D31E9">
      <w:pPr>
        <w:rPr>
          <w:color w:val="FF0000"/>
          <w:lang w:val="en-US" w:eastAsia="en-GB"/>
        </w:rPr>
      </w:pPr>
      <w:r>
        <w:rPr>
          <w:lang w:val="en-US" w:eastAsia="en-GB"/>
        </w:rPr>
        <w:t>Appendix 1</w:t>
      </w:r>
    </w:p>
    <w:p w14:paraId="66CC8B4A" w14:textId="77777777" w:rsidR="00C265BC" w:rsidRDefault="00C265BC" w:rsidP="000D31E9">
      <w:pPr>
        <w:rPr>
          <w:color w:val="FF0000"/>
          <w:lang w:val="en-US" w:eastAsia="en-GB"/>
        </w:rPr>
      </w:pPr>
    </w:p>
    <w:p w14:paraId="7100235D" w14:textId="7AF7E9E4" w:rsidR="00C265BC" w:rsidRDefault="006904D0" w:rsidP="000D31E9">
      <w:r>
        <w:object w:dxaOrig="22726" w:dyaOrig="15811" w14:anchorId="261FF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nlargements and adaptations process" style="width:478.5pt;height:285.75pt" o:ole="">
            <v:imagedata r:id="rId12" o:title=""/>
          </v:shape>
          <o:OLEObject Type="Embed" ProgID="Visio.Drawing.15" ShapeID="_x0000_i1025" DrawAspect="Content" ObjectID="_1826950173" r:id="rId13"/>
        </w:object>
      </w:r>
    </w:p>
    <w:p w14:paraId="22C20AF0" w14:textId="77777777" w:rsidR="008264C4" w:rsidRPr="00815A62" w:rsidRDefault="008264C4" w:rsidP="000D31E9">
      <w:pPr>
        <w:rPr>
          <w:color w:val="FF0000"/>
          <w:lang w:val="en-US" w:eastAsia="en-GB"/>
        </w:rPr>
      </w:pPr>
    </w:p>
    <w:sectPr w:rsidR="008264C4" w:rsidRPr="00815A62" w:rsidSect="006462B8">
      <w:headerReference w:type="even" r:id="rId14"/>
      <w:headerReference w:type="default" r:id="rId15"/>
      <w:footerReference w:type="default" r:id="rId16"/>
      <w:headerReference w:type="first" r:id="rId17"/>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C6DE" w14:textId="77777777" w:rsidR="004365E8" w:rsidRDefault="004365E8" w:rsidP="00DC0AA1">
      <w:pPr>
        <w:spacing w:after="0"/>
      </w:pPr>
      <w:r>
        <w:separator/>
      </w:r>
    </w:p>
  </w:endnote>
  <w:endnote w:type="continuationSeparator" w:id="0">
    <w:p w14:paraId="6EA3D981" w14:textId="77777777" w:rsidR="004365E8" w:rsidRDefault="004365E8" w:rsidP="00DC0AA1">
      <w:pPr>
        <w:spacing w:after="0"/>
      </w:pPr>
      <w:r>
        <w:continuationSeparator/>
      </w:r>
    </w:p>
  </w:endnote>
  <w:endnote w:type="continuationNotice" w:id="1">
    <w:p w14:paraId="7D275870" w14:textId="77777777" w:rsidR="004365E8" w:rsidRDefault="004365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162" w14:textId="3305EA1E" w:rsidR="00316ED1" w:rsidRPr="00931C93" w:rsidRDefault="002B57E5" w:rsidP="007C32E3">
    <w:pPr>
      <w:pStyle w:val="Footer"/>
    </w:pPr>
    <w:r>
      <w:t>Enlargement and Adaptations Policy</w:t>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fldSimple w:instr=" NUMPAGES  \* Arabic  \* MERGEFORMAT ">
      <w:r w:rsidR="00DC0AA1" w:rsidRPr="00931C93">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3A5D" w14:textId="77777777" w:rsidR="004365E8" w:rsidRDefault="004365E8" w:rsidP="00DC0AA1">
      <w:pPr>
        <w:spacing w:after="0"/>
      </w:pPr>
      <w:r>
        <w:separator/>
      </w:r>
    </w:p>
  </w:footnote>
  <w:footnote w:type="continuationSeparator" w:id="0">
    <w:p w14:paraId="763E198F" w14:textId="77777777" w:rsidR="004365E8" w:rsidRDefault="004365E8" w:rsidP="00DC0AA1">
      <w:pPr>
        <w:spacing w:after="0"/>
      </w:pPr>
      <w:r>
        <w:continuationSeparator/>
      </w:r>
    </w:p>
  </w:footnote>
  <w:footnote w:type="continuationNotice" w:id="1">
    <w:p w14:paraId="659009FC" w14:textId="77777777" w:rsidR="004365E8" w:rsidRDefault="004365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9842"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3850" w14:textId="77777777" w:rsidR="00316ED1" w:rsidRPr="00777D19" w:rsidRDefault="00316ED1" w:rsidP="00777D19"/>
  <w:p w14:paraId="5DF42695" w14:textId="77777777" w:rsidR="00316ED1" w:rsidRDefault="00316ED1" w:rsidP="00FE57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E812"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B0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D1E2D"/>
    <w:multiLevelType w:val="hybridMultilevel"/>
    <w:tmpl w:val="B376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D510C"/>
    <w:multiLevelType w:val="hybridMultilevel"/>
    <w:tmpl w:val="D39E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65F98"/>
    <w:multiLevelType w:val="multilevel"/>
    <w:tmpl w:val="2826A87E"/>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9A53F48"/>
    <w:multiLevelType w:val="hybridMultilevel"/>
    <w:tmpl w:val="FD72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42D0D"/>
    <w:multiLevelType w:val="hybridMultilevel"/>
    <w:tmpl w:val="5976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52C55"/>
    <w:multiLevelType w:val="hybridMultilevel"/>
    <w:tmpl w:val="0728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10337"/>
    <w:multiLevelType w:val="hybridMultilevel"/>
    <w:tmpl w:val="AB08BC18"/>
    <w:lvl w:ilvl="0" w:tplc="E492710E">
      <w:start w:val="1"/>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43BBE"/>
    <w:multiLevelType w:val="hybridMultilevel"/>
    <w:tmpl w:val="1C2C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83D98"/>
    <w:multiLevelType w:val="hybridMultilevel"/>
    <w:tmpl w:val="FD74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F1339"/>
    <w:multiLevelType w:val="hybridMultilevel"/>
    <w:tmpl w:val="3A68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D0FBD"/>
    <w:multiLevelType w:val="hybridMultilevel"/>
    <w:tmpl w:val="6F5E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1732A"/>
    <w:multiLevelType w:val="hybridMultilevel"/>
    <w:tmpl w:val="8688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9F5AFF"/>
    <w:multiLevelType w:val="hybridMultilevel"/>
    <w:tmpl w:val="7320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7B145A"/>
    <w:multiLevelType w:val="multilevel"/>
    <w:tmpl w:val="61009416"/>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021"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5" w15:restartNumberingAfterBreak="0">
    <w:nsid w:val="1E7B1707"/>
    <w:multiLevelType w:val="hybridMultilevel"/>
    <w:tmpl w:val="9F562568"/>
    <w:lvl w:ilvl="0" w:tplc="A88A2A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C40598"/>
    <w:multiLevelType w:val="hybridMultilevel"/>
    <w:tmpl w:val="7D3E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16E3D"/>
    <w:multiLevelType w:val="hybridMultilevel"/>
    <w:tmpl w:val="1E3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F3A"/>
    <w:multiLevelType w:val="hybridMultilevel"/>
    <w:tmpl w:val="31DC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5B4AB5"/>
    <w:multiLevelType w:val="hybridMultilevel"/>
    <w:tmpl w:val="E3C0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821F43"/>
    <w:multiLevelType w:val="hybridMultilevel"/>
    <w:tmpl w:val="5F1A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055147"/>
    <w:multiLevelType w:val="hybridMultilevel"/>
    <w:tmpl w:val="D502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9F5BB7"/>
    <w:multiLevelType w:val="hybridMultilevel"/>
    <w:tmpl w:val="4CE2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70775"/>
    <w:multiLevelType w:val="hybridMultilevel"/>
    <w:tmpl w:val="630E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84FEE"/>
    <w:multiLevelType w:val="hybridMultilevel"/>
    <w:tmpl w:val="677457DA"/>
    <w:lvl w:ilvl="0" w:tplc="98B83FCA">
      <w:start w:val="1"/>
      <w:numFmt w:val="lowerRoman"/>
      <w:pStyle w:val="RomanNumerals"/>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552670"/>
    <w:multiLevelType w:val="hybridMultilevel"/>
    <w:tmpl w:val="A824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EF06F8"/>
    <w:multiLevelType w:val="hybridMultilevel"/>
    <w:tmpl w:val="DFB0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44B23"/>
    <w:multiLevelType w:val="hybridMultilevel"/>
    <w:tmpl w:val="28D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D33630"/>
    <w:multiLevelType w:val="hybridMultilevel"/>
    <w:tmpl w:val="EF4E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8C47BD"/>
    <w:multiLevelType w:val="hybridMultilevel"/>
    <w:tmpl w:val="D0F4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7D408E"/>
    <w:multiLevelType w:val="hybridMultilevel"/>
    <w:tmpl w:val="802E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FB1F8C"/>
    <w:multiLevelType w:val="hybridMultilevel"/>
    <w:tmpl w:val="8EE4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1A61D0"/>
    <w:multiLevelType w:val="multilevel"/>
    <w:tmpl w:val="83A6F32E"/>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486752B8"/>
    <w:multiLevelType w:val="hybridMultilevel"/>
    <w:tmpl w:val="3E80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3460EE"/>
    <w:multiLevelType w:val="hybridMultilevel"/>
    <w:tmpl w:val="61F2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35578E"/>
    <w:multiLevelType w:val="hybridMultilevel"/>
    <w:tmpl w:val="30C0A596"/>
    <w:lvl w:ilvl="0" w:tplc="DF2C48BC">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BD056A"/>
    <w:multiLevelType w:val="hybridMultilevel"/>
    <w:tmpl w:val="A0F6A25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2AD0902"/>
    <w:multiLevelType w:val="hybridMultilevel"/>
    <w:tmpl w:val="7C92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10225D"/>
    <w:multiLevelType w:val="hybridMultilevel"/>
    <w:tmpl w:val="5C7465FE"/>
    <w:lvl w:ilvl="0" w:tplc="23E2F7F0">
      <w:start w:val="1"/>
      <w:numFmt w:val="lowerLetter"/>
      <w:pStyle w:val="abc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732D3E"/>
    <w:multiLevelType w:val="hybridMultilevel"/>
    <w:tmpl w:val="DC30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390813"/>
    <w:multiLevelType w:val="multilevel"/>
    <w:tmpl w:val="F2E00F1A"/>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1" w15:restartNumberingAfterBreak="0">
    <w:nsid w:val="664835DC"/>
    <w:multiLevelType w:val="hybridMultilevel"/>
    <w:tmpl w:val="E1284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977D02"/>
    <w:multiLevelType w:val="hybridMultilevel"/>
    <w:tmpl w:val="2B18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A16B4E"/>
    <w:multiLevelType w:val="hybridMultilevel"/>
    <w:tmpl w:val="DE040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8085249"/>
    <w:multiLevelType w:val="hybridMultilevel"/>
    <w:tmpl w:val="FDDC8CD4"/>
    <w:lvl w:ilvl="0" w:tplc="EB1C45D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2212D3"/>
    <w:multiLevelType w:val="hybridMultilevel"/>
    <w:tmpl w:val="C19ACC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886113"/>
    <w:multiLevelType w:val="hybridMultilevel"/>
    <w:tmpl w:val="0C32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8260EE"/>
    <w:multiLevelType w:val="multilevel"/>
    <w:tmpl w:val="973434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8" w15:restartNumberingAfterBreak="0">
    <w:nsid w:val="6E2F461E"/>
    <w:multiLevelType w:val="hybridMultilevel"/>
    <w:tmpl w:val="E8B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0E314C"/>
    <w:multiLevelType w:val="hybridMultilevel"/>
    <w:tmpl w:val="C302C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331FCE"/>
    <w:multiLevelType w:val="hybridMultilevel"/>
    <w:tmpl w:val="CEB4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E66EF8"/>
    <w:multiLevelType w:val="hybridMultilevel"/>
    <w:tmpl w:val="DD4C3218"/>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7C70B1"/>
    <w:multiLevelType w:val="hybridMultilevel"/>
    <w:tmpl w:val="FD82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CC641C"/>
    <w:multiLevelType w:val="hybridMultilevel"/>
    <w:tmpl w:val="A9024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0D623E"/>
    <w:multiLevelType w:val="multilevel"/>
    <w:tmpl w:val="48DE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5D2ACE"/>
    <w:multiLevelType w:val="hybridMultilevel"/>
    <w:tmpl w:val="EBF2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9E2F2B"/>
    <w:multiLevelType w:val="hybridMultilevel"/>
    <w:tmpl w:val="08D080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21960777">
    <w:abstractNumId w:val="14"/>
  </w:num>
  <w:num w:numId="2" w16cid:durableId="1705208553">
    <w:abstractNumId w:val="0"/>
  </w:num>
  <w:num w:numId="3" w16cid:durableId="748619934">
    <w:abstractNumId w:val="24"/>
  </w:num>
  <w:num w:numId="4" w16cid:durableId="1175612746">
    <w:abstractNumId w:val="38"/>
  </w:num>
  <w:num w:numId="5" w16cid:durableId="150758067">
    <w:abstractNumId w:val="35"/>
  </w:num>
  <w:num w:numId="6" w16cid:durableId="1335104762">
    <w:abstractNumId w:val="7"/>
  </w:num>
  <w:num w:numId="7" w16cid:durableId="1681195345">
    <w:abstractNumId w:val="44"/>
  </w:num>
  <w:num w:numId="8" w16cid:durableId="1829320817">
    <w:abstractNumId w:val="49"/>
  </w:num>
  <w:num w:numId="9" w16cid:durableId="1277370078">
    <w:abstractNumId w:val="41"/>
  </w:num>
  <w:num w:numId="10" w16cid:durableId="52582525">
    <w:abstractNumId w:val="51"/>
  </w:num>
  <w:num w:numId="11" w16cid:durableId="404567286">
    <w:abstractNumId w:val="26"/>
  </w:num>
  <w:num w:numId="12" w16cid:durableId="266234446">
    <w:abstractNumId w:val="3"/>
  </w:num>
  <w:num w:numId="13" w16cid:durableId="1039477582">
    <w:abstractNumId w:val="45"/>
  </w:num>
  <w:num w:numId="14" w16cid:durableId="2062629888">
    <w:abstractNumId w:val="20"/>
  </w:num>
  <w:num w:numId="15" w16cid:durableId="1757289560">
    <w:abstractNumId w:val="42"/>
  </w:num>
  <w:num w:numId="16" w16cid:durableId="867764011">
    <w:abstractNumId w:val="43"/>
  </w:num>
  <w:num w:numId="17" w16cid:durableId="84158987">
    <w:abstractNumId w:val="15"/>
  </w:num>
  <w:num w:numId="18" w16cid:durableId="884291539">
    <w:abstractNumId w:val="36"/>
  </w:num>
  <w:num w:numId="19" w16cid:durableId="632251757">
    <w:abstractNumId w:val="40"/>
  </w:num>
  <w:num w:numId="20" w16cid:durableId="1258633885">
    <w:abstractNumId w:val="47"/>
  </w:num>
  <w:num w:numId="21" w16cid:durableId="1844856377">
    <w:abstractNumId w:val="32"/>
  </w:num>
  <w:num w:numId="22" w16cid:durableId="20381133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5358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6009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2954461">
    <w:abstractNumId w:val="18"/>
  </w:num>
  <w:num w:numId="26" w16cid:durableId="692540581">
    <w:abstractNumId w:val="56"/>
  </w:num>
  <w:num w:numId="27" w16cid:durableId="942684970">
    <w:abstractNumId w:val="50"/>
  </w:num>
  <w:num w:numId="28" w16cid:durableId="1402101715">
    <w:abstractNumId w:val="52"/>
  </w:num>
  <w:num w:numId="29" w16cid:durableId="1745489851">
    <w:abstractNumId w:val="23"/>
  </w:num>
  <w:num w:numId="30" w16cid:durableId="1291210113">
    <w:abstractNumId w:val="13"/>
  </w:num>
  <w:num w:numId="31" w16cid:durableId="276715515">
    <w:abstractNumId w:val="4"/>
  </w:num>
  <w:num w:numId="32" w16cid:durableId="1146320701">
    <w:abstractNumId w:val="29"/>
  </w:num>
  <w:num w:numId="33" w16cid:durableId="1992169053">
    <w:abstractNumId w:val="21"/>
  </w:num>
  <w:num w:numId="34" w16cid:durableId="1252541870">
    <w:abstractNumId w:val="48"/>
  </w:num>
  <w:num w:numId="35" w16cid:durableId="1125856629">
    <w:abstractNumId w:val="8"/>
  </w:num>
  <w:num w:numId="36" w16cid:durableId="1236235232">
    <w:abstractNumId w:val="9"/>
  </w:num>
  <w:num w:numId="37" w16cid:durableId="1891571684">
    <w:abstractNumId w:val="22"/>
  </w:num>
  <w:num w:numId="38" w16cid:durableId="1511337207">
    <w:abstractNumId w:val="30"/>
  </w:num>
  <w:num w:numId="39" w16cid:durableId="1064446795">
    <w:abstractNumId w:val="2"/>
  </w:num>
  <w:num w:numId="40" w16cid:durableId="620576141">
    <w:abstractNumId w:val="6"/>
  </w:num>
  <w:num w:numId="41" w16cid:durableId="170146098">
    <w:abstractNumId w:val="39"/>
  </w:num>
  <w:num w:numId="42" w16cid:durableId="946162609">
    <w:abstractNumId w:val="53"/>
  </w:num>
  <w:num w:numId="43" w16cid:durableId="875580435">
    <w:abstractNumId w:val="31"/>
  </w:num>
  <w:num w:numId="44" w16cid:durableId="58477356">
    <w:abstractNumId w:val="17"/>
  </w:num>
  <w:num w:numId="45" w16cid:durableId="195511608">
    <w:abstractNumId w:val="19"/>
  </w:num>
  <w:num w:numId="46" w16cid:durableId="507446459">
    <w:abstractNumId w:val="12"/>
  </w:num>
  <w:num w:numId="47" w16cid:durableId="1398892719">
    <w:abstractNumId w:val="28"/>
  </w:num>
  <w:num w:numId="48" w16cid:durableId="2036953699">
    <w:abstractNumId w:val="16"/>
  </w:num>
  <w:num w:numId="49" w16cid:durableId="1741979099">
    <w:abstractNumId w:val="55"/>
  </w:num>
  <w:num w:numId="50" w16cid:durableId="1365902954">
    <w:abstractNumId w:val="27"/>
  </w:num>
  <w:num w:numId="51" w16cid:durableId="1663073179">
    <w:abstractNumId w:val="34"/>
  </w:num>
  <w:num w:numId="52" w16cid:durableId="1321807924">
    <w:abstractNumId w:val="46"/>
  </w:num>
  <w:num w:numId="53" w16cid:durableId="1841311989">
    <w:abstractNumId w:val="37"/>
  </w:num>
  <w:num w:numId="54" w16cid:durableId="899485491">
    <w:abstractNumId w:val="33"/>
  </w:num>
  <w:num w:numId="55" w16cid:durableId="973175042">
    <w:abstractNumId w:val="10"/>
  </w:num>
  <w:num w:numId="56" w16cid:durableId="1674212955">
    <w:abstractNumId w:val="54"/>
  </w:num>
  <w:num w:numId="57" w16cid:durableId="209851469">
    <w:abstractNumId w:val="5"/>
  </w:num>
  <w:num w:numId="58" w16cid:durableId="1129588781">
    <w:abstractNumId w:val="1"/>
  </w:num>
  <w:num w:numId="59" w16cid:durableId="1530945710">
    <w:abstractNumId w:val="25"/>
  </w:num>
  <w:num w:numId="60" w16cid:durableId="17567814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3"/>
    <w:rsid w:val="000030B8"/>
    <w:rsid w:val="00005B49"/>
    <w:rsid w:val="00006119"/>
    <w:rsid w:val="0001361D"/>
    <w:rsid w:val="000170A7"/>
    <w:rsid w:val="000258F7"/>
    <w:rsid w:val="00042CE3"/>
    <w:rsid w:val="00045607"/>
    <w:rsid w:val="00050AF7"/>
    <w:rsid w:val="00050E1F"/>
    <w:rsid w:val="00061541"/>
    <w:rsid w:val="0006224C"/>
    <w:rsid w:val="00062AAD"/>
    <w:rsid w:val="0006671A"/>
    <w:rsid w:val="00076C28"/>
    <w:rsid w:val="0008134C"/>
    <w:rsid w:val="0008384C"/>
    <w:rsid w:val="00097F1E"/>
    <w:rsid w:val="000A6F0D"/>
    <w:rsid w:val="000C7F53"/>
    <w:rsid w:val="000D31E9"/>
    <w:rsid w:val="000D62B1"/>
    <w:rsid w:val="000E1CE8"/>
    <w:rsid w:val="000F027E"/>
    <w:rsid w:val="000F4D8B"/>
    <w:rsid w:val="00110998"/>
    <w:rsid w:val="001159EB"/>
    <w:rsid w:val="0013455F"/>
    <w:rsid w:val="0013514C"/>
    <w:rsid w:val="00135A50"/>
    <w:rsid w:val="00142076"/>
    <w:rsid w:val="00142B18"/>
    <w:rsid w:val="00154C29"/>
    <w:rsid w:val="00171EC1"/>
    <w:rsid w:val="001840C5"/>
    <w:rsid w:val="00184E25"/>
    <w:rsid w:val="00186A92"/>
    <w:rsid w:val="00195072"/>
    <w:rsid w:val="001B019D"/>
    <w:rsid w:val="001C29F6"/>
    <w:rsid w:val="001D06DC"/>
    <w:rsid w:val="001D1BFD"/>
    <w:rsid w:val="001D66A2"/>
    <w:rsid w:val="001E4CC6"/>
    <w:rsid w:val="002144E5"/>
    <w:rsid w:val="00215743"/>
    <w:rsid w:val="0021651B"/>
    <w:rsid w:val="00216994"/>
    <w:rsid w:val="00222E6A"/>
    <w:rsid w:val="00224595"/>
    <w:rsid w:val="002319EF"/>
    <w:rsid w:val="002408BD"/>
    <w:rsid w:val="00240975"/>
    <w:rsid w:val="00266F71"/>
    <w:rsid w:val="00290A55"/>
    <w:rsid w:val="002957D5"/>
    <w:rsid w:val="00295D85"/>
    <w:rsid w:val="00296F84"/>
    <w:rsid w:val="002B0D22"/>
    <w:rsid w:val="002B57E5"/>
    <w:rsid w:val="002C684F"/>
    <w:rsid w:val="002D2F0B"/>
    <w:rsid w:val="002E238C"/>
    <w:rsid w:val="002E28FE"/>
    <w:rsid w:val="002E5F89"/>
    <w:rsid w:val="002F2B09"/>
    <w:rsid w:val="002F4369"/>
    <w:rsid w:val="002F7E6E"/>
    <w:rsid w:val="00301853"/>
    <w:rsid w:val="00316ED1"/>
    <w:rsid w:val="0032442E"/>
    <w:rsid w:val="00324E1D"/>
    <w:rsid w:val="00340A5E"/>
    <w:rsid w:val="00354C28"/>
    <w:rsid w:val="00370097"/>
    <w:rsid w:val="00380ED9"/>
    <w:rsid w:val="00387221"/>
    <w:rsid w:val="00390FFD"/>
    <w:rsid w:val="003A1621"/>
    <w:rsid w:val="003A1CD8"/>
    <w:rsid w:val="003B230C"/>
    <w:rsid w:val="003B294A"/>
    <w:rsid w:val="003B5BD1"/>
    <w:rsid w:val="003B625E"/>
    <w:rsid w:val="003C7E3F"/>
    <w:rsid w:val="003E2238"/>
    <w:rsid w:val="003E75E8"/>
    <w:rsid w:val="003F0F5D"/>
    <w:rsid w:val="003F373D"/>
    <w:rsid w:val="003F5885"/>
    <w:rsid w:val="004365E8"/>
    <w:rsid w:val="00440B85"/>
    <w:rsid w:val="00443992"/>
    <w:rsid w:val="00443F9D"/>
    <w:rsid w:val="00447908"/>
    <w:rsid w:val="00450539"/>
    <w:rsid w:val="00467183"/>
    <w:rsid w:val="00480574"/>
    <w:rsid w:val="00485688"/>
    <w:rsid w:val="00495E66"/>
    <w:rsid w:val="004A5100"/>
    <w:rsid w:val="004B4E78"/>
    <w:rsid w:val="004B5EBF"/>
    <w:rsid w:val="004C259A"/>
    <w:rsid w:val="004D5F6E"/>
    <w:rsid w:val="004D7FB8"/>
    <w:rsid w:val="004F725B"/>
    <w:rsid w:val="00510B5C"/>
    <w:rsid w:val="00526C39"/>
    <w:rsid w:val="0054289E"/>
    <w:rsid w:val="005443D5"/>
    <w:rsid w:val="00547C45"/>
    <w:rsid w:val="00564CE8"/>
    <w:rsid w:val="00570FA0"/>
    <w:rsid w:val="00581AD7"/>
    <w:rsid w:val="00583B83"/>
    <w:rsid w:val="00593BF3"/>
    <w:rsid w:val="00593DD8"/>
    <w:rsid w:val="005A7DBC"/>
    <w:rsid w:val="005B7EE3"/>
    <w:rsid w:val="005D25D4"/>
    <w:rsid w:val="005D398A"/>
    <w:rsid w:val="005E3E2F"/>
    <w:rsid w:val="005F120D"/>
    <w:rsid w:val="005F1A22"/>
    <w:rsid w:val="005F4AF3"/>
    <w:rsid w:val="00611527"/>
    <w:rsid w:val="00641A05"/>
    <w:rsid w:val="00643262"/>
    <w:rsid w:val="006435D1"/>
    <w:rsid w:val="006462B8"/>
    <w:rsid w:val="006510A9"/>
    <w:rsid w:val="00652334"/>
    <w:rsid w:val="00656F98"/>
    <w:rsid w:val="006605C0"/>
    <w:rsid w:val="006616D1"/>
    <w:rsid w:val="006631B5"/>
    <w:rsid w:val="0066664D"/>
    <w:rsid w:val="00672420"/>
    <w:rsid w:val="00676E55"/>
    <w:rsid w:val="00677F1F"/>
    <w:rsid w:val="00680217"/>
    <w:rsid w:val="006904D0"/>
    <w:rsid w:val="006B30DA"/>
    <w:rsid w:val="006B7A44"/>
    <w:rsid w:val="006B7A79"/>
    <w:rsid w:val="006C0A0D"/>
    <w:rsid w:val="006C16DD"/>
    <w:rsid w:val="006D21A3"/>
    <w:rsid w:val="006D312C"/>
    <w:rsid w:val="006E1C8C"/>
    <w:rsid w:val="006E70CF"/>
    <w:rsid w:val="006F6FB8"/>
    <w:rsid w:val="0070334B"/>
    <w:rsid w:val="007150DE"/>
    <w:rsid w:val="007235F3"/>
    <w:rsid w:val="00733B4A"/>
    <w:rsid w:val="00733F4D"/>
    <w:rsid w:val="00734C91"/>
    <w:rsid w:val="00742F7C"/>
    <w:rsid w:val="00744284"/>
    <w:rsid w:val="00750CFA"/>
    <w:rsid w:val="007632B7"/>
    <w:rsid w:val="00776897"/>
    <w:rsid w:val="007914A8"/>
    <w:rsid w:val="007A7C1D"/>
    <w:rsid w:val="007C4FFD"/>
    <w:rsid w:val="007D2518"/>
    <w:rsid w:val="007E386B"/>
    <w:rsid w:val="00803E0D"/>
    <w:rsid w:val="0081073A"/>
    <w:rsid w:val="00815A62"/>
    <w:rsid w:val="008264C4"/>
    <w:rsid w:val="0082750F"/>
    <w:rsid w:val="0084766C"/>
    <w:rsid w:val="008513C2"/>
    <w:rsid w:val="0085234F"/>
    <w:rsid w:val="008572FF"/>
    <w:rsid w:val="008845B4"/>
    <w:rsid w:val="00896FCB"/>
    <w:rsid w:val="008C09D4"/>
    <w:rsid w:val="00900578"/>
    <w:rsid w:val="009008FA"/>
    <w:rsid w:val="009022A6"/>
    <w:rsid w:val="009051A4"/>
    <w:rsid w:val="00916F0E"/>
    <w:rsid w:val="00924E3F"/>
    <w:rsid w:val="00925EC8"/>
    <w:rsid w:val="00932F8A"/>
    <w:rsid w:val="009401A3"/>
    <w:rsid w:val="00973C9D"/>
    <w:rsid w:val="00977D13"/>
    <w:rsid w:val="009874B2"/>
    <w:rsid w:val="00992771"/>
    <w:rsid w:val="009A525A"/>
    <w:rsid w:val="009C2383"/>
    <w:rsid w:val="009D3EE0"/>
    <w:rsid w:val="009E3268"/>
    <w:rsid w:val="009F43CD"/>
    <w:rsid w:val="00A03AC5"/>
    <w:rsid w:val="00A11844"/>
    <w:rsid w:val="00A254F4"/>
    <w:rsid w:val="00A3244B"/>
    <w:rsid w:val="00A37112"/>
    <w:rsid w:val="00A37161"/>
    <w:rsid w:val="00A42952"/>
    <w:rsid w:val="00A51178"/>
    <w:rsid w:val="00A519C1"/>
    <w:rsid w:val="00A611F2"/>
    <w:rsid w:val="00A62058"/>
    <w:rsid w:val="00A63781"/>
    <w:rsid w:val="00A87133"/>
    <w:rsid w:val="00A9345F"/>
    <w:rsid w:val="00AA1BF1"/>
    <w:rsid w:val="00AA32B1"/>
    <w:rsid w:val="00AB5E2A"/>
    <w:rsid w:val="00AC596C"/>
    <w:rsid w:val="00AD353B"/>
    <w:rsid w:val="00AD6EEB"/>
    <w:rsid w:val="00AE3D55"/>
    <w:rsid w:val="00AF00A9"/>
    <w:rsid w:val="00AF45F0"/>
    <w:rsid w:val="00AF5515"/>
    <w:rsid w:val="00B12CD4"/>
    <w:rsid w:val="00B2645F"/>
    <w:rsid w:val="00B267ED"/>
    <w:rsid w:val="00B30334"/>
    <w:rsid w:val="00B37C25"/>
    <w:rsid w:val="00B41DA4"/>
    <w:rsid w:val="00B511F2"/>
    <w:rsid w:val="00B551A1"/>
    <w:rsid w:val="00B57CEC"/>
    <w:rsid w:val="00B819D7"/>
    <w:rsid w:val="00B81CAE"/>
    <w:rsid w:val="00B83E23"/>
    <w:rsid w:val="00B846CB"/>
    <w:rsid w:val="00B848E1"/>
    <w:rsid w:val="00B93946"/>
    <w:rsid w:val="00B9401F"/>
    <w:rsid w:val="00BA26D0"/>
    <w:rsid w:val="00BA4EDA"/>
    <w:rsid w:val="00BB5575"/>
    <w:rsid w:val="00BD3782"/>
    <w:rsid w:val="00C03F72"/>
    <w:rsid w:val="00C07D4D"/>
    <w:rsid w:val="00C10561"/>
    <w:rsid w:val="00C128C8"/>
    <w:rsid w:val="00C14B81"/>
    <w:rsid w:val="00C14F50"/>
    <w:rsid w:val="00C265BC"/>
    <w:rsid w:val="00C2701E"/>
    <w:rsid w:val="00C31CA7"/>
    <w:rsid w:val="00C45F43"/>
    <w:rsid w:val="00C66F34"/>
    <w:rsid w:val="00C716B1"/>
    <w:rsid w:val="00C83793"/>
    <w:rsid w:val="00C96A26"/>
    <w:rsid w:val="00CA10D9"/>
    <w:rsid w:val="00CA1BC5"/>
    <w:rsid w:val="00CC1D7B"/>
    <w:rsid w:val="00CD6288"/>
    <w:rsid w:val="00CE369A"/>
    <w:rsid w:val="00CF2687"/>
    <w:rsid w:val="00CF4ADE"/>
    <w:rsid w:val="00CF70CD"/>
    <w:rsid w:val="00CF7D3C"/>
    <w:rsid w:val="00D03F44"/>
    <w:rsid w:val="00D20EB6"/>
    <w:rsid w:val="00D25E12"/>
    <w:rsid w:val="00D42166"/>
    <w:rsid w:val="00D44469"/>
    <w:rsid w:val="00D454CA"/>
    <w:rsid w:val="00D46BF2"/>
    <w:rsid w:val="00D52438"/>
    <w:rsid w:val="00D549D8"/>
    <w:rsid w:val="00D65826"/>
    <w:rsid w:val="00D731F4"/>
    <w:rsid w:val="00D75C3B"/>
    <w:rsid w:val="00D76D9B"/>
    <w:rsid w:val="00DA51BD"/>
    <w:rsid w:val="00DB0198"/>
    <w:rsid w:val="00DB1A4D"/>
    <w:rsid w:val="00DB3315"/>
    <w:rsid w:val="00DC0AA1"/>
    <w:rsid w:val="00DC1BF1"/>
    <w:rsid w:val="00DC2350"/>
    <w:rsid w:val="00DD705B"/>
    <w:rsid w:val="00DE12FD"/>
    <w:rsid w:val="00DE2F74"/>
    <w:rsid w:val="00E02115"/>
    <w:rsid w:val="00E11938"/>
    <w:rsid w:val="00E154E7"/>
    <w:rsid w:val="00E2160C"/>
    <w:rsid w:val="00E27357"/>
    <w:rsid w:val="00E3313B"/>
    <w:rsid w:val="00E4412C"/>
    <w:rsid w:val="00E454E2"/>
    <w:rsid w:val="00E62B29"/>
    <w:rsid w:val="00E635EA"/>
    <w:rsid w:val="00E65B85"/>
    <w:rsid w:val="00E7435A"/>
    <w:rsid w:val="00E8308E"/>
    <w:rsid w:val="00E92F42"/>
    <w:rsid w:val="00E93EDE"/>
    <w:rsid w:val="00EA3594"/>
    <w:rsid w:val="00EB198D"/>
    <w:rsid w:val="00EB5F76"/>
    <w:rsid w:val="00EC585B"/>
    <w:rsid w:val="00EC65DE"/>
    <w:rsid w:val="00EE2715"/>
    <w:rsid w:val="00EE2B0F"/>
    <w:rsid w:val="00EE6215"/>
    <w:rsid w:val="00EF0DE6"/>
    <w:rsid w:val="00EF5B73"/>
    <w:rsid w:val="00EF7CE8"/>
    <w:rsid w:val="00F03DDC"/>
    <w:rsid w:val="00F25851"/>
    <w:rsid w:val="00F426FE"/>
    <w:rsid w:val="00F431ED"/>
    <w:rsid w:val="00F43A73"/>
    <w:rsid w:val="00F67512"/>
    <w:rsid w:val="00F74AB4"/>
    <w:rsid w:val="00F85AB1"/>
    <w:rsid w:val="00F9508C"/>
    <w:rsid w:val="00F96071"/>
    <w:rsid w:val="00F97417"/>
    <w:rsid w:val="00FA08E0"/>
    <w:rsid w:val="00FA4E6B"/>
    <w:rsid w:val="00FB2187"/>
    <w:rsid w:val="00FC1FAF"/>
    <w:rsid w:val="00FC74ED"/>
    <w:rsid w:val="00FE317C"/>
    <w:rsid w:val="00FE6667"/>
    <w:rsid w:val="00FF2B51"/>
    <w:rsid w:val="00FF4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AE5C"/>
  <w15:chartTrackingRefBased/>
  <w15:docId w15:val="{47DB815A-A399-4826-B902-84B2B41D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1"/>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nhideWhenUsed/>
    <w:qFormat/>
    <w:rsid w:val="000E1CE8"/>
    <w:pPr>
      <w:keepNext/>
      <w:keepLines/>
      <w:numPr>
        <w:ilvl w:val="1"/>
        <w:numId w:val="1"/>
      </w:numPr>
      <w:tabs>
        <w:tab w:val="left" w:pos="567"/>
      </w:tabs>
      <w:spacing w:after="120"/>
      <w:ind w:left="113" w:firstLine="0"/>
      <w:outlineLvl w:val="1"/>
    </w:pPr>
    <w:rPr>
      <w:rFonts w:eastAsia="Times New Roman" w:cs="Times New Roman"/>
      <w:b/>
      <w:color w:val="008800"/>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rsid w:val="000E1CE8"/>
    <w:rPr>
      <w:rFonts w:ascii="Arial" w:eastAsia="Times New Roman" w:hAnsi="Arial" w:cs="Times New Roman"/>
      <w:b/>
      <w:color w:val="008800"/>
      <w:kern w:val="0"/>
      <w:sz w:val="24"/>
      <w:szCs w:val="24"/>
      <w:lang w:val="en-US"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DC0AA1"/>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DC0AA1"/>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paragraph" w:styleId="Header">
    <w:name w:val="header"/>
    <w:basedOn w:val="Normal"/>
    <w:link w:val="HeaderChar"/>
    <w:uiPriority w:val="99"/>
    <w:semiHidden/>
    <w:unhideWhenUsed/>
    <w:locked/>
    <w:rsid w:val="007914A8"/>
    <w:pPr>
      <w:tabs>
        <w:tab w:val="center" w:pos="4513"/>
        <w:tab w:val="right" w:pos="9026"/>
      </w:tabs>
      <w:spacing w:after="0"/>
    </w:pPr>
  </w:style>
  <w:style w:type="character" w:customStyle="1" w:styleId="HeaderChar">
    <w:name w:val="Header Char"/>
    <w:basedOn w:val="DefaultParagraphFont"/>
    <w:link w:val="Header"/>
    <w:uiPriority w:val="99"/>
    <w:semiHidden/>
    <w:rsid w:val="007914A8"/>
    <w:rPr>
      <w:rFonts w:ascii="Arial" w:hAnsi="Arial" w:cstheme="majorBidi"/>
      <w:color w:val="000000" w:themeColor="text1"/>
      <w:kern w:val="0"/>
      <w:sz w:val="24"/>
      <w:szCs w:val="32"/>
      <w14:ligatures w14:val="none"/>
    </w:rPr>
  </w:style>
  <w:style w:type="character" w:styleId="CommentReference">
    <w:name w:val="annotation reference"/>
    <w:basedOn w:val="DefaultParagraphFont"/>
    <w:uiPriority w:val="99"/>
    <w:semiHidden/>
    <w:unhideWhenUsed/>
    <w:rsid w:val="00495E66"/>
    <w:rPr>
      <w:sz w:val="16"/>
      <w:szCs w:val="16"/>
    </w:rPr>
  </w:style>
  <w:style w:type="paragraph" w:styleId="CommentText">
    <w:name w:val="annotation text"/>
    <w:basedOn w:val="Normal"/>
    <w:link w:val="CommentTextChar"/>
    <w:uiPriority w:val="99"/>
    <w:unhideWhenUsed/>
    <w:rsid w:val="00495E66"/>
    <w:rPr>
      <w:sz w:val="20"/>
      <w:szCs w:val="20"/>
    </w:rPr>
  </w:style>
  <w:style w:type="character" w:customStyle="1" w:styleId="CommentTextChar">
    <w:name w:val="Comment Text Char"/>
    <w:basedOn w:val="DefaultParagraphFont"/>
    <w:link w:val="CommentText"/>
    <w:uiPriority w:val="99"/>
    <w:rsid w:val="00495E66"/>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E66"/>
    <w:rPr>
      <w:b/>
      <w:bCs/>
    </w:rPr>
  </w:style>
  <w:style w:type="character" w:customStyle="1" w:styleId="CommentSubjectChar">
    <w:name w:val="Comment Subject Char"/>
    <w:basedOn w:val="CommentTextChar"/>
    <w:link w:val="CommentSubject"/>
    <w:uiPriority w:val="99"/>
    <w:semiHidden/>
    <w:rsid w:val="00495E66"/>
    <w:rPr>
      <w:rFonts w:ascii="Arial" w:hAnsi="Arial" w:cstheme="majorBidi"/>
      <w:b/>
      <w:bCs/>
      <w:color w:val="000000" w:themeColor="text1"/>
      <w:kern w:val="0"/>
      <w:sz w:val="20"/>
      <w:szCs w:val="20"/>
      <w14:ligatures w14:val="none"/>
    </w:rPr>
  </w:style>
  <w:style w:type="paragraph" w:styleId="ListParagraph">
    <w:name w:val="List Paragraph"/>
    <w:basedOn w:val="Normal"/>
    <w:uiPriority w:val="34"/>
    <w:qFormat/>
    <w:locked/>
    <w:rsid w:val="00AA32B1"/>
    <w:pPr>
      <w:ind w:left="720"/>
      <w:contextualSpacing/>
    </w:pPr>
    <w:rPr>
      <w:rFonts w:eastAsiaTheme="minorEastAsia" w:cs="Arial"/>
      <w:color w:val="auto"/>
      <w:szCs w:val="24"/>
      <w:lang w:eastAsia="en-GB"/>
    </w:rPr>
  </w:style>
  <w:style w:type="paragraph" w:styleId="NormalWeb">
    <w:name w:val="Normal (Web)"/>
    <w:basedOn w:val="Normal"/>
    <w:uiPriority w:val="99"/>
    <w:unhideWhenUsed/>
    <w:locked/>
    <w:rsid w:val="00A11844"/>
    <w:pPr>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233517">
      <w:bodyDiv w:val="1"/>
      <w:marLeft w:val="0"/>
      <w:marRight w:val="0"/>
      <w:marTop w:val="0"/>
      <w:marBottom w:val="0"/>
      <w:divBdr>
        <w:top w:val="none" w:sz="0" w:space="0" w:color="auto"/>
        <w:left w:val="none" w:sz="0" w:space="0" w:color="auto"/>
        <w:bottom w:val="none" w:sz="0" w:space="0" w:color="auto"/>
        <w:right w:val="none" w:sz="0" w:space="0" w:color="auto"/>
      </w:divBdr>
    </w:div>
    <w:div w:id="569271634">
      <w:bodyDiv w:val="1"/>
      <w:marLeft w:val="0"/>
      <w:marRight w:val="0"/>
      <w:marTop w:val="0"/>
      <w:marBottom w:val="0"/>
      <w:divBdr>
        <w:top w:val="none" w:sz="0" w:space="0" w:color="auto"/>
        <w:left w:val="none" w:sz="0" w:space="0" w:color="auto"/>
        <w:bottom w:val="none" w:sz="0" w:space="0" w:color="auto"/>
        <w:right w:val="none" w:sz="0" w:space="0" w:color="auto"/>
      </w:divBdr>
    </w:div>
    <w:div w:id="1156143232">
      <w:bodyDiv w:val="1"/>
      <w:marLeft w:val="0"/>
      <w:marRight w:val="0"/>
      <w:marTop w:val="0"/>
      <w:marBottom w:val="0"/>
      <w:divBdr>
        <w:top w:val="none" w:sz="0" w:space="0" w:color="auto"/>
        <w:left w:val="none" w:sz="0" w:space="0" w:color="auto"/>
        <w:bottom w:val="none" w:sz="0" w:space="0" w:color="auto"/>
        <w:right w:val="none" w:sz="0" w:space="0" w:color="auto"/>
      </w:divBdr>
    </w:div>
    <w:div w:id="1221795162">
      <w:bodyDiv w:val="1"/>
      <w:marLeft w:val="0"/>
      <w:marRight w:val="0"/>
      <w:marTop w:val="0"/>
      <w:marBottom w:val="0"/>
      <w:divBdr>
        <w:top w:val="none" w:sz="0" w:space="0" w:color="auto"/>
        <w:left w:val="none" w:sz="0" w:space="0" w:color="auto"/>
        <w:bottom w:val="none" w:sz="0" w:space="0" w:color="auto"/>
        <w:right w:val="none" w:sz="0" w:space="0" w:color="auto"/>
      </w:divBdr>
    </w:div>
    <w:div w:id="1330644951">
      <w:bodyDiv w:val="1"/>
      <w:marLeft w:val="0"/>
      <w:marRight w:val="0"/>
      <w:marTop w:val="0"/>
      <w:marBottom w:val="0"/>
      <w:divBdr>
        <w:top w:val="none" w:sz="0" w:space="0" w:color="auto"/>
        <w:left w:val="none" w:sz="0" w:space="0" w:color="auto"/>
        <w:bottom w:val="none" w:sz="0" w:space="0" w:color="auto"/>
        <w:right w:val="none" w:sz="0" w:space="0" w:color="auto"/>
      </w:divBdr>
    </w:div>
    <w:div w:id="1662809820">
      <w:bodyDiv w:val="1"/>
      <w:marLeft w:val="0"/>
      <w:marRight w:val="0"/>
      <w:marTop w:val="0"/>
      <w:marBottom w:val="0"/>
      <w:divBdr>
        <w:top w:val="none" w:sz="0" w:space="0" w:color="auto"/>
        <w:left w:val="none" w:sz="0" w:space="0" w:color="auto"/>
        <w:bottom w:val="none" w:sz="0" w:space="0" w:color="auto"/>
        <w:right w:val="none" w:sz="0" w:space="0" w:color="auto"/>
      </w:divBdr>
    </w:div>
    <w:div w:id="171161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0884232C7621A34C934C3C3E869CB23A" ma:contentTypeVersion="16" ma:contentTypeDescription="Template for creating both new Policies &amp; Procedures Documents." ma:contentTypeScope="" ma:versionID="f54ecdc7c4aa75337a542f6a9a93d9f6">
  <xsd:schema xmlns:xsd="http://www.w3.org/2001/XMLSchema" xmlns:xs="http://www.w3.org/2001/XMLSchema" xmlns:p="http://schemas.microsoft.com/office/2006/metadata/properties" xmlns:ns1="http://schemas.microsoft.com/sharepoint/v3" xmlns:ns2="e918a934-f880-47b6-8635-719b6fa25435" xmlns:ns3="63a41b16-6feb-49be-a44c-c1e291ffd80a" xmlns:ns4="http://schemas.microsoft.com/sharepoint/v3/fields" targetNamespace="http://schemas.microsoft.com/office/2006/metadata/properties" ma:root="true" ma:fieldsID="ae38b06627560171a4447732c6124e78" ns1:_="" ns2:_="" ns3:_="" ns4:_="">
    <xsd:import namespace="http://schemas.microsoft.com/sharepoint/v3"/>
    <xsd:import namespace="e918a934-f880-47b6-8635-719b6fa25435"/>
    <xsd:import namespace="63a41b16-6feb-49be-a44c-c1e291ffd80a"/>
    <xsd:import namespace="http://schemas.microsoft.com/sharepoint/v3/fields"/>
    <xsd:element name="properties">
      <xsd:complexType>
        <xsd:sequence>
          <xsd:element name="documentManagement">
            <xsd:complexType>
              <xsd:all>
                <xsd:element ref="ns2:Function"/>
                <xsd:element ref="ns3:Document_x0020_Type"/>
                <xsd:element ref="ns4:_Status"/>
                <xsd:element ref="ns3:Owner"/>
                <xsd:element ref="ns3:Approval_x0020_Level" minOccurs="0"/>
                <xsd:element ref="ns3:Audience" minOccurs="0"/>
                <xsd:element ref="ns3:EQIA"/>
                <xsd:element ref="ns3:Resident_x0020_Consultation"/>
                <xsd:element ref="ns3:Planned_x0020_Review_x0020_Date"/>
                <xsd:element ref="ns3:Review_x0020_Cycle" minOccurs="0"/>
                <xsd:element ref="ns1:_Extended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3"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8a934-f880-47b6-8635-719b6fa25435"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Asset Management &amp; Compliance"/>
          <xsd:enumeration value="Capital Delivery"/>
          <xsd:enumeration value="Procurement &amp; Contracts"/>
          <xsd:enumeration value="Repairs"/>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3"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5"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6"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7" nillable="true" ma:displayName="Audience" ma:format="Dropdown" ma:internalName="Audience" ma:readOnly="false">
      <xsd:simpleType>
        <xsd:restriction base="dms:Choice">
          <xsd:enumeration value="Internal"/>
          <xsd:enumeration value="External"/>
          <xsd:enumeration value="Internal &amp; External"/>
        </xsd:restriction>
      </xsd:simpleType>
    </xsd:element>
    <xsd:element name="EQIA" ma:index="8"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9"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0" ma:displayName="Planned Review Date" ma:format="DateOnly" ma:internalName="Planned_x0020_Review_x0020_Date" ma:readOnly="false">
      <xsd:simpleType>
        <xsd:restriction base="dms:DateTime"/>
      </xsd:simpleType>
    </xsd:element>
    <xsd:element name="Review_x0020_Cycle" ma:index="11"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QIA xmlns="63a41b16-6feb-49be-a44c-c1e291ffd80a">No</EQIA>
    <Document_x0020_Type xmlns="63a41b16-6feb-49be-a44c-c1e291ffd80a">Policy</Document_x0020_Type>
    <Review_x0020_Cycle xmlns="63a41b16-6feb-49be-a44c-c1e291ffd80a">4 Years</Review_x0020_Cycle>
    <Audience xmlns="63a41b16-6feb-49be-a44c-c1e291ffd80a">Internal &amp; External</Audience>
    <Approval_x0020_Level xmlns="63a41b16-6feb-49be-a44c-c1e291ffd80a">
      <Value>Cabinet</Value>
    </Approval_x0020_Level>
    <_Status xmlns="http://schemas.microsoft.com/sharepoint/v3/fields">Published</_Status>
    <_ExtendedDescription xmlns="http://schemas.microsoft.com/sharepoint/v3" xsi:nil="true"/>
    <Owner xmlns="63a41b16-6feb-49be-a44c-c1e291ffd80a">
      <UserInfo>
        <DisplayName>Stephen Platt</DisplayName>
        <AccountId>626</AccountId>
        <AccountType/>
      </UserInfo>
    </Owner>
    <Planned_x0020_Review_x0020_Date xmlns="63a41b16-6feb-49be-a44c-c1e291ffd80a">2029-11-05T00:00:00+00:00</Planned_x0020_Review_x0020_Date>
    <Resident_x0020_Consultation xmlns="63a41b16-6feb-49be-a44c-c1e291ffd80a">Yes</Resident_x0020_Consultation>
    <Function xmlns="e918a934-f880-47b6-8635-719b6fa25435">Asset Management &amp; Compliance</Function>
  </documentManagement>
</p:properties>
</file>

<file path=customXml/itemProps1.xml><?xml version="1.0" encoding="utf-8"?>
<ds:datastoreItem xmlns:ds="http://schemas.openxmlformats.org/officeDocument/2006/customXml" ds:itemID="{10E5FBA2-EC48-43A3-B807-1EDF06970C41}">
  <ds:schemaRefs>
    <ds:schemaRef ds:uri="http://schemas.openxmlformats.org/officeDocument/2006/bibliography"/>
  </ds:schemaRefs>
</ds:datastoreItem>
</file>

<file path=customXml/itemProps2.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3.xml><?xml version="1.0" encoding="utf-8"?>
<ds:datastoreItem xmlns:ds="http://schemas.openxmlformats.org/officeDocument/2006/customXml" ds:itemID="{14510A93-5047-4085-ADC6-4696882A4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18a934-f880-47b6-8635-719b6fa25435"/>
    <ds:schemaRef ds:uri="63a41b16-6feb-49be-a44c-c1e291ffd8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9A73A-70A6-4792-9FED-5CF00C51BD8D}">
  <ds:schemaRefs>
    <ds:schemaRef ds:uri="http://schemas.microsoft.com/office/2006/metadata/properties"/>
    <ds:schemaRef ds:uri="http://schemas.microsoft.com/office/infopath/2007/PartnerControls"/>
    <ds:schemaRef ds:uri="63a41b16-6feb-49be-a44c-c1e291ffd80a"/>
    <ds:schemaRef ds:uri="http://schemas.microsoft.com/sharepoint/v3/fields"/>
    <ds:schemaRef ds:uri="http://schemas.microsoft.com/sharepoint/v3"/>
    <ds:schemaRef ds:uri="e918a934-f880-47b6-8635-719b6fa25435"/>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15</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Death of a Tenant Procedure</vt:lpstr>
    </vt:vector>
  </TitlesOfParts>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Enlargements &amp; Adaptations Policy</dc:title>
  <dc:subject/>
  <dc:creator>Tyran Pierre</dc:creator>
  <cp:keywords/>
  <dc:description/>
  <cp:lastModifiedBy>Phillip Nduoyo</cp:lastModifiedBy>
  <cp:revision>123</cp:revision>
  <dcterms:created xsi:type="dcterms:W3CDTF">2025-09-30T10:29:00Z</dcterms:created>
  <dcterms:modified xsi:type="dcterms:W3CDTF">2025-12-11T09:23:00Z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0x0101001C71EB6EB42EF242ADEEEF0D01C9D846000884232C7621A34C934C3C3E869CB23A</vt:lpwstr>
  </property>
</Properties>
</file>