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1382B95">
            <wp:simplePos x="0" y="0"/>
            <wp:positionH relativeFrom="page">
              <wp:align>right</wp:align>
            </wp:positionH>
            <wp:positionV relativeFrom="paragraph">
              <wp:posOffset>-960770</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7DAF9B07" w14:textId="77777777" w:rsidR="006B5446" w:rsidRPr="009F0FF6" w:rsidRDefault="006B5446" w:rsidP="00DC0AA1">
      <w:pPr>
        <w:pStyle w:val="Title"/>
        <w:rPr>
          <w:sz w:val="48"/>
          <w:szCs w:val="48"/>
        </w:rPr>
      </w:pPr>
    </w:p>
    <w:p w14:paraId="74B464F9" w14:textId="4DD4F45E" w:rsidR="00DC0AA1" w:rsidRPr="00BD0219" w:rsidRDefault="00DC0AA1" w:rsidP="00DC0AA1">
      <w:pPr>
        <w:pStyle w:val="Title"/>
      </w:pPr>
      <w:r>
        <w:t>London Borough of Tower Hamlets</w:t>
      </w:r>
    </w:p>
    <w:p w14:paraId="0C933257" w14:textId="5A84C5BD" w:rsidR="00DC0AA1" w:rsidRPr="009F0FF6" w:rsidRDefault="00F62456" w:rsidP="009C2383">
      <w:pPr>
        <w:pStyle w:val="DocTitle"/>
        <w:rPr>
          <w:sz w:val="52"/>
          <w:szCs w:val="52"/>
        </w:rPr>
      </w:pPr>
      <w:r w:rsidRPr="009F0FF6">
        <w:rPr>
          <w:sz w:val="52"/>
          <w:szCs w:val="52"/>
        </w:rPr>
        <w:t>Housing Complaints</w:t>
      </w:r>
      <w:r w:rsidR="009F0FF6">
        <w:rPr>
          <w:sz w:val="52"/>
          <w:szCs w:val="52"/>
        </w:rPr>
        <w:t xml:space="preserve"> Compensation Policy </w:t>
      </w:r>
      <w:r w:rsidR="00B11248" w:rsidRPr="009F0FF6">
        <w:rPr>
          <w:sz w:val="52"/>
          <w:szCs w:val="52"/>
        </w:rPr>
        <w:t>(for Council Tenants &amp; Leaseholders</w:t>
      </w:r>
      <w:r w:rsidR="00AF41FA" w:rsidRPr="009F0FF6">
        <w:rPr>
          <w:sz w:val="52"/>
          <w:szCs w:val="52"/>
        </w:rPr>
        <w:t xml:space="preserve">) </w:t>
      </w:r>
      <w:r w:rsidRPr="009F0FF6">
        <w:rPr>
          <w:sz w:val="52"/>
          <w:szCs w:val="52"/>
        </w:rPr>
        <w:t>2025-28</w:t>
      </w:r>
    </w:p>
    <w:p w14:paraId="2A7E29BD" w14:textId="77777777" w:rsidR="00B93946" w:rsidRPr="009F0FF6" w:rsidRDefault="00B93946" w:rsidP="009C2383">
      <w:pPr>
        <w:pStyle w:val="DocTitle"/>
        <w:rPr>
          <w:sz w:val="48"/>
          <w:szCs w:val="48"/>
        </w:rPr>
      </w:pPr>
    </w:p>
    <w:tbl>
      <w:tblPr>
        <w:tblStyle w:val="TableGrid"/>
        <w:tblW w:w="9067" w:type="dxa"/>
        <w:tblLook w:val="04A0" w:firstRow="1" w:lastRow="0" w:firstColumn="1" w:lastColumn="0" w:noHBand="0" w:noVBand="1"/>
      </w:tblPr>
      <w:tblGrid>
        <w:gridCol w:w="9067"/>
      </w:tblGrid>
      <w:tr w:rsidR="00DC0AA1" w:rsidRPr="00FB7D3F" w14:paraId="32D5C7DC" w14:textId="77777777" w:rsidTr="00E96350">
        <w:tc>
          <w:tcPr>
            <w:tcW w:w="9067" w:type="dxa"/>
          </w:tcPr>
          <w:p w14:paraId="05FEDFE4" w14:textId="313A1A0E" w:rsidR="00DC0AA1" w:rsidRPr="00FE574E" w:rsidRDefault="0032442E" w:rsidP="00B65CD1">
            <w:bookmarkStart w:id="0" w:name="_Hlk103025915"/>
            <w:r>
              <w:t>Policy</w:t>
            </w:r>
          </w:p>
          <w:p w14:paraId="1DDFEEB8" w14:textId="77777777" w:rsidR="00DC0AA1" w:rsidRPr="00EC2D1B" w:rsidRDefault="00DC0AA1" w:rsidP="00B65CD1"/>
        </w:tc>
      </w:tr>
      <w:tr w:rsidR="00DC0AA1" w:rsidRPr="00FB7D3F" w14:paraId="5AF8386D" w14:textId="77777777" w:rsidTr="00E96350">
        <w:tc>
          <w:tcPr>
            <w:tcW w:w="9067" w:type="dxa"/>
          </w:tcPr>
          <w:p w14:paraId="2C7ECE1D" w14:textId="11D15FC3" w:rsidR="00352768" w:rsidRPr="0038502D" w:rsidRDefault="00352768" w:rsidP="00352768">
            <w:pPr>
              <w:pStyle w:val="abcList"/>
              <w:numPr>
                <w:ilvl w:val="0"/>
                <w:numId w:val="0"/>
              </w:numPr>
            </w:pPr>
            <w:r w:rsidRPr="00952E08">
              <w:t>This policy</w:t>
            </w:r>
            <w:r w:rsidRPr="0038502D">
              <w:t xml:space="preserve"> aims to:  </w:t>
            </w:r>
          </w:p>
          <w:p w14:paraId="17B5FC8A" w14:textId="7166CA20" w:rsidR="00352768" w:rsidRPr="0038502D" w:rsidRDefault="00352768" w:rsidP="00352768">
            <w:pPr>
              <w:pStyle w:val="ListBullet"/>
            </w:pPr>
            <w:r w:rsidRPr="0038502D">
              <w:t>Set out the circumstances under which compensation will be paid</w:t>
            </w:r>
          </w:p>
          <w:p w14:paraId="3BA5F0FB" w14:textId="0F6514CE" w:rsidR="00352768" w:rsidRPr="0038502D" w:rsidRDefault="00352768" w:rsidP="00352768">
            <w:pPr>
              <w:pStyle w:val="ListBullet"/>
            </w:pPr>
            <w:r w:rsidRPr="0038502D">
              <w:t>Promote fairness and consistency when calculating compensation</w:t>
            </w:r>
          </w:p>
          <w:p w14:paraId="72D05C53" w14:textId="77777777" w:rsidR="00DC0AA1" w:rsidRDefault="00352768" w:rsidP="00B11248">
            <w:pPr>
              <w:pStyle w:val="ListBullet"/>
            </w:pPr>
            <w:r w:rsidRPr="0038502D">
              <w:t>Provide guidance on how and when compensation can be claimed.</w:t>
            </w:r>
          </w:p>
          <w:p w14:paraId="7D37A66A" w14:textId="51123E78" w:rsidR="009F0FF6" w:rsidRPr="00EC2D1B" w:rsidRDefault="009F0FF6" w:rsidP="009F0FF6">
            <w:pPr>
              <w:pStyle w:val="ListBullet"/>
              <w:numPr>
                <w:ilvl w:val="0"/>
                <w:numId w:val="0"/>
              </w:numPr>
            </w:pPr>
          </w:p>
        </w:tc>
      </w:tr>
      <w:tr w:rsidR="00485688" w:rsidRPr="00FB7D3F" w14:paraId="615777F8" w14:textId="77777777" w:rsidTr="00E96350">
        <w:trPr>
          <w:trHeight w:val="567"/>
        </w:trPr>
        <w:tc>
          <w:tcPr>
            <w:tcW w:w="9067" w:type="dxa"/>
            <w:shd w:val="clear" w:color="auto" w:fill="D9D9D9" w:themeFill="background1" w:themeFillShade="D9"/>
          </w:tcPr>
          <w:p w14:paraId="42CD8441" w14:textId="6D45BCF6" w:rsidR="00485688" w:rsidRPr="00FE574E" w:rsidRDefault="00485688" w:rsidP="00485688">
            <w:pPr>
              <w:pStyle w:val="BoldNormal"/>
            </w:pPr>
            <w:r>
              <w:t xml:space="preserve">Date edited: </w:t>
            </w:r>
            <w:r w:rsidR="00C60C7F">
              <w:t>21.07.</w:t>
            </w:r>
            <w:r w:rsidR="00E632B1">
              <w:t>20</w:t>
            </w:r>
            <w:r w:rsidR="00C60C7F">
              <w:t>25</w:t>
            </w:r>
          </w:p>
        </w:tc>
      </w:tr>
      <w:tr w:rsidR="00485688" w:rsidRPr="00FB7D3F" w14:paraId="509CFE2E" w14:textId="77777777" w:rsidTr="00E96350">
        <w:trPr>
          <w:trHeight w:val="567"/>
        </w:trPr>
        <w:tc>
          <w:tcPr>
            <w:tcW w:w="9067" w:type="dxa"/>
            <w:shd w:val="clear" w:color="auto" w:fill="D9D9D9" w:themeFill="background1" w:themeFillShade="D9"/>
          </w:tcPr>
          <w:p w14:paraId="3A39A5DE" w14:textId="675BAC99" w:rsidR="00485688" w:rsidRDefault="00485688" w:rsidP="00485688">
            <w:pPr>
              <w:pStyle w:val="BoldNormal"/>
            </w:pPr>
            <w:r>
              <w:t xml:space="preserve">Author: </w:t>
            </w:r>
            <w:r w:rsidR="00E632B1">
              <w:t>Shamima Khatun – Senior Business Development Officer</w:t>
            </w:r>
          </w:p>
        </w:tc>
      </w:tr>
      <w:tr w:rsidR="00485688" w:rsidRPr="00FB7D3F" w14:paraId="45D2B857" w14:textId="77777777" w:rsidTr="00E96350">
        <w:trPr>
          <w:trHeight w:val="567"/>
        </w:trPr>
        <w:tc>
          <w:tcPr>
            <w:tcW w:w="9067" w:type="dxa"/>
            <w:shd w:val="clear" w:color="auto" w:fill="D9D9D9" w:themeFill="background1" w:themeFillShade="D9"/>
          </w:tcPr>
          <w:p w14:paraId="0CC6E884" w14:textId="5D20E33D" w:rsidR="00485688" w:rsidRDefault="00485688" w:rsidP="00485688">
            <w:pPr>
              <w:pStyle w:val="BoldNormal"/>
            </w:pPr>
            <w:r>
              <w:t xml:space="preserve">Owner: </w:t>
            </w:r>
            <w:r w:rsidR="00E632B1">
              <w:t>Head of Regulatory Assurance</w:t>
            </w:r>
          </w:p>
        </w:tc>
      </w:tr>
      <w:tr w:rsidR="00485688" w:rsidRPr="00FB7D3F" w14:paraId="16B3E0BE" w14:textId="77777777" w:rsidTr="00E96350">
        <w:trPr>
          <w:trHeight w:val="567"/>
        </w:trPr>
        <w:tc>
          <w:tcPr>
            <w:tcW w:w="9067" w:type="dxa"/>
            <w:shd w:val="clear" w:color="auto" w:fill="D9D9D9" w:themeFill="background1" w:themeFillShade="D9"/>
          </w:tcPr>
          <w:p w14:paraId="297F60DE" w14:textId="6F794550" w:rsidR="00485688" w:rsidRPr="00FE574E" w:rsidRDefault="00485688" w:rsidP="00485688">
            <w:pPr>
              <w:pStyle w:val="BoldNormal"/>
            </w:pPr>
            <w:r w:rsidRPr="00777D19">
              <w:t>Approved by:</w:t>
            </w:r>
            <w:r>
              <w:t xml:space="preserve"> </w:t>
            </w:r>
            <w:r w:rsidR="00D51D59">
              <w:t>Housing Management Cabinet Sub-Committee – 24.09.25</w:t>
            </w:r>
          </w:p>
        </w:tc>
      </w:tr>
      <w:tr w:rsidR="00485688" w:rsidRPr="00FB7D3F" w14:paraId="135D6043" w14:textId="77777777" w:rsidTr="00E96350">
        <w:trPr>
          <w:trHeight w:val="567"/>
        </w:trPr>
        <w:tc>
          <w:tcPr>
            <w:tcW w:w="9067" w:type="dxa"/>
            <w:shd w:val="clear" w:color="auto" w:fill="D9D9D9" w:themeFill="background1" w:themeFillShade="D9"/>
          </w:tcPr>
          <w:p w14:paraId="66317B8B" w14:textId="0605DFAB" w:rsidR="00485688" w:rsidRPr="00FE574E" w:rsidRDefault="00485688" w:rsidP="00485688">
            <w:pPr>
              <w:pStyle w:val="BoldNormal"/>
            </w:pPr>
            <w:r w:rsidRPr="00777D19">
              <w:t>Review cycle:</w:t>
            </w:r>
            <w:r>
              <w:t xml:space="preserve"> </w:t>
            </w:r>
            <w:r w:rsidR="00D51D59">
              <w:t xml:space="preserve">3 </w:t>
            </w:r>
            <w:r w:rsidRPr="00777D19">
              <w:t>years</w:t>
            </w:r>
          </w:p>
        </w:tc>
      </w:tr>
      <w:tr w:rsidR="00485688" w:rsidRPr="00FB7D3F" w14:paraId="1E6D7631" w14:textId="77777777" w:rsidTr="00E96350">
        <w:trPr>
          <w:trHeight w:val="567"/>
        </w:trPr>
        <w:tc>
          <w:tcPr>
            <w:tcW w:w="9067" w:type="dxa"/>
            <w:shd w:val="clear" w:color="auto" w:fill="D9D9D9" w:themeFill="background1" w:themeFillShade="D9"/>
          </w:tcPr>
          <w:p w14:paraId="15EF7523" w14:textId="5ED0294A" w:rsidR="00485688" w:rsidRPr="00FE574E" w:rsidRDefault="00485688" w:rsidP="00485688">
            <w:pPr>
              <w:pStyle w:val="BoldNormal"/>
            </w:pPr>
            <w:r w:rsidRPr="00777D19">
              <w:t>Next review date:</w:t>
            </w:r>
            <w:r>
              <w:t xml:space="preserve"> </w:t>
            </w:r>
            <w:r w:rsidR="00D51D59">
              <w:t>2028</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p w14:paraId="4ADCD42B" w14:textId="77777777" w:rsidR="00DC0AA1" w:rsidRDefault="00DC0AA1" w:rsidP="00DC0AA1"/>
    <w:p w14:paraId="14C464D1" w14:textId="77777777" w:rsidR="00DC0AA1" w:rsidRDefault="00DC0AA1" w:rsidP="00DC0AA1">
      <w:pPr>
        <w:pStyle w:val="BoldNormal"/>
      </w:pPr>
      <w:r w:rsidRPr="00536639">
        <w:t>Regulatory Standards, Legislation and Codes of practice</w:t>
      </w:r>
    </w:p>
    <w:tbl>
      <w:tblPr>
        <w:tblStyle w:val="Table-SideShade"/>
        <w:tblpPr w:leftFromText="180" w:rightFromText="180" w:vertAnchor="text" w:horzAnchor="margin" w:tblpY="314"/>
        <w:tblW w:w="9209" w:type="dxa"/>
        <w:tblLook w:val="04A0" w:firstRow="1" w:lastRow="0" w:firstColumn="1" w:lastColumn="0" w:noHBand="0" w:noVBand="1"/>
      </w:tblPr>
      <w:tblGrid>
        <w:gridCol w:w="2978"/>
        <w:gridCol w:w="6231"/>
      </w:tblGrid>
      <w:tr w:rsidR="00DC0AA1" w:rsidRPr="00DE6AD5" w14:paraId="4E4E42B1" w14:textId="77777777" w:rsidTr="00E96350">
        <w:trPr>
          <w:trHeight w:val="413"/>
        </w:trPr>
        <w:tc>
          <w:tcPr>
            <w:cnfStyle w:val="001000000000" w:firstRow="0" w:lastRow="0" w:firstColumn="1" w:lastColumn="0" w:oddVBand="0" w:evenVBand="0" w:oddHBand="0" w:evenHBand="0" w:firstRowFirstColumn="0" w:firstRowLastColumn="0" w:lastRowFirstColumn="0" w:lastRowLastColumn="0"/>
            <w:tcW w:w="2978" w:type="dxa"/>
          </w:tcPr>
          <w:p w14:paraId="4D5C6EAE" w14:textId="77777777" w:rsidR="00DC0AA1" w:rsidRPr="00FE574E" w:rsidRDefault="00DC0AA1" w:rsidP="00B65CD1">
            <w:pPr>
              <w:pStyle w:val="BoldNormal"/>
            </w:pPr>
            <w:r w:rsidRPr="00777D19">
              <w:t>Regulator:</w:t>
            </w:r>
          </w:p>
        </w:tc>
        <w:tc>
          <w:tcPr>
            <w:tcW w:w="6231" w:type="dxa"/>
          </w:tcPr>
          <w:p w14:paraId="492CE976" w14:textId="77777777" w:rsidR="006743F1" w:rsidRDefault="006743F1" w:rsidP="006743F1">
            <w:pPr>
              <w:pStyle w:val="ListBullet"/>
              <w:cnfStyle w:val="000000000000" w:firstRow="0" w:lastRow="0" w:firstColumn="0" w:lastColumn="0" w:oddVBand="0" w:evenVBand="0" w:oddHBand="0" w:evenHBand="0" w:firstRowFirstColumn="0" w:firstRowLastColumn="0" w:lastRowFirstColumn="0" w:lastRowLastColumn="0"/>
            </w:pPr>
            <w:r>
              <w:t>Regulator of Social Housing</w:t>
            </w:r>
          </w:p>
          <w:p w14:paraId="06DF0D72" w14:textId="5B0531E7" w:rsidR="00E93EDE" w:rsidRDefault="006743F1" w:rsidP="006743F1">
            <w:pPr>
              <w:pStyle w:val="ListBullet"/>
              <w:cnfStyle w:val="000000000000" w:firstRow="0" w:lastRow="0" w:firstColumn="0" w:lastColumn="0" w:oddVBand="0" w:evenVBand="0" w:oddHBand="0" w:evenHBand="0" w:firstRowFirstColumn="0" w:firstRowLastColumn="0" w:lastRowFirstColumn="0" w:lastRowLastColumn="0"/>
            </w:pPr>
            <w:r>
              <w:t>Housing Ombudsman Service</w:t>
            </w:r>
          </w:p>
          <w:p w14:paraId="6E0EF15C" w14:textId="652CC000" w:rsidR="006C16DD" w:rsidRPr="00777D19" w:rsidRDefault="006C16DD" w:rsidP="0032442E">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p>
        </w:tc>
      </w:tr>
      <w:tr w:rsidR="00DC0AA1" w:rsidRPr="00DE6AD5" w14:paraId="783D00AD" w14:textId="77777777" w:rsidTr="00E96350">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2B616C46" w14:textId="77777777" w:rsidR="00DC0AA1" w:rsidRPr="00FE574E" w:rsidRDefault="00DC0AA1" w:rsidP="00B65CD1">
            <w:pPr>
              <w:pStyle w:val="BoldNormal"/>
            </w:pPr>
            <w:r w:rsidRPr="00777D19">
              <w:t>Legislation:</w:t>
            </w:r>
          </w:p>
        </w:tc>
        <w:tc>
          <w:tcPr>
            <w:tcW w:w="6231" w:type="dxa"/>
          </w:tcPr>
          <w:p w14:paraId="49528710"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rsidRPr="00023DAB">
              <w:t>Social Housing Regulation Act 2023</w:t>
            </w:r>
          </w:p>
          <w:p w14:paraId="7E145F41"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rsidRPr="0031325A">
              <w:t>Regulator of Social Housing's Consumer Standard</w:t>
            </w:r>
            <w:r>
              <w:t>s</w:t>
            </w:r>
          </w:p>
          <w:p w14:paraId="6E9736C6" w14:textId="77777777" w:rsidR="00402015" w:rsidRPr="00F004FF"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t>Housing Ombudsman's Complaint Handling Code</w:t>
            </w:r>
          </w:p>
          <w:p w14:paraId="3A1D3501"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t>Right to Repair Regulations 1994</w:t>
            </w:r>
          </w:p>
          <w:p w14:paraId="0D873092"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t>Land Compensation Act 1973</w:t>
            </w:r>
          </w:p>
          <w:p w14:paraId="165F1647"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rsidRPr="005074CC">
              <w:t>Housing Act 1985 </w:t>
            </w:r>
          </w:p>
          <w:p w14:paraId="58E64EF9"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rsidRPr="005074CC">
              <w:t xml:space="preserve">Secure Tenants of Local Housing Authorities (Right to Repair) Regulations 1994   </w:t>
            </w:r>
          </w:p>
          <w:p w14:paraId="1670949B" w14:textId="77777777" w:rsidR="00402015"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rsidRPr="005074CC">
              <w:t xml:space="preserve">Housing Act 1988   </w:t>
            </w:r>
          </w:p>
          <w:p w14:paraId="7BCB3D64" w14:textId="77777777" w:rsidR="00DC0AA1" w:rsidRDefault="00402015" w:rsidP="00402015">
            <w:pPr>
              <w:pStyle w:val="ListBullet"/>
              <w:cnfStyle w:val="000000000000" w:firstRow="0" w:lastRow="0" w:firstColumn="0" w:lastColumn="0" w:oddVBand="0" w:evenVBand="0" w:oddHBand="0" w:evenHBand="0" w:firstRowFirstColumn="0" w:firstRowLastColumn="0" w:lastRowFirstColumn="0" w:lastRowLastColumn="0"/>
            </w:pPr>
            <w:r w:rsidRPr="005074CC">
              <w:t xml:space="preserve">Secure Tenants of Local Authorities (Compensation for Improvements) </w:t>
            </w:r>
            <w:r w:rsidRPr="001706B7">
              <w:t>Regulations 1994</w:t>
            </w:r>
          </w:p>
          <w:p w14:paraId="53838974" w14:textId="7801B23B" w:rsidR="00E96350" w:rsidRPr="00777D19" w:rsidRDefault="00E96350" w:rsidP="00E96350">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DC0AA1" w:rsidRPr="00DE6AD5" w14:paraId="5DD7D76E" w14:textId="77777777" w:rsidTr="00E96350">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574FEF5F" w14:textId="77777777" w:rsidR="00DC0AA1" w:rsidRPr="00FE574E" w:rsidRDefault="00DC0AA1" w:rsidP="00B65CD1">
            <w:pPr>
              <w:pStyle w:val="BoldNormal"/>
            </w:pPr>
            <w:r w:rsidRPr="00777D19">
              <w:t>Codes of practice:</w:t>
            </w:r>
          </w:p>
        </w:tc>
        <w:tc>
          <w:tcPr>
            <w:tcW w:w="6231" w:type="dxa"/>
          </w:tcPr>
          <w:p w14:paraId="309EF989" w14:textId="77777777" w:rsidR="00DC0AA1" w:rsidRPr="00777D19" w:rsidRDefault="00DC0AA1" w:rsidP="00B65CD1">
            <w:pPr>
              <w:cnfStyle w:val="000000000000" w:firstRow="0" w:lastRow="0" w:firstColumn="0" w:lastColumn="0" w:oddVBand="0" w:evenVBand="0" w:oddHBand="0" w:evenHBand="0" w:firstRowFirstColumn="0" w:firstRowLastColumn="0" w:lastRowFirstColumn="0" w:lastRowLastColumn="0"/>
            </w:pPr>
          </w:p>
        </w:tc>
      </w:tr>
      <w:tr w:rsidR="00DC0AA1" w:rsidRPr="00DE6AD5" w14:paraId="21E9BEE1" w14:textId="77777777" w:rsidTr="00E96350">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3C708EEC" w14:textId="77777777" w:rsidR="00DC0AA1" w:rsidRPr="00FE574E" w:rsidRDefault="00DC0AA1" w:rsidP="00B65CD1">
            <w:pPr>
              <w:pStyle w:val="BoldNormal"/>
            </w:pPr>
            <w:r w:rsidRPr="00777D19">
              <w:t>The policy also operates in the context of:</w:t>
            </w:r>
          </w:p>
        </w:tc>
        <w:tc>
          <w:tcPr>
            <w:tcW w:w="6231" w:type="dxa"/>
          </w:tcPr>
          <w:p w14:paraId="729EF6DA" w14:textId="77777777" w:rsidR="00AD670A" w:rsidRPr="00C04F39" w:rsidRDefault="00AD670A" w:rsidP="00AD670A">
            <w:pPr>
              <w:pStyle w:val="ListBullet"/>
              <w:cnfStyle w:val="000000000000" w:firstRow="0" w:lastRow="0" w:firstColumn="0" w:lastColumn="0" w:oddVBand="0" w:evenVBand="0" w:oddHBand="0" w:evenHBand="0" w:firstRowFirstColumn="0" w:firstRowLastColumn="0" w:lastRowFirstColumn="0" w:lastRowLastColumn="0"/>
            </w:pPr>
            <w:r>
              <w:t>Housing Management Complaints Policy and Procedure</w:t>
            </w:r>
          </w:p>
          <w:p w14:paraId="5770F684" w14:textId="77777777" w:rsidR="00AD670A" w:rsidRPr="00120FD5" w:rsidRDefault="00AD670A" w:rsidP="00AD670A">
            <w:pPr>
              <w:pStyle w:val="ListBullet"/>
              <w:cnfStyle w:val="000000000000" w:firstRow="0" w:lastRow="0" w:firstColumn="0" w:lastColumn="0" w:oddVBand="0" w:evenVBand="0" w:oddHBand="0" w:evenHBand="0" w:firstRowFirstColumn="0" w:firstRowLastColumn="0" w:lastRowFirstColumn="0" w:lastRowLastColumn="0"/>
              <w:rPr>
                <w:highlight w:val="yellow"/>
              </w:rPr>
            </w:pPr>
            <w:r w:rsidRPr="00120FD5">
              <w:rPr>
                <w:highlight w:val="yellow"/>
              </w:rPr>
              <w:t>THH Repairs Policy 2018</w:t>
            </w:r>
          </w:p>
          <w:p w14:paraId="206D8D87" w14:textId="77777777" w:rsidR="00925EC8" w:rsidRDefault="00AD670A" w:rsidP="00AD670A">
            <w:pPr>
              <w:pStyle w:val="ListBullet"/>
              <w:cnfStyle w:val="000000000000" w:firstRow="0" w:lastRow="0" w:firstColumn="0" w:lastColumn="0" w:oddVBand="0" w:evenVBand="0" w:oddHBand="0" w:evenHBand="0" w:firstRowFirstColumn="0" w:firstRowLastColumn="0" w:lastRowFirstColumn="0" w:lastRowLastColumn="0"/>
            </w:pPr>
            <w:r>
              <w:t>Decants Policy</w:t>
            </w:r>
          </w:p>
          <w:p w14:paraId="4527C628" w14:textId="23AE0065" w:rsidR="00AD670A" w:rsidRPr="00777D19" w:rsidRDefault="00AD670A" w:rsidP="00AD670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bl>
    <w:p w14:paraId="1F4C891E" w14:textId="77777777" w:rsidR="00DC0AA1" w:rsidRDefault="00DC0AA1" w:rsidP="00DC0AA1"/>
    <w:p w14:paraId="56351365" w14:textId="77777777" w:rsidR="00DC0AA1" w:rsidRDefault="00387221" w:rsidP="00387221">
      <w:pPr>
        <w:tabs>
          <w:tab w:val="left" w:pos="1545"/>
        </w:tabs>
      </w:pPr>
      <w:r>
        <w:tab/>
      </w:r>
    </w:p>
    <w:p w14:paraId="4D35FF2E" w14:textId="77777777" w:rsidR="00DC0AA1" w:rsidRDefault="00DC0AA1"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268A9C10" w14:textId="376409CE" w:rsidR="00D3387B"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14617351" w:history="1">
            <w:r w:rsidR="00D3387B" w:rsidRPr="00CF22E1">
              <w:rPr>
                <w:rStyle w:val="Hyperlink"/>
              </w:rPr>
              <w:t>1.</w:t>
            </w:r>
            <w:r w:rsidR="00D3387B">
              <w:rPr>
                <w:rFonts w:asciiTheme="minorHAnsi" w:eastAsiaTheme="minorEastAsia" w:hAnsiTheme="minorHAnsi" w:cstheme="minorBidi"/>
                <w:color w:val="auto"/>
                <w:kern w:val="2"/>
                <w:szCs w:val="24"/>
                <w:lang w:eastAsia="en-GB"/>
                <w14:ligatures w14:val="standardContextual"/>
              </w:rPr>
              <w:tab/>
            </w:r>
            <w:r w:rsidR="00D3387B" w:rsidRPr="00CF22E1">
              <w:rPr>
                <w:rStyle w:val="Hyperlink"/>
              </w:rPr>
              <w:t>Introduction</w:t>
            </w:r>
            <w:r w:rsidR="00D3387B">
              <w:rPr>
                <w:webHidden/>
              </w:rPr>
              <w:tab/>
            </w:r>
            <w:r w:rsidR="00D3387B">
              <w:rPr>
                <w:webHidden/>
              </w:rPr>
              <w:fldChar w:fldCharType="begin"/>
            </w:r>
            <w:r w:rsidR="00D3387B">
              <w:rPr>
                <w:webHidden/>
              </w:rPr>
              <w:instrText xml:space="preserve"> PAGEREF _Toc214617351 \h </w:instrText>
            </w:r>
            <w:r w:rsidR="00D3387B">
              <w:rPr>
                <w:webHidden/>
              </w:rPr>
            </w:r>
            <w:r w:rsidR="00D3387B">
              <w:rPr>
                <w:webHidden/>
              </w:rPr>
              <w:fldChar w:fldCharType="separate"/>
            </w:r>
            <w:r w:rsidR="00E60C36">
              <w:rPr>
                <w:webHidden/>
              </w:rPr>
              <w:t>4</w:t>
            </w:r>
            <w:r w:rsidR="00D3387B">
              <w:rPr>
                <w:webHidden/>
              </w:rPr>
              <w:fldChar w:fldCharType="end"/>
            </w:r>
          </w:hyperlink>
        </w:p>
        <w:p w14:paraId="2E91D9E5" w14:textId="07F896F8"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52" w:history="1">
            <w:r w:rsidRPr="00CF22E1">
              <w:rPr>
                <w:rStyle w:val="Hyperlink"/>
              </w:rPr>
              <w:t>2.</w:t>
            </w:r>
            <w:r>
              <w:rPr>
                <w:rFonts w:asciiTheme="minorHAnsi" w:eastAsiaTheme="minorEastAsia" w:hAnsiTheme="minorHAnsi" w:cstheme="minorBidi"/>
                <w:color w:val="auto"/>
                <w:kern w:val="2"/>
                <w:szCs w:val="24"/>
                <w:lang w:eastAsia="en-GB"/>
                <w14:ligatures w14:val="standardContextual"/>
              </w:rPr>
              <w:tab/>
            </w:r>
            <w:r w:rsidRPr="00CF22E1">
              <w:rPr>
                <w:rStyle w:val="Hyperlink"/>
              </w:rPr>
              <w:t>Aims and Objectives</w:t>
            </w:r>
            <w:r>
              <w:rPr>
                <w:webHidden/>
              </w:rPr>
              <w:tab/>
            </w:r>
            <w:r>
              <w:rPr>
                <w:webHidden/>
              </w:rPr>
              <w:fldChar w:fldCharType="begin"/>
            </w:r>
            <w:r>
              <w:rPr>
                <w:webHidden/>
              </w:rPr>
              <w:instrText xml:space="preserve"> PAGEREF _Toc214617352 \h </w:instrText>
            </w:r>
            <w:r>
              <w:rPr>
                <w:webHidden/>
              </w:rPr>
            </w:r>
            <w:r>
              <w:rPr>
                <w:webHidden/>
              </w:rPr>
              <w:fldChar w:fldCharType="separate"/>
            </w:r>
            <w:r w:rsidR="00E60C36">
              <w:rPr>
                <w:webHidden/>
              </w:rPr>
              <w:t>4</w:t>
            </w:r>
            <w:r>
              <w:rPr>
                <w:webHidden/>
              </w:rPr>
              <w:fldChar w:fldCharType="end"/>
            </w:r>
          </w:hyperlink>
        </w:p>
        <w:p w14:paraId="2C60F5FE" w14:textId="175871F0"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53" w:history="1">
            <w:r w:rsidRPr="00CF22E1">
              <w:rPr>
                <w:rStyle w:val="Hyperlink"/>
              </w:rPr>
              <w:t>3.</w:t>
            </w:r>
            <w:r>
              <w:rPr>
                <w:rFonts w:asciiTheme="minorHAnsi" w:eastAsiaTheme="minorEastAsia" w:hAnsiTheme="minorHAnsi" w:cstheme="minorBidi"/>
                <w:color w:val="auto"/>
                <w:kern w:val="2"/>
                <w:szCs w:val="24"/>
                <w:lang w:eastAsia="en-GB"/>
                <w14:ligatures w14:val="standardContextual"/>
              </w:rPr>
              <w:tab/>
            </w:r>
            <w:r w:rsidRPr="00CF22E1">
              <w:rPr>
                <w:rStyle w:val="Hyperlink"/>
              </w:rPr>
              <w:t>Scope</w:t>
            </w:r>
            <w:r>
              <w:rPr>
                <w:webHidden/>
              </w:rPr>
              <w:tab/>
            </w:r>
            <w:r>
              <w:rPr>
                <w:webHidden/>
              </w:rPr>
              <w:fldChar w:fldCharType="begin"/>
            </w:r>
            <w:r>
              <w:rPr>
                <w:webHidden/>
              </w:rPr>
              <w:instrText xml:space="preserve"> PAGEREF _Toc214617353 \h </w:instrText>
            </w:r>
            <w:r>
              <w:rPr>
                <w:webHidden/>
              </w:rPr>
            </w:r>
            <w:r>
              <w:rPr>
                <w:webHidden/>
              </w:rPr>
              <w:fldChar w:fldCharType="separate"/>
            </w:r>
            <w:r w:rsidR="00E60C36">
              <w:rPr>
                <w:webHidden/>
              </w:rPr>
              <w:t>5</w:t>
            </w:r>
            <w:r>
              <w:rPr>
                <w:webHidden/>
              </w:rPr>
              <w:fldChar w:fldCharType="end"/>
            </w:r>
          </w:hyperlink>
        </w:p>
        <w:p w14:paraId="1EC9D5E9" w14:textId="23414E31"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54" w:history="1">
            <w:r w:rsidRPr="00CF22E1">
              <w:rPr>
                <w:rStyle w:val="Hyperlink"/>
              </w:rPr>
              <w:t>4.</w:t>
            </w:r>
            <w:r>
              <w:rPr>
                <w:rFonts w:asciiTheme="minorHAnsi" w:eastAsiaTheme="minorEastAsia" w:hAnsiTheme="minorHAnsi" w:cstheme="minorBidi"/>
                <w:color w:val="auto"/>
                <w:kern w:val="2"/>
                <w:szCs w:val="24"/>
                <w:lang w:eastAsia="en-GB"/>
                <w14:ligatures w14:val="standardContextual"/>
              </w:rPr>
              <w:tab/>
            </w:r>
            <w:r w:rsidRPr="00CF22E1">
              <w:rPr>
                <w:rStyle w:val="Hyperlink"/>
              </w:rPr>
              <w:t>Statutory Compensation</w:t>
            </w:r>
            <w:r>
              <w:rPr>
                <w:webHidden/>
              </w:rPr>
              <w:tab/>
            </w:r>
            <w:r>
              <w:rPr>
                <w:webHidden/>
              </w:rPr>
              <w:fldChar w:fldCharType="begin"/>
            </w:r>
            <w:r>
              <w:rPr>
                <w:webHidden/>
              </w:rPr>
              <w:instrText xml:space="preserve"> PAGEREF _Toc214617354 \h </w:instrText>
            </w:r>
            <w:r>
              <w:rPr>
                <w:webHidden/>
              </w:rPr>
            </w:r>
            <w:r>
              <w:rPr>
                <w:webHidden/>
              </w:rPr>
              <w:fldChar w:fldCharType="separate"/>
            </w:r>
            <w:r w:rsidR="00E60C36">
              <w:rPr>
                <w:webHidden/>
              </w:rPr>
              <w:t>6</w:t>
            </w:r>
            <w:r>
              <w:rPr>
                <w:webHidden/>
              </w:rPr>
              <w:fldChar w:fldCharType="end"/>
            </w:r>
          </w:hyperlink>
        </w:p>
        <w:p w14:paraId="40200DCE" w14:textId="045BD5C2"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55" w:history="1">
            <w:r w:rsidRPr="00CF22E1">
              <w:rPr>
                <w:rStyle w:val="Hyperlink"/>
              </w:rPr>
              <w:t>4.1</w:t>
            </w:r>
            <w:r>
              <w:rPr>
                <w:rFonts w:asciiTheme="minorHAnsi" w:eastAsiaTheme="minorEastAsia" w:hAnsiTheme="minorHAnsi" w:cstheme="minorBidi"/>
                <w:color w:val="auto"/>
                <w:kern w:val="2"/>
                <w:szCs w:val="24"/>
                <w:lang w:eastAsia="en-GB"/>
                <w14:ligatures w14:val="standardContextual"/>
              </w:rPr>
              <w:tab/>
            </w:r>
            <w:r w:rsidRPr="00CF22E1">
              <w:rPr>
                <w:rStyle w:val="Hyperlink"/>
              </w:rPr>
              <w:t>Right to Repair</w:t>
            </w:r>
            <w:r>
              <w:rPr>
                <w:webHidden/>
              </w:rPr>
              <w:tab/>
            </w:r>
            <w:r>
              <w:rPr>
                <w:webHidden/>
              </w:rPr>
              <w:fldChar w:fldCharType="begin"/>
            </w:r>
            <w:r>
              <w:rPr>
                <w:webHidden/>
              </w:rPr>
              <w:instrText xml:space="preserve"> PAGEREF _Toc214617355 \h </w:instrText>
            </w:r>
            <w:r>
              <w:rPr>
                <w:webHidden/>
              </w:rPr>
            </w:r>
            <w:r>
              <w:rPr>
                <w:webHidden/>
              </w:rPr>
              <w:fldChar w:fldCharType="separate"/>
            </w:r>
            <w:r w:rsidR="00E60C36">
              <w:rPr>
                <w:webHidden/>
              </w:rPr>
              <w:t>6</w:t>
            </w:r>
            <w:r>
              <w:rPr>
                <w:webHidden/>
              </w:rPr>
              <w:fldChar w:fldCharType="end"/>
            </w:r>
          </w:hyperlink>
        </w:p>
        <w:p w14:paraId="28BE8096" w14:textId="50C62700"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56" w:history="1">
            <w:r w:rsidRPr="00CF22E1">
              <w:rPr>
                <w:rStyle w:val="Hyperlink"/>
              </w:rPr>
              <w:t>4.2</w:t>
            </w:r>
            <w:r>
              <w:rPr>
                <w:rFonts w:asciiTheme="minorHAnsi" w:eastAsiaTheme="minorEastAsia" w:hAnsiTheme="minorHAnsi" w:cstheme="minorBidi"/>
                <w:color w:val="auto"/>
                <w:kern w:val="2"/>
                <w:szCs w:val="24"/>
                <w:lang w:eastAsia="en-GB"/>
                <w14:ligatures w14:val="standardContextual"/>
              </w:rPr>
              <w:tab/>
            </w:r>
            <w:r w:rsidRPr="00CF22E1">
              <w:rPr>
                <w:rStyle w:val="Hyperlink"/>
              </w:rPr>
              <w:t>Right to Compensation for Improvements</w:t>
            </w:r>
            <w:r>
              <w:rPr>
                <w:webHidden/>
              </w:rPr>
              <w:tab/>
            </w:r>
            <w:r>
              <w:rPr>
                <w:webHidden/>
              </w:rPr>
              <w:fldChar w:fldCharType="begin"/>
            </w:r>
            <w:r>
              <w:rPr>
                <w:webHidden/>
              </w:rPr>
              <w:instrText xml:space="preserve"> PAGEREF _Toc214617356 \h </w:instrText>
            </w:r>
            <w:r>
              <w:rPr>
                <w:webHidden/>
              </w:rPr>
            </w:r>
            <w:r>
              <w:rPr>
                <w:webHidden/>
              </w:rPr>
              <w:fldChar w:fldCharType="separate"/>
            </w:r>
            <w:r w:rsidR="00E60C36">
              <w:rPr>
                <w:webHidden/>
              </w:rPr>
              <w:t>7</w:t>
            </w:r>
            <w:r>
              <w:rPr>
                <w:webHidden/>
              </w:rPr>
              <w:fldChar w:fldCharType="end"/>
            </w:r>
          </w:hyperlink>
        </w:p>
        <w:p w14:paraId="2F57D1C9" w14:textId="27E32CF7"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57" w:history="1">
            <w:r w:rsidRPr="00CF22E1">
              <w:rPr>
                <w:rStyle w:val="Hyperlink"/>
              </w:rPr>
              <w:t>4.3</w:t>
            </w:r>
            <w:r>
              <w:rPr>
                <w:rFonts w:asciiTheme="minorHAnsi" w:eastAsiaTheme="minorEastAsia" w:hAnsiTheme="minorHAnsi" w:cstheme="minorBidi"/>
                <w:color w:val="auto"/>
                <w:kern w:val="2"/>
                <w:szCs w:val="24"/>
                <w:lang w:eastAsia="en-GB"/>
                <w14:ligatures w14:val="standardContextual"/>
              </w:rPr>
              <w:tab/>
            </w:r>
            <w:r w:rsidRPr="00CF22E1">
              <w:rPr>
                <w:rStyle w:val="Hyperlink"/>
              </w:rPr>
              <w:t>Home Loss and Disturbance Payments</w:t>
            </w:r>
            <w:r>
              <w:rPr>
                <w:webHidden/>
              </w:rPr>
              <w:tab/>
            </w:r>
            <w:r>
              <w:rPr>
                <w:webHidden/>
              </w:rPr>
              <w:fldChar w:fldCharType="begin"/>
            </w:r>
            <w:r>
              <w:rPr>
                <w:webHidden/>
              </w:rPr>
              <w:instrText xml:space="preserve"> PAGEREF _Toc214617357 \h </w:instrText>
            </w:r>
            <w:r>
              <w:rPr>
                <w:webHidden/>
              </w:rPr>
            </w:r>
            <w:r>
              <w:rPr>
                <w:webHidden/>
              </w:rPr>
              <w:fldChar w:fldCharType="separate"/>
            </w:r>
            <w:r w:rsidR="00E60C36">
              <w:rPr>
                <w:webHidden/>
              </w:rPr>
              <w:t>7</w:t>
            </w:r>
            <w:r>
              <w:rPr>
                <w:webHidden/>
              </w:rPr>
              <w:fldChar w:fldCharType="end"/>
            </w:r>
          </w:hyperlink>
        </w:p>
        <w:p w14:paraId="5717D6F2" w14:textId="400A0629"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58" w:history="1">
            <w:r w:rsidRPr="00CF22E1">
              <w:rPr>
                <w:rStyle w:val="Hyperlink"/>
              </w:rPr>
              <w:t>5.</w:t>
            </w:r>
            <w:r>
              <w:rPr>
                <w:rFonts w:asciiTheme="minorHAnsi" w:eastAsiaTheme="minorEastAsia" w:hAnsiTheme="minorHAnsi" w:cstheme="minorBidi"/>
                <w:color w:val="auto"/>
                <w:kern w:val="2"/>
                <w:szCs w:val="24"/>
                <w:lang w:eastAsia="en-GB"/>
                <w14:ligatures w14:val="standardContextual"/>
              </w:rPr>
              <w:tab/>
            </w:r>
            <w:r w:rsidRPr="00CF22E1">
              <w:rPr>
                <w:rStyle w:val="Hyperlink"/>
              </w:rPr>
              <w:t>Roles and Responsibilities</w:t>
            </w:r>
            <w:r>
              <w:rPr>
                <w:webHidden/>
              </w:rPr>
              <w:tab/>
            </w:r>
            <w:r>
              <w:rPr>
                <w:webHidden/>
              </w:rPr>
              <w:fldChar w:fldCharType="begin"/>
            </w:r>
            <w:r>
              <w:rPr>
                <w:webHidden/>
              </w:rPr>
              <w:instrText xml:space="preserve"> PAGEREF _Toc214617358 \h </w:instrText>
            </w:r>
            <w:r>
              <w:rPr>
                <w:webHidden/>
              </w:rPr>
            </w:r>
            <w:r>
              <w:rPr>
                <w:webHidden/>
              </w:rPr>
              <w:fldChar w:fldCharType="separate"/>
            </w:r>
            <w:r w:rsidR="00E60C36">
              <w:rPr>
                <w:webHidden/>
              </w:rPr>
              <w:t>8</w:t>
            </w:r>
            <w:r>
              <w:rPr>
                <w:webHidden/>
              </w:rPr>
              <w:fldChar w:fldCharType="end"/>
            </w:r>
          </w:hyperlink>
        </w:p>
        <w:p w14:paraId="489DF454" w14:textId="69554DE2"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59" w:history="1">
            <w:r w:rsidRPr="00CF22E1">
              <w:rPr>
                <w:rStyle w:val="Hyperlink"/>
              </w:rPr>
              <w:t>6.</w:t>
            </w:r>
            <w:r>
              <w:rPr>
                <w:rFonts w:asciiTheme="minorHAnsi" w:eastAsiaTheme="minorEastAsia" w:hAnsiTheme="minorHAnsi" w:cstheme="minorBidi"/>
                <w:color w:val="auto"/>
                <w:kern w:val="2"/>
                <w:szCs w:val="24"/>
                <w:lang w:eastAsia="en-GB"/>
                <w14:ligatures w14:val="standardContextual"/>
              </w:rPr>
              <w:tab/>
            </w:r>
            <w:r w:rsidRPr="00CF22E1">
              <w:rPr>
                <w:rStyle w:val="Hyperlink"/>
              </w:rPr>
              <w:t>Our Approach</w:t>
            </w:r>
            <w:r>
              <w:rPr>
                <w:webHidden/>
              </w:rPr>
              <w:tab/>
            </w:r>
            <w:r>
              <w:rPr>
                <w:webHidden/>
              </w:rPr>
              <w:fldChar w:fldCharType="begin"/>
            </w:r>
            <w:r>
              <w:rPr>
                <w:webHidden/>
              </w:rPr>
              <w:instrText xml:space="preserve"> PAGEREF _Toc214617359 \h </w:instrText>
            </w:r>
            <w:r>
              <w:rPr>
                <w:webHidden/>
              </w:rPr>
            </w:r>
            <w:r>
              <w:rPr>
                <w:webHidden/>
              </w:rPr>
              <w:fldChar w:fldCharType="separate"/>
            </w:r>
            <w:r w:rsidR="00E60C36">
              <w:rPr>
                <w:webHidden/>
              </w:rPr>
              <w:t>8</w:t>
            </w:r>
            <w:r>
              <w:rPr>
                <w:webHidden/>
              </w:rPr>
              <w:fldChar w:fldCharType="end"/>
            </w:r>
          </w:hyperlink>
        </w:p>
        <w:p w14:paraId="6EB3225D" w14:textId="0E33BC0D"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0" w:history="1">
            <w:r w:rsidRPr="00CF22E1">
              <w:rPr>
                <w:rStyle w:val="Hyperlink"/>
              </w:rPr>
              <w:t>6.1</w:t>
            </w:r>
            <w:r>
              <w:rPr>
                <w:rFonts w:asciiTheme="minorHAnsi" w:eastAsiaTheme="minorEastAsia" w:hAnsiTheme="minorHAnsi" w:cstheme="minorBidi"/>
                <w:color w:val="auto"/>
                <w:kern w:val="2"/>
                <w:szCs w:val="24"/>
                <w:lang w:eastAsia="en-GB"/>
                <w14:ligatures w14:val="standardContextual"/>
              </w:rPr>
              <w:tab/>
            </w:r>
            <w:r w:rsidRPr="00CF22E1">
              <w:rPr>
                <w:rStyle w:val="Hyperlink"/>
              </w:rPr>
              <w:t>Quantifiable Loss Payments</w:t>
            </w:r>
            <w:r>
              <w:rPr>
                <w:webHidden/>
              </w:rPr>
              <w:tab/>
            </w:r>
            <w:r>
              <w:rPr>
                <w:webHidden/>
              </w:rPr>
              <w:fldChar w:fldCharType="begin"/>
            </w:r>
            <w:r>
              <w:rPr>
                <w:webHidden/>
              </w:rPr>
              <w:instrText xml:space="preserve"> PAGEREF _Toc214617360 \h </w:instrText>
            </w:r>
            <w:r>
              <w:rPr>
                <w:webHidden/>
              </w:rPr>
            </w:r>
            <w:r>
              <w:rPr>
                <w:webHidden/>
              </w:rPr>
              <w:fldChar w:fldCharType="separate"/>
            </w:r>
            <w:r w:rsidR="00E60C36">
              <w:rPr>
                <w:webHidden/>
              </w:rPr>
              <w:t>9</w:t>
            </w:r>
            <w:r>
              <w:rPr>
                <w:webHidden/>
              </w:rPr>
              <w:fldChar w:fldCharType="end"/>
            </w:r>
          </w:hyperlink>
        </w:p>
        <w:p w14:paraId="693A408B" w14:textId="37222F76"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1" w:history="1">
            <w:r w:rsidRPr="00CF22E1">
              <w:rPr>
                <w:rStyle w:val="Hyperlink"/>
              </w:rPr>
              <w:t>6.2</w:t>
            </w:r>
            <w:r>
              <w:rPr>
                <w:rFonts w:asciiTheme="minorHAnsi" w:eastAsiaTheme="minorEastAsia" w:hAnsiTheme="minorHAnsi" w:cstheme="minorBidi"/>
                <w:color w:val="auto"/>
                <w:kern w:val="2"/>
                <w:szCs w:val="24"/>
                <w:lang w:eastAsia="en-GB"/>
                <w14:ligatures w14:val="standardContextual"/>
              </w:rPr>
              <w:tab/>
            </w:r>
            <w:r w:rsidRPr="00CF22E1">
              <w:rPr>
                <w:rStyle w:val="Hyperlink"/>
              </w:rPr>
              <w:t>Discretionary Compensation</w:t>
            </w:r>
            <w:r>
              <w:rPr>
                <w:webHidden/>
              </w:rPr>
              <w:tab/>
            </w:r>
            <w:r>
              <w:rPr>
                <w:webHidden/>
              </w:rPr>
              <w:fldChar w:fldCharType="begin"/>
            </w:r>
            <w:r>
              <w:rPr>
                <w:webHidden/>
              </w:rPr>
              <w:instrText xml:space="preserve"> PAGEREF _Toc214617361 \h </w:instrText>
            </w:r>
            <w:r>
              <w:rPr>
                <w:webHidden/>
              </w:rPr>
            </w:r>
            <w:r>
              <w:rPr>
                <w:webHidden/>
              </w:rPr>
              <w:fldChar w:fldCharType="separate"/>
            </w:r>
            <w:r w:rsidR="00E60C36">
              <w:rPr>
                <w:webHidden/>
              </w:rPr>
              <w:t>10</w:t>
            </w:r>
            <w:r>
              <w:rPr>
                <w:webHidden/>
              </w:rPr>
              <w:fldChar w:fldCharType="end"/>
            </w:r>
          </w:hyperlink>
        </w:p>
        <w:p w14:paraId="7ACB10F3" w14:textId="130AD6AC"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2" w:history="1">
            <w:r w:rsidRPr="00CF22E1">
              <w:rPr>
                <w:rStyle w:val="Hyperlink"/>
              </w:rPr>
              <w:t>6.3</w:t>
            </w:r>
            <w:r>
              <w:rPr>
                <w:rFonts w:asciiTheme="minorHAnsi" w:eastAsiaTheme="minorEastAsia" w:hAnsiTheme="minorHAnsi" w:cstheme="minorBidi"/>
                <w:color w:val="auto"/>
                <w:kern w:val="2"/>
                <w:szCs w:val="24"/>
                <w:lang w:eastAsia="en-GB"/>
                <w14:ligatures w14:val="standardContextual"/>
              </w:rPr>
              <w:tab/>
            </w:r>
            <w:r w:rsidRPr="00CF22E1">
              <w:rPr>
                <w:rStyle w:val="Hyperlink"/>
              </w:rPr>
              <w:t>Dealing with Legal Disrepair</w:t>
            </w:r>
            <w:r>
              <w:rPr>
                <w:webHidden/>
              </w:rPr>
              <w:tab/>
            </w:r>
            <w:r>
              <w:rPr>
                <w:webHidden/>
              </w:rPr>
              <w:fldChar w:fldCharType="begin"/>
            </w:r>
            <w:r>
              <w:rPr>
                <w:webHidden/>
              </w:rPr>
              <w:instrText xml:space="preserve"> PAGEREF _Toc214617362 \h </w:instrText>
            </w:r>
            <w:r>
              <w:rPr>
                <w:webHidden/>
              </w:rPr>
            </w:r>
            <w:r>
              <w:rPr>
                <w:webHidden/>
              </w:rPr>
              <w:fldChar w:fldCharType="separate"/>
            </w:r>
            <w:r w:rsidR="00E60C36">
              <w:rPr>
                <w:webHidden/>
              </w:rPr>
              <w:t>13</w:t>
            </w:r>
            <w:r>
              <w:rPr>
                <w:webHidden/>
              </w:rPr>
              <w:fldChar w:fldCharType="end"/>
            </w:r>
          </w:hyperlink>
        </w:p>
        <w:p w14:paraId="5B562F2A" w14:textId="4E4DCB42"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3" w:history="1">
            <w:r w:rsidRPr="00CF22E1">
              <w:rPr>
                <w:rStyle w:val="Hyperlink"/>
              </w:rPr>
              <w:t>6.4</w:t>
            </w:r>
            <w:r>
              <w:rPr>
                <w:rFonts w:asciiTheme="minorHAnsi" w:eastAsiaTheme="minorEastAsia" w:hAnsiTheme="minorHAnsi" w:cstheme="minorBidi"/>
                <w:color w:val="auto"/>
                <w:kern w:val="2"/>
                <w:szCs w:val="24"/>
                <w:lang w:eastAsia="en-GB"/>
                <w14:ligatures w14:val="standardContextual"/>
              </w:rPr>
              <w:tab/>
            </w:r>
            <w:r w:rsidRPr="00CF22E1">
              <w:rPr>
                <w:rStyle w:val="Hyperlink"/>
              </w:rPr>
              <w:t>How to Claim</w:t>
            </w:r>
            <w:r>
              <w:rPr>
                <w:webHidden/>
              </w:rPr>
              <w:tab/>
            </w:r>
            <w:r>
              <w:rPr>
                <w:webHidden/>
              </w:rPr>
              <w:fldChar w:fldCharType="begin"/>
            </w:r>
            <w:r>
              <w:rPr>
                <w:webHidden/>
              </w:rPr>
              <w:instrText xml:space="preserve"> PAGEREF _Toc214617363 \h </w:instrText>
            </w:r>
            <w:r>
              <w:rPr>
                <w:webHidden/>
              </w:rPr>
            </w:r>
            <w:r>
              <w:rPr>
                <w:webHidden/>
              </w:rPr>
              <w:fldChar w:fldCharType="separate"/>
            </w:r>
            <w:r w:rsidR="00E60C36">
              <w:rPr>
                <w:webHidden/>
              </w:rPr>
              <w:t>14</w:t>
            </w:r>
            <w:r>
              <w:rPr>
                <w:webHidden/>
              </w:rPr>
              <w:fldChar w:fldCharType="end"/>
            </w:r>
          </w:hyperlink>
        </w:p>
        <w:p w14:paraId="145C45E3" w14:textId="33DD13AA"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64" w:history="1">
            <w:r w:rsidRPr="00CF22E1">
              <w:rPr>
                <w:rStyle w:val="Hyperlink"/>
              </w:rPr>
              <w:t>7.</w:t>
            </w:r>
            <w:r>
              <w:rPr>
                <w:rFonts w:asciiTheme="minorHAnsi" w:eastAsiaTheme="minorEastAsia" w:hAnsiTheme="minorHAnsi" w:cstheme="minorBidi"/>
                <w:color w:val="auto"/>
                <w:kern w:val="2"/>
                <w:szCs w:val="24"/>
                <w:lang w:eastAsia="en-GB"/>
                <w14:ligatures w14:val="standardContextual"/>
              </w:rPr>
              <w:tab/>
            </w:r>
            <w:r w:rsidRPr="00CF22E1">
              <w:rPr>
                <w:rStyle w:val="Hyperlink"/>
              </w:rPr>
              <w:t>Paying Compensation</w:t>
            </w:r>
            <w:r>
              <w:rPr>
                <w:webHidden/>
              </w:rPr>
              <w:tab/>
            </w:r>
            <w:r>
              <w:rPr>
                <w:webHidden/>
              </w:rPr>
              <w:fldChar w:fldCharType="begin"/>
            </w:r>
            <w:r>
              <w:rPr>
                <w:webHidden/>
              </w:rPr>
              <w:instrText xml:space="preserve"> PAGEREF _Toc214617364 \h </w:instrText>
            </w:r>
            <w:r>
              <w:rPr>
                <w:webHidden/>
              </w:rPr>
            </w:r>
            <w:r>
              <w:rPr>
                <w:webHidden/>
              </w:rPr>
              <w:fldChar w:fldCharType="separate"/>
            </w:r>
            <w:r w:rsidR="00E60C36">
              <w:rPr>
                <w:webHidden/>
              </w:rPr>
              <w:t>14</w:t>
            </w:r>
            <w:r>
              <w:rPr>
                <w:webHidden/>
              </w:rPr>
              <w:fldChar w:fldCharType="end"/>
            </w:r>
          </w:hyperlink>
        </w:p>
        <w:p w14:paraId="32F1D0F6" w14:textId="43C09F7B"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5" w:history="1">
            <w:r w:rsidRPr="00CF22E1">
              <w:rPr>
                <w:rStyle w:val="Hyperlink"/>
              </w:rPr>
              <w:t>7.1</w:t>
            </w:r>
            <w:r>
              <w:rPr>
                <w:rFonts w:asciiTheme="minorHAnsi" w:eastAsiaTheme="minorEastAsia" w:hAnsiTheme="minorHAnsi" w:cstheme="minorBidi"/>
                <w:color w:val="auto"/>
                <w:kern w:val="2"/>
                <w:szCs w:val="24"/>
                <w:lang w:eastAsia="en-GB"/>
                <w14:ligatures w14:val="standardContextual"/>
              </w:rPr>
              <w:tab/>
            </w:r>
            <w:r w:rsidRPr="00CF22E1">
              <w:rPr>
                <w:rStyle w:val="Hyperlink"/>
              </w:rPr>
              <w:t>Appealing an Award for Compensation</w:t>
            </w:r>
            <w:r>
              <w:rPr>
                <w:webHidden/>
              </w:rPr>
              <w:tab/>
            </w:r>
            <w:r>
              <w:rPr>
                <w:webHidden/>
              </w:rPr>
              <w:fldChar w:fldCharType="begin"/>
            </w:r>
            <w:r>
              <w:rPr>
                <w:webHidden/>
              </w:rPr>
              <w:instrText xml:space="preserve"> PAGEREF _Toc214617365 \h </w:instrText>
            </w:r>
            <w:r>
              <w:rPr>
                <w:webHidden/>
              </w:rPr>
            </w:r>
            <w:r>
              <w:rPr>
                <w:webHidden/>
              </w:rPr>
              <w:fldChar w:fldCharType="separate"/>
            </w:r>
            <w:r w:rsidR="00E60C36">
              <w:rPr>
                <w:webHidden/>
              </w:rPr>
              <w:t>14</w:t>
            </w:r>
            <w:r>
              <w:rPr>
                <w:webHidden/>
              </w:rPr>
              <w:fldChar w:fldCharType="end"/>
            </w:r>
          </w:hyperlink>
        </w:p>
        <w:p w14:paraId="01EA2964" w14:textId="21AE7249"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6" w:history="1">
            <w:r w:rsidRPr="00CF22E1">
              <w:rPr>
                <w:rStyle w:val="Hyperlink"/>
              </w:rPr>
              <w:t>7.2</w:t>
            </w:r>
            <w:r>
              <w:rPr>
                <w:rFonts w:asciiTheme="minorHAnsi" w:eastAsiaTheme="minorEastAsia" w:hAnsiTheme="minorHAnsi" w:cstheme="minorBidi"/>
                <w:color w:val="auto"/>
                <w:kern w:val="2"/>
                <w:szCs w:val="24"/>
                <w:lang w:eastAsia="en-GB"/>
                <w14:ligatures w14:val="standardContextual"/>
              </w:rPr>
              <w:tab/>
            </w:r>
            <w:r w:rsidRPr="00CF22E1">
              <w:rPr>
                <w:rStyle w:val="Hyperlink"/>
              </w:rPr>
              <w:t>Third Party Responsibilities</w:t>
            </w:r>
            <w:r>
              <w:rPr>
                <w:webHidden/>
              </w:rPr>
              <w:tab/>
            </w:r>
            <w:r>
              <w:rPr>
                <w:webHidden/>
              </w:rPr>
              <w:fldChar w:fldCharType="begin"/>
            </w:r>
            <w:r>
              <w:rPr>
                <w:webHidden/>
              </w:rPr>
              <w:instrText xml:space="preserve"> PAGEREF _Toc214617366 \h </w:instrText>
            </w:r>
            <w:r>
              <w:rPr>
                <w:webHidden/>
              </w:rPr>
            </w:r>
            <w:r>
              <w:rPr>
                <w:webHidden/>
              </w:rPr>
              <w:fldChar w:fldCharType="separate"/>
            </w:r>
            <w:r w:rsidR="00E60C36">
              <w:rPr>
                <w:webHidden/>
              </w:rPr>
              <w:t>14</w:t>
            </w:r>
            <w:r>
              <w:rPr>
                <w:webHidden/>
              </w:rPr>
              <w:fldChar w:fldCharType="end"/>
            </w:r>
          </w:hyperlink>
        </w:p>
        <w:p w14:paraId="0F428167" w14:textId="434FD0F1"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67" w:history="1">
            <w:r w:rsidRPr="00CF22E1">
              <w:rPr>
                <w:rStyle w:val="Hyperlink"/>
                <w:lang w:val="en-US"/>
              </w:rPr>
              <w:t>8.</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Exclusions</w:t>
            </w:r>
            <w:r>
              <w:rPr>
                <w:webHidden/>
              </w:rPr>
              <w:tab/>
            </w:r>
            <w:r>
              <w:rPr>
                <w:webHidden/>
              </w:rPr>
              <w:fldChar w:fldCharType="begin"/>
            </w:r>
            <w:r>
              <w:rPr>
                <w:webHidden/>
              </w:rPr>
              <w:instrText xml:space="preserve"> PAGEREF _Toc214617367 \h </w:instrText>
            </w:r>
            <w:r>
              <w:rPr>
                <w:webHidden/>
              </w:rPr>
            </w:r>
            <w:r>
              <w:rPr>
                <w:webHidden/>
              </w:rPr>
              <w:fldChar w:fldCharType="separate"/>
            </w:r>
            <w:r w:rsidR="00E60C36">
              <w:rPr>
                <w:webHidden/>
              </w:rPr>
              <w:t>15</w:t>
            </w:r>
            <w:r>
              <w:rPr>
                <w:webHidden/>
              </w:rPr>
              <w:fldChar w:fldCharType="end"/>
            </w:r>
          </w:hyperlink>
        </w:p>
        <w:p w14:paraId="056AF602" w14:textId="35B5E56B"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68" w:history="1">
            <w:r w:rsidRPr="00CF22E1">
              <w:rPr>
                <w:rStyle w:val="Hyperlink"/>
                <w:lang w:val="en-US"/>
              </w:rPr>
              <w:t>9.</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Legislation, Guidance and Regulatory Standards</w:t>
            </w:r>
            <w:r>
              <w:rPr>
                <w:webHidden/>
              </w:rPr>
              <w:tab/>
            </w:r>
            <w:r>
              <w:rPr>
                <w:webHidden/>
              </w:rPr>
              <w:fldChar w:fldCharType="begin"/>
            </w:r>
            <w:r>
              <w:rPr>
                <w:webHidden/>
              </w:rPr>
              <w:instrText xml:space="preserve"> PAGEREF _Toc214617368 \h </w:instrText>
            </w:r>
            <w:r>
              <w:rPr>
                <w:webHidden/>
              </w:rPr>
            </w:r>
            <w:r>
              <w:rPr>
                <w:webHidden/>
              </w:rPr>
              <w:fldChar w:fldCharType="separate"/>
            </w:r>
            <w:r w:rsidR="00E60C36">
              <w:rPr>
                <w:webHidden/>
              </w:rPr>
              <w:t>15</w:t>
            </w:r>
            <w:r>
              <w:rPr>
                <w:webHidden/>
              </w:rPr>
              <w:fldChar w:fldCharType="end"/>
            </w:r>
          </w:hyperlink>
        </w:p>
        <w:p w14:paraId="736C6DEF" w14:textId="0B0EED17"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69" w:history="1">
            <w:r w:rsidRPr="00CF22E1">
              <w:rPr>
                <w:rStyle w:val="Hyperlink"/>
              </w:rPr>
              <w:t>9.1</w:t>
            </w:r>
            <w:r>
              <w:rPr>
                <w:rFonts w:asciiTheme="minorHAnsi" w:eastAsiaTheme="minorEastAsia" w:hAnsiTheme="minorHAnsi" w:cstheme="minorBidi"/>
                <w:color w:val="auto"/>
                <w:kern w:val="2"/>
                <w:szCs w:val="24"/>
                <w:lang w:eastAsia="en-GB"/>
                <w14:ligatures w14:val="standardContextual"/>
              </w:rPr>
              <w:tab/>
            </w:r>
            <w:r w:rsidRPr="00CF22E1">
              <w:rPr>
                <w:rStyle w:val="Hyperlink"/>
              </w:rPr>
              <w:t>Legislation</w:t>
            </w:r>
            <w:r>
              <w:rPr>
                <w:webHidden/>
              </w:rPr>
              <w:tab/>
            </w:r>
            <w:r>
              <w:rPr>
                <w:webHidden/>
              </w:rPr>
              <w:fldChar w:fldCharType="begin"/>
            </w:r>
            <w:r>
              <w:rPr>
                <w:webHidden/>
              </w:rPr>
              <w:instrText xml:space="preserve"> PAGEREF _Toc214617369 \h </w:instrText>
            </w:r>
            <w:r>
              <w:rPr>
                <w:webHidden/>
              </w:rPr>
            </w:r>
            <w:r>
              <w:rPr>
                <w:webHidden/>
              </w:rPr>
              <w:fldChar w:fldCharType="separate"/>
            </w:r>
            <w:r w:rsidR="00E60C36">
              <w:rPr>
                <w:webHidden/>
              </w:rPr>
              <w:t>15</w:t>
            </w:r>
            <w:r>
              <w:rPr>
                <w:webHidden/>
              </w:rPr>
              <w:fldChar w:fldCharType="end"/>
            </w:r>
          </w:hyperlink>
        </w:p>
        <w:p w14:paraId="21C26768" w14:textId="5EC8A590"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70" w:history="1">
            <w:r w:rsidRPr="00CF22E1">
              <w:rPr>
                <w:rStyle w:val="Hyperlink"/>
              </w:rPr>
              <w:t>9.2</w:t>
            </w:r>
            <w:r>
              <w:rPr>
                <w:rFonts w:asciiTheme="minorHAnsi" w:eastAsiaTheme="minorEastAsia" w:hAnsiTheme="minorHAnsi" w:cstheme="minorBidi"/>
                <w:color w:val="auto"/>
                <w:kern w:val="2"/>
                <w:szCs w:val="24"/>
                <w:lang w:eastAsia="en-GB"/>
                <w14:ligatures w14:val="standardContextual"/>
              </w:rPr>
              <w:tab/>
            </w:r>
            <w:r w:rsidRPr="00CF22E1">
              <w:rPr>
                <w:rStyle w:val="Hyperlink"/>
              </w:rPr>
              <w:t>Regulatory Standards</w:t>
            </w:r>
            <w:r>
              <w:rPr>
                <w:webHidden/>
              </w:rPr>
              <w:tab/>
            </w:r>
            <w:r>
              <w:rPr>
                <w:webHidden/>
              </w:rPr>
              <w:fldChar w:fldCharType="begin"/>
            </w:r>
            <w:r>
              <w:rPr>
                <w:webHidden/>
              </w:rPr>
              <w:instrText xml:space="preserve"> PAGEREF _Toc214617370 \h </w:instrText>
            </w:r>
            <w:r>
              <w:rPr>
                <w:webHidden/>
              </w:rPr>
            </w:r>
            <w:r>
              <w:rPr>
                <w:webHidden/>
              </w:rPr>
              <w:fldChar w:fldCharType="separate"/>
            </w:r>
            <w:r w:rsidR="00E60C36">
              <w:rPr>
                <w:webHidden/>
              </w:rPr>
              <w:t>15</w:t>
            </w:r>
            <w:r>
              <w:rPr>
                <w:webHidden/>
              </w:rPr>
              <w:fldChar w:fldCharType="end"/>
            </w:r>
          </w:hyperlink>
        </w:p>
        <w:p w14:paraId="3A05C4BE" w14:textId="3E1D4BFE"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71" w:history="1">
            <w:r w:rsidRPr="00CF22E1">
              <w:rPr>
                <w:rStyle w:val="Hyperlink"/>
                <w:lang w:val="en-US"/>
              </w:rPr>
              <w:t>10.</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Monitoring</w:t>
            </w:r>
            <w:r>
              <w:rPr>
                <w:webHidden/>
              </w:rPr>
              <w:tab/>
            </w:r>
            <w:r>
              <w:rPr>
                <w:webHidden/>
              </w:rPr>
              <w:fldChar w:fldCharType="begin"/>
            </w:r>
            <w:r>
              <w:rPr>
                <w:webHidden/>
              </w:rPr>
              <w:instrText xml:space="preserve"> PAGEREF _Toc214617371 \h </w:instrText>
            </w:r>
            <w:r>
              <w:rPr>
                <w:webHidden/>
              </w:rPr>
            </w:r>
            <w:r>
              <w:rPr>
                <w:webHidden/>
              </w:rPr>
              <w:fldChar w:fldCharType="separate"/>
            </w:r>
            <w:r w:rsidR="00E60C36">
              <w:rPr>
                <w:webHidden/>
              </w:rPr>
              <w:t>16</w:t>
            </w:r>
            <w:r>
              <w:rPr>
                <w:webHidden/>
              </w:rPr>
              <w:fldChar w:fldCharType="end"/>
            </w:r>
          </w:hyperlink>
        </w:p>
        <w:p w14:paraId="0A597D33" w14:textId="63F622DD" w:rsidR="00D3387B" w:rsidRDefault="00D3387B">
          <w:pPr>
            <w:pStyle w:val="TOC2"/>
            <w:rPr>
              <w:rFonts w:asciiTheme="minorHAnsi" w:eastAsiaTheme="minorEastAsia" w:hAnsiTheme="minorHAnsi" w:cstheme="minorBidi"/>
              <w:color w:val="auto"/>
              <w:kern w:val="2"/>
              <w:szCs w:val="24"/>
              <w:lang w:eastAsia="en-GB"/>
              <w14:ligatures w14:val="standardContextual"/>
            </w:rPr>
          </w:pPr>
          <w:hyperlink w:anchor="_Toc214617372" w:history="1">
            <w:r w:rsidRPr="00CF22E1">
              <w:rPr>
                <w:rStyle w:val="Hyperlink"/>
              </w:rPr>
              <w:t>10.1</w:t>
            </w:r>
            <w:r>
              <w:rPr>
                <w:rFonts w:asciiTheme="minorHAnsi" w:eastAsiaTheme="minorEastAsia" w:hAnsiTheme="minorHAnsi" w:cstheme="minorBidi"/>
                <w:color w:val="auto"/>
                <w:kern w:val="2"/>
                <w:szCs w:val="24"/>
                <w:lang w:eastAsia="en-GB"/>
                <w14:ligatures w14:val="standardContextual"/>
              </w:rPr>
              <w:tab/>
            </w:r>
            <w:r w:rsidRPr="00CF22E1">
              <w:rPr>
                <w:rStyle w:val="Hyperlink"/>
              </w:rPr>
              <w:t>Training</w:t>
            </w:r>
            <w:r>
              <w:rPr>
                <w:webHidden/>
              </w:rPr>
              <w:tab/>
            </w:r>
            <w:r>
              <w:rPr>
                <w:webHidden/>
              </w:rPr>
              <w:fldChar w:fldCharType="begin"/>
            </w:r>
            <w:r>
              <w:rPr>
                <w:webHidden/>
              </w:rPr>
              <w:instrText xml:space="preserve"> PAGEREF _Toc214617372 \h </w:instrText>
            </w:r>
            <w:r>
              <w:rPr>
                <w:webHidden/>
              </w:rPr>
            </w:r>
            <w:r>
              <w:rPr>
                <w:webHidden/>
              </w:rPr>
              <w:fldChar w:fldCharType="separate"/>
            </w:r>
            <w:r w:rsidR="00E60C36">
              <w:rPr>
                <w:webHidden/>
              </w:rPr>
              <w:t>16</w:t>
            </w:r>
            <w:r>
              <w:rPr>
                <w:webHidden/>
              </w:rPr>
              <w:fldChar w:fldCharType="end"/>
            </w:r>
          </w:hyperlink>
        </w:p>
        <w:p w14:paraId="2624CEA4" w14:textId="60C11258"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73" w:history="1">
            <w:r w:rsidRPr="00CF22E1">
              <w:rPr>
                <w:rStyle w:val="Hyperlink"/>
                <w:lang w:val="en-US"/>
              </w:rPr>
              <w:t>11.</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Equality and Diversity</w:t>
            </w:r>
            <w:r>
              <w:rPr>
                <w:webHidden/>
              </w:rPr>
              <w:tab/>
            </w:r>
            <w:r>
              <w:rPr>
                <w:webHidden/>
              </w:rPr>
              <w:fldChar w:fldCharType="begin"/>
            </w:r>
            <w:r>
              <w:rPr>
                <w:webHidden/>
              </w:rPr>
              <w:instrText xml:space="preserve"> PAGEREF _Toc214617373 \h </w:instrText>
            </w:r>
            <w:r>
              <w:rPr>
                <w:webHidden/>
              </w:rPr>
            </w:r>
            <w:r>
              <w:rPr>
                <w:webHidden/>
              </w:rPr>
              <w:fldChar w:fldCharType="separate"/>
            </w:r>
            <w:r w:rsidR="00E60C36">
              <w:rPr>
                <w:webHidden/>
              </w:rPr>
              <w:t>16</w:t>
            </w:r>
            <w:r>
              <w:rPr>
                <w:webHidden/>
              </w:rPr>
              <w:fldChar w:fldCharType="end"/>
            </w:r>
          </w:hyperlink>
        </w:p>
        <w:p w14:paraId="6D183D7F" w14:textId="44369713"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74" w:history="1">
            <w:r w:rsidRPr="00CF22E1">
              <w:rPr>
                <w:rStyle w:val="Hyperlink"/>
                <w:lang w:val="en-US"/>
              </w:rPr>
              <w:t>12.</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Communication</w:t>
            </w:r>
            <w:r>
              <w:rPr>
                <w:webHidden/>
              </w:rPr>
              <w:tab/>
            </w:r>
            <w:r>
              <w:rPr>
                <w:webHidden/>
              </w:rPr>
              <w:fldChar w:fldCharType="begin"/>
            </w:r>
            <w:r>
              <w:rPr>
                <w:webHidden/>
              </w:rPr>
              <w:instrText xml:space="preserve"> PAGEREF _Toc214617374 \h </w:instrText>
            </w:r>
            <w:r>
              <w:rPr>
                <w:webHidden/>
              </w:rPr>
            </w:r>
            <w:r>
              <w:rPr>
                <w:webHidden/>
              </w:rPr>
              <w:fldChar w:fldCharType="separate"/>
            </w:r>
            <w:r w:rsidR="00E60C36">
              <w:rPr>
                <w:webHidden/>
              </w:rPr>
              <w:t>16</w:t>
            </w:r>
            <w:r>
              <w:rPr>
                <w:webHidden/>
              </w:rPr>
              <w:fldChar w:fldCharType="end"/>
            </w:r>
          </w:hyperlink>
        </w:p>
        <w:p w14:paraId="55FC1BC2" w14:textId="4841D379"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75" w:history="1">
            <w:r w:rsidRPr="00CF22E1">
              <w:rPr>
                <w:rStyle w:val="Hyperlink"/>
                <w:lang w:val="en-US"/>
              </w:rPr>
              <w:t>13.</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Data Protection</w:t>
            </w:r>
            <w:r>
              <w:rPr>
                <w:webHidden/>
              </w:rPr>
              <w:tab/>
            </w:r>
            <w:r>
              <w:rPr>
                <w:webHidden/>
              </w:rPr>
              <w:fldChar w:fldCharType="begin"/>
            </w:r>
            <w:r>
              <w:rPr>
                <w:webHidden/>
              </w:rPr>
              <w:instrText xml:space="preserve"> PAGEREF _Toc214617375 \h </w:instrText>
            </w:r>
            <w:r>
              <w:rPr>
                <w:webHidden/>
              </w:rPr>
            </w:r>
            <w:r>
              <w:rPr>
                <w:webHidden/>
              </w:rPr>
              <w:fldChar w:fldCharType="separate"/>
            </w:r>
            <w:r w:rsidR="00E60C36">
              <w:rPr>
                <w:webHidden/>
              </w:rPr>
              <w:t>16</w:t>
            </w:r>
            <w:r>
              <w:rPr>
                <w:webHidden/>
              </w:rPr>
              <w:fldChar w:fldCharType="end"/>
            </w:r>
          </w:hyperlink>
        </w:p>
        <w:p w14:paraId="43C1CD99" w14:textId="50AE3793"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76" w:history="1">
            <w:r w:rsidRPr="00CF22E1">
              <w:rPr>
                <w:rStyle w:val="Hyperlink"/>
                <w:lang w:val="en-US"/>
              </w:rPr>
              <w:t>14.</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Financial Measures</w:t>
            </w:r>
            <w:r>
              <w:rPr>
                <w:webHidden/>
              </w:rPr>
              <w:tab/>
            </w:r>
            <w:r>
              <w:rPr>
                <w:webHidden/>
              </w:rPr>
              <w:fldChar w:fldCharType="begin"/>
            </w:r>
            <w:r>
              <w:rPr>
                <w:webHidden/>
              </w:rPr>
              <w:instrText xml:space="preserve"> PAGEREF _Toc214617376 \h </w:instrText>
            </w:r>
            <w:r>
              <w:rPr>
                <w:webHidden/>
              </w:rPr>
            </w:r>
            <w:r>
              <w:rPr>
                <w:webHidden/>
              </w:rPr>
              <w:fldChar w:fldCharType="separate"/>
            </w:r>
            <w:r w:rsidR="00E60C36">
              <w:rPr>
                <w:webHidden/>
              </w:rPr>
              <w:t>17</w:t>
            </w:r>
            <w:r>
              <w:rPr>
                <w:webHidden/>
              </w:rPr>
              <w:fldChar w:fldCharType="end"/>
            </w:r>
          </w:hyperlink>
        </w:p>
        <w:p w14:paraId="7CF9448A" w14:textId="2394D352" w:rsidR="00D3387B" w:rsidRDefault="00D3387B">
          <w:pPr>
            <w:pStyle w:val="TOC1"/>
            <w:rPr>
              <w:rFonts w:asciiTheme="minorHAnsi" w:eastAsiaTheme="minorEastAsia" w:hAnsiTheme="minorHAnsi" w:cstheme="minorBidi"/>
              <w:color w:val="auto"/>
              <w:kern w:val="2"/>
              <w:szCs w:val="24"/>
              <w:lang w:eastAsia="en-GB"/>
              <w14:ligatures w14:val="standardContextual"/>
            </w:rPr>
          </w:pPr>
          <w:hyperlink w:anchor="_Toc214617377" w:history="1">
            <w:r w:rsidRPr="00CF22E1">
              <w:rPr>
                <w:rStyle w:val="Hyperlink"/>
                <w:lang w:val="en-US"/>
              </w:rPr>
              <w:t>15.</w:t>
            </w:r>
            <w:r>
              <w:rPr>
                <w:rFonts w:asciiTheme="minorHAnsi" w:eastAsiaTheme="minorEastAsia" w:hAnsiTheme="minorHAnsi" w:cstheme="minorBidi"/>
                <w:color w:val="auto"/>
                <w:kern w:val="2"/>
                <w:szCs w:val="24"/>
                <w:lang w:eastAsia="en-GB"/>
                <w14:ligatures w14:val="standardContextual"/>
              </w:rPr>
              <w:tab/>
            </w:r>
            <w:r w:rsidRPr="00CF22E1">
              <w:rPr>
                <w:rStyle w:val="Hyperlink"/>
                <w:lang w:val="en-US"/>
              </w:rPr>
              <w:t>Appendix 1 – Right to Compensation for Improvements</w:t>
            </w:r>
            <w:r>
              <w:rPr>
                <w:webHidden/>
              </w:rPr>
              <w:tab/>
            </w:r>
            <w:r>
              <w:rPr>
                <w:webHidden/>
              </w:rPr>
              <w:fldChar w:fldCharType="begin"/>
            </w:r>
            <w:r>
              <w:rPr>
                <w:webHidden/>
              </w:rPr>
              <w:instrText xml:space="preserve"> PAGEREF _Toc214617377 \h </w:instrText>
            </w:r>
            <w:r>
              <w:rPr>
                <w:webHidden/>
              </w:rPr>
            </w:r>
            <w:r>
              <w:rPr>
                <w:webHidden/>
              </w:rPr>
              <w:fldChar w:fldCharType="separate"/>
            </w:r>
            <w:r w:rsidR="00E60C36">
              <w:rPr>
                <w:webHidden/>
              </w:rPr>
              <w:t>17</w:t>
            </w:r>
            <w:r>
              <w:rPr>
                <w:webHidden/>
              </w:rPr>
              <w:fldChar w:fldCharType="end"/>
            </w:r>
          </w:hyperlink>
        </w:p>
        <w:p w14:paraId="1A6BC306" w14:textId="01C759CC" w:rsidR="00DC0AA1" w:rsidRDefault="00DC0AA1" w:rsidP="00DC0AA1">
          <w:r>
            <w:rPr>
              <w:b/>
              <w:bCs/>
              <w:noProof/>
            </w:rPr>
            <w:fldChar w:fldCharType="end"/>
          </w:r>
        </w:p>
      </w:sdtContent>
    </w:sdt>
    <w:p w14:paraId="33257274" w14:textId="77777777" w:rsidR="00DC0AA1" w:rsidRPr="002926FB" w:rsidRDefault="00DC0AA1" w:rsidP="00DC1BF1">
      <w:r>
        <w:br w:type="page"/>
      </w:r>
    </w:p>
    <w:p w14:paraId="1B8A30A5" w14:textId="2AEF778B" w:rsidR="00B846CB" w:rsidRPr="00B846CB" w:rsidRDefault="00B846CB" w:rsidP="00B9401F">
      <w:pPr>
        <w:pStyle w:val="Heading1"/>
      </w:pPr>
      <w:bookmarkStart w:id="1" w:name="_Toc214617351"/>
      <w:r w:rsidRPr="00B846CB">
        <w:lastRenderedPageBreak/>
        <w:t>In</w:t>
      </w:r>
      <w:r w:rsidR="006A0848">
        <w:t>troduction</w:t>
      </w:r>
      <w:bookmarkEnd w:id="1"/>
    </w:p>
    <w:p w14:paraId="05C10E61" w14:textId="53F2D0FE" w:rsidR="007B4C2E" w:rsidRPr="00BC6577" w:rsidRDefault="007B4C2E" w:rsidP="007B4C2E">
      <w:bookmarkStart w:id="2" w:name="_Hlk60741059"/>
      <w:r>
        <w:t>The Council</w:t>
      </w:r>
      <w:r w:rsidRPr="00996021">
        <w:t xml:space="preserve"> aims to provide its </w:t>
      </w:r>
      <w:r>
        <w:t>resident</w:t>
      </w:r>
      <w:r w:rsidRPr="00996021">
        <w:t xml:space="preserve">s with services that are of a consistently good quality. </w:t>
      </w:r>
      <w:r>
        <w:t>We recognise that there are times when services do not meet our high standards and residents are inconvenienced. To demonstrate our commitment to taking responsibility, we will offer a suitable remedy as our way of putting things right.</w:t>
      </w:r>
    </w:p>
    <w:p w14:paraId="5A51435A" w14:textId="77777777" w:rsidR="007B4C2E" w:rsidRDefault="007B4C2E" w:rsidP="007B4C2E">
      <w:r w:rsidRPr="00BC6577">
        <w:t>We will</w:t>
      </w:r>
      <w:r>
        <w:t xml:space="preserve"> adopt a consistent and evidence-based approach when considering any complaint and when deciding the appropriate remedy. We will assess each case on its own merits, taking into consideration a resident's individual circumstances/vulnerabilities and how they were affected.</w:t>
      </w:r>
    </w:p>
    <w:p w14:paraId="7A91C2A9" w14:textId="77777777" w:rsidR="007B4C2E" w:rsidRDefault="007B4C2E" w:rsidP="007B4C2E">
      <w:r>
        <w:t>This policy explains the circumstances in which compensation is awarded and is designed to work alongside the Council's housing management complaints policy to resolve complaints and provide our residents with fair and proportionate solutions.</w:t>
      </w:r>
    </w:p>
    <w:p w14:paraId="31D1D30C" w14:textId="040D9CF1" w:rsidR="00B846CB" w:rsidRPr="00B846CB" w:rsidRDefault="006A0848" w:rsidP="00B846CB">
      <w:pPr>
        <w:pStyle w:val="Heading1"/>
      </w:pPr>
      <w:bookmarkStart w:id="3" w:name="_Toc214617352"/>
      <w:bookmarkEnd w:id="2"/>
      <w:r>
        <w:t>Aims and Objectives</w:t>
      </w:r>
      <w:bookmarkEnd w:id="3"/>
    </w:p>
    <w:p w14:paraId="0D8527E3" w14:textId="0E7BB248" w:rsidR="001B001B" w:rsidRDefault="001B001B" w:rsidP="001B001B">
      <w:r>
        <w:t>O</w:t>
      </w:r>
      <w:r>
        <w:t>ur residents are at the heart of everything we do. We are committed to dealing with all complaints equitably, comprehensively, and in a timely way. Whilst we work with you to resolve your complaint, we expect our residents to behave in a reasonable manner. We understand that service failure(s) can cause frustration, however we have a zero-tolerance approach to rude/unreasonable conduct and in these circumstances, we may close your complaint or apply restrictions.</w:t>
      </w:r>
    </w:p>
    <w:p w14:paraId="4857D60E" w14:textId="77777777" w:rsidR="001B001B" w:rsidRDefault="001B001B" w:rsidP="001B001B">
      <w:r>
        <w:t>Remedies can take many forms such as rectifying the service failure, a goodwill gesture, and where appropriate, a discretionary compensation payment.</w:t>
      </w:r>
    </w:p>
    <w:p w14:paraId="6CBB9F77" w14:textId="77777777" w:rsidR="001B001B" w:rsidRDefault="001B001B" w:rsidP="001B001B">
      <w:r>
        <w:t>When deciding suitable remedies, we will take into account the following:</w:t>
      </w:r>
    </w:p>
    <w:p w14:paraId="74E183E6" w14:textId="77777777" w:rsidR="001B001B" w:rsidRDefault="001B001B" w:rsidP="001B001B">
      <w:pPr>
        <w:pStyle w:val="ListBullet"/>
      </w:pPr>
      <w:r>
        <w:t>Length of time and difficulty the resident spent trying to resolve the issue.</w:t>
      </w:r>
    </w:p>
    <w:p w14:paraId="0A8E0F83" w14:textId="77777777" w:rsidR="001B001B" w:rsidRDefault="001B001B" w:rsidP="001B001B">
      <w:pPr>
        <w:pStyle w:val="ListBullet"/>
      </w:pPr>
      <w:r>
        <w:t>Frequency with which something has occurred.</w:t>
      </w:r>
    </w:p>
    <w:p w14:paraId="06F5B8EF" w14:textId="77777777" w:rsidR="001B001B" w:rsidRDefault="001B001B" w:rsidP="001B001B">
      <w:pPr>
        <w:pStyle w:val="ListBullet"/>
      </w:pPr>
      <w:r>
        <w:t>Severity of any service failure or omission.</w:t>
      </w:r>
    </w:p>
    <w:p w14:paraId="1BC45FF9" w14:textId="77777777" w:rsidR="001B001B" w:rsidRDefault="001B001B" w:rsidP="001B001B">
      <w:pPr>
        <w:pStyle w:val="ListBullet"/>
      </w:pPr>
      <w:r>
        <w:t>Distress and inconvenience to the resident (and others if appropriate).</w:t>
      </w:r>
    </w:p>
    <w:p w14:paraId="57A2A14E" w14:textId="77777777" w:rsidR="001B001B" w:rsidRDefault="001B001B" w:rsidP="001B001B">
      <w:pPr>
        <w:pStyle w:val="ListBullet"/>
      </w:pPr>
      <w:r>
        <w:t>Risk of harm and actual harm to the resident (and others if appropriate).</w:t>
      </w:r>
    </w:p>
    <w:p w14:paraId="151322FA" w14:textId="77777777" w:rsidR="001B001B" w:rsidRDefault="001B001B" w:rsidP="001B001B">
      <w:pPr>
        <w:pStyle w:val="ListBullet"/>
      </w:pPr>
      <w:r>
        <w:t>Previous responses to the resident and any other attempts to address the issue.</w:t>
      </w:r>
    </w:p>
    <w:p w14:paraId="1A318B0B" w14:textId="77777777" w:rsidR="001B001B" w:rsidRDefault="001B001B" w:rsidP="001B001B">
      <w:pPr>
        <w:pStyle w:val="ListBullet"/>
      </w:pPr>
      <w:r>
        <w:t>A</w:t>
      </w:r>
      <w:r w:rsidRPr="00AA06ED">
        <w:t xml:space="preserve"> resident’s particular circumstances or vulnerabilities</w:t>
      </w:r>
      <w:r>
        <w:t>.</w:t>
      </w:r>
    </w:p>
    <w:p w14:paraId="79AFDDA4" w14:textId="77777777" w:rsidR="001B001B" w:rsidRPr="00AA06ED" w:rsidRDefault="001B001B" w:rsidP="001B001B">
      <w:pPr>
        <w:pStyle w:val="ListBullet"/>
      </w:pPr>
      <w:r>
        <w:t>Administrative costs such as out-of-pocket expenses.</w:t>
      </w:r>
    </w:p>
    <w:p w14:paraId="6AD6C2B4" w14:textId="77777777" w:rsidR="001B001B" w:rsidRDefault="001B001B" w:rsidP="001B001B">
      <w:pPr>
        <w:pStyle w:val="abcList"/>
        <w:numPr>
          <w:ilvl w:val="0"/>
          <w:numId w:val="0"/>
        </w:numPr>
      </w:pPr>
    </w:p>
    <w:p w14:paraId="4BF86368" w14:textId="77777777" w:rsidR="001B001B" w:rsidRDefault="001B001B" w:rsidP="001B001B">
      <w:pPr>
        <w:pStyle w:val="abcList"/>
        <w:numPr>
          <w:ilvl w:val="0"/>
          <w:numId w:val="0"/>
        </w:numPr>
      </w:pPr>
      <w:r>
        <w:t>In cases where a compensation payment has been selected as an appropriate remedy, if a debt is owed to the Council (rent or service charge arrears), compensation payments will be offset to pay the debt. This excludes exceptional circumstances such as financial hardship. Any credit remaining will be refunded directly to the resident.</w:t>
      </w:r>
    </w:p>
    <w:p w14:paraId="130A7BE7" w14:textId="77777777" w:rsidR="001B001B" w:rsidRDefault="001B001B" w:rsidP="001B001B">
      <w:pPr>
        <w:pStyle w:val="abcList"/>
        <w:numPr>
          <w:ilvl w:val="0"/>
          <w:numId w:val="0"/>
        </w:numPr>
      </w:pPr>
    </w:p>
    <w:p w14:paraId="14400EB5" w14:textId="77777777" w:rsidR="001B001B" w:rsidRDefault="001B001B" w:rsidP="001B001B">
      <w:pPr>
        <w:pStyle w:val="abcList"/>
        <w:numPr>
          <w:ilvl w:val="0"/>
          <w:numId w:val="0"/>
        </w:numPr>
      </w:pPr>
      <w:r>
        <w:t>We look at areas of repeated service failures to gain insight and to develop and continuously improve our services.</w:t>
      </w:r>
    </w:p>
    <w:p w14:paraId="7880FBA9" w14:textId="77777777" w:rsidR="001B001B" w:rsidRDefault="001B001B" w:rsidP="001B001B">
      <w:pPr>
        <w:pStyle w:val="abcList"/>
        <w:numPr>
          <w:ilvl w:val="0"/>
          <w:numId w:val="0"/>
        </w:numPr>
      </w:pPr>
    </w:p>
    <w:p w14:paraId="07436E4C" w14:textId="77777777" w:rsidR="001B001B" w:rsidRPr="00D35753" w:rsidRDefault="001B001B" w:rsidP="001B001B">
      <w:pPr>
        <w:pStyle w:val="abcList"/>
        <w:numPr>
          <w:ilvl w:val="0"/>
          <w:numId w:val="0"/>
        </w:numPr>
      </w:pPr>
      <w:r>
        <w:t>We have developed our policy in line with the Housing Ombudsman's Complaint Handling Code. If you wish to seek an independent review, you can contact the Housing Ombudsman Service at any point throughout the complaints process.</w:t>
      </w:r>
      <w:r w:rsidRPr="00D35753">
        <w:t xml:space="preserve">   </w:t>
      </w:r>
    </w:p>
    <w:p w14:paraId="40EAFC4D" w14:textId="77777777" w:rsidR="001B001B" w:rsidRPr="00E12659" w:rsidRDefault="001B001B" w:rsidP="001B001B">
      <w:r w:rsidRPr="00E12659">
        <w:lastRenderedPageBreak/>
        <w:t>The Housing Ombudsman is an independent, impartial, and free service for social housing residents. The Housing Ombudsman looks at complaints about housing organisations that are registered with them. The outcome of the investigations includes remedies, orders, and recommendations.</w:t>
      </w:r>
    </w:p>
    <w:p w14:paraId="11DDF3A3" w14:textId="77777777" w:rsidR="001B001B" w:rsidRPr="00E12659" w:rsidRDefault="001B001B" w:rsidP="001B001B">
      <w:r w:rsidRPr="00E12659">
        <w:t>The Ombudsman can be contacted through the following channels</w:t>
      </w:r>
      <w:r>
        <w:t>:</w:t>
      </w:r>
    </w:p>
    <w:p w14:paraId="0AD869A4" w14:textId="77777777" w:rsidR="001B001B" w:rsidRPr="00E12659" w:rsidRDefault="001B001B" w:rsidP="001B001B">
      <w:r w:rsidRPr="00E12659">
        <w:t xml:space="preserve">Website: </w:t>
      </w:r>
      <w:r>
        <w:t xml:space="preserve">    </w:t>
      </w:r>
      <w:hyperlink r:id="rId11" w:history="1">
        <w:r w:rsidRPr="00E12659">
          <w:rPr>
            <w:rStyle w:val="Hyperlink"/>
          </w:rPr>
          <w:t>housing-ombudsman.org.uk</w:t>
        </w:r>
      </w:hyperlink>
    </w:p>
    <w:p w14:paraId="2B597F9D" w14:textId="77777777" w:rsidR="001B001B" w:rsidRDefault="001B001B" w:rsidP="001B001B">
      <w:r w:rsidRPr="00E12659">
        <w:t>Telephone: 0300 111 3000</w:t>
      </w:r>
    </w:p>
    <w:p w14:paraId="23816501" w14:textId="77777777" w:rsidR="001B001B" w:rsidRDefault="001B001B" w:rsidP="001B001B">
      <w:r>
        <w:t xml:space="preserve">Email:         </w:t>
      </w:r>
      <w:hyperlink r:id="rId12" w:history="1">
        <w:r w:rsidRPr="0085270C">
          <w:rPr>
            <w:rStyle w:val="Hyperlink"/>
          </w:rPr>
          <w:t>info@housing-ombudsman.org.uk</w:t>
        </w:r>
      </w:hyperlink>
      <w:r w:rsidRPr="00E12659">
        <w:br/>
        <w:t>Post:</w:t>
      </w:r>
      <w:r w:rsidRPr="00E12659">
        <w:tab/>
      </w:r>
      <w:r>
        <w:t xml:space="preserve">        </w:t>
      </w:r>
      <w:r w:rsidRPr="00E12659">
        <w:t xml:space="preserve">PO Box </w:t>
      </w:r>
      <w:r w:rsidRPr="00D36DB0">
        <w:t>1484</w:t>
      </w:r>
      <w:r>
        <w:t xml:space="preserve">, </w:t>
      </w:r>
      <w:r w:rsidRPr="00D36DB0">
        <w:t>Unit D</w:t>
      </w:r>
      <w:r w:rsidRPr="00E12659">
        <w:br/>
        <w:t xml:space="preserve">           </w:t>
      </w:r>
      <w:r>
        <w:t xml:space="preserve">        Preston </w:t>
      </w:r>
      <w:r w:rsidRPr="00D36DB0">
        <w:t>PR2 0ET</w:t>
      </w:r>
    </w:p>
    <w:p w14:paraId="27D2A9E4" w14:textId="77777777" w:rsidR="00871178" w:rsidRDefault="00871178" w:rsidP="001B001B">
      <w:pPr>
        <w:pStyle w:val="abcList"/>
        <w:numPr>
          <w:ilvl w:val="0"/>
          <w:numId w:val="0"/>
        </w:numPr>
      </w:pPr>
    </w:p>
    <w:p w14:paraId="1FAF0CCC" w14:textId="216E8435" w:rsidR="001B001B" w:rsidRPr="00A40CEF" w:rsidRDefault="001B001B" w:rsidP="001B001B">
      <w:pPr>
        <w:pStyle w:val="abcList"/>
        <w:numPr>
          <w:ilvl w:val="0"/>
          <w:numId w:val="0"/>
        </w:numPr>
      </w:pPr>
      <w:r>
        <w:t>This policy aims to:</w:t>
      </w:r>
      <w:r w:rsidRPr="00A40CEF">
        <w:t>  </w:t>
      </w:r>
    </w:p>
    <w:p w14:paraId="198ABB70" w14:textId="77777777" w:rsidR="001B001B" w:rsidRPr="00D87E1A" w:rsidRDefault="001B001B" w:rsidP="001B001B">
      <w:pPr>
        <w:pStyle w:val="ListBullet"/>
      </w:pPr>
      <w:r w:rsidRPr="00D87E1A">
        <w:t xml:space="preserve">Set out the circumstances under which compensation </w:t>
      </w:r>
      <w:r>
        <w:t>will be paid.</w:t>
      </w:r>
    </w:p>
    <w:p w14:paraId="7A457C8B" w14:textId="77777777" w:rsidR="001B001B" w:rsidRPr="00D87E1A" w:rsidRDefault="001B001B" w:rsidP="001B001B">
      <w:pPr>
        <w:pStyle w:val="ListBullet"/>
      </w:pPr>
      <w:r>
        <w:t>P</w:t>
      </w:r>
      <w:r w:rsidRPr="00D87E1A">
        <w:t>romote fairness and consistency when calculating compensation</w:t>
      </w:r>
      <w:r>
        <w:t>.</w:t>
      </w:r>
    </w:p>
    <w:p w14:paraId="56C7DDED" w14:textId="77777777" w:rsidR="001B001B" w:rsidRDefault="001B001B" w:rsidP="001B001B">
      <w:pPr>
        <w:pStyle w:val="ListBullet"/>
      </w:pPr>
      <w:r>
        <w:t>P</w:t>
      </w:r>
      <w:r w:rsidRPr="00D87E1A">
        <w:t>rovide guidance on how and when compensation can be claime</w:t>
      </w:r>
      <w:r>
        <w:t>d.</w:t>
      </w:r>
    </w:p>
    <w:p w14:paraId="3E0D9234" w14:textId="77777777" w:rsidR="001B001B" w:rsidRDefault="001B001B" w:rsidP="005011A9">
      <w:pPr>
        <w:pStyle w:val="ListBullet"/>
        <w:numPr>
          <w:ilvl w:val="0"/>
          <w:numId w:val="0"/>
        </w:numPr>
      </w:pPr>
    </w:p>
    <w:p w14:paraId="29AEB360" w14:textId="77777777" w:rsidR="001B001B" w:rsidRDefault="001B001B" w:rsidP="001B001B">
      <w:pPr>
        <w:pStyle w:val="ListBullet"/>
        <w:numPr>
          <w:ilvl w:val="0"/>
          <w:numId w:val="0"/>
        </w:numPr>
        <w:ind w:left="360" w:hanging="360"/>
      </w:pPr>
      <w:r>
        <w:t>The Council must safeguard public funds</w:t>
      </w:r>
      <w:r w:rsidRPr="00A40CEF">
        <w:t xml:space="preserve"> and manage its resources effectively.</w:t>
      </w:r>
      <w:r>
        <w:t xml:space="preserve"> </w:t>
      </w:r>
    </w:p>
    <w:p w14:paraId="2E244597" w14:textId="77777777" w:rsidR="001B001B" w:rsidRDefault="001B001B" w:rsidP="001B001B">
      <w:pPr>
        <w:pStyle w:val="ListBullet"/>
        <w:numPr>
          <w:ilvl w:val="0"/>
          <w:numId w:val="0"/>
        </w:numPr>
        <w:ind w:left="360" w:hanging="360"/>
      </w:pPr>
      <w:r w:rsidRPr="00A40CEF">
        <w:t>Before financial awards are offered, consideration will first be given to a range of</w:t>
      </w:r>
    </w:p>
    <w:p w14:paraId="408E71EB" w14:textId="77777777" w:rsidR="001B001B" w:rsidRDefault="001B001B" w:rsidP="001B001B">
      <w:pPr>
        <w:pStyle w:val="ListBullet"/>
        <w:numPr>
          <w:ilvl w:val="0"/>
          <w:numId w:val="0"/>
        </w:numPr>
        <w:ind w:left="360" w:hanging="360"/>
      </w:pPr>
      <w:r w:rsidRPr="00A40CEF">
        <w:t>remedies that may be appropriate. The following list is not exhaustive, but 'putting</w:t>
      </w:r>
    </w:p>
    <w:p w14:paraId="33B529D3" w14:textId="77777777" w:rsidR="001B001B" w:rsidRPr="00A40CEF" w:rsidRDefault="001B001B" w:rsidP="001B001B">
      <w:pPr>
        <w:pStyle w:val="ListBullet"/>
        <w:numPr>
          <w:ilvl w:val="0"/>
          <w:numId w:val="0"/>
        </w:numPr>
        <w:ind w:left="360" w:hanging="360"/>
      </w:pPr>
      <w:r w:rsidRPr="00A40CEF">
        <w:t>things right' could include:</w:t>
      </w:r>
    </w:p>
    <w:p w14:paraId="48125B3E" w14:textId="77777777" w:rsidR="001B001B" w:rsidRDefault="001B001B" w:rsidP="001B001B">
      <w:pPr>
        <w:pStyle w:val="ListBullet"/>
      </w:pPr>
      <w:r>
        <w:t>An apology.</w:t>
      </w:r>
    </w:p>
    <w:p w14:paraId="03434054" w14:textId="77777777" w:rsidR="001B001B" w:rsidRDefault="001B001B" w:rsidP="001B001B">
      <w:pPr>
        <w:pStyle w:val="ListBullet"/>
      </w:pPr>
      <w:r>
        <w:t>A written explanation giving a full answer to all points raised in the complaint.</w:t>
      </w:r>
    </w:p>
    <w:p w14:paraId="46079215" w14:textId="77777777" w:rsidR="001B001B" w:rsidRPr="008B30BA" w:rsidRDefault="001B001B" w:rsidP="001B001B">
      <w:pPr>
        <w:pStyle w:val="ListBullet"/>
      </w:pPr>
      <w:r w:rsidRPr="008B30BA">
        <w:t>A face-to-face discussion or appointment to discuss/resolve the issues.</w:t>
      </w:r>
    </w:p>
    <w:p w14:paraId="2B7C18FB" w14:textId="77777777" w:rsidR="001B001B" w:rsidRPr="00285855" w:rsidRDefault="001B001B" w:rsidP="001B001B">
      <w:pPr>
        <w:pStyle w:val="ListBullet"/>
      </w:pPr>
      <w:r w:rsidRPr="00285855">
        <w:t>Action taken to put things right to demonstrate the complaint has been taken seriously.</w:t>
      </w:r>
    </w:p>
    <w:p w14:paraId="52D72E7F" w14:textId="77777777" w:rsidR="001B001B" w:rsidRDefault="001B001B" w:rsidP="001B001B">
      <w:pPr>
        <w:pStyle w:val="ListBullet"/>
      </w:pPr>
      <w:r>
        <w:t>Assurance that every effort will be made to ensure the same thing does not happen again, with action and monitoring to resolve.</w:t>
      </w:r>
    </w:p>
    <w:p w14:paraId="241FABC2" w14:textId="77777777" w:rsidR="001B001B" w:rsidRPr="00D87E1A" w:rsidRDefault="001B001B" w:rsidP="001B001B">
      <w:pPr>
        <w:pStyle w:val="ListBullet"/>
      </w:pPr>
      <w:r w:rsidRPr="00A12C48">
        <w:t>Reconsideration of a decision, which on new</w:t>
      </w:r>
      <w:r>
        <w:t>,</w:t>
      </w:r>
      <w:r w:rsidRPr="00A12C48">
        <w:t xml:space="preserve"> or review of existing information may demonstrate an alternative decision is justified.  </w:t>
      </w:r>
    </w:p>
    <w:p w14:paraId="6E0D0159" w14:textId="77777777" w:rsidR="001B001B" w:rsidRDefault="001B001B" w:rsidP="001B001B">
      <w:pPr>
        <w:pStyle w:val="ListBullet"/>
      </w:pPr>
      <w:r>
        <w:t>A review of policies and procedures.</w:t>
      </w:r>
    </w:p>
    <w:p w14:paraId="03F9A54D" w14:textId="77777777" w:rsidR="001B001B" w:rsidRDefault="001B001B" w:rsidP="001B001B">
      <w:pPr>
        <w:pStyle w:val="ListBullet"/>
      </w:pPr>
      <w:r>
        <w:t>Staff guidance or training.</w:t>
      </w:r>
    </w:p>
    <w:p w14:paraId="1B473917" w14:textId="77777777" w:rsidR="001B001B" w:rsidRDefault="001B001B" w:rsidP="001B001B">
      <w:pPr>
        <w:pStyle w:val="ListBullet"/>
      </w:pPr>
      <w:r>
        <w:t>Appropriate disciplinary action.</w:t>
      </w:r>
    </w:p>
    <w:p w14:paraId="5A1E420A" w14:textId="55BC4691" w:rsidR="006A0848" w:rsidRDefault="006A0848" w:rsidP="006A0848">
      <w:pPr>
        <w:pStyle w:val="Heading1"/>
      </w:pPr>
      <w:bookmarkStart w:id="4" w:name="_Toc214617353"/>
      <w:r>
        <w:t>Scope</w:t>
      </w:r>
      <w:bookmarkEnd w:id="4"/>
    </w:p>
    <w:p w14:paraId="2146D267" w14:textId="4501F4E5" w:rsidR="00871178" w:rsidRDefault="00871178" w:rsidP="00871178">
      <w:r>
        <w:t>The policy is restricted to the Council's tenants and leaseholders (residents). People who are not council tenants or leaseholders are outside the scope of this policy.</w:t>
      </w:r>
    </w:p>
    <w:p w14:paraId="35026EC5" w14:textId="77777777" w:rsidR="00871178" w:rsidRDefault="00871178" w:rsidP="00871178">
      <w:r>
        <w:t>This policy applies to complaints related to housing management issues and can be used during any stage of the complaints handling process or through the course of our usual service delivery.</w:t>
      </w:r>
    </w:p>
    <w:p w14:paraId="39603BA1" w14:textId="77777777" w:rsidR="00871178" w:rsidRDefault="00871178" w:rsidP="00871178">
      <w:r>
        <w:t xml:space="preserve">Some of our services are delivered by contractors on our behalf. If they are asked to respond to a complaint as Stage One, they will consider any suitable remedies in line with our own policy and procedures.   </w:t>
      </w:r>
    </w:p>
    <w:p w14:paraId="3BDC74F1" w14:textId="77777777" w:rsidR="00871178" w:rsidRDefault="00871178" w:rsidP="00871178">
      <w:r>
        <w:lastRenderedPageBreak/>
        <w:t>Compensation payments are made when you have experienced a delay or have incurred additional costs because of a service failure on our part, or if we have failed to meet agreed standards of service within our guidelines. For example:</w:t>
      </w:r>
    </w:p>
    <w:p w14:paraId="137F1925" w14:textId="77777777" w:rsidR="00871178" w:rsidRDefault="00871178" w:rsidP="00871178">
      <w:pPr>
        <w:pStyle w:val="ListBullet"/>
      </w:pPr>
      <w:r>
        <w:t xml:space="preserve">Temporary </w:t>
      </w:r>
      <w:r w:rsidRPr="00B87A39">
        <w:t>loss of facilities/amenities in the home such as heating or hot water</w:t>
      </w:r>
      <w:r>
        <w:t>.</w:t>
      </w:r>
    </w:p>
    <w:p w14:paraId="0DF460E2" w14:textId="77777777" w:rsidR="00871178" w:rsidRDefault="00871178" w:rsidP="00871178">
      <w:pPr>
        <w:pStyle w:val="ListBullet"/>
      </w:pPr>
      <w:r>
        <w:t>F</w:t>
      </w:r>
      <w:r w:rsidRPr="00B87A39">
        <w:t>ailure to provide a s</w:t>
      </w:r>
      <w:r>
        <w:t>ervice</w:t>
      </w:r>
      <w:r w:rsidRPr="00B87A39">
        <w:t xml:space="preserve"> that r</w:t>
      </w:r>
      <w:r>
        <w:t>esident</w:t>
      </w:r>
      <w:r w:rsidRPr="00B87A39">
        <w:t>s have been charged for such as cleaning and caretaking services</w:t>
      </w:r>
      <w:r>
        <w:t>.</w:t>
      </w:r>
    </w:p>
    <w:p w14:paraId="733579AB" w14:textId="77777777" w:rsidR="00871178" w:rsidRPr="00AE16BC" w:rsidRDefault="00871178" w:rsidP="00871178">
      <w:pPr>
        <w:pStyle w:val="ListBullet"/>
      </w:pPr>
      <w:r>
        <w:t>F</w:t>
      </w:r>
      <w:r w:rsidRPr="00B87A39">
        <w:t>ailure to attend a booked appointment</w:t>
      </w:r>
      <w:r>
        <w:t>.</w:t>
      </w:r>
    </w:p>
    <w:p w14:paraId="65897E78" w14:textId="77777777" w:rsidR="00871178" w:rsidRPr="00B87A39" w:rsidRDefault="00871178" w:rsidP="00871178">
      <w:pPr>
        <w:pStyle w:val="ListBullet"/>
      </w:pPr>
      <w:r>
        <w:t>Fa</w:t>
      </w:r>
      <w:r w:rsidRPr="00B87A39">
        <w:t>ilure to complete repairs to agreed response times (not applicable to leaseholders except those in the Defects Liability Period)</w:t>
      </w:r>
      <w:r>
        <w:t>.</w:t>
      </w:r>
    </w:p>
    <w:p w14:paraId="6B771EE8" w14:textId="1767A61F" w:rsidR="00A44237" w:rsidRDefault="00871178" w:rsidP="00871178">
      <w:pPr>
        <w:pStyle w:val="ListBullet"/>
      </w:pPr>
      <w:r>
        <w:t>Poor complaint handling.</w:t>
      </w:r>
    </w:p>
    <w:p w14:paraId="34904429" w14:textId="27EA882E" w:rsidR="00871178" w:rsidRPr="006311E2" w:rsidRDefault="00871178" w:rsidP="00871178">
      <w:r>
        <w:t>Our compensation policy is not intended to cover:</w:t>
      </w:r>
    </w:p>
    <w:p w14:paraId="1D93A553" w14:textId="77777777" w:rsidR="00871178" w:rsidRPr="006311E2" w:rsidRDefault="00871178" w:rsidP="00871178">
      <w:pPr>
        <w:pStyle w:val="ListBullet"/>
      </w:pPr>
      <w:r>
        <w:t>Circumstances not in our control i.e.</w:t>
      </w:r>
      <w:r w:rsidRPr="006311E2">
        <w:t xml:space="preserve"> if there is a strike or </w:t>
      </w:r>
      <w:r>
        <w:t>extreme</w:t>
      </w:r>
      <w:r w:rsidRPr="006311E2">
        <w:t xml:space="preserve"> weather</w:t>
      </w:r>
      <w:r>
        <w:t>.</w:t>
      </w:r>
    </w:p>
    <w:p w14:paraId="443A1F1E" w14:textId="77777777" w:rsidR="00871178" w:rsidRPr="006311E2" w:rsidRDefault="00871178" w:rsidP="00871178">
      <w:pPr>
        <w:pStyle w:val="ListBullet"/>
      </w:pPr>
      <w:r>
        <w:t>L</w:t>
      </w:r>
      <w:r w:rsidRPr="006311E2">
        <w:t>oss that is due to negligence by the resident, that is deemed to be the fault of a third party or is beyond our control</w:t>
      </w:r>
      <w:r>
        <w:t>.</w:t>
      </w:r>
    </w:p>
    <w:p w14:paraId="04C8A40F" w14:textId="77777777" w:rsidR="00871178" w:rsidRPr="006311E2" w:rsidRDefault="00871178" w:rsidP="00871178">
      <w:pPr>
        <w:pStyle w:val="ListBullet"/>
      </w:pPr>
      <w:r>
        <w:t>I</w:t>
      </w:r>
      <w:r w:rsidRPr="006311E2">
        <w:t>nsurance claims relating to financial loss, damage to third party property or personal injury</w:t>
      </w:r>
      <w:r>
        <w:t>.</w:t>
      </w:r>
    </w:p>
    <w:p w14:paraId="204A84FB" w14:textId="77777777" w:rsidR="00871178" w:rsidRPr="006311E2" w:rsidRDefault="00871178" w:rsidP="00871178">
      <w:pPr>
        <w:pStyle w:val="ListBullet"/>
      </w:pPr>
      <w:r w:rsidRPr="006311E2">
        <w:t>Service failure due to interruptions in gas, electricity or water supplies because of the non-performance of utility companies or through the action of the resident</w:t>
      </w:r>
      <w:r>
        <w:t>.</w:t>
      </w:r>
    </w:p>
    <w:p w14:paraId="65DC4721" w14:textId="77777777" w:rsidR="00871178" w:rsidRPr="006311E2" w:rsidRDefault="00871178" w:rsidP="00871178">
      <w:pPr>
        <w:pStyle w:val="ListBullet"/>
      </w:pPr>
      <w:r>
        <w:t>L</w:t>
      </w:r>
      <w:r w:rsidRPr="006311E2">
        <w:t xml:space="preserve">oss or damage </w:t>
      </w:r>
      <w:r>
        <w:t>that has arisen</w:t>
      </w:r>
      <w:r w:rsidRPr="006311E2">
        <w:t xml:space="preserve"> from an alteration or repair which the r</w:t>
      </w:r>
      <w:r>
        <w:t>esident</w:t>
      </w:r>
      <w:r w:rsidRPr="006311E2">
        <w:t xml:space="preserve"> has arranged or carried out themselves.</w:t>
      </w:r>
    </w:p>
    <w:p w14:paraId="4EA1B4CC" w14:textId="77777777" w:rsidR="00871178" w:rsidRPr="006311E2" w:rsidRDefault="00871178" w:rsidP="00871178">
      <w:pPr>
        <w:pStyle w:val="ListBullet"/>
      </w:pPr>
      <w:r w:rsidRPr="006311E2">
        <w:t>There is damage to the property or loss of amenity which the resident has not taken reasonable steps to prevent.</w:t>
      </w:r>
    </w:p>
    <w:p w14:paraId="2CA1E0F5" w14:textId="77777777" w:rsidR="00871178" w:rsidRDefault="00871178" w:rsidP="00871178">
      <w:pPr>
        <w:pStyle w:val="ListBullet"/>
      </w:pPr>
      <w:r w:rsidRPr="006311E2">
        <w:t xml:space="preserve">Where </w:t>
      </w:r>
      <w:r>
        <w:t>the Council</w:t>
      </w:r>
      <w:r w:rsidRPr="006311E2">
        <w:t xml:space="preserve"> has acted reasonably and complied with legal and contractual liabilities.</w:t>
      </w:r>
    </w:p>
    <w:p w14:paraId="593FF197" w14:textId="77777777" w:rsidR="00871178" w:rsidRPr="006311E2" w:rsidRDefault="00871178" w:rsidP="00871178">
      <w:pPr>
        <w:pStyle w:val="ListBullet"/>
      </w:pPr>
      <w:r>
        <w:t>Legal and professional fees.</w:t>
      </w:r>
    </w:p>
    <w:p w14:paraId="05241EDA" w14:textId="77777777" w:rsidR="00871178" w:rsidRPr="006311E2" w:rsidRDefault="00871178" w:rsidP="00871178">
      <w:pPr>
        <w:pStyle w:val="ListBullet"/>
      </w:pPr>
      <w:r>
        <w:t>L</w:t>
      </w:r>
      <w:r w:rsidRPr="006311E2">
        <w:t xml:space="preserve">oss or damage </w:t>
      </w:r>
      <w:r>
        <w:t xml:space="preserve">that </w:t>
      </w:r>
      <w:r w:rsidRPr="006311E2">
        <w:t xml:space="preserve">should </w:t>
      </w:r>
      <w:r>
        <w:t>be</w:t>
      </w:r>
      <w:r w:rsidRPr="006311E2">
        <w:t xml:space="preserve"> covered by</w:t>
      </w:r>
      <w:r>
        <w:t xml:space="preserve"> c</w:t>
      </w:r>
      <w:r w:rsidRPr="006311E2">
        <w:t xml:space="preserve">ontents </w:t>
      </w:r>
      <w:r>
        <w:t>i</w:t>
      </w:r>
      <w:r w:rsidRPr="006311E2">
        <w:t>nsurance</w:t>
      </w:r>
      <w:r>
        <w:t>.</w:t>
      </w:r>
    </w:p>
    <w:p w14:paraId="55C04160" w14:textId="77777777" w:rsidR="00871178" w:rsidRDefault="00871178" w:rsidP="00871178">
      <w:pPr>
        <w:pStyle w:val="ListBullet"/>
        <w:numPr>
          <w:ilvl w:val="0"/>
          <w:numId w:val="0"/>
        </w:numPr>
        <w:ind w:left="360"/>
      </w:pPr>
    </w:p>
    <w:p w14:paraId="23B06D8C" w14:textId="176E2FAD" w:rsidR="006A0848" w:rsidRDefault="00871178" w:rsidP="006A0848">
      <w:pPr>
        <w:rPr>
          <w:lang w:eastAsia="en-GB"/>
        </w:rPr>
      </w:pPr>
      <w:r>
        <w:t>This</w:t>
      </w:r>
      <w:r w:rsidRPr="00557F05">
        <w:t xml:space="preserve"> policy covers</w:t>
      </w:r>
      <w:r>
        <w:t xml:space="preserve"> statutory compensation,</w:t>
      </w:r>
      <w:r w:rsidRPr="00557F05">
        <w:t xml:space="preserve"> financial loss</w:t>
      </w:r>
      <w:r>
        <w:t>,</w:t>
      </w:r>
      <w:r w:rsidRPr="00557F05">
        <w:t xml:space="preserve"> and discretionary</w:t>
      </w:r>
      <w:r>
        <w:t xml:space="preserve"> </w:t>
      </w:r>
      <w:r w:rsidRPr="00557F05">
        <w:t>payments.</w:t>
      </w:r>
    </w:p>
    <w:p w14:paraId="552FAFE5" w14:textId="133FAA4A" w:rsidR="001D5006" w:rsidRDefault="001D5006" w:rsidP="00B846CB">
      <w:pPr>
        <w:pStyle w:val="Heading1"/>
      </w:pPr>
      <w:bookmarkStart w:id="5" w:name="_Toc214617354"/>
      <w:r>
        <w:t>Statutory Compensation</w:t>
      </w:r>
      <w:bookmarkEnd w:id="5"/>
    </w:p>
    <w:p w14:paraId="392097E9" w14:textId="6F32C56C" w:rsidR="00605D31" w:rsidRDefault="00605D31" w:rsidP="00605D31">
      <w:r w:rsidRPr="004A68AC">
        <w:t>Statutory compensation</w:t>
      </w:r>
      <w:r>
        <w:t xml:space="preserve"> are</w:t>
      </w:r>
      <w:r w:rsidRPr="004A68AC">
        <w:t xml:space="preserve"> payments </w:t>
      </w:r>
      <w:r>
        <w:t xml:space="preserve">which the Council is legally obliged to make and where the Council has no discretion over the amounts awarded. They include </w:t>
      </w:r>
      <w:r w:rsidRPr="00557F05">
        <w:t>the right to repair, right to compensation for tenants’ improvements, and home loss and disturbance allowances which are covered under the Land Compensation Act.</w:t>
      </w:r>
    </w:p>
    <w:p w14:paraId="50CCDE83" w14:textId="3B5EBE80" w:rsidR="00BA0091" w:rsidRDefault="008662C5" w:rsidP="00BA0091">
      <w:pPr>
        <w:pStyle w:val="Heading2"/>
      </w:pPr>
      <w:bookmarkStart w:id="6" w:name="_Toc214617355"/>
      <w:r>
        <w:t>Right to Repair</w:t>
      </w:r>
      <w:bookmarkEnd w:id="6"/>
    </w:p>
    <w:p w14:paraId="43806A3E" w14:textId="7B3EF465" w:rsidR="00771B68" w:rsidRPr="001F79DB" w:rsidRDefault="00771B68" w:rsidP="00771B68">
      <w:r w:rsidRPr="001F79DB">
        <w:t>This is a right given to secure tenants to ensure the completion of certain repairs</w:t>
      </w:r>
      <w:r>
        <w:t xml:space="preserve"> </w:t>
      </w:r>
      <w:r w:rsidRPr="001F79DB">
        <w:t>quickly and easily. Small, urgent repairs are covered, which if not carried out within a specified period, are likely to cause damage to the health, safety, or security of the resident.</w:t>
      </w:r>
    </w:p>
    <w:p w14:paraId="30789BCD" w14:textId="77777777" w:rsidR="00771B68" w:rsidRPr="001F79DB" w:rsidRDefault="00771B68" w:rsidP="00771B68">
      <w:r w:rsidRPr="001F79DB">
        <w:t xml:space="preserve">Qualifying repairs </w:t>
      </w:r>
      <w:r>
        <w:t xml:space="preserve">under the government's 'Right to Repair' scheme </w:t>
      </w:r>
      <w:r w:rsidRPr="001F79DB">
        <w:t>must cost £250 or less and include the following:</w:t>
      </w:r>
    </w:p>
    <w:p w14:paraId="1DFDC1B2" w14:textId="77777777" w:rsidR="00771B68" w:rsidRPr="001F79DB" w:rsidRDefault="00771B68" w:rsidP="00771B68">
      <w:pPr>
        <w:pStyle w:val="ListBullet"/>
      </w:pPr>
      <w:r>
        <w:t>T</w:t>
      </w:r>
      <w:r w:rsidRPr="001F79DB">
        <w:t>otal or partial loss of electrical power</w:t>
      </w:r>
      <w:r>
        <w:t>, water supply, gas/oil supply, space or water heating</w:t>
      </w:r>
    </w:p>
    <w:p w14:paraId="2AFC8250" w14:textId="77777777" w:rsidR="00771B68" w:rsidRPr="001F79DB" w:rsidRDefault="00771B68" w:rsidP="00771B68">
      <w:pPr>
        <w:pStyle w:val="ListBullet"/>
      </w:pPr>
      <w:r>
        <w:lastRenderedPageBreak/>
        <w:t>U</w:t>
      </w:r>
      <w:r w:rsidRPr="001F79DB">
        <w:t>nsafe power, lighting socket or electrical fitting</w:t>
      </w:r>
    </w:p>
    <w:p w14:paraId="341FF6D4" w14:textId="77777777" w:rsidR="00771B68" w:rsidRPr="001F79DB" w:rsidRDefault="00771B68" w:rsidP="00771B68">
      <w:pPr>
        <w:pStyle w:val="ListBullet"/>
      </w:pPr>
      <w:r>
        <w:t>B</w:t>
      </w:r>
      <w:r w:rsidRPr="001F79DB">
        <w:t>locked flue to open fire or boiler</w:t>
      </w:r>
    </w:p>
    <w:p w14:paraId="494CEC98" w14:textId="77777777" w:rsidR="00771B68" w:rsidRPr="001F79DB" w:rsidRDefault="00771B68" w:rsidP="00771B68">
      <w:pPr>
        <w:pStyle w:val="ListBullet"/>
      </w:pPr>
      <w:r>
        <w:t>B</w:t>
      </w:r>
      <w:r w:rsidRPr="001F79DB">
        <w:t>locked or leaking foul drain, soil stack or (where there is no other</w:t>
      </w:r>
      <w:r>
        <w:t xml:space="preserve"> </w:t>
      </w:r>
      <w:r w:rsidRPr="001F79DB">
        <w:t>working toilet in the dwelling house) toilet pan</w:t>
      </w:r>
    </w:p>
    <w:p w14:paraId="271D6B4C" w14:textId="77777777" w:rsidR="00771B68" w:rsidRPr="001F79DB" w:rsidRDefault="00771B68" w:rsidP="00771B68">
      <w:pPr>
        <w:pStyle w:val="ListBullet"/>
      </w:pPr>
      <w:r>
        <w:t>T</w:t>
      </w:r>
      <w:r w:rsidRPr="001F79DB">
        <w:t>oilet not flushing (where there is no other toilet in the house)</w:t>
      </w:r>
    </w:p>
    <w:p w14:paraId="2EAA018D" w14:textId="77777777" w:rsidR="00771B68" w:rsidRPr="001F79DB" w:rsidRDefault="00771B68" w:rsidP="00771B68">
      <w:pPr>
        <w:pStyle w:val="ListBullet"/>
      </w:pPr>
      <w:r>
        <w:t>B</w:t>
      </w:r>
      <w:r w:rsidRPr="001F79DB">
        <w:t>locked sink, bath, or basin</w:t>
      </w:r>
    </w:p>
    <w:p w14:paraId="4B0A47E0" w14:textId="77777777" w:rsidR="00771B68" w:rsidRPr="001F79DB" w:rsidRDefault="00771B68" w:rsidP="00771B68">
      <w:pPr>
        <w:pStyle w:val="ListBullet"/>
      </w:pPr>
      <w:r>
        <w:t>T</w:t>
      </w:r>
      <w:r w:rsidRPr="001F79DB">
        <w:t>ap which cannot be turned</w:t>
      </w:r>
    </w:p>
    <w:p w14:paraId="64744B6B" w14:textId="77777777" w:rsidR="00771B68" w:rsidRPr="001F79DB" w:rsidRDefault="00771B68" w:rsidP="00771B68">
      <w:pPr>
        <w:pStyle w:val="ListBullet"/>
      </w:pPr>
      <w:r>
        <w:t>L</w:t>
      </w:r>
      <w:r w:rsidRPr="001F79DB">
        <w:t>eaking from water or heating pipe, tank, or cistern</w:t>
      </w:r>
    </w:p>
    <w:p w14:paraId="5C7E290D" w14:textId="77777777" w:rsidR="00771B68" w:rsidRPr="001F79DB" w:rsidRDefault="00771B68" w:rsidP="00771B68">
      <w:pPr>
        <w:pStyle w:val="ListBullet"/>
      </w:pPr>
      <w:r>
        <w:t>L</w:t>
      </w:r>
      <w:r w:rsidRPr="001F79DB">
        <w:t>eaking roof</w:t>
      </w:r>
    </w:p>
    <w:p w14:paraId="6EF9C81D" w14:textId="77777777" w:rsidR="00771B68" w:rsidRPr="001F79DB" w:rsidRDefault="00771B68" w:rsidP="00771B68">
      <w:pPr>
        <w:pStyle w:val="ListBullet"/>
      </w:pPr>
      <w:r>
        <w:t>I</w:t>
      </w:r>
      <w:r w:rsidRPr="001F79DB">
        <w:t>nsecure external window, door, or lock</w:t>
      </w:r>
    </w:p>
    <w:p w14:paraId="7F7EEC0E" w14:textId="77777777" w:rsidR="00771B68" w:rsidRPr="001F79DB" w:rsidRDefault="00771B68" w:rsidP="00771B68">
      <w:pPr>
        <w:pStyle w:val="ListBullet"/>
      </w:pPr>
      <w:r>
        <w:t>L</w:t>
      </w:r>
      <w:r w:rsidRPr="001F79DB">
        <w:t>oose or detached banister or handrail</w:t>
      </w:r>
    </w:p>
    <w:p w14:paraId="4332C81A" w14:textId="77777777" w:rsidR="00771B68" w:rsidRPr="001F79DB" w:rsidRDefault="00771B68" w:rsidP="00771B68">
      <w:pPr>
        <w:pStyle w:val="ListBullet"/>
      </w:pPr>
      <w:r>
        <w:t>R</w:t>
      </w:r>
      <w:r w:rsidRPr="001F79DB">
        <w:t>otten timber flooring or stair tread</w:t>
      </w:r>
    </w:p>
    <w:p w14:paraId="0E336065" w14:textId="77777777" w:rsidR="00771B68" w:rsidRPr="001F79DB" w:rsidRDefault="00771B68" w:rsidP="00771B68">
      <w:pPr>
        <w:pStyle w:val="ListBullet"/>
      </w:pPr>
      <w:r>
        <w:t>D</w:t>
      </w:r>
      <w:r w:rsidRPr="001F79DB">
        <w:t>oor entry phone not working</w:t>
      </w:r>
    </w:p>
    <w:p w14:paraId="6405B916" w14:textId="77777777" w:rsidR="00771B68" w:rsidRDefault="00771B68" w:rsidP="00771B68">
      <w:pPr>
        <w:pStyle w:val="ListBullet"/>
      </w:pPr>
      <w:r>
        <w:t>M</w:t>
      </w:r>
      <w:r w:rsidRPr="001F79DB">
        <w:t>echanical extractor fan in internal kitchen or bathroom not working </w:t>
      </w:r>
    </w:p>
    <w:p w14:paraId="4A9A7C40" w14:textId="77777777" w:rsidR="00771B68" w:rsidRDefault="00771B68" w:rsidP="00771B68">
      <w:pPr>
        <w:pStyle w:val="ListBullet"/>
        <w:numPr>
          <w:ilvl w:val="0"/>
          <w:numId w:val="0"/>
        </w:numPr>
        <w:ind w:left="360" w:hanging="360"/>
      </w:pPr>
    </w:p>
    <w:p w14:paraId="239D7560" w14:textId="77777777" w:rsidR="00771B68" w:rsidRDefault="00771B68" w:rsidP="00771B68">
      <w:pPr>
        <w:pStyle w:val="ListBullet"/>
        <w:numPr>
          <w:ilvl w:val="0"/>
          <w:numId w:val="0"/>
        </w:numPr>
        <w:ind w:left="360" w:hanging="360"/>
      </w:pPr>
      <w:r>
        <w:t xml:space="preserve">Further guidance can be found on the Department for Levelling </w:t>
      </w:r>
      <w:r w:rsidRPr="00B6556F">
        <w:t>Up</w:t>
      </w:r>
      <w:r>
        <w:t>,</w:t>
      </w:r>
      <w:r w:rsidRPr="00B6556F">
        <w:t xml:space="preserve"> Housing and</w:t>
      </w:r>
      <w:r>
        <w:t xml:space="preserve"> </w:t>
      </w:r>
    </w:p>
    <w:p w14:paraId="083FB529" w14:textId="7C6E794B" w:rsidR="008662C5" w:rsidRDefault="00771B68" w:rsidP="00771B68">
      <w:pPr>
        <w:pStyle w:val="ListBullet"/>
        <w:numPr>
          <w:ilvl w:val="0"/>
          <w:numId w:val="0"/>
        </w:numPr>
        <w:tabs>
          <w:tab w:val="left" w:pos="2813"/>
        </w:tabs>
        <w:ind w:left="360" w:hanging="360"/>
        <w:rPr>
          <w:lang w:val="en-US" w:eastAsia="en-GB"/>
        </w:rPr>
      </w:pPr>
      <w:r w:rsidRPr="00B6556F">
        <w:t>Communities website</w:t>
      </w:r>
      <w:r>
        <w:t>.</w:t>
      </w:r>
    </w:p>
    <w:p w14:paraId="30E69A1C" w14:textId="1CEF4C00" w:rsidR="008662C5" w:rsidRDefault="008662C5" w:rsidP="008662C5">
      <w:pPr>
        <w:pStyle w:val="Heading2"/>
      </w:pPr>
      <w:bookmarkStart w:id="7" w:name="_Toc214617356"/>
      <w:r>
        <w:t>Right to Compensation for Improvements</w:t>
      </w:r>
      <w:bookmarkEnd w:id="7"/>
    </w:p>
    <w:p w14:paraId="2F6A7D74" w14:textId="3E442FB2" w:rsidR="00EF04C1" w:rsidRPr="001F79DB" w:rsidRDefault="00EF04C1" w:rsidP="00EF04C1">
      <w:r w:rsidRPr="001F79DB">
        <w:t>Secure and assured tenants moving out of their home can request compensation for certain improvements they made to the property while they were living in it.   </w:t>
      </w:r>
    </w:p>
    <w:p w14:paraId="235B87E9" w14:textId="77777777" w:rsidR="00EF04C1" w:rsidRPr="001F79DB" w:rsidRDefault="00EF04C1" w:rsidP="00EF04C1">
      <w:r w:rsidRPr="001F79DB">
        <w:t xml:space="preserve">For qualifying improvements, compensation will be calculated based on a formula set by </w:t>
      </w:r>
      <w:r>
        <w:t xml:space="preserve">the </w:t>
      </w:r>
      <w:r w:rsidRPr="001F79DB">
        <w:t xml:space="preserve">government and will be paid on a sliding scale according to the expected life expectancy of the improvement (see Appendix </w:t>
      </w:r>
      <w:r>
        <w:t>1</w:t>
      </w:r>
      <w:r w:rsidRPr="001F79DB">
        <w:t>).  </w:t>
      </w:r>
    </w:p>
    <w:p w14:paraId="0979B50A" w14:textId="77777777" w:rsidR="00EF04C1" w:rsidRPr="001F79DB" w:rsidRDefault="00EF04C1" w:rsidP="00EF04C1">
      <w:r w:rsidRPr="001F79DB">
        <w:t>To qualify for a compensation payment, a</w:t>
      </w:r>
      <w:r>
        <w:t xml:space="preserve"> </w:t>
      </w:r>
      <w:r w:rsidRPr="001F79DB">
        <w:t>r</w:t>
      </w:r>
      <w:r>
        <w:t>esident</w:t>
      </w:r>
      <w:r w:rsidRPr="001F79DB">
        <w:t xml:space="preserve"> must have:</w:t>
      </w:r>
    </w:p>
    <w:p w14:paraId="1D22E760" w14:textId="77777777" w:rsidR="00EF04C1" w:rsidRPr="001F79DB" w:rsidRDefault="00EF04C1" w:rsidP="00EF04C1">
      <w:pPr>
        <w:pStyle w:val="ListBullet"/>
      </w:pPr>
      <w:r>
        <w:t>R</w:t>
      </w:r>
      <w:r w:rsidRPr="001F79DB">
        <w:t>equested and obtained, our written permission before carrying out the work</w:t>
      </w:r>
      <w:r>
        <w:t>.</w:t>
      </w:r>
    </w:p>
    <w:p w14:paraId="5F12FDD4" w14:textId="77777777" w:rsidR="00EF04C1" w:rsidRPr="001F79DB" w:rsidRDefault="00EF04C1" w:rsidP="00EF04C1">
      <w:pPr>
        <w:pStyle w:val="ListBullet"/>
      </w:pPr>
      <w:r>
        <w:t>S</w:t>
      </w:r>
      <w:r w:rsidRPr="001F79DB">
        <w:t>ent us two independent quotations for the work. We will only compensate for works the r</w:t>
      </w:r>
      <w:r>
        <w:t>esident</w:t>
      </w:r>
      <w:r w:rsidRPr="001F79DB">
        <w:t xml:space="preserve"> completed themselves where they are suitably qualified.</w:t>
      </w:r>
    </w:p>
    <w:p w14:paraId="76A09171" w14:textId="77777777" w:rsidR="00EF04C1" w:rsidRPr="001F79DB" w:rsidRDefault="00EF04C1" w:rsidP="00EF04C1">
      <w:pPr>
        <w:pStyle w:val="ListBullet"/>
      </w:pPr>
      <w:r>
        <w:t>W</w:t>
      </w:r>
      <w:r w:rsidRPr="001F79DB">
        <w:t>here appropriate, provided evidence of having any official permission needed such as planning permission</w:t>
      </w:r>
      <w:r>
        <w:t>.</w:t>
      </w:r>
      <w:r w:rsidRPr="001F79DB">
        <w:t xml:space="preserve"> The minimum amount of compensation payable is £50, and the maximum is £3,000.</w:t>
      </w:r>
    </w:p>
    <w:p w14:paraId="08F89DAE" w14:textId="77777777" w:rsidR="00EF04C1" w:rsidRDefault="00EF04C1" w:rsidP="00EF04C1">
      <w:pPr>
        <w:pStyle w:val="ListBullet"/>
        <w:numPr>
          <w:ilvl w:val="0"/>
          <w:numId w:val="0"/>
        </w:numPr>
      </w:pPr>
    </w:p>
    <w:p w14:paraId="6C745D24" w14:textId="6238C3F7" w:rsidR="008662C5" w:rsidRDefault="00EF04C1" w:rsidP="00EF04C1">
      <w:pPr>
        <w:pStyle w:val="ListBullet"/>
        <w:numPr>
          <w:ilvl w:val="0"/>
          <w:numId w:val="0"/>
        </w:numPr>
        <w:rPr>
          <w:lang w:val="en-US" w:eastAsia="en-GB"/>
        </w:rPr>
      </w:pPr>
      <w:r w:rsidRPr="001F79DB">
        <w:t xml:space="preserve">The compensation will be used to clear any rent arrears owing at the end of the tenancy and will not be payable to tenants who apply to purchase their home through the Right to Buy or Right to Acquire </w:t>
      </w:r>
      <w:r w:rsidRPr="00B6556F">
        <w:t>scheme, or where the tenancy is ended through possession proceedings.</w:t>
      </w:r>
    </w:p>
    <w:p w14:paraId="02093E3A" w14:textId="2995315C" w:rsidR="008662C5" w:rsidRDefault="008662C5" w:rsidP="008662C5">
      <w:pPr>
        <w:pStyle w:val="Heading2"/>
      </w:pPr>
      <w:bookmarkStart w:id="8" w:name="_Toc214617357"/>
      <w:r>
        <w:t>Home Loss and Disturbance Payments</w:t>
      </w:r>
      <w:bookmarkEnd w:id="8"/>
    </w:p>
    <w:p w14:paraId="1174188F" w14:textId="4F421710" w:rsidR="003C6F8C" w:rsidRPr="001F79DB" w:rsidRDefault="003C6F8C" w:rsidP="003C6F8C">
      <w:r w:rsidRPr="001F79DB">
        <w:t>Payments are made when</w:t>
      </w:r>
      <w:r>
        <w:t xml:space="preserve"> a resident</w:t>
      </w:r>
      <w:r w:rsidRPr="001F79DB">
        <w:t xml:space="preserve"> </w:t>
      </w:r>
      <w:r>
        <w:t>(a</w:t>
      </w:r>
      <w:r w:rsidRPr="001F79DB">
        <w:t>ssured</w:t>
      </w:r>
      <w:r>
        <w:t>/s</w:t>
      </w:r>
      <w:r w:rsidRPr="001F79DB">
        <w:t>ecure</w:t>
      </w:r>
      <w:r>
        <w:t xml:space="preserve"> tenant</w:t>
      </w:r>
      <w:r w:rsidRPr="001F79DB">
        <w:t xml:space="preserve"> or </w:t>
      </w:r>
      <w:r>
        <w:t>l</w:t>
      </w:r>
      <w:r w:rsidRPr="001F79DB">
        <w:t>easeholder</w:t>
      </w:r>
      <w:r>
        <w:t>)</w:t>
      </w:r>
      <w:r w:rsidRPr="001F79DB">
        <w:t xml:space="preserve"> </w:t>
      </w:r>
      <w:r>
        <w:t xml:space="preserve">is </w:t>
      </w:r>
      <w:r w:rsidRPr="001F79DB">
        <w:t>move</w:t>
      </w:r>
      <w:r>
        <w:t>d</w:t>
      </w:r>
      <w:r w:rsidRPr="001F79DB">
        <w:t xml:space="preserve"> permanently from their home due to demolition or redevelopment. The statutory Home Loss payment is reviewed annually as set out in section 30 of the Land Compensation Act 1973.</w:t>
      </w:r>
      <w:r>
        <w:t xml:space="preserve"> </w:t>
      </w:r>
      <w:r w:rsidRPr="004A67F6">
        <w:t>To be eligible for a payment</w:t>
      </w:r>
      <w:r>
        <w:t>,</w:t>
      </w:r>
      <w:r w:rsidRPr="004A67F6">
        <w:t xml:space="preserve"> a resident must have resided in their current property for at least 12 months and displaced on, or after, 1 October 2022.</w:t>
      </w:r>
    </w:p>
    <w:p w14:paraId="2DDED7A1" w14:textId="77777777" w:rsidR="003C6F8C" w:rsidRPr="001F79DB" w:rsidRDefault="003C6F8C" w:rsidP="003C6F8C">
      <w:r w:rsidRPr="001F79DB">
        <w:lastRenderedPageBreak/>
        <w:t>T</w:t>
      </w:r>
      <w:r>
        <w:t>he Council</w:t>
      </w:r>
      <w:r w:rsidRPr="001F79DB">
        <w:t xml:space="preserve"> will administer reasonable requests for statutory ‘Disturbance Payments’ if a resident moves temporarily or permanently</w:t>
      </w:r>
      <w:r>
        <w:t>,</w:t>
      </w:r>
      <w:r w:rsidRPr="001F79DB">
        <w:t xml:space="preserve"> to enable building works to be carried out.</w:t>
      </w:r>
      <w:r>
        <w:t xml:space="preserve"> </w:t>
      </w:r>
      <w:r w:rsidRPr="001F79DB">
        <w:t xml:space="preserve">Listed below are the costs </w:t>
      </w:r>
      <w:r>
        <w:t>we</w:t>
      </w:r>
      <w:r w:rsidRPr="001F79DB">
        <w:t xml:space="preserve"> will consider paying:</w:t>
      </w:r>
    </w:p>
    <w:p w14:paraId="5902FF5F" w14:textId="77777777" w:rsidR="003C6F8C" w:rsidRPr="001F79DB" w:rsidRDefault="003C6F8C" w:rsidP="003C6F8C">
      <w:pPr>
        <w:pStyle w:val="ListBullet"/>
      </w:pPr>
      <w:r w:rsidRPr="001F79DB">
        <w:t>Removal costs.</w:t>
      </w:r>
    </w:p>
    <w:p w14:paraId="630BCF14" w14:textId="77777777" w:rsidR="003C6F8C" w:rsidRPr="001F79DB" w:rsidRDefault="003C6F8C" w:rsidP="003C6F8C">
      <w:pPr>
        <w:pStyle w:val="ListBullet"/>
      </w:pPr>
      <w:r w:rsidRPr="001F79DB">
        <w:t>Disconnection and reconnection of gas and electrical appliances, services and telephones.</w:t>
      </w:r>
    </w:p>
    <w:p w14:paraId="57141DDD" w14:textId="77777777" w:rsidR="003C6F8C" w:rsidRPr="001F79DB" w:rsidRDefault="003C6F8C" w:rsidP="003C6F8C">
      <w:pPr>
        <w:pStyle w:val="ListBullet"/>
      </w:pPr>
      <w:r w:rsidRPr="001F79DB">
        <w:t>Cost of redirection of post for one month.</w:t>
      </w:r>
    </w:p>
    <w:p w14:paraId="39CA7AD5" w14:textId="77777777" w:rsidR="003C6F8C" w:rsidRPr="001F79DB" w:rsidRDefault="003C6F8C" w:rsidP="003C6F8C">
      <w:pPr>
        <w:pStyle w:val="ListBullet"/>
      </w:pPr>
      <w:r w:rsidRPr="001F79DB">
        <w:t>Refitting of shelving, fitted wardrobes, curtains and floor coverings.</w:t>
      </w:r>
    </w:p>
    <w:p w14:paraId="27D70529" w14:textId="77777777" w:rsidR="003C6F8C" w:rsidRPr="001F79DB" w:rsidRDefault="003C6F8C" w:rsidP="003C6F8C">
      <w:pPr>
        <w:pStyle w:val="ListBullet"/>
      </w:pPr>
      <w:r w:rsidRPr="001F79DB">
        <w:t>Special adaptations of the replacement premises.</w:t>
      </w:r>
    </w:p>
    <w:p w14:paraId="7EEDD02E" w14:textId="77777777" w:rsidR="003C6F8C" w:rsidRPr="001F79DB" w:rsidRDefault="003C6F8C" w:rsidP="003C6F8C">
      <w:pPr>
        <w:pStyle w:val="ListBullet"/>
      </w:pPr>
      <w:r w:rsidRPr="001F79DB">
        <w:t>Resident homeowners can also make a claim for payment of mortgage redemption fees and other charges associated with rearranging mortgages or solicitor’s costs in purchasing a new home</w:t>
      </w:r>
      <w:r>
        <w:t>.</w:t>
      </w:r>
    </w:p>
    <w:p w14:paraId="04587032" w14:textId="77777777" w:rsidR="003C6F8C" w:rsidRPr="001F79DB" w:rsidRDefault="003C6F8C" w:rsidP="003C6F8C">
      <w:pPr>
        <w:pStyle w:val="ListBullet"/>
        <w:numPr>
          <w:ilvl w:val="0"/>
          <w:numId w:val="0"/>
        </w:numPr>
      </w:pPr>
    </w:p>
    <w:p w14:paraId="3F5B2DA3" w14:textId="4DCB4ABD" w:rsidR="008662C5" w:rsidRPr="008662C5" w:rsidRDefault="003C6F8C" w:rsidP="003C6F8C">
      <w:pPr>
        <w:pStyle w:val="ListBullet"/>
        <w:numPr>
          <w:ilvl w:val="0"/>
          <w:numId w:val="0"/>
        </w:numPr>
        <w:ind w:left="360" w:hanging="360"/>
        <w:rPr>
          <w:lang w:val="en-US" w:eastAsia="en-GB"/>
        </w:rPr>
      </w:pPr>
      <w:r>
        <w:t>T</w:t>
      </w:r>
      <w:r w:rsidRPr="00B6556F">
        <w:t>he terms for making a home loss payment are set out in our Decants Policy.</w:t>
      </w:r>
    </w:p>
    <w:p w14:paraId="1B5DCEFF" w14:textId="7272234B" w:rsidR="001D5006" w:rsidRDefault="001D5006" w:rsidP="00B846CB">
      <w:pPr>
        <w:pStyle w:val="Heading1"/>
      </w:pPr>
      <w:bookmarkStart w:id="9" w:name="_Toc214617358"/>
      <w:r>
        <w:t>Roles and Responsibilities</w:t>
      </w:r>
      <w:bookmarkEnd w:id="9"/>
    </w:p>
    <w:p w14:paraId="345566A8" w14:textId="3333C9B1" w:rsidR="00F56DB7" w:rsidRDefault="00F56DB7" w:rsidP="00F56DB7">
      <w:r>
        <w:t xml:space="preserve">The </w:t>
      </w:r>
      <w:r w:rsidRPr="003E1869">
        <w:t>Corporate Director for Housing &amp; Regeneration exercises delegated authority and is also the lead for compliance with the consumer standards under the requirement of the Social Housing Regulatory Act. (Ultimate accountability lies with the Cabinet Member for the housing portfolio).</w:t>
      </w:r>
    </w:p>
    <w:p w14:paraId="4B5016D1" w14:textId="77777777" w:rsidR="00F56DB7" w:rsidRPr="00952E08" w:rsidRDefault="00F56DB7" w:rsidP="00F56DB7">
      <w:r w:rsidRPr="00952E08">
        <w:t xml:space="preserve">The </w:t>
      </w:r>
      <w:r>
        <w:t xml:space="preserve">Housing Management Cabinet Sub-Committee </w:t>
      </w:r>
      <w:r w:rsidRPr="00952E08">
        <w:t xml:space="preserve">has overall governance responsibility for ensuring this policy is implemented </w:t>
      </w:r>
      <w:r>
        <w:t xml:space="preserve">and complies with </w:t>
      </w:r>
      <w:r w:rsidRPr="00952E08">
        <w:t xml:space="preserve">legislation and regulatory standards. As such, the </w:t>
      </w:r>
      <w:r>
        <w:t>Housing Management Cabinet Sub-Committee</w:t>
      </w:r>
      <w:r w:rsidRPr="00952E08">
        <w:t xml:space="preserve"> will formally approve this policy and review it every t</w:t>
      </w:r>
      <w:r>
        <w:t>hree</w:t>
      </w:r>
      <w:r w:rsidRPr="00952E08">
        <w:t xml:space="preserve"> years (or sooner if there is a change in legislation</w:t>
      </w:r>
      <w:r>
        <w:t xml:space="preserve">, </w:t>
      </w:r>
      <w:r w:rsidRPr="00952E08">
        <w:t>regulation</w:t>
      </w:r>
      <w:r>
        <w:t xml:space="preserve"> or practice</w:t>
      </w:r>
      <w:r w:rsidRPr="00952E08">
        <w:t>).</w:t>
      </w:r>
    </w:p>
    <w:p w14:paraId="5A883D52" w14:textId="77777777" w:rsidR="00F56DB7" w:rsidRDefault="00F56DB7" w:rsidP="00F56DB7">
      <w:r>
        <w:t>Housing Performance Improvement and Compliance Board (HPIC) w</w:t>
      </w:r>
      <w:r w:rsidRPr="00952E08">
        <w:t xml:space="preserve">ill receive monthly </w:t>
      </w:r>
      <w:r>
        <w:t xml:space="preserve">complaint handling </w:t>
      </w:r>
      <w:r w:rsidRPr="00952E08">
        <w:t>performance reports</w:t>
      </w:r>
      <w:r>
        <w:t xml:space="preserve"> </w:t>
      </w:r>
      <w:r w:rsidRPr="00952E08">
        <w:t>and ensure compliance is being achieved. They will also be notified of any issue</w:t>
      </w:r>
      <w:r>
        <w:t>s</w:t>
      </w:r>
      <w:r w:rsidRPr="00952E08">
        <w:t xml:space="preserve"> identified.</w:t>
      </w:r>
    </w:p>
    <w:p w14:paraId="23E19B7D" w14:textId="60C97B15" w:rsidR="004C3887" w:rsidRPr="004C3887" w:rsidRDefault="00F56DB7" w:rsidP="004C3887">
      <w:pPr>
        <w:rPr>
          <w:lang w:eastAsia="en-GB"/>
        </w:rPr>
      </w:pPr>
      <w:r w:rsidRPr="00817927">
        <w:t>The Head of Regulatory Assurance</w:t>
      </w:r>
      <w:r>
        <w:t xml:space="preserve">'s </w:t>
      </w:r>
      <w:r w:rsidRPr="00817927">
        <w:t xml:space="preserve">portfolio includes oversight for complaints. The Head of Regulatory Assurance is responsible for ensuring the Member Responsible for Complaints and the governing body have access to reports complaints performance, learning and service improvement priorities. The Head of Regulatory Assurance is also able to direct the formulation of policies and procedures as appropriate to address areas of weakness </w:t>
      </w:r>
      <w:r>
        <w:t>and</w:t>
      </w:r>
      <w:r w:rsidRPr="00817927">
        <w:t xml:space="preserve"> non-compliance.</w:t>
      </w:r>
    </w:p>
    <w:p w14:paraId="3A5864B4" w14:textId="77777777" w:rsidR="00F56DB7" w:rsidRDefault="00493FB6" w:rsidP="00F56DB7">
      <w:pPr>
        <w:pStyle w:val="Heading1"/>
      </w:pPr>
      <w:bookmarkStart w:id="10" w:name="_Toc214617359"/>
      <w:r>
        <w:t>Our Approach</w:t>
      </w:r>
      <w:bookmarkEnd w:id="10"/>
    </w:p>
    <w:p w14:paraId="64D08E0F" w14:textId="77777777" w:rsidR="00E435DE" w:rsidRDefault="00E435DE" w:rsidP="00E435DE">
      <w:r w:rsidRPr="002E795F">
        <w:t>Compensation will normally only be awarded once a complaint investigation has been completed. In most circumstances, we will deduct any arrears or money owed to</w:t>
      </w:r>
      <w:r>
        <w:t xml:space="preserve"> the Council</w:t>
      </w:r>
      <w:r w:rsidRPr="002E795F">
        <w:t xml:space="preserve"> from the compensation, prior to it being paid to you. </w:t>
      </w:r>
    </w:p>
    <w:p w14:paraId="2FE6CC5D" w14:textId="77777777" w:rsidR="00E435DE" w:rsidRPr="002E795F" w:rsidRDefault="00E435DE" w:rsidP="00E435DE">
      <w:r w:rsidRPr="00550308">
        <w:t>The Council considers acceptance of compensation to be a full and final settlement of a case (excluding insurance related claims). Cases will not be re-opened, or additional compensation considered through a further complaint, unless the circumstances of the original case have significantly changed.</w:t>
      </w:r>
    </w:p>
    <w:p w14:paraId="443AC960" w14:textId="77777777" w:rsidR="00E435DE" w:rsidRPr="002E795F" w:rsidRDefault="00E435DE" w:rsidP="00E435DE">
      <w:r w:rsidRPr="002E795F">
        <w:t>Two types of compensation are considered under this policy:</w:t>
      </w:r>
    </w:p>
    <w:p w14:paraId="1E4C4D8E" w14:textId="77777777" w:rsidR="00E435DE" w:rsidRDefault="00E435DE" w:rsidP="00E435DE">
      <w:pPr>
        <w:pStyle w:val="ListBullet"/>
      </w:pPr>
      <w:r w:rsidRPr="002E795F">
        <w:lastRenderedPageBreak/>
        <w:t>Quantifiable loss payments – where you can demonstrate actual loss because of our actions or inactions, or those of a third party working on our behalf</w:t>
      </w:r>
      <w:r>
        <w:t>.</w:t>
      </w:r>
    </w:p>
    <w:p w14:paraId="704806B7" w14:textId="77777777" w:rsidR="00E435DE" w:rsidRPr="002E795F" w:rsidRDefault="00E435DE" w:rsidP="00E435DE">
      <w:pPr>
        <w:pStyle w:val="ListBullet"/>
      </w:pPr>
      <w:r w:rsidRPr="002E795F">
        <w:t xml:space="preserve">Discretionary payments – goodwill payments may be made where there has been a failure of service which has caused delay, distress, or inconvenience. </w:t>
      </w:r>
    </w:p>
    <w:p w14:paraId="16369B49" w14:textId="77777777" w:rsidR="00E435DE" w:rsidRDefault="00E435DE" w:rsidP="00E435DE">
      <w:r w:rsidRPr="002E795F">
        <w:t>We will not consider a claim of compensation where:</w:t>
      </w:r>
    </w:p>
    <w:p w14:paraId="47EFFC49" w14:textId="77777777" w:rsidR="00E435DE" w:rsidRDefault="00E435DE" w:rsidP="00E435DE">
      <w:pPr>
        <w:pStyle w:val="ListBullet"/>
      </w:pPr>
      <w:r>
        <w:t>The</w:t>
      </w:r>
      <w:r w:rsidRPr="009C7667">
        <w:t xml:space="preserve"> loss or damage was caused by you, a member of your household, or a visitor to your property. This includes failure to report a repair promptly, or to keep an appointment.</w:t>
      </w:r>
    </w:p>
    <w:p w14:paraId="5CAE6245" w14:textId="77777777" w:rsidR="00E435DE" w:rsidRDefault="00E435DE" w:rsidP="00E435DE">
      <w:pPr>
        <w:pStyle w:val="ListBullet"/>
      </w:pPr>
      <w:r w:rsidRPr="009C7667">
        <w:t>The fault was unforeseeable and/or caused by a third party, or</w:t>
      </w:r>
      <w:r>
        <w:t xml:space="preserve"> the Council</w:t>
      </w:r>
      <w:r w:rsidRPr="009C7667">
        <w:t xml:space="preserve"> had no control over it – an example includes water leaking from a neighbouring property (unless we had already been a</w:t>
      </w:r>
      <w:r>
        <w:t>lerted</w:t>
      </w:r>
      <w:r w:rsidRPr="009C7667">
        <w:t xml:space="preserve"> to this and had not resolved it promptly).</w:t>
      </w:r>
    </w:p>
    <w:p w14:paraId="28FCE488" w14:textId="77777777" w:rsidR="00E435DE" w:rsidRDefault="00E435DE" w:rsidP="00E435DE">
      <w:pPr>
        <w:pStyle w:val="ListBullet"/>
      </w:pPr>
      <w:r w:rsidRPr="009C7667">
        <w:t xml:space="preserve">Personal possessions are lost, stolen, or damaged through no fault of </w:t>
      </w:r>
      <w:r>
        <w:t>the Council</w:t>
      </w:r>
      <w:r w:rsidRPr="009C7667">
        <w:t xml:space="preserve"> or its contractors.</w:t>
      </w:r>
    </w:p>
    <w:p w14:paraId="08D80BBA" w14:textId="77777777" w:rsidR="00E435DE" w:rsidRDefault="00E435DE" w:rsidP="00E435DE">
      <w:pPr>
        <w:pStyle w:val="ListBullet"/>
      </w:pPr>
      <w:r w:rsidRPr="009C7667">
        <w:t>Service failure or damage that is the result of extreme or unforeseen conditions, such as the weather.</w:t>
      </w:r>
    </w:p>
    <w:p w14:paraId="63469BA3" w14:textId="77777777" w:rsidR="00E435DE" w:rsidRPr="00102A27" w:rsidRDefault="00E435DE" w:rsidP="00E435DE">
      <w:pPr>
        <w:pStyle w:val="ListBullet"/>
      </w:pPr>
      <w:r w:rsidRPr="009C7667">
        <w:t xml:space="preserve">Loss of supply of gas, electricity, or water that is outside of </w:t>
      </w:r>
      <w:r>
        <w:t>our</w:t>
      </w:r>
      <w:r w:rsidRPr="009C7667">
        <w:t xml:space="preserve"> control, such as a failure by the utility provider</w:t>
      </w:r>
      <w:r w:rsidRPr="002020E3">
        <w:t xml:space="preserve"> </w:t>
      </w:r>
      <w:r w:rsidRPr="00102A27">
        <w:t>or through the action of the resident</w:t>
      </w:r>
      <w:r w:rsidRPr="009C7667">
        <w:t>.</w:t>
      </w:r>
    </w:p>
    <w:p w14:paraId="26CD977B" w14:textId="77777777" w:rsidR="00E435DE" w:rsidRPr="00102A27" w:rsidRDefault="00E435DE" w:rsidP="00E435DE">
      <w:pPr>
        <w:pStyle w:val="ListBullet"/>
      </w:pPr>
      <w:r>
        <w:t>T</w:t>
      </w:r>
      <w:r w:rsidRPr="00102A27">
        <w:t>he r</w:t>
      </w:r>
      <w:r>
        <w:t>esident</w:t>
      </w:r>
      <w:r w:rsidRPr="00102A27">
        <w:t xml:space="preserve"> did not give us access to their home or caused </w:t>
      </w:r>
      <w:r>
        <w:t xml:space="preserve">a </w:t>
      </w:r>
      <w:r w:rsidRPr="00102A27">
        <w:t xml:space="preserve">delay in another way. </w:t>
      </w:r>
      <w:r>
        <w:t>R</w:t>
      </w:r>
      <w:r w:rsidRPr="00102A27">
        <w:t>e</w:t>
      </w:r>
      <w:r>
        <w:t>sident</w:t>
      </w:r>
      <w:r w:rsidRPr="00102A27">
        <w:t>s are expected to provide up to date contact details to enable us to arrange access to carry out work</w:t>
      </w:r>
      <w:r>
        <w:t>.</w:t>
      </w:r>
    </w:p>
    <w:p w14:paraId="3839064D" w14:textId="77777777" w:rsidR="00E435DE" w:rsidRPr="00102A27" w:rsidRDefault="00E435DE" w:rsidP="00E435DE">
      <w:pPr>
        <w:pStyle w:val="ListBullet"/>
      </w:pPr>
      <w:r w:rsidRPr="00102A27">
        <w:t>Fair wear and tear of fixtures or fittings has resulted in the loss or damage.</w:t>
      </w:r>
    </w:p>
    <w:p w14:paraId="7EB38FC9" w14:textId="77777777" w:rsidR="00E435DE" w:rsidRPr="00102A27" w:rsidRDefault="00E435DE" w:rsidP="00E435DE">
      <w:pPr>
        <w:pStyle w:val="ListBullet"/>
      </w:pPr>
      <w:r w:rsidRPr="00102A27">
        <w:t>Unforeseen works have been identified, and the Council ha</w:t>
      </w:r>
      <w:r>
        <w:t>s</w:t>
      </w:r>
      <w:r w:rsidRPr="00102A27">
        <w:t xml:space="preserve"> taken reasonable steps to keep the tenants and leaseholders informed. </w:t>
      </w:r>
    </w:p>
    <w:p w14:paraId="49A00DBA" w14:textId="77777777" w:rsidR="00E435DE" w:rsidRPr="00122576" w:rsidRDefault="00E435DE" w:rsidP="00E435DE"/>
    <w:p w14:paraId="1C3B6E37" w14:textId="77777777" w:rsidR="00E435DE" w:rsidRPr="00D05142" w:rsidRDefault="00E435DE" w:rsidP="00E435DE">
      <w:r w:rsidRPr="00D05142">
        <w:t>Where a r</w:t>
      </w:r>
      <w:r>
        <w:t>esident</w:t>
      </w:r>
      <w:r w:rsidRPr="00D05142">
        <w:t xml:space="preserve"> is taking legal action against the Council which involves a compensation claim, the case will be managed by our Legal Service and not considered under this policy.</w:t>
      </w:r>
    </w:p>
    <w:p w14:paraId="2EFFFF0F" w14:textId="77777777" w:rsidR="00E435DE" w:rsidRPr="00D05142" w:rsidRDefault="00E435DE" w:rsidP="00E435DE">
      <w:r w:rsidRPr="00D05142">
        <w:t>Residents are expected to take out adequate home contents insurance for their furniture, decoration, and personal possessions to insure them against accidental damage, loss, fire or water damage, burglary and so on. This policy is not intended to replace or compensate for a resident’s lack of home contents insurance.</w:t>
      </w:r>
    </w:p>
    <w:p w14:paraId="5DEE9820" w14:textId="5F2F521D" w:rsidR="00B846CB" w:rsidRPr="00B846CB" w:rsidRDefault="00E435DE" w:rsidP="00974F28">
      <w:r w:rsidRPr="00D05142">
        <w:t>Where damage has been caused directly because of our actions or oversight, or those of contractors acting on our behalf, consideration will be given to reimbursement without the need for r</w:t>
      </w:r>
      <w:r>
        <w:t>esident</w:t>
      </w:r>
      <w:r w:rsidRPr="00D05142">
        <w:t>s to make a claim at further inconvenience and cost to themselves.</w:t>
      </w:r>
      <w:r w:rsidR="00B846CB" w:rsidRPr="00B846CB">
        <w:tab/>
      </w:r>
      <w:r w:rsidR="00B846CB" w:rsidRPr="00B846CB">
        <w:tab/>
      </w:r>
      <w:r w:rsidR="00B846CB" w:rsidRPr="00B846CB">
        <w:tab/>
      </w:r>
    </w:p>
    <w:p w14:paraId="2F537FC0" w14:textId="6751314D" w:rsidR="007D2518" w:rsidRPr="00485688" w:rsidRDefault="00493FB6" w:rsidP="00900578">
      <w:pPr>
        <w:pStyle w:val="Heading2"/>
      </w:pPr>
      <w:bookmarkStart w:id="11" w:name="_Toc214617360"/>
      <w:r>
        <w:t>Quantifiable</w:t>
      </w:r>
      <w:r w:rsidR="00640708">
        <w:t xml:space="preserve"> Loss Payments</w:t>
      </w:r>
      <w:bookmarkEnd w:id="11"/>
    </w:p>
    <w:p w14:paraId="0A38C432" w14:textId="3E10498E" w:rsidR="005155CD" w:rsidRPr="009431D9" w:rsidRDefault="009B31B2" w:rsidP="005155CD">
      <w:r>
        <w:t>If a</w:t>
      </w:r>
      <w:r w:rsidR="005155CD">
        <w:t xml:space="preserve"> complaint investigation evidences that you are out of pocket as a direct result of our actions or inactions, then we will consider compensation to offset the losses.</w:t>
      </w:r>
    </w:p>
    <w:p w14:paraId="3ECB6CD5" w14:textId="77777777" w:rsidR="005155CD" w:rsidRPr="00D05142" w:rsidRDefault="005155CD" w:rsidP="005155CD">
      <w:r>
        <w:t>This could include, but is not limited to:</w:t>
      </w:r>
    </w:p>
    <w:p w14:paraId="1D1B09D6" w14:textId="77777777" w:rsidR="005155CD" w:rsidRDefault="005155CD" w:rsidP="005155CD">
      <w:pPr>
        <w:pStyle w:val="ListBullet"/>
      </w:pPr>
      <w:r w:rsidRPr="007E6061">
        <w:t>Increased utility bills due to disrepair.</w:t>
      </w:r>
    </w:p>
    <w:p w14:paraId="31552425" w14:textId="77777777" w:rsidR="005155CD" w:rsidRDefault="005155CD" w:rsidP="005155CD">
      <w:pPr>
        <w:pStyle w:val="ListBullet"/>
      </w:pPr>
      <w:r w:rsidRPr="007E6061">
        <w:t>Having to pay for alternative accommodation or takeaway food.</w:t>
      </w:r>
    </w:p>
    <w:p w14:paraId="2A586B45" w14:textId="77777777" w:rsidR="005155CD" w:rsidRDefault="005155CD" w:rsidP="005155CD">
      <w:pPr>
        <w:pStyle w:val="ListBullet"/>
      </w:pPr>
      <w:r w:rsidRPr="007E6061">
        <w:lastRenderedPageBreak/>
        <w:t xml:space="preserve">Carrying out your own repairs where it is proven that </w:t>
      </w:r>
      <w:r w:rsidRPr="009431D9">
        <w:t>we have failed to meet our obligations.</w:t>
      </w:r>
    </w:p>
    <w:p w14:paraId="3E1E94DA" w14:textId="74C14C37" w:rsidR="005155CD" w:rsidRDefault="005155CD" w:rsidP="005155CD">
      <w:pPr>
        <w:pStyle w:val="ListBullet"/>
      </w:pPr>
      <w:r w:rsidRPr="007E6061">
        <w:t>Replacement of lost or damaged possessions</w:t>
      </w:r>
      <w:r w:rsidRPr="009431D9">
        <w:t>.</w:t>
      </w:r>
    </w:p>
    <w:p w14:paraId="36414417" w14:textId="77777777" w:rsidR="005155CD" w:rsidRDefault="005155CD" w:rsidP="005155CD">
      <w:r w:rsidRPr="007A22BA">
        <w:t>We will not cover costs if you have:</w:t>
      </w:r>
    </w:p>
    <w:p w14:paraId="00DDF87B" w14:textId="77777777" w:rsidR="005155CD" w:rsidRDefault="005155CD" w:rsidP="005155CD">
      <w:pPr>
        <w:pStyle w:val="ListBullet"/>
      </w:pPr>
      <w:r>
        <w:t>Not notified</w:t>
      </w:r>
      <w:r w:rsidRPr="007E6061">
        <w:t xml:space="preserve"> us of the issue.</w:t>
      </w:r>
    </w:p>
    <w:p w14:paraId="5E923D28" w14:textId="77777777" w:rsidR="005155CD" w:rsidRPr="000F6083" w:rsidRDefault="005155CD" w:rsidP="005155CD">
      <w:pPr>
        <w:pStyle w:val="ListBullet"/>
      </w:pPr>
      <w:r w:rsidRPr="000F6083">
        <w:t>Refused our offer to rectify the issue.</w:t>
      </w:r>
    </w:p>
    <w:p w14:paraId="2B410365" w14:textId="77777777" w:rsidR="005155CD" w:rsidRDefault="005155CD" w:rsidP="005155CD">
      <w:pPr>
        <w:pStyle w:val="ListBullet"/>
      </w:pPr>
      <w:r w:rsidRPr="007E6061">
        <w:t>Given us reasonable time to rectify the issue.</w:t>
      </w:r>
    </w:p>
    <w:p w14:paraId="4DE7BAB9" w14:textId="415E8EBC" w:rsidR="005155CD" w:rsidRDefault="005155CD" w:rsidP="005155CD">
      <w:pPr>
        <w:pStyle w:val="ListBullet"/>
      </w:pPr>
      <w:r w:rsidRPr="007E6061">
        <w:t>Refused us access to the property.</w:t>
      </w:r>
    </w:p>
    <w:p w14:paraId="0212F12D" w14:textId="3D38E857" w:rsidR="00CC1D7B" w:rsidRPr="005777A8" w:rsidRDefault="005155CD" w:rsidP="005777A8">
      <w:r>
        <w:t>You will need to provide evidence of the costs you have incurred, such as receipts, a paid invoice, or bill, within two</w:t>
      </w:r>
      <w:r w:rsidRPr="005B6EE5">
        <w:t xml:space="preserve"> weeks of the request.</w:t>
      </w:r>
    </w:p>
    <w:p w14:paraId="1E5748B6" w14:textId="4763380F" w:rsidR="00B605BF" w:rsidRDefault="00640708" w:rsidP="00B605BF">
      <w:pPr>
        <w:pStyle w:val="Heading2"/>
      </w:pPr>
      <w:bookmarkStart w:id="12" w:name="_Toc214617361"/>
      <w:r>
        <w:t>Discretionary Compensation</w:t>
      </w:r>
      <w:bookmarkEnd w:id="12"/>
    </w:p>
    <w:p w14:paraId="686FB036" w14:textId="08421BE3" w:rsidR="00835423" w:rsidRPr="009D4109" w:rsidRDefault="00835423" w:rsidP="00835423">
      <w:r>
        <w:t>There are some circumstances where the Council will consider discretionary compensation. These include:</w:t>
      </w:r>
    </w:p>
    <w:p w14:paraId="52FE6D38" w14:textId="74630B18" w:rsidR="00835423" w:rsidRPr="009D4109" w:rsidRDefault="00835423" w:rsidP="00BA7AEE">
      <w:pPr>
        <w:pStyle w:val="ListBullet"/>
      </w:pPr>
      <w:r w:rsidRPr="009D4109">
        <w:t xml:space="preserve">Missed </w:t>
      </w:r>
      <w:r>
        <w:t>a</w:t>
      </w:r>
      <w:r w:rsidRPr="009D4109">
        <w:t xml:space="preserve">ppointments: if a </w:t>
      </w:r>
      <w:r>
        <w:t>Council</w:t>
      </w:r>
      <w:r w:rsidRPr="009D4109">
        <w:t xml:space="preserve"> employee, or contractor working on our behalf, fails to attend a scheduled appointment, a payment of £</w:t>
      </w:r>
      <w:r>
        <w:t>1</w:t>
      </w:r>
      <w:r w:rsidRPr="009D4109">
        <w:t>0 will be payable. This cannot be claimed if you are given reasonable notice in advance that the appointment is cancelled. If a new appointment is made and missed, a</w:t>
      </w:r>
      <w:r>
        <w:t>nother</w:t>
      </w:r>
      <w:r w:rsidRPr="009D4109">
        <w:t xml:space="preserve"> £</w:t>
      </w:r>
      <w:r>
        <w:t>2</w:t>
      </w:r>
      <w:r w:rsidRPr="009D4109">
        <w:t xml:space="preserve"> </w:t>
      </w:r>
      <w:r>
        <w:t>a day will be awarded for every full or part day that the repair remains outstanding, after the end of the second prescribed period to a maximum of</w:t>
      </w:r>
      <w:r w:rsidRPr="009D4109">
        <w:t xml:space="preserve"> £</w:t>
      </w:r>
      <w:r>
        <w:t>5</w:t>
      </w:r>
      <w:r w:rsidRPr="009D4109">
        <w:t xml:space="preserve">0. To qualify for a missed appointment payment, you must have been available to allow access during the appointment time and have agreed the appointment in advance. </w:t>
      </w:r>
    </w:p>
    <w:p w14:paraId="6A9B2A7F" w14:textId="02C42612" w:rsidR="00835423" w:rsidRPr="009D4109" w:rsidRDefault="00835423" w:rsidP="00BA7AEE">
      <w:pPr>
        <w:pStyle w:val="ListBullet"/>
      </w:pPr>
      <w:r>
        <w:t xml:space="preserve">Loss of heating and hot water: </w:t>
      </w:r>
      <w:r w:rsidRPr="008959E8">
        <w:t xml:space="preserve">between </w:t>
      </w:r>
      <w:r>
        <w:t>30 April</w:t>
      </w:r>
      <w:r w:rsidRPr="008959E8">
        <w:t xml:space="preserve"> and </w:t>
      </w:r>
      <w:r>
        <w:t>1 November</w:t>
      </w:r>
      <w:r w:rsidRPr="008959E8">
        <w:t xml:space="preserve">, if you are without heating for a period of longer than </w:t>
      </w:r>
      <w:r w:rsidRPr="006E0B83">
        <w:t>three working days, we will provide compensation of £5 per day, up to a total value of £100. This includes the cost of using any temporary heating that we provide. Between</w:t>
      </w:r>
      <w:r>
        <w:t xml:space="preserve"> 31 October</w:t>
      </w:r>
      <w:r w:rsidRPr="006E0B83">
        <w:t xml:space="preserve"> and </w:t>
      </w:r>
      <w:r>
        <w:t>1 May</w:t>
      </w:r>
      <w:r w:rsidRPr="006E0B83">
        <w:t>, if you are without hot water for a period of longer than five working days, we will provide compensation of £5 per day, up to a total value of £50. The provision of temporary heating will be reviewed on a case-by-case basis and will be influenced by the make-up of the household.</w:t>
      </w:r>
    </w:p>
    <w:p w14:paraId="5DBA39A1" w14:textId="77777777" w:rsidR="00835423" w:rsidRDefault="00835423" w:rsidP="00835423">
      <w:pPr>
        <w:pStyle w:val="ListBullet"/>
      </w:pPr>
      <w:r>
        <w:t xml:space="preserve">Payment for services (leaseholders): </w:t>
      </w:r>
      <w:r w:rsidRPr="008959E8">
        <w:t>if we have failed to deliver a significant service paid for through fixed service charges, we will consider the charge for the service, the disruption caused and how long the service was unavailable. In exceptional circumstances, material errors in fixed charges may be addressed during the year. For variable service charges, service failures will be credited and carried forward in the accounts or reimbursed to you after reconciliation of the year-end service charge accounts. </w:t>
      </w:r>
    </w:p>
    <w:p w14:paraId="4C41BA1E" w14:textId="77777777" w:rsidR="00835423" w:rsidRPr="00122576" w:rsidRDefault="00835423" w:rsidP="00835423">
      <w:pPr>
        <w:pStyle w:val="ListBullet"/>
        <w:numPr>
          <w:ilvl w:val="0"/>
          <w:numId w:val="0"/>
        </w:numPr>
        <w:ind w:left="360"/>
      </w:pPr>
      <w:r w:rsidRPr="00A04D7E">
        <w:t xml:space="preserve">We may </w:t>
      </w:r>
      <w:r w:rsidRPr="00122576">
        <w:t>also refund an insurance excess as a goodwill gesture if we have been negligent in the handling of a repair or defect. Where a leaseholder lets the property out, we will not compensate for loss where it concerns rental income or rent increases due to a repair issue or loss of service.</w:t>
      </w:r>
    </w:p>
    <w:p w14:paraId="108DE891" w14:textId="77777777" w:rsidR="00835423" w:rsidRPr="00A04D7E" w:rsidRDefault="00835423" w:rsidP="00835423">
      <w:pPr>
        <w:pStyle w:val="ListBullet"/>
        <w:numPr>
          <w:ilvl w:val="0"/>
          <w:numId w:val="0"/>
        </w:numPr>
        <w:ind w:left="360"/>
      </w:pPr>
    </w:p>
    <w:p w14:paraId="2F1FCA15" w14:textId="77777777" w:rsidR="00835423" w:rsidRPr="00122576" w:rsidRDefault="00835423" w:rsidP="00835423">
      <w:pPr>
        <w:pStyle w:val="ListBullet"/>
        <w:numPr>
          <w:ilvl w:val="0"/>
          <w:numId w:val="0"/>
        </w:numPr>
        <w:ind w:left="360"/>
      </w:pPr>
      <w:r w:rsidRPr="00A04D7E">
        <w:t>Any compensation paid will be discussed with and credited to the leaseholder directly and not any tenant of the leaseholder</w:t>
      </w:r>
      <w:r w:rsidRPr="00122576">
        <w:t xml:space="preserve">. </w:t>
      </w:r>
    </w:p>
    <w:p w14:paraId="71986570" w14:textId="77777777" w:rsidR="00835423" w:rsidRDefault="00835423" w:rsidP="00835423">
      <w:pPr>
        <w:pStyle w:val="ListBullet"/>
        <w:numPr>
          <w:ilvl w:val="0"/>
          <w:numId w:val="0"/>
        </w:numPr>
        <w:ind w:left="360"/>
      </w:pPr>
    </w:p>
    <w:p w14:paraId="7E786368" w14:textId="77777777" w:rsidR="00835423" w:rsidRDefault="00835423" w:rsidP="00835423">
      <w:pPr>
        <w:pStyle w:val="ListBullet"/>
        <w:numPr>
          <w:ilvl w:val="0"/>
          <w:numId w:val="0"/>
        </w:numPr>
        <w:ind w:left="360"/>
      </w:pPr>
      <w:r w:rsidRPr="00AC5108">
        <w:lastRenderedPageBreak/>
        <w:t xml:space="preserve">The Council will pay for missed </w:t>
      </w:r>
      <w:r>
        <w:t xml:space="preserve">appointments concerning </w:t>
      </w:r>
      <w:r w:rsidRPr="00AC5108">
        <w:t xml:space="preserve">communal repairs if </w:t>
      </w:r>
      <w:r>
        <w:t>we</w:t>
      </w:r>
      <w:r w:rsidRPr="00AC5108">
        <w:t xml:space="preserve"> have specifically requested that the leaseholder be at home on any given date or time.</w:t>
      </w:r>
    </w:p>
    <w:p w14:paraId="6B8A985F" w14:textId="77777777" w:rsidR="00835423" w:rsidRDefault="00835423" w:rsidP="00835423">
      <w:pPr>
        <w:pStyle w:val="ListBullet"/>
        <w:numPr>
          <w:ilvl w:val="0"/>
          <w:numId w:val="0"/>
        </w:numPr>
        <w:ind w:left="360"/>
      </w:pPr>
    </w:p>
    <w:p w14:paraId="3F045DA3" w14:textId="77777777" w:rsidR="00835423" w:rsidRPr="00122576" w:rsidRDefault="00835423" w:rsidP="00835423">
      <w:pPr>
        <w:pStyle w:val="ListBullet"/>
        <w:numPr>
          <w:ilvl w:val="0"/>
          <w:numId w:val="0"/>
        </w:numPr>
        <w:ind w:left="360"/>
      </w:pPr>
      <w:r w:rsidRPr="00A04D7E">
        <w:t>If a leaseholder has purchased a new property from us, there will be a stated snagging period in the contract. During this time, defects may become apparent, and leaseholders should make us aware of them. If we fail to complete the repairs within a reasonable time, we will consider paying the leaseholder compensation.</w:t>
      </w:r>
      <w:r w:rsidRPr="00122576">
        <w:t xml:space="preserve"> Compensation will only be offered where we have caused unreasonable delays and/or distress, not for the defect itself.</w:t>
      </w:r>
    </w:p>
    <w:p w14:paraId="25890A10" w14:textId="77777777" w:rsidR="00835423" w:rsidRPr="00A04D7E" w:rsidRDefault="00835423" w:rsidP="00835423">
      <w:pPr>
        <w:pStyle w:val="ListBullet"/>
        <w:numPr>
          <w:ilvl w:val="0"/>
          <w:numId w:val="0"/>
        </w:numPr>
        <w:ind w:left="360"/>
      </w:pPr>
    </w:p>
    <w:p w14:paraId="1553C51B" w14:textId="77777777" w:rsidR="00835423" w:rsidRPr="00122576" w:rsidRDefault="00835423" w:rsidP="00835423">
      <w:pPr>
        <w:pStyle w:val="ListBullet"/>
        <w:numPr>
          <w:ilvl w:val="0"/>
          <w:numId w:val="0"/>
        </w:numPr>
        <w:ind w:left="360"/>
      </w:pPr>
      <w:r w:rsidRPr="00A04D7E">
        <w:t>Leaseholders that have lost the use of one or more rooms or facilities on the account of a communal problem or landlord fault will receive compensation on a case-by-case basis.   </w:t>
      </w:r>
    </w:p>
    <w:p w14:paraId="49BD669D" w14:textId="77777777" w:rsidR="00835423" w:rsidRDefault="00835423" w:rsidP="00835423">
      <w:pPr>
        <w:pStyle w:val="ListBullet"/>
        <w:numPr>
          <w:ilvl w:val="0"/>
          <w:numId w:val="0"/>
        </w:numPr>
        <w:ind w:left="360"/>
      </w:pPr>
    </w:p>
    <w:p w14:paraId="02166BA8" w14:textId="77777777" w:rsidR="00835423" w:rsidRDefault="00835423" w:rsidP="00835423">
      <w:r>
        <w:t xml:space="preserve">Further examples under loss of service which would be considered for discretionary </w:t>
      </w:r>
      <w:r w:rsidRPr="000F7D3E">
        <w:t>compensation are listed in the table below:</w:t>
      </w:r>
    </w:p>
    <w:p w14:paraId="312CBE9C" w14:textId="77777777" w:rsidR="00835423" w:rsidRDefault="00835423" w:rsidP="00835423"/>
    <w:tbl>
      <w:tblPr>
        <w:tblStyle w:val="Table-TopandSideShade"/>
        <w:tblpPr w:leftFromText="180" w:rightFromText="180" w:vertAnchor="text" w:horzAnchor="margin" w:tblpY="-194"/>
        <w:tblW w:w="9351" w:type="dxa"/>
        <w:tblLook w:val="04A0" w:firstRow="1" w:lastRow="0" w:firstColumn="1" w:lastColumn="0" w:noHBand="0" w:noVBand="1"/>
      </w:tblPr>
      <w:tblGrid>
        <w:gridCol w:w="3114"/>
        <w:gridCol w:w="6237"/>
      </w:tblGrid>
      <w:tr w:rsidR="00835423" w:rsidRPr="00944632" w14:paraId="7C81C3BA" w14:textId="77777777" w:rsidTr="00587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C993175" w14:textId="77777777" w:rsidR="00835423" w:rsidRPr="00656288" w:rsidRDefault="00835423" w:rsidP="005B6519">
            <w:pPr>
              <w:pStyle w:val="BoldNormal"/>
            </w:pPr>
            <w:r w:rsidRPr="00A44E7B">
              <w:lastRenderedPageBreak/>
              <w:t xml:space="preserve">Reason for </w:t>
            </w:r>
            <w:r w:rsidRPr="00656288">
              <w:t>Compensation </w:t>
            </w:r>
          </w:p>
          <w:p w14:paraId="3C0B0442" w14:textId="77777777" w:rsidR="00835423" w:rsidRPr="00A44E7B" w:rsidRDefault="00835423" w:rsidP="005B6519">
            <w:pPr>
              <w:pStyle w:val="BoldNormal"/>
            </w:pPr>
          </w:p>
        </w:tc>
        <w:tc>
          <w:tcPr>
            <w:tcW w:w="6237" w:type="dxa"/>
            <w:hideMark/>
          </w:tcPr>
          <w:p w14:paraId="0DAF3F02" w14:textId="77777777" w:rsidR="00835423" w:rsidRPr="00656288" w:rsidRDefault="00835423" w:rsidP="005B6519">
            <w:pPr>
              <w:pStyle w:val="BoldNormal"/>
              <w:cnfStyle w:val="100000000000" w:firstRow="1" w:lastRow="0" w:firstColumn="0" w:lastColumn="0" w:oddVBand="0" w:evenVBand="0" w:oddHBand="0" w:evenHBand="0" w:firstRowFirstColumn="0" w:firstRowLastColumn="0" w:lastRowFirstColumn="0" w:lastRowLastColumn="0"/>
            </w:pPr>
            <w:r w:rsidRPr="00A44E7B">
              <w:t>Action</w:t>
            </w:r>
            <w:r w:rsidRPr="00656288">
              <w:t xml:space="preserve"> / Compensation Payable </w:t>
            </w:r>
          </w:p>
          <w:p w14:paraId="1710D9D7" w14:textId="77777777" w:rsidR="00835423" w:rsidRPr="00A44E7B" w:rsidRDefault="00835423" w:rsidP="005B6519">
            <w:pPr>
              <w:pStyle w:val="BoldNormal"/>
              <w:cnfStyle w:val="100000000000" w:firstRow="1" w:lastRow="0" w:firstColumn="0" w:lastColumn="0" w:oddVBand="0" w:evenVBand="0" w:oddHBand="0" w:evenHBand="0" w:firstRowFirstColumn="0" w:firstRowLastColumn="0" w:lastRowFirstColumn="0" w:lastRowLastColumn="0"/>
            </w:pPr>
          </w:p>
        </w:tc>
      </w:tr>
      <w:tr w:rsidR="00835423" w:rsidRPr="00944632" w14:paraId="647E8F06" w14:textId="77777777" w:rsidTr="0058778F">
        <w:tc>
          <w:tcPr>
            <w:cnfStyle w:val="001000000000" w:firstRow="0" w:lastRow="0" w:firstColumn="1" w:lastColumn="0" w:oddVBand="0" w:evenVBand="0" w:oddHBand="0" w:evenHBand="0" w:firstRowFirstColumn="0" w:firstRowLastColumn="0" w:lastRowFirstColumn="0" w:lastRowLastColumn="0"/>
            <w:tcW w:w="3114" w:type="dxa"/>
            <w:hideMark/>
          </w:tcPr>
          <w:p w14:paraId="193EA05F" w14:textId="77777777" w:rsidR="00835423" w:rsidRPr="00656288" w:rsidRDefault="00835423" w:rsidP="005B6519">
            <w:pPr>
              <w:pStyle w:val="BoldNormal"/>
            </w:pPr>
            <w:r w:rsidRPr="00A44E7B">
              <w:t>Food allowance (total loss of cooking facilities) </w:t>
            </w:r>
          </w:p>
        </w:tc>
        <w:tc>
          <w:tcPr>
            <w:tcW w:w="6237" w:type="dxa"/>
            <w:hideMark/>
          </w:tcPr>
          <w:p w14:paraId="129B2246"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A44E7B">
              <w:t xml:space="preserve">£15 per day per adult and £5 per child </w:t>
            </w:r>
            <w:r w:rsidRPr="00656288">
              <w:t>after initial 24 hours</w:t>
            </w:r>
          </w:p>
        </w:tc>
      </w:tr>
      <w:tr w:rsidR="00835423" w:rsidRPr="00944632" w14:paraId="3BC86D49" w14:textId="77777777" w:rsidTr="0058778F">
        <w:tc>
          <w:tcPr>
            <w:cnfStyle w:val="001000000000" w:firstRow="0" w:lastRow="0" w:firstColumn="1" w:lastColumn="0" w:oddVBand="0" w:evenVBand="0" w:oddHBand="0" w:evenHBand="0" w:firstRowFirstColumn="0" w:firstRowLastColumn="0" w:lastRowFirstColumn="0" w:lastRowLastColumn="0"/>
            <w:tcW w:w="3114" w:type="dxa"/>
            <w:hideMark/>
          </w:tcPr>
          <w:p w14:paraId="6641D0D7" w14:textId="77777777" w:rsidR="00835423" w:rsidRPr="00656288" w:rsidRDefault="00835423" w:rsidP="005B6519">
            <w:pPr>
              <w:pStyle w:val="BoldNormal"/>
            </w:pPr>
            <w:r w:rsidRPr="00A44E7B">
              <w:t xml:space="preserve">Total loss of power (where it is </w:t>
            </w:r>
            <w:r w:rsidRPr="00656288">
              <w:t>the Council's responsibility and not part of planned maintenance) </w:t>
            </w:r>
          </w:p>
        </w:tc>
        <w:tc>
          <w:tcPr>
            <w:tcW w:w="6237" w:type="dxa"/>
            <w:hideMark/>
          </w:tcPr>
          <w:p w14:paraId="05F5A505"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A44E7B">
              <w:t>£10 per day after initial 24 hours</w:t>
            </w:r>
          </w:p>
        </w:tc>
      </w:tr>
      <w:tr w:rsidR="00835423" w:rsidRPr="00944632" w14:paraId="49086166" w14:textId="77777777" w:rsidTr="0058778F">
        <w:tc>
          <w:tcPr>
            <w:cnfStyle w:val="001000000000" w:firstRow="0" w:lastRow="0" w:firstColumn="1" w:lastColumn="0" w:oddVBand="0" w:evenVBand="0" w:oddHBand="0" w:evenHBand="0" w:firstRowFirstColumn="0" w:firstRowLastColumn="0" w:lastRowFirstColumn="0" w:lastRowLastColumn="0"/>
            <w:tcW w:w="3114" w:type="dxa"/>
            <w:hideMark/>
          </w:tcPr>
          <w:p w14:paraId="13155367" w14:textId="77777777" w:rsidR="00835423" w:rsidRPr="00656288" w:rsidRDefault="00835423" w:rsidP="005B6519">
            <w:pPr>
              <w:pStyle w:val="BoldNormal"/>
            </w:pPr>
            <w:r w:rsidRPr="00A44E7B">
              <w:t>Loss of lighting to one or more rooms </w:t>
            </w:r>
          </w:p>
        </w:tc>
        <w:tc>
          <w:tcPr>
            <w:tcW w:w="6237" w:type="dxa"/>
            <w:hideMark/>
          </w:tcPr>
          <w:p w14:paraId="342D4DA4"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A44E7B">
              <w:t>£5 per week after 7 days </w:t>
            </w:r>
          </w:p>
        </w:tc>
      </w:tr>
      <w:tr w:rsidR="00835423" w:rsidRPr="00944632" w14:paraId="561B1F53" w14:textId="77777777" w:rsidTr="0058778F">
        <w:tc>
          <w:tcPr>
            <w:cnfStyle w:val="001000000000" w:firstRow="0" w:lastRow="0" w:firstColumn="1" w:lastColumn="0" w:oddVBand="0" w:evenVBand="0" w:oddHBand="0" w:evenHBand="0" w:firstRowFirstColumn="0" w:firstRowLastColumn="0" w:lastRowFirstColumn="0" w:lastRowLastColumn="0"/>
            <w:tcW w:w="3114" w:type="dxa"/>
            <w:hideMark/>
          </w:tcPr>
          <w:p w14:paraId="618D5135" w14:textId="77777777" w:rsidR="00835423" w:rsidRPr="00656288" w:rsidRDefault="00835423" w:rsidP="005B6519">
            <w:pPr>
              <w:pStyle w:val="BoldNormal"/>
            </w:pPr>
            <w:r>
              <w:t>Lack of toilet</w:t>
            </w:r>
            <w:r w:rsidRPr="00656288">
              <w:t> </w:t>
            </w:r>
          </w:p>
        </w:tc>
        <w:tc>
          <w:tcPr>
            <w:tcW w:w="6237" w:type="dxa"/>
            <w:hideMark/>
          </w:tcPr>
          <w:p w14:paraId="05713F37"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DC65D8">
              <w:t xml:space="preserve">Compensation is payable if there is no other working toilet in the property AND the Council is unable to arrange a suitable alternative (e.g. installing a chemical toilet) for use within 24 hours. </w:t>
            </w:r>
          </w:p>
          <w:p w14:paraId="6492D61A" w14:textId="77777777" w:rsidR="00835423" w:rsidRPr="00DC65D8" w:rsidRDefault="00835423" w:rsidP="005B6519">
            <w:pPr>
              <w:cnfStyle w:val="000000000000" w:firstRow="0" w:lastRow="0" w:firstColumn="0" w:lastColumn="0" w:oddVBand="0" w:evenVBand="0" w:oddHBand="0" w:evenHBand="0" w:firstRowFirstColumn="0" w:firstRowLastColumn="0" w:lastRowFirstColumn="0" w:lastRowLastColumn="0"/>
            </w:pPr>
          </w:p>
          <w:p w14:paraId="702C9B54"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DC65D8">
              <w:t>In line with the Government's Right to Repair scheme, £10 will be payable for the first day excluding the initial 24 hours, and then £2 per day for each extra day the repair is not completed, up to a maximum of £50. </w:t>
            </w:r>
          </w:p>
          <w:p w14:paraId="7A4FD754" w14:textId="77777777" w:rsidR="00835423" w:rsidRPr="00DC65D8" w:rsidRDefault="00835423" w:rsidP="005B6519">
            <w:pPr>
              <w:cnfStyle w:val="000000000000" w:firstRow="0" w:lastRow="0" w:firstColumn="0" w:lastColumn="0" w:oddVBand="0" w:evenVBand="0" w:oddHBand="0" w:evenHBand="0" w:firstRowFirstColumn="0" w:firstRowLastColumn="0" w:lastRowFirstColumn="0" w:lastRowLastColumn="0"/>
            </w:pPr>
          </w:p>
          <w:p w14:paraId="6404AE6B"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DC65D8">
              <w:t xml:space="preserve">Further compensation will depend on any household vulnerabilities and the level of distress, inconvenience, and any additional costs incurred by the tenant due to the disrepair. </w:t>
            </w:r>
          </w:p>
          <w:p w14:paraId="22A43748" w14:textId="77777777" w:rsidR="00835423" w:rsidRPr="00DC65D8" w:rsidRDefault="00835423" w:rsidP="005B6519">
            <w:pPr>
              <w:cnfStyle w:val="000000000000" w:firstRow="0" w:lastRow="0" w:firstColumn="0" w:lastColumn="0" w:oddVBand="0" w:evenVBand="0" w:oddHBand="0" w:evenHBand="0" w:firstRowFirstColumn="0" w:firstRowLastColumn="0" w:lastRowFirstColumn="0" w:lastRowLastColumn="0"/>
            </w:pPr>
          </w:p>
          <w:p w14:paraId="10E99B07"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DC65D8">
              <w:t xml:space="preserve">We will also consider whether the non-functioning toilet in the property is the result of a delayed/poor quality repair, or if the property is deemed uninhabitable due to the disrepair, hence requiring a decant. </w:t>
            </w:r>
          </w:p>
          <w:p w14:paraId="6CED1529" w14:textId="77777777" w:rsidR="00835423" w:rsidRPr="00DC65D8" w:rsidRDefault="00835423" w:rsidP="005B6519">
            <w:pPr>
              <w:cnfStyle w:val="000000000000" w:firstRow="0" w:lastRow="0" w:firstColumn="0" w:lastColumn="0" w:oddVBand="0" w:evenVBand="0" w:oddHBand="0" w:evenHBand="0" w:firstRowFirstColumn="0" w:firstRowLastColumn="0" w:lastRowFirstColumn="0" w:lastRowLastColumn="0"/>
            </w:pPr>
          </w:p>
          <w:p w14:paraId="5E51B9E2"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DC65D8">
              <w:t>In long-term or severe cases, a discount may be applied to the weekly rent during the period of disrepair.</w:t>
            </w:r>
          </w:p>
          <w:p w14:paraId="0054F3D7" w14:textId="77777777" w:rsidR="00835423" w:rsidRPr="00021BA4" w:rsidRDefault="00835423" w:rsidP="005B6519">
            <w:pPr>
              <w:cnfStyle w:val="000000000000" w:firstRow="0" w:lastRow="0" w:firstColumn="0" w:lastColumn="0" w:oddVBand="0" w:evenVBand="0" w:oddHBand="0" w:evenHBand="0" w:firstRowFirstColumn="0" w:firstRowLastColumn="0" w:lastRowFirstColumn="0" w:lastRowLastColumn="0"/>
            </w:pPr>
          </w:p>
        </w:tc>
      </w:tr>
      <w:tr w:rsidR="00835423" w:rsidRPr="00944632" w14:paraId="23940392" w14:textId="77777777" w:rsidTr="0058778F">
        <w:tc>
          <w:tcPr>
            <w:cnfStyle w:val="001000000000" w:firstRow="0" w:lastRow="0" w:firstColumn="1" w:lastColumn="0" w:oddVBand="0" w:evenVBand="0" w:oddHBand="0" w:evenHBand="0" w:firstRowFirstColumn="0" w:firstRowLastColumn="0" w:lastRowFirstColumn="0" w:lastRowLastColumn="0"/>
            <w:tcW w:w="3114" w:type="dxa"/>
          </w:tcPr>
          <w:p w14:paraId="698D9109" w14:textId="77777777" w:rsidR="00835423" w:rsidRPr="00656288" w:rsidRDefault="00835423" w:rsidP="005B6519">
            <w:pPr>
              <w:pStyle w:val="BoldNormal"/>
            </w:pPr>
            <w:r w:rsidRPr="00813B4B">
              <w:t>Cost of additional electricity used while using a de-humidifier </w:t>
            </w:r>
          </w:p>
        </w:tc>
        <w:tc>
          <w:tcPr>
            <w:tcW w:w="6237" w:type="dxa"/>
          </w:tcPr>
          <w:p w14:paraId="77020558"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4132B1">
              <w:t>£2 per</w:t>
            </w:r>
            <w:r>
              <w:t xml:space="preserve"> unit, per day</w:t>
            </w:r>
            <w:r w:rsidRPr="004132B1">
              <w:t> </w:t>
            </w:r>
          </w:p>
        </w:tc>
      </w:tr>
      <w:tr w:rsidR="00835423" w:rsidRPr="00944632" w14:paraId="081011D8" w14:textId="77777777" w:rsidTr="0058778F">
        <w:tc>
          <w:tcPr>
            <w:cnfStyle w:val="001000000000" w:firstRow="0" w:lastRow="0" w:firstColumn="1" w:lastColumn="0" w:oddVBand="0" w:evenVBand="0" w:oddHBand="0" w:evenHBand="0" w:firstRowFirstColumn="0" w:firstRowLastColumn="0" w:lastRowFirstColumn="0" w:lastRowLastColumn="0"/>
            <w:tcW w:w="3114" w:type="dxa"/>
            <w:hideMark/>
          </w:tcPr>
          <w:p w14:paraId="0059C299" w14:textId="77777777" w:rsidR="00835423" w:rsidRPr="00656288" w:rsidRDefault="00835423" w:rsidP="005B6519">
            <w:pPr>
              <w:pStyle w:val="BoldNormal"/>
            </w:pPr>
            <w:r w:rsidRPr="00A44E7B">
              <w:t>Loss of TV signal after 7 days </w:t>
            </w:r>
          </w:p>
        </w:tc>
        <w:tc>
          <w:tcPr>
            <w:tcW w:w="6237" w:type="dxa"/>
            <w:hideMark/>
          </w:tcPr>
          <w:p w14:paraId="0E8B10CC" w14:textId="77777777" w:rsidR="00835423" w:rsidRPr="00656288" w:rsidRDefault="00835423" w:rsidP="005B6519">
            <w:pPr>
              <w:cnfStyle w:val="000000000000" w:firstRow="0" w:lastRow="0" w:firstColumn="0" w:lastColumn="0" w:oddVBand="0" w:evenVBand="0" w:oddHBand="0" w:evenHBand="0" w:firstRowFirstColumn="0" w:firstRowLastColumn="0" w:lastRowFirstColumn="0" w:lastRowLastColumn="0"/>
            </w:pPr>
            <w:r w:rsidRPr="00A44E7B">
              <w:t>£5 per week </w:t>
            </w:r>
          </w:p>
        </w:tc>
      </w:tr>
    </w:tbl>
    <w:p w14:paraId="6B8941FF" w14:textId="77777777" w:rsidR="00835423" w:rsidRDefault="00835423" w:rsidP="00835423"/>
    <w:p w14:paraId="0BB5BE52" w14:textId="77777777" w:rsidR="00835423" w:rsidRDefault="00835423" w:rsidP="00835423">
      <w:r>
        <w:t>Cases will be considered</w:t>
      </w:r>
      <w:r w:rsidRPr="002A2CC6">
        <w:t xml:space="preserve"> on an individual basis </w:t>
      </w:r>
      <w:r>
        <w:t>including</w:t>
      </w:r>
      <w:r w:rsidRPr="002A2CC6">
        <w:t xml:space="preserve"> </w:t>
      </w:r>
      <w:r>
        <w:t>examining</w:t>
      </w:r>
      <w:r w:rsidRPr="002A2CC6">
        <w:t xml:space="preserve"> known circumstances and supporting evidence. We will work not make any compensation awards based on the belief of what might have happened. All reports of loss or inconvenience will be investigated. Factors that will be considered when the level of compensation is reviewed include:</w:t>
      </w:r>
    </w:p>
    <w:p w14:paraId="5652FE05" w14:textId="77777777" w:rsidR="00835423" w:rsidRDefault="00835423" w:rsidP="00835423">
      <w:pPr>
        <w:pStyle w:val="ListBullet"/>
      </w:pPr>
      <w:r>
        <w:t>Whether you have contributed to the failure in service, for example, not allowing access to your property.</w:t>
      </w:r>
    </w:p>
    <w:p w14:paraId="48E7E26D" w14:textId="77777777" w:rsidR="00835423" w:rsidRDefault="00835423" w:rsidP="00835423">
      <w:pPr>
        <w:pStyle w:val="ListBullet"/>
      </w:pPr>
      <w:r>
        <w:t xml:space="preserve">The </w:t>
      </w:r>
      <w:r w:rsidRPr="002A2CC6">
        <w:t>level of stress or distress caused, including the severity of the distress and the length of time involved</w:t>
      </w:r>
      <w:r>
        <w:t>.</w:t>
      </w:r>
    </w:p>
    <w:p w14:paraId="5A877DBC" w14:textId="61A59DE6" w:rsidR="00835423" w:rsidRDefault="00835423" w:rsidP="00835423">
      <w:pPr>
        <w:pStyle w:val="ListBullet"/>
      </w:pPr>
      <w:r>
        <w:lastRenderedPageBreak/>
        <w:t>The amount of inconvenience (time and trouble) you have experienced, and how much effort was required by you to resolve the problem.</w:t>
      </w:r>
    </w:p>
    <w:p w14:paraId="1AEF7164" w14:textId="77777777" w:rsidR="00835423" w:rsidRDefault="00835423" w:rsidP="00835423">
      <w:r>
        <w:t>When assessing levels of compensation, we will review our responsibility for the loss and inconvenience, alongside the impact on you. This is defined as:</w:t>
      </w:r>
    </w:p>
    <w:tbl>
      <w:tblPr>
        <w:tblStyle w:val="TableGrid"/>
        <w:tblW w:w="0" w:type="auto"/>
        <w:tblLook w:val="04A0" w:firstRow="1" w:lastRow="0" w:firstColumn="1" w:lastColumn="0" w:noHBand="0" w:noVBand="1"/>
      </w:tblPr>
      <w:tblGrid>
        <w:gridCol w:w="1838"/>
        <w:gridCol w:w="7178"/>
      </w:tblGrid>
      <w:tr w:rsidR="00835423" w14:paraId="4AE921F3" w14:textId="77777777" w:rsidTr="00596F6C">
        <w:tc>
          <w:tcPr>
            <w:tcW w:w="1838" w:type="dxa"/>
          </w:tcPr>
          <w:p w14:paraId="6EDDB682" w14:textId="77777777" w:rsidR="00835423" w:rsidRPr="00122576" w:rsidRDefault="00835423" w:rsidP="005B6519">
            <w:pPr>
              <w:pStyle w:val="BoldNormal"/>
            </w:pPr>
            <w:r>
              <w:t>Impact</w:t>
            </w:r>
            <w:r w:rsidRPr="00122576">
              <w:t xml:space="preserve"> Level</w:t>
            </w:r>
          </w:p>
        </w:tc>
        <w:tc>
          <w:tcPr>
            <w:tcW w:w="7178" w:type="dxa"/>
          </w:tcPr>
          <w:p w14:paraId="4AAF875F" w14:textId="77777777" w:rsidR="00835423" w:rsidRPr="00122576" w:rsidRDefault="00835423" w:rsidP="005B6519">
            <w:pPr>
              <w:pStyle w:val="BoldNormal"/>
            </w:pPr>
            <w:r>
              <w:t xml:space="preserve">Reason for </w:t>
            </w:r>
            <w:r w:rsidRPr="00122576">
              <w:t>Compensation</w:t>
            </w:r>
          </w:p>
        </w:tc>
      </w:tr>
      <w:tr w:rsidR="00835423" w14:paraId="3E59B40E" w14:textId="77777777" w:rsidTr="00596F6C">
        <w:tc>
          <w:tcPr>
            <w:tcW w:w="1838" w:type="dxa"/>
          </w:tcPr>
          <w:p w14:paraId="6CC84A55" w14:textId="77777777" w:rsidR="00835423" w:rsidRPr="00122576" w:rsidRDefault="00835423" w:rsidP="005B6519">
            <w:r>
              <w:t>Low (</w:t>
            </w:r>
            <w:r w:rsidRPr="00122576">
              <w:t xml:space="preserve">£0-£100) </w:t>
            </w:r>
          </w:p>
        </w:tc>
        <w:tc>
          <w:tcPr>
            <w:tcW w:w="7178" w:type="dxa"/>
          </w:tcPr>
          <w:p w14:paraId="5AD87DA9" w14:textId="77777777" w:rsidR="00835423" w:rsidRPr="00122576" w:rsidRDefault="00835423" w:rsidP="005B6519">
            <w:r>
              <w:t>Y</w:t>
            </w:r>
            <w:r w:rsidRPr="00122576">
              <w:t>our complaint has been upheld, but there has not been significant inconvenience or distress caused. The impact has been no more than a reasonable person could be expected to accept, and the compensation acknowledges the Council's responsibility.</w:t>
            </w:r>
          </w:p>
        </w:tc>
      </w:tr>
      <w:tr w:rsidR="00835423" w14:paraId="4F64BB79" w14:textId="77777777" w:rsidTr="00596F6C">
        <w:tc>
          <w:tcPr>
            <w:tcW w:w="1838" w:type="dxa"/>
          </w:tcPr>
          <w:p w14:paraId="125D5A00" w14:textId="77777777" w:rsidR="00835423" w:rsidRPr="00122576" w:rsidRDefault="00835423" w:rsidP="005B6519">
            <w:r w:rsidRPr="00314B51">
              <w:t>Medium</w:t>
            </w:r>
            <w:r w:rsidRPr="00122576">
              <w:t xml:space="preserve"> (£100-£600)</w:t>
            </w:r>
          </w:p>
        </w:tc>
        <w:tc>
          <w:tcPr>
            <w:tcW w:w="7178" w:type="dxa"/>
          </w:tcPr>
          <w:p w14:paraId="22526E78" w14:textId="77777777" w:rsidR="00835423" w:rsidRPr="00122576" w:rsidRDefault="00835423" w:rsidP="005B6519">
            <w:r>
              <w:t>I</w:t>
            </w:r>
            <w:r w:rsidRPr="00122576">
              <w:t>nconvenience and/or distress has clearly been caused because of a failure in service. A repeated failure of a low impact event could lead to it being increased to a medium impact.</w:t>
            </w:r>
          </w:p>
        </w:tc>
      </w:tr>
      <w:tr w:rsidR="00835423" w14:paraId="44123194" w14:textId="77777777" w:rsidTr="00596F6C">
        <w:tc>
          <w:tcPr>
            <w:tcW w:w="1838" w:type="dxa"/>
          </w:tcPr>
          <w:p w14:paraId="6678EE8A" w14:textId="77777777" w:rsidR="00835423" w:rsidRPr="00122576" w:rsidRDefault="00835423" w:rsidP="005B6519">
            <w:r w:rsidRPr="00F24883">
              <w:t>High</w:t>
            </w:r>
            <w:r w:rsidRPr="00122576">
              <w:t xml:space="preserve"> (£600 plus)</w:t>
            </w:r>
          </w:p>
        </w:tc>
        <w:tc>
          <w:tcPr>
            <w:tcW w:w="7178" w:type="dxa"/>
          </w:tcPr>
          <w:p w14:paraId="48641F51" w14:textId="77777777" w:rsidR="00835423" w:rsidRPr="00122576" w:rsidRDefault="00835423" w:rsidP="005B6519">
            <w:r>
              <w:t>A</w:t>
            </w:r>
            <w:r w:rsidRPr="00122576">
              <w:t xml:space="preserve"> serious failure in service has taken place. This could either be due to the severity of the event, or a persistent failure has occurred over a prolonged period, or an unacceptable number of attempts to resolve the complaint have failed.</w:t>
            </w:r>
          </w:p>
        </w:tc>
      </w:tr>
      <w:tr w:rsidR="00835423" w14:paraId="02713DE5" w14:textId="77777777" w:rsidTr="00596F6C">
        <w:trPr>
          <w:trHeight w:val="2289"/>
        </w:trPr>
        <w:tc>
          <w:tcPr>
            <w:tcW w:w="1838" w:type="dxa"/>
          </w:tcPr>
          <w:p w14:paraId="0904DBBA" w14:textId="77777777" w:rsidR="00835423" w:rsidRPr="00122576" w:rsidRDefault="00835423" w:rsidP="005B6519">
            <w:r w:rsidRPr="00974FC9">
              <w:t>Exceptional circumstances</w:t>
            </w:r>
          </w:p>
        </w:tc>
        <w:tc>
          <w:tcPr>
            <w:tcW w:w="7178" w:type="dxa"/>
          </w:tcPr>
          <w:p w14:paraId="0E5C3530" w14:textId="260E814F" w:rsidR="00835423" w:rsidRPr="00122576" w:rsidRDefault="00835423" w:rsidP="00596F6C">
            <w:r>
              <w:t>T</w:t>
            </w:r>
            <w:r w:rsidRPr="00122576">
              <w:t>here will be instances where there has been serious service failure that warrants financial redress over £1,000. An example of this might be failure to act promptly to address an uncontainable leak, resulting in significant and avoidable damage being caused to the property and resident’s belongings. Including disruption from the household needing to be temporarily decanted when this would not have proven necessarily had the matter been dealt with earlier.</w:t>
            </w:r>
          </w:p>
        </w:tc>
      </w:tr>
    </w:tbl>
    <w:p w14:paraId="7F414B55" w14:textId="4D602A4B" w:rsidR="00640708" w:rsidRPr="00640708" w:rsidRDefault="00640708" w:rsidP="00640708">
      <w:pPr>
        <w:rPr>
          <w:lang w:val="en-US" w:eastAsia="en-GB"/>
        </w:rPr>
      </w:pPr>
    </w:p>
    <w:p w14:paraId="25ADD487" w14:textId="4DAEF44A" w:rsidR="00B605BF" w:rsidRDefault="00640708" w:rsidP="00485688">
      <w:pPr>
        <w:pStyle w:val="Heading2"/>
      </w:pPr>
      <w:bookmarkStart w:id="13" w:name="_Toc214617362"/>
      <w:r>
        <w:t>Dealing with Legal Disrepair</w:t>
      </w:r>
      <w:bookmarkEnd w:id="13"/>
    </w:p>
    <w:p w14:paraId="355BC24C" w14:textId="6BE57D52" w:rsidR="009016AE" w:rsidRPr="0082624B" w:rsidRDefault="009016AE" w:rsidP="009016AE">
      <w:r w:rsidRPr="0082624B">
        <w:t>T</w:t>
      </w:r>
      <w:r>
        <w:t>he Council</w:t>
      </w:r>
      <w:r w:rsidRPr="0082624B">
        <w:t xml:space="preserve"> has a legal obligation to ensure that the homes it rents are kept up to a decent standard of repair and has the same interest as tenants in keeping the properties in good condition. </w:t>
      </w:r>
    </w:p>
    <w:p w14:paraId="1C39AF95" w14:textId="77777777" w:rsidR="009016AE" w:rsidRPr="0082624B" w:rsidRDefault="009016AE" w:rsidP="009016AE">
      <w:r w:rsidRPr="0082624B">
        <w:t>Th</w:t>
      </w:r>
      <w:r>
        <w:t>is policy</w:t>
      </w:r>
      <w:r w:rsidRPr="0082624B">
        <w:t xml:space="preserve"> should be used where </w:t>
      </w:r>
      <w:r>
        <w:t>the Council</w:t>
      </w:r>
      <w:r w:rsidRPr="0082624B">
        <w:t xml:space="preserve"> has failed to carry out a reported repair.</w:t>
      </w:r>
      <w:r>
        <w:t xml:space="preserve"> </w:t>
      </w:r>
      <w:r w:rsidRPr="0082624B">
        <w:t>If a legal notice or communication from the Environmental Health Team/</w:t>
      </w:r>
      <w:r>
        <w:t>e</w:t>
      </w:r>
      <w:r w:rsidRPr="0082624B">
        <w:t xml:space="preserve">xternal solicitors is received, guidance must be sought from </w:t>
      </w:r>
      <w:r>
        <w:t>our</w:t>
      </w:r>
      <w:r w:rsidRPr="0082624B">
        <w:t xml:space="preserve"> Legal </w:t>
      </w:r>
      <w:r>
        <w:t>Service</w:t>
      </w:r>
      <w:r w:rsidRPr="0082624B">
        <w:t xml:space="preserve"> and </w:t>
      </w:r>
      <w:r>
        <w:t>d</w:t>
      </w:r>
      <w:r w:rsidRPr="0082624B">
        <w:t xml:space="preserve">isrepair </w:t>
      </w:r>
      <w:r>
        <w:t>s</w:t>
      </w:r>
      <w:r w:rsidRPr="0082624B">
        <w:t>urveyor in the Repairs Team.</w:t>
      </w:r>
      <w:r>
        <w:t xml:space="preserve"> </w:t>
      </w:r>
      <w:r w:rsidRPr="0082624B">
        <w:t>They will advise on how to proceed or to agree/arrange for any disrepair actions to be taken or payments to be made. This should include any correspondence which formally quotes the</w:t>
      </w:r>
      <w:r>
        <w:t xml:space="preserve"> Housing Health and Safety Rating System (</w:t>
      </w:r>
      <w:r w:rsidRPr="0082624B">
        <w:t>HHSRS</w:t>
      </w:r>
      <w:r>
        <w:t>)</w:t>
      </w:r>
      <w:r w:rsidRPr="0082624B">
        <w:t xml:space="preserve"> regulations.</w:t>
      </w:r>
    </w:p>
    <w:p w14:paraId="6C11B607" w14:textId="77777777" w:rsidR="009016AE" w:rsidRPr="0082624B" w:rsidRDefault="009016AE" w:rsidP="009016AE">
      <w:r w:rsidRPr="0082624B">
        <w:t xml:space="preserve">The </w:t>
      </w:r>
      <w:r>
        <w:t>d</w:t>
      </w:r>
      <w:r w:rsidRPr="0082624B">
        <w:t xml:space="preserve">isrepair </w:t>
      </w:r>
      <w:r>
        <w:t>s</w:t>
      </w:r>
      <w:r w:rsidRPr="0082624B">
        <w:t xml:space="preserve">urveyor will decide whether disrepair action is necessary based on the contents of the correspondence. It is expected that the </w:t>
      </w:r>
      <w:r>
        <w:t>d</w:t>
      </w:r>
      <w:r w:rsidRPr="0082624B">
        <w:t xml:space="preserve">isrepair </w:t>
      </w:r>
      <w:r>
        <w:t>s</w:t>
      </w:r>
      <w:r w:rsidRPr="0082624B">
        <w:t>urveyor will act on any letter which contains any or all the following: </w:t>
      </w:r>
    </w:p>
    <w:p w14:paraId="7E810EA5" w14:textId="77777777" w:rsidR="009016AE" w:rsidRPr="0082624B" w:rsidRDefault="009016AE" w:rsidP="009016AE">
      <w:pPr>
        <w:pStyle w:val="ListBullet"/>
      </w:pPr>
      <w:r w:rsidRPr="0082624B">
        <w:t xml:space="preserve">All cases in which a solicitor or private individual contacts the </w:t>
      </w:r>
      <w:r>
        <w:t>C</w:t>
      </w:r>
      <w:r w:rsidRPr="0082624B">
        <w:t>ouncil using the Disrepair Protocol.</w:t>
      </w:r>
    </w:p>
    <w:p w14:paraId="381BC38E" w14:textId="77777777" w:rsidR="009016AE" w:rsidRPr="0082624B" w:rsidRDefault="009016AE" w:rsidP="009016AE">
      <w:pPr>
        <w:pStyle w:val="ListBullet"/>
      </w:pPr>
      <w:r w:rsidRPr="0082624B">
        <w:t>A threat of legal proceedings within a specified time limit.</w:t>
      </w:r>
    </w:p>
    <w:p w14:paraId="1C2A02EB" w14:textId="77777777" w:rsidR="009016AE" w:rsidRPr="0082624B" w:rsidRDefault="009016AE" w:rsidP="009016AE">
      <w:pPr>
        <w:pStyle w:val="ListBullet"/>
      </w:pPr>
      <w:r w:rsidRPr="0082624B">
        <w:t>Is clearly a notice under the Environmental Protection Act giving the Council notice to remedy a defect.</w:t>
      </w:r>
    </w:p>
    <w:p w14:paraId="12BEAD2B" w14:textId="77777777" w:rsidR="009016AE" w:rsidRPr="0082624B" w:rsidRDefault="009016AE" w:rsidP="009016AE">
      <w:pPr>
        <w:pStyle w:val="ListBullet"/>
      </w:pPr>
      <w:r w:rsidRPr="0082624B">
        <w:lastRenderedPageBreak/>
        <w:t xml:space="preserve">Makes reference to having obtained Community Legal Funding to pursue proceedings against the </w:t>
      </w:r>
      <w:r>
        <w:t>Council</w:t>
      </w:r>
      <w:r w:rsidRPr="0082624B">
        <w:t>.</w:t>
      </w:r>
    </w:p>
    <w:p w14:paraId="7A09DE0E" w14:textId="1D4D70C3" w:rsidR="00640708" w:rsidRPr="009016AE" w:rsidRDefault="009016AE" w:rsidP="00640708">
      <w:pPr>
        <w:pStyle w:val="ListBullet"/>
      </w:pPr>
      <w:r w:rsidRPr="0082624B">
        <w:t>Makes a substantial claim for specific performance and/or damages and may include reference to costs and/or interest.</w:t>
      </w:r>
    </w:p>
    <w:p w14:paraId="3D9B4FAD" w14:textId="283E33F9" w:rsidR="00CC1D7B" w:rsidRDefault="00640708" w:rsidP="00485688">
      <w:pPr>
        <w:pStyle w:val="Heading2"/>
      </w:pPr>
      <w:bookmarkStart w:id="14" w:name="_Toc214617363"/>
      <w:r>
        <w:t>How to Claim</w:t>
      </w:r>
      <w:bookmarkEnd w:id="14"/>
    </w:p>
    <w:p w14:paraId="659C97C5" w14:textId="09B79A73" w:rsidR="00681BD7" w:rsidRPr="00773FF2" w:rsidRDefault="00681BD7" w:rsidP="00681BD7">
      <w:r>
        <w:t>Residents seeking to make a claim</w:t>
      </w:r>
      <w:r w:rsidRPr="00773FF2">
        <w:t xml:space="preserve"> should do so as soon as possible, ideally within </w:t>
      </w:r>
      <w:r>
        <w:t>14</w:t>
      </w:r>
      <w:r w:rsidRPr="00773FF2">
        <w:t xml:space="preserve"> days of being aware of the loss or detriment happening. All claims must be made within </w:t>
      </w:r>
      <w:r>
        <w:t>twelve</w:t>
      </w:r>
      <w:r w:rsidRPr="00773FF2">
        <w:t xml:space="preserve"> months unless there are exceptional circumstances.</w:t>
      </w:r>
    </w:p>
    <w:p w14:paraId="43773D68" w14:textId="77777777" w:rsidR="00681BD7" w:rsidRPr="00FC12B8" w:rsidRDefault="00681BD7" w:rsidP="00681BD7">
      <w:r w:rsidRPr="00FC12B8">
        <w:t xml:space="preserve">Residents can make a compensation claim in </w:t>
      </w:r>
      <w:r>
        <w:t>the following ways:</w:t>
      </w:r>
    </w:p>
    <w:p w14:paraId="507B8B48" w14:textId="77777777" w:rsidR="00681BD7" w:rsidRPr="00FC12B8" w:rsidRDefault="00681BD7" w:rsidP="00681BD7">
      <w:pPr>
        <w:pStyle w:val="ListBullet"/>
      </w:pPr>
      <w:r>
        <w:t>B</w:t>
      </w:r>
      <w:r w:rsidRPr="00FC12B8">
        <w:t>y completing our online complaints form</w:t>
      </w:r>
    </w:p>
    <w:p w14:paraId="2E9B3474" w14:textId="77777777" w:rsidR="00681BD7" w:rsidRPr="00FC12B8" w:rsidRDefault="00681BD7" w:rsidP="00681BD7">
      <w:pPr>
        <w:pStyle w:val="ListBullet"/>
      </w:pPr>
      <w:r>
        <w:t>B</w:t>
      </w:r>
      <w:r w:rsidRPr="00FC12B8">
        <w:t xml:space="preserve">y emailing </w:t>
      </w:r>
      <w:hyperlink r:id="rId13" w:history="1">
        <w:r w:rsidRPr="00122576">
          <w:rPr>
            <w:rStyle w:val="Hyperlink"/>
          </w:rPr>
          <w:t>contactus@towerhamlets.gov.uk</w:t>
        </w:r>
      </w:hyperlink>
    </w:p>
    <w:p w14:paraId="1338242E" w14:textId="77777777" w:rsidR="00681BD7" w:rsidRPr="00FC12B8" w:rsidRDefault="00681BD7" w:rsidP="00681BD7">
      <w:pPr>
        <w:pStyle w:val="ListBullet"/>
      </w:pPr>
      <w:r>
        <w:t>B</w:t>
      </w:r>
      <w:r w:rsidRPr="00FC12B8">
        <w:t>y telephone</w:t>
      </w:r>
    </w:p>
    <w:p w14:paraId="3F2E21D3" w14:textId="3069CF56" w:rsidR="00681BD7" w:rsidRDefault="00681BD7" w:rsidP="00681BD7">
      <w:pPr>
        <w:pStyle w:val="ListBullet"/>
      </w:pPr>
      <w:r>
        <w:t>I</w:t>
      </w:r>
      <w:r w:rsidRPr="00FC12B8">
        <w:t>n writing – by letter or email  </w:t>
      </w:r>
    </w:p>
    <w:p w14:paraId="67D47EEE" w14:textId="77777777" w:rsidR="00681BD7" w:rsidRPr="00FC12B8" w:rsidRDefault="00681BD7" w:rsidP="00681BD7">
      <w:r w:rsidRPr="00FC12B8">
        <w:t xml:space="preserve">Claims should be made within </w:t>
      </w:r>
      <w:r>
        <w:t>14</w:t>
      </w:r>
      <w:r w:rsidRPr="00FC12B8">
        <w:t xml:space="preserve"> days after the damage or loss has been incurred. Failure to make a compensation request in this timescale may result in </w:t>
      </w:r>
      <w:r>
        <w:t>the Council</w:t>
      </w:r>
      <w:r w:rsidRPr="00FC12B8">
        <w:t xml:space="preserve"> not being able to consider the claim further without evidence of extenuating circumstances.</w:t>
      </w:r>
    </w:p>
    <w:p w14:paraId="3E5976D0" w14:textId="72D19240" w:rsidR="00900578" w:rsidRPr="00900578" w:rsidRDefault="00681BD7" w:rsidP="00900578">
      <w:pPr>
        <w:rPr>
          <w:lang w:val="en-US" w:eastAsia="en-GB"/>
        </w:rPr>
      </w:pPr>
      <w:r w:rsidRPr="00FC12B8">
        <w:t xml:space="preserve">Where payment has been agreed, </w:t>
      </w:r>
      <w:r>
        <w:t>the Council</w:t>
      </w:r>
      <w:r w:rsidRPr="00FC12B8">
        <w:t xml:space="preserve"> will aim to deal with requests for refunds and compensation within 28 calendar days</w:t>
      </w:r>
      <w:r>
        <w:t>,</w:t>
      </w:r>
      <w:r w:rsidRPr="00FC12B8">
        <w:t xml:space="preserve"> unless there are circumstances requiring further investigation. Where a case requires further investigation, </w:t>
      </w:r>
      <w:r>
        <w:t xml:space="preserve">we </w:t>
      </w:r>
      <w:r w:rsidRPr="00FC12B8">
        <w:t>aim to resolve the situation within three months.</w:t>
      </w:r>
    </w:p>
    <w:p w14:paraId="772CE37B" w14:textId="74282536" w:rsidR="00B846CB" w:rsidRPr="00B846CB" w:rsidRDefault="00493FB6" w:rsidP="00C14F50">
      <w:pPr>
        <w:pStyle w:val="Heading1"/>
      </w:pPr>
      <w:bookmarkStart w:id="15" w:name="_Toc214617364"/>
      <w:r>
        <w:t>Paying Compensation</w:t>
      </w:r>
      <w:bookmarkEnd w:id="15"/>
    </w:p>
    <w:p w14:paraId="7D83B991" w14:textId="63373F12" w:rsidR="00160967" w:rsidRDefault="00160967" w:rsidP="00160967">
      <w:r>
        <w:t xml:space="preserve">If you owe us rent, service charge, or other debt(s), any agreed compensation will be applied to your account. If your account is up to date, we will pay this directly to you. If we are reimbursing you for loss or damage to goods, or other costs incurred, proof of expenditure must be provided, in the form of receipts or paid invoices. </w:t>
      </w:r>
    </w:p>
    <w:p w14:paraId="4172DD99" w14:textId="77777777" w:rsidR="00160967" w:rsidRDefault="00160967" w:rsidP="00160967">
      <w:r>
        <w:t>Forms of compensation may include:</w:t>
      </w:r>
    </w:p>
    <w:p w14:paraId="6EABFC0A" w14:textId="77777777" w:rsidR="00160967" w:rsidRDefault="00160967" w:rsidP="00160967">
      <w:pPr>
        <w:pStyle w:val="ListBullet"/>
      </w:pPr>
      <w:r>
        <w:t xml:space="preserve">An adjustment </w:t>
      </w:r>
      <w:r w:rsidRPr="008959E8">
        <w:t>to your rent account, or service charges, if you’re in arrears</w:t>
      </w:r>
      <w:r>
        <w:t>.</w:t>
      </w:r>
    </w:p>
    <w:p w14:paraId="56F0F415" w14:textId="597B7106" w:rsidR="00160967" w:rsidRDefault="00160967" w:rsidP="00160967">
      <w:pPr>
        <w:pStyle w:val="ListBullet"/>
      </w:pPr>
      <w:r w:rsidRPr="008959E8">
        <w:t>Vouchers</w:t>
      </w:r>
      <w:r>
        <w:t>.</w:t>
      </w:r>
    </w:p>
    <w:p w14:paraId="74D0AB8F" w14:textId="77777777" w:rsidR="00160967" w:rsidRPr="00870D36" w:rsidRDefault="00160967" w:rsidP="00160967">
      <w:pPr>
        <w:pStyle w:val="ListBullet"/>
      </w:pPr>
      <w:r w:rsidRPr="008959E8">
        <w:t>Monetary compensation</w:t>
      </w:r>
      <w:r w:rsidRPr="00870D36">
        <w:t>.</w:t>
      </w:r>
    </w:p>
    <w:p w14:paraId="101FE956" w14:textId="261C1508" w:rsidR="00B846CB" w:rsidRDefault="00160967" w:rsidP="00160967">
      <w:r>
        <w:t>All payments made are subject to our financial processes and approvals.</w:t>
      </w:r>
    </w:p>
    <w:p w14:paraId="38CAF4C2" w14:textId="311C25B7" w:rsidR="00B605BF" w:rsidRDefault="00493FB6" w:rsidP="00B605BF">
      <w:pPr>
        <w:pStyle w:val="Heading2"/>
      </w:pPr>
      <w:bookmarkStart w:id="16" w:name="_Toc214617365"/>
      <w:r>
        <w:t>Appealing an Award for Compensation</w:t>
      </w:r>
      <w:bookmarkEnd w:id="16"/>
    </w:p>
    <w:p w14:paraId="62C54AC3" w14:textId="4E168C67" w:rsidR="00493FB6" w:rsidRPr="009047C4" w:rsidRDefault="009047C4" w:rsidP="00493FB6">
      <w:r w:rsidRPr="00D76744">
        <w:t xml:space="preserve">The </w:t>
      </w:r>
      <w:r>
        <w:t>resident</w:t>
      </w:r>
      <w:r w:rsidRPr="00D76744">
        <w:t xml:space="preserve"> can appeal the rejection of a claim for compensation (excluding </w:t>
      </w:r>
      <w:r>
        <w:t>i</w:t>
      </w:r>
      <w:r w:rsidRPr="00D76744">
        <w:t xml:space="preserve">nsurance claims), or the level of compensation awarded by </w:t>
      </w:r>
      <w:r>
        <w:t>the Council</w:t>
      </w:r>
      <w:r w:rsidRPr="00D76744">
        <w:t xml:space="preserve">, by making a formal complaint through </w:t>
      </w:r>
      <w:r>
        <w:t>our</w:t>
      </w:r>
      <w:r w:rsidRPr="00D76744">
        <w:t xml:space="preserve"> complaints procedure or escalating any offer made on a complaint to the next stage. This process can only be followed if the claimant has not previously accepted the proposed compensation as full and final settlement.</w:t>
      </w:r>
    </w:p>
    <w:p w14:paraId="58C5A2C7" w14:textId="3192FA54" w:rsidR="00B605BF" w:rsidRDefault="00493FB6" w:rsidP="00B605BF">
      <w:pPr>
        <w:pStyle w:val="Heading2"/>
      </w:pPr>
      <w:bookmarkStart w:id="17" w:name="_Toc214617366"/>
      <w:r>
        <w:t>Third Party Responsibilities</w:t>
      </w:r>
      <w:bookmarkEnd w:id="17"/>
    </w:p>
    <w:p w14:paraId="10C17F9A" w14:textId="2813D050" w:rsidR="00ED5DF0" w:rsidRPr="001232CE" w:rsidRDefault="00ED5DF0" w:rsidP="00ED5DF0">
      <w:r w:rsidRPr="001232CE">
        <w:t xml:space="preserve">Where service breakdown is due to a third party, such as a contractor working for </w:t>
      </w:r>
      <w:r>
        <w:t>the Council</w:t>
      </w:r>
      <w:r w:rsidRPr="001232CE">
        <w:t xml:space="preserve">, we will pursue the service provider and ask them to pay compensation for </w:t>
      </w:r>
      <w:r w:rsidRPr="001232CE">
        <w:lastRenderedPageBreak/>
        <w:t xml:space="preserve">their failure to provide services on time and/or to a satisfactory standard. Dependent upon individual contractual arrangements, this could take the form of the contractor making payment to the complainant directly, or instead </w:t>
      </w:r>
      <w:r>
        <w:t xml:space="preserve">the Council </w:t>
      </w:r>
      <w:r w:rsidRPr="001232CE">
        <w:t>making payment on their behalf and seeking to recover its costs via said contract.</w:t>
      </w:r>
    </w:p>
    <w:p w14:paraId="6A48FDE6" w14:textId="77777777" w:rsidR="00ED5DF0" w:rsidRPr="001232CE" w:rsidRDefault="00ED5DF0" w:rsidP="00ED5DF0">
      <w:r w:rsidRPr="001232CE">
        <w:t xml:space="preserve">Where contractors do not have their own compensation policy, they will be expected to follow this policy and will be required to remedy the situation and settle any compensation payments via </w:t>
      </w:r>
      <w:r>
        <w:t>the Council</w:t>
      </w:r>
      <w:r w:rsidRPr="001232CE">
        <w:t xml:space="preserve">, with </w:t>
      </w:r>
      <w:r>
        <w:t xml:space="preserve">the Council </w:t>
      </w:r>
      <w:r w:rsidRPr="001232CE">
        <w:t>making settlement directly to the service user </w:t>
      </w:r>
    </w:p>
    <w:p w14:paraId="0D416149" w14:textId="77777777" w:rsidR="00ED5DF0" w:rsidRPr="001232CE" w:rsidRDefault="00ED5DF0" w:rsidP="00ED5DF0">
      <w:r w:rsidRPr="001232CE">
        <w:t>Complaints and claims against contractors will be monitored to identify trends. </w:t>
      </w:r>
    </w:p>
    <w:p w14:paraId="203DE33F" w14:textId="77777777" w:rsidR="00ED5DF0" w:rsidRDefault="00ED5DF0" w:rsidP="00ED5DF0">
      <w:r w:rsidRPr="001232CE">
        <w:t>Generally, compensation is only paid when all outstanding issues are resolved but in exceptional circumstances an interim amount will be paid. </w:t>
      </w:r>
    </w:p>
    <w:p w14:paraId="683DDE30" w14:textId="352B99EE" w:rsidR="00B605BF" w:rsidRDefault="00493FB6" w:rsidP="00B605BF">
      <w:pPr>
        <w:pStyle w:val="Heading1"/>
        <w:rPr>
          <w:lang w:val="en-US"/>
        </w:rPr>
      </w:pPr>
      <w:bookmarkStart w:id="18" w:name="_Toc214617367"/>
      <w:r>
        <w:rPr>
          <w:lang w:val="en-US"/>
        </w:rPr>
        <w:t>Exclusions</w:t>
      </w:r>
      <w:bookmarkEnd w:id="18"/>
    </w:p>
    <w:p w14:paraId="134D5878" w14:textId="6BF31B63" w:rsidR="00AE0FCE" w:rsidRPr="00BD48A2" w:rsidRDefault="00AE0FCE" w:rsidP="00AE0FCE">
      <w:bookmarkStart w:id="19" w:name="_Toc214617368"/>
      <w:r w:rsidRPr="00C25AB2">
        <w:t>There are some instances where this policy does not apply. These include:</w:t>
      </w:r>
    </w:p>
    <w:p w14:paraId="1947B95B" w14:textId="77777777" w:rsidR="00AE0FCE" w:rsidRDefault="00AE0FCE" w:rsidP="00AE0FCE">
      <w:pPr>
        <w:pStyle w:val="ListBullet"/>
      </w:pPr>
      <w:r w:rsidRPr="00C25AB2">
        <w:t>Issues that are, or have been, subject to legal proceedings</w:t>
      </w:r>
      <w:r>
        <w:t>.</w:t>
      </w:r>
    </w:p>
    <w:p w14:paraId="6F9E8FA7" w14:textId="77777777" w:rsidR="00AE0FCE" w:rsidRDefault="00AE0FCE" w:rsidP="00AE0FCE">
      <w:pPr>
        <w:pStyle w:val="ListBullet"/>
      </w:pPr>
      <w:r w:rsidRPr="00C25AB2">
        <w:t>Liability issues that are subject to an insurance claim</w:t>
      </w:r>
      <w:r>
        <w:t>.</w:t>
      </w:r>
    </w:p>
    <w:p w14:paraId="30F9F154" w14:textId="77777777" w:rsidR="00AE0FCE" w:rsidRDefault="00AE0FCE" w:rsidP="00AE0FCE">
      <w:pPr>
        <w:pStyle w:val="ListBullet"/>
      </w:pPr>
      <w:r w:rsidRPr="00C25AB2">
        <w:t>Any claim that should be covered by a home contents insurance policy, including damage through flood or fire to your belongings, such as floor coverings</w:t>
      </w:r>
      <w:r>
        <w:t>.</w:t>
      </w:r>
    </w:p>
    <w:p w14:paraId="7FAC0080" w14:textId="77777777" w:rsidR="00AE0FCE" w:rsidRDefault="00AE0FCE" w:rsidP="00AE0FCE">
      <w:pPr>
        <w:pStyle w:val="ListBullet"/>
      </w:pPr>
      <w:r w:rsidRPr="00C25AB2">
        <w:t>Claims for liability/ personal injury</w:t>
      </w:r>
      <w:r>
        <w:t>.</w:t>
      </w:r>
    </w:p>
    <w:p w14:paraId="049C184D" w14:textId="77777777" w:rsidR="00AE0FCE" w:rsidRDefault="00AE0FCE" w:rsidP="00AE0FCE">
      <w:pPr>
        <w:pStyle w:val="ListBullet"/>
      </w:pPr>
      <w:r w:rsidRPr="00C25AB2">
        <w:t>Claims for loss of income</w:t>
      </w:r>
      <w:r>
        <w:t>.</w:t>
      </w:r>
    </w:p>
    <w:p w14:paraId="735D07BA" w14:textId="77777777" w:rsidR="00AE0FCE" w:rsidRDefault="00AE0FCE" w:rsidP="00AE0FCE">
      <w:pPr>
        <w:pStyle w:val="ListBullet"/>
      </w:pPr>
      <w:r w:rsidRPr="00C25AB2">
        <w:t xml:space="preserve">Complaints and compensation requests raised after </w:t>
      </w:r>
      <w:r>
        <w:t>twelve</w:t>
      </w:r>
      <w:r w:rsidRPr="00C25AB2">
        <w:t xml:space="preserve"> months from the issue arising</w:t>
      </w:r>
      <w:r>
        <w:t>.</w:t>
      </w:r>
    </w:p>
    <w:p w14:paraId="52FE6EE5" w14:textId="77777777" w:rsidR="00AE0FCE" w:rsidRPr="00C25AB2" w:rsidRDefault="00AE0FCE" w:rsidP="00AE0FCE">
      <w:pPr>
        <w:pStyle w:val="ListBullet"/>
      </w:pPr>
      <w:r w:rsidRPr="00C25AB2">
        <w:t xml:space="preserve">Complaints and compensation requests that have already been considered. </w:t>
      </w:r>
    </w:p>
    <w:p w14:paraId="0D4B1011" w14:textId="77777777" w:rsidR="00AE0FCE" w:rsidRDefault="00AE0FCE" w:rsidP="00AE0FCE">
      <w:r>
        <w:t>The Council will not compensate for matters relating to services or repairs in communal areas, except where the issue is covered elsewhere in this policy such as the breakdown of a communal boiler.</w:t>
      </w:r>
    </w:p>
    <w:p w14:paraId="13B41067" w14:textId="77777777" w:rsidR="00AE0FCE" w:rsidRDefault="00AE0FCE" w:rsidP="00AE0FCE">
      <w:r w:rsidRPr="00C25AB2">
        <w:t>Cases will be considered on their individual merits, and this policy encourages the need for discretion and common sense to be applied. Where individual circumstances apply, we may deal with a compensation request different</w:t>
      </w:r>
      <w:r>
        <w:t>ly</w:t>
      </w:r>
      <w:r w:rsidRPr="00C25AB2">
        <w:t xml:space="preserve">. Any discretion will be applied fairly and appropriately. </w:t>
      </w:r>
    </w:p>
    <w:p w14:paraId="07AD0459" w14:textId="3D8174CE" w:rsidR="00493FB6" w:rsidRPr="00AB62D5" w:rsidRDefault="008F2A6A" w:rsidP="00493FB6">
      <w:pPr>
        <w:pStyle w:val="Heading1"/>
      </w:pPr>
      <w:bookmarkStart w:id="20" w:name="_Toc214617369"/>
      <w:bookmarkEnd w:id="19"/>
      <w:r>
        <w:t>Legislation</w:t>
      </w:r>
      <w:bookmarkEnd w:id="20"/>
      <w:r w:rsidR="006D25DC">
        <w:t>, Guidance and Regulatory Standards</w:t>
      </w:r>
    </w:p>
    <w:p w14:paraId="196863D7" w14:textId="5B26F3CF" w:rsidR="009542C4" w:rsidRDefault="00AB62D5" w:rsidP="00493FB6">
      <w:pPr>
        <w:pStyle w:val="Heading2"/>
      </w:pPr>
      <w:bookmarkStart w:id="21" w:name="_Toc214617370"/>
      <w:r>
        <w:t>Legislation</w:t>
      </w:r>
    </w:p>
    <w:p w14:paraId="3FCA8F77" w14:textId="2A5FFDCA" w:rsidR="009542C4" w:rsidRPr="006A4976" w:rsidRDefault="006A4976" w:rsidP="009542C4">
      <w:r>
        <w:t>L</w:t>
      </w:r>
      <w:r w:rsidRPr="00952E08">
        <w:t>egislation applicable to this policy is</w:t>
      </w:r>
      <w:r>
        <w:t xml:space="preserve"> listed on page 2.</w:t>
      </w:r>
    </w:p>
    <w:p w14:paraId="6DDB405D" w14:textId="78F2E5D7" w:rsidR="00493FB6" w:rsidRDefault="008F2A6A" w:rsidP="00493FB6">
      <w:pPr>
        <w:pStyle w:val="Heading2"/>
      </w:pPr>
      <w:r>
        <w:t>Regulatory Stan</w:t>
      </w:r>
      <w:r w:rsidR="00493FB6">
        <w:t>dards</w:t>
      </w:r>
      <w:bookmarkEnd w:id="21"/>
    </w:p>
    <w:p w14:paraId="6306ABD0" w14:textId="5F9F2413" w:rsidR="007729F9" w:rsidRDefault="007729F9" w:rsidP="007729F9">
      <w:r w:rsidRPr="00952E08">
        <w:t>We must ensure we comply with the Regulator of Social Housing’s regulatory framework and consumer standards for social housing in England</w:t>
      </w:r>
      <w:bookmarkStart w:id="22" w:name="_Hlk106797192"/>
      <w:r>
        <w:t xml:space="preserve">. </w:t>
      </w:r>
      <w:r w:rsidRPr="00952E08">
        <w:t xml:space="preserve">The Social Housing (Regulation) Act 2023 </w:t>
      </w:r>
      <w:r>
        <w:t>places a duty on the Housing Ombudsman to monitor compliance with the statutory Complaint Handling Code. The</w:t>
      </w:r>
      <w:r w:rsidRPr="00E52533">
        <w:t xml:space="preserve"> complaint handling code expects social housing landlords to have a policy in place for considering compensation</w:t>
      </w:r>
      <w:r>
        <w:t xml:space="preserve"> and </w:t>
      </w:r>
      <w:r w:rsidRPr="00E52533">
        <w:t>emphasises the importance o</w:t>
      </w:r>
      <w:r>
        <w:t>f</w:t>
      </w:r>
      <w:r w:rsidRPr="00E52533">
        <w:t xml:space="preserve"> having a clear framework for addressing complaints which includes appropriate remedies, such as compensation when service failures occur.</w:t>
      </w:r>
    </w:p>
    <w:p w14:paraId="261A6DD6" w14:textId="459FA98E" w:rsidR="00B605BF" w:rsidRDefault="008662C5" w:rsidP="00B605BF">
      <w:pPr>
        <w:pStyle w:val="Heading1"/>
        <w:rPr>
          <w:lang w:val="en-US"/>
        </w:rPr>
      </w:pPr>
      <w:bookmarkStart w:id="23" w:name="_Toc214617371"/>
      <w:bookmarkEnd w:id="22"/>
      <w:r>
        <w:rPr>
          <w:lang w:val="en-US"/>
        </w:rPr>
        <w:lastRenderedPageBreak/>
        <w:t>Monitoring</w:t>
      </w:r>
      <w:bookmarkEnd w:id="23"/>
    </w:p>
    <w:p w14:paraId="55764C52" w14:textId="6D548223" w:rsidR="00407DC8" w:rsidRDefault="00407DC8" w:rsidP="00407DC8">
      <w:r w:rsidRPr="00596410">
        <w:t xml:space="preserve">We will review this policy at least every </w:t>
      </w:r>
      <w:r>
        <w:t>three</w:t>
      </w:r>
      <w:r w:rsidRPr="00596410">
        <w:t xml:space="preserve"> years to make sure it remains relevant and accurate unles</w:t>
      </w:r>
      <w:r>
        <w:t>s legislative/regulatory changes require otherwise. Or if w</w:t>
      </w:r>
      <w:r w:rsidRPr="00596410">
        <w:t xml:space="preserve">e identify any </w:t>
      </w:r>
      <w:r>
        <w:t>operational issues</w:t>
      </w:r>
      <w:r w:rsidRPr="00596410">
        <w:t xml:space="preserve"> </w:t>
      </w:r>
      <w:r>
        <w:t>with the</w:t>
      </w:r>
      <w:r w:rsidRPr="00596410">
        <w:t xml:space="preserve"> procedure because of r</w:t>
      </w:r>
      <w:r>
        <w:t>esident</w:t>
      </w:r>
      <w:r w:rsidRPr="00596410">
        <w:t xml:space="preserve"> and stakeholder feedback, complaints or findings from any independent organisations. </w:t>
      </w:r>
    </w:p>
    <w:p w14:paraId="365AC83F" w14:textId="77777777" w:rsidR="00407DC8" w:rsidRPr="00EB459C" w:rsidRDefault="00407DC8" w:rsidP="00407DC8">
      <w:r w:rsidRPr="00EB459C">
        <w:t>Reviews of compensation paid will be conducted annually to ensure that this policy is being adhered to, and that we are actively working to learn from cases where compensation has been paid to reduce such situations occurring again. </w:t>
      </w:r>
    </w:p>
    <w:p w14:paraId="53C0E649" w14:textId="77777777" w:rsidR="00407DC8" w:rsidRPr="00EB459C" w:rsidRDefault="00407DC8" w:rsidP="00407DC8">
      <w:r w:rsidRPr="00EB459C">
        <w:t xml:space="preserve">Service </w:t>
      </w:r>
      <w:r>
        <w:t>a</w:t>
      </w:r>
      <w:r w:rsidRPr="00EB459C">
        <w:t xml:space="preserve">reas are responsible for managing their </w:t>
      </w:r>
      <w:r>
        <w:t>c</w:t>
      </w:r>
      <w:r w:rsidRPr="00EB459C">
        <w:t>ompensation payments within local budgets. </w:t>
      </w:r>
    </w:p>
    <w:p w14:paraId="2A4F70B6" w14:textId="77777777" w:rsidR="00407DC8" w:rsidRPr="00EB459C" w:rsidRDefault="00407DC8" w:rsidP="00407DC8">
      <w:r w:rsidRPr="00EB459C">
        <w:t>Claims for any compensation amounts more than £1</w:t>
      </w:r>
      <w:r>
        <w:t>,</w:t>
      </w:r>
      <w:r w:rsidRPr="00EB459C">
        <w:t>000 will be reported to</w:t>
      </w:r>
      <w:r>
        <w:t xml:space="preserve"> the relevant</w:t>
      </w:r>
      <w:r w:rsidRPr="00EB459C">
        <w:t xml:space="preserve"> </w:t>
      </w:r>
      <w:r>
        <w:t>c</w:t>
      </w:r>
      <w:r w:rsidRPr="00EB459C">
        <w:t>ommittee. </w:t>
      </w:r>
    </w:p>
    <w:p w14:paraId="5960E445" w14:textId="2DAEA61A" w:rsidR="007729F9" w:rsidRPr="00407DC8" w:rsidRDefault="00407DC8" w:rsidP="007729F9">
      <w:r w:rsidRPr="00EB459C">
        <w:t>A qua</w:t>
      </w:r>
      <w:r>
        <w:t>r</w:t>
      </w:r>
      <w:r w:rsidRPr="00EB459C">
        <w:t xml:space="preserve">terly report will be provided to </w:t>
      </w:r>
      <w:r>
        <w:t>senior management</w:t>
      </w:r>
      <w:r w:rsidRPr="00EB459C">
        <w:t xml:space="preserve"> detailing the number of payments, reasons and levels of compensation paid. The amount of compensation paid by different departments will</w:t>
      </w:r>
      <w:r>
        <w:t xml:space="preserve"> also</w:t>
      </w:r>
      <w:r w:rsidRPr="00EB459C">
        <w:t xml:space="preserve"> be monitored</w:t>
      </w:r>
      <w:r>
        <w:t>.</w:t>
      </w:r>
    </w:p>
    <w:p w14:paraId="1E0AE574" w14:textId="2EA35714" w:rsidR="00B605BF" w:rsidRDefault="008F2A6A" w:rsidP="009B1A3D">
      <w:pPr>
        <w:pStyle w:val="Heading2"/>
      </w:pPr>
      <w:bookmarkStart w:id="24" w:name="_Toc214617372"/>
      <w:r>
        <w:t>Training</w:t>
      </w:r>
      <w:bookmarkEnd w:id="24"/>
    </w:p>
    <w:p w14:paraId="519A75CD" w14:textId="37FAE4A7" w:rsidR="007604E4" w:rsidRDefault="007604E4" w:rsidP="007604E4">
      <w:r w:rsidRPr="008C3B91">
        <w:t>We will carry out induction and refresher training for all staff to make sure they are aware of this guidance.</w:t>
      </w:r>
      <w:r>
        <w:t xml:space="preserve"> </w:t>
      </w:r>
      <w:r w:rsidRPr="008C3B91">
        <w:t>All managers and team leaders will receive specific training to provide the skills and knowledge to comply with the policy. </w:t>
      </w:r>
    </w:p>
    <w:p w14:paraId="6E367884" w14:textId="0BD39938" w:rsidR="009B1A3D" w:rsidRDefault="008662C5" w:rsidP="009B1A3D">
      <w:pPr>
        <w:pStyle w:val="Heading1"/>
        <w:rPr>
          <w:lang w:val="en-US"/>
        </w:rPr>
      </w:pPr>
      <w:bookmarkStart w:id="25" w:name="_Toc214617373"/>
      <w:r>
        <w:rPr>
          <w:lang w:val="en-US"/>
        </w:rPr>
        <w:t>Equality and Diversity</w:t>
      </w:r>
      <w:bookmarkEnd w:id="25"/>
    </w:p>
    <w:p w14:paraId="6434140B" w14:textId="22DAC9AE" w:rsidR="00AC2EDF" w:rsidRPr="0076241A" w:rsidRDefault="00AC2EDF" w:rsidP="00AC2EDF">
      <w:r w:rsidRPr="0076241A">
        <w:t>Equality and diversity are of fundamental importance to services provided regardless of a person’s protected characteristics under the Equality Act 2010</w:t>
      </w:r>
      <w:r>
        <w:t>.</w:t>
      </w:r>
      <w:r w:rsidRPr="0076241A">
        <w:t>  </w:t>
      </w:r>
    </w:p>
    <w:p w14:paraId="3CF1E661" w14:textId="77777777" w:rsidR="00AC2EDF" w:rsidRDefault="00AC2EDF" w:rsidP="00AC2EDF">
      <w:r w:rsidRPr="0076241A">
        <w:t>T</w:t>
      </w:r>
      <w:r>
        <w:t>he Council</w:t>
      </w:r>
      <w:r w:rsidRPr="0076241A">
        <w:t xml:space="preserve"> treats everyone it houses, serves, and employs, fairly</w:t>
      </w:r>
      <w:r>
        <w:t xml:space="preserve"> and with respect</w:t>
      </w:r>
      <w:r w:rsidRPr="0076241A">
        <w:t>, and encourages others to do the same.</w:t>
      </w:r>
      <w:r>
        <w:t xml:space="preserve"> </w:t>
      </w:r>
    </w:p>
    <w:p w14:paraId="271FDECC" w14:textId="77777777" w:rsidR="00AC2EDF" w:rsidRPr="0076241A" w:rsidRDefault="00AC2EDF" w:rsidP="00AC2EDF">
      <w:r>
        <w:t xml:space="preserve">We recognise our duty to advance equality of opportunity and prevent discrimination or victimisation. </w:t>
      </w:r>
      <w:r w:rsidRPr="0076241A">
        <w:t xml:space="preserve">In meeting the aims of this policy, </w:t>
      </w:r>
      <w:r>
        <w:t>the Council</w:t>
      </w:r>
      <w:r w:rsidRPr="0076241A">
        <w:t xml:space="preserve"> will provide information that is clear, accessible, and in an appropriate format (such as translated into another language, or in large print).  </w:t>
      </w:r>
    </w:p>
    <w:p w14:paraId="0CB2FD7F" w14:textId="77777777" w:rsidR="00AC2EDF" w:rsidRPr="0076241A" w:rsidRDefault="00AC2EDF" w:rsidP="00AC2EDF">
      <w:r w:rsidRPr="0076241A">
        <w:t xml:space="preserve">Where appropriate, </w:t>
      </w:r>
      <w:r>
        <w:t>Council</w:t>
      </w:r>
      <w:r w:rsidRPr="0076241A">
        <w:t xml:space="preserve"> </w:t>
      </w:r>
      <w:r>
        <w:t>o</w:t>
      </w:r>
      <w:r w:rsidRPr="0076241A">
        <w:t>fficers will assist residents in making a claim for compensation</w:t>
      </w:r>
      <w:r>
        <w:t xml:space="preserve"> </w:t>
      </w:r>
      <w:r w:rsidRPr="0076241A">
        <w:t>by, for example, helping to complete paperwork. This policy provides assurance that compensation is offered in a fair and consistent way.</w:t>
      </w:r>
    </w:p>
    <w:p w14:paraId="1A86562D" w14:textId="18EF1B07" w:rsidR="009B1A3D" w:rsidRDefault="008662C5" w:rsidP="009B1A3D">
      <w:pPr>
        <w:pStyle w:val="Heading1"/>
        <w:rPr>
          <w:lang w:val="en-US"/>
        </w:rPr>
      </w:pPr>
      <w:bookmarkStart w:id="26" w:name="_Toc214617374"/>
      <w:r>
        <w:rPr>
          <w:lang w:val="en-US"/>
        </w:rPr>
        <w:t>Communication</w:t>
      </w:r>
      <w:bookmarkEnd w:id="26"/>
    </w:p>
    <w:p w14:paraId="38B90A2E" w14:textId="739FDC9B" w:rsidR="008662C5" w:rsidRPr="00CF4664" w:rsidRDefault="00CF4664" w:rsidP="008662C5">
      <w:pPr>
        <w:rPr>
          <w:lang w:eastAsia="en-GB"/>
        </w:rPr>
      </w:pPr>
      <w:r w:rsidRPr="00C21970">
        <w:rPr>
          <w:lang w:eastAsia="en-GB"/>
        </w:rPr>
        <w:t>We will provide information on this policy using various methods such as on our website, leaflets, plain English summary guides, and via resident newsletters</w:t>
      </w:r>
      <w:r>
        <w:t>.</w:t>
      </w:r>
    </w:p>
    <w:p w14:paraId="000B170B" w14:textId="135D5A99" w:rsidR="009B1A3D" w:rsidRDefault="008662C5" w:rsidP="009B1A3D">
      <w:pPr>
        <w:pStyle w:val="Heading1"/>
        <w:rPr>
          <w:lang w:val="en-US"/>
        </w:rPr>
      </w:pPr>
      <w:bookmarkStart w:id="27" w:name="_Toc214617375"/>
      <w:r>
        <w:rPr>
          <w:lang w:val="en-US"/>
        </w:rPr>
        <w:t>Data Protection</w:t>
      </w:r>
      <w:bookmarkEnd w:id="27"/>
    </w:p>
    <w:p w14:paraId="29B48912" w14:textId="4D33EFCB" w:rsidR="00A410C3" w:rsidRDefault="00A410C3" w:rsidP="00A410C3">
      <w:r w:rsidRPr="008B64DE">
        <w:t xml:space="preserve">Where information needs to be shared with our staff and </w:t>
      </w:r>
      <w:r>
        <w:t>contractor</w:t>
      </w:r>
      <w:r w:rsidRPr="008B64DE">
        <w:t>s to resolve a complaint or to deal with a compensation award, this will be in line with data protection requirements, including:</w:t>
      </w:r>
    </w:p>
    <w:p w14:paraId="0DFB44F2" w14:textId="77777777" w:rsidR="00A410C3" w:rsidRDefault="00A410C3" w:rsidP="00A410C3">
      <w:pPr>
        <w:pStyle w:val="ListBullet"/>
      </w:pPr>
      <w:r>
        <w:t>Processing data</w:t>
      </w:r>
      <w:r w:rsidRPr="008B64DE">
        <w:t xml:space="preserve"> lawfully, fairly and in a transparent manner.</w:t>
      </w:r>
    </w:p>
    <w:p w14:paraId="7B909D60" w14:textId="77777777" w:rsidR="00A410C3" w:rsidRDefault="00A410C3" w:rsidP="00A410C3">
      <w:pPr>
        <w:pStyle w:val="ListBullet"/>
      </w:pPr>
      <w:r>
        <w:lastRenderedPageBreak/>
        <w:t>Collecting d</w:t>
      </w:r>
      <w:r w:rsidRPr="008B64DE">
        <w:t>ata</w:t>
      </w:r>
      <w:r>
        <w:t xml:space="preserve"> </w:t>
      </w:r>
      <w:r w:rsidRPr="008B64DE">
        <w:t>for a specific and legitimate purpose and not us</w:t>
      </w:r>
      <w:r>
        <w:t>ing this information</w:t>
      </w:r>
      <w:r w:rsidRPr="008B64DE">
        <w:t xml:space="preserve"> for anything other than </w:t>
      </w:r>
      <w:r>
        <w:t>its</w:t>
      </w:r>
      <w:r w:rsidRPr="008B64DE">
        <w:t xml:space="preserve"> stated purpose.</w:t>
      </w:r>
    </w:p>
    <w:p w14:paraId="75F2652E" w14:textId="77777777" w:rsidR="00A410C3" w:rsidRDefault="00A410C3" w:rsidP="00A410C3">
      <w:pPr>
        <w:pStyle w:val="ListBullet"/>
      </w:pPr>
      <w:r>
        <w:t>Ensuring d</w:t>
      </w:r>
      <w:r w:rsidRPr="008B64DE">
        <w:t xml:space="preserve">ata </w:t>
      </w:r>
      <w:r>
        <w:t xml:space="preserve">is relevant and limited </w:t>
      </w:r>
      <w:r w:rsidRPr="008B64DE">
        <w:t>to whatever the requirements are for which the data is processed.</w:t>
      </w:r>
    </w:p>
    <w:p w14:paraId="6F2098E8" w14:textId="77777777" w:rsidR="00A410C3" w:rsidRDefault="00A410C3" w:rsidP="00A410C3">
      <w:pPr>
        <w:pStyle w:val="ListBullet"/>
        <w:numPr>
          <w:ilvl w:val="0"/>
          <w:numId w:val="0"/>
        </w:numPr>
      </w:pPr>
    </w:p>
    <w:p w14:paraId="5096FE95" w14:textId="77777777" w:rsidR="00A410C3" w:rsidRDefault="00A410C3" w:rsidP="00A410C3">
      <w:pPr>
        <w:pStyle w:val="ListBullet"/>
        <w:numPr>
          <w:ilvl w:val="0"/>
          <w:numId w:val="0"/>
        </w:numPr>
      </w:pPr>
      <w:r w:rsidRPr="008B64DE">
        <w:t>Further information on the Council</w:t>
      </w:r>
      <w:r>
        <w:t>'</w:t>
      </w:r>
      <w:r w:rsidRPr="008B64DE">
        <w:t>s responsibilities for data protection can be found here:</w:t>
      </w:r>
      <w:r>
        <w:t xml:space="preserve"> </w:t>
      </w:r>
      <w:hyperlink r:id="rId14" w:history="1">
        <w:r w:rsidRPr="00E06DC1">
          <w:rPr>
            <w:rStyle w:val="Hyperlink"/>
          </w:rPr>
          <w:t>Data protection &amp; freedom of information</w:t>
        </w:r>
      </w:hyperlink>
    </w:p>
    <w:p w14:paraId="70FC45FC" w14:textId="40BDDA3F" w:rsidR="009B1A3D" w:rsidRDefault="008662C5" w:rsidP="009B1A3D">
      <w:pPr>
        <w:pStyle w:val="Heading1"/>
        <w:rPr>
          <w:lang w:val="en-US"/>
        </w:rPr>
      </w:pPr>
      <w:bookmarkStart w:id="28" w:name="_Toc214617376"/>
      <w:r>
        <w:rPr>
          <w:lang w:val="en-US"/>
        </w:rPr>
        <w:t>Financial Measures</w:t>
      </w:r>
      <w:bookmarkEnd w:id="28"/>
    </w:p>
    <w:p w14:paraId="57E714DD" w14:textId="3E070F76" w:rsidR="0039544B" w:rsidRDefault="0039544B" w:rsidP="0039544B">
      <w:pPr>
        <w:pStyle w:val="ListBullet"/>
        <w:numPr>
          <w:ilvl w:val="0"/>
          <w:numId w:val="0"/>
        </w:numPr>
      </w:pPr>
      <w:r w:rsidRPr="00223C68">
        <w:t xml:space="preserve">The Council </w:t>
      </w:r>
      <w:r>
        <w:t>is</w:t>
      </w:r>
      <w:r w:rsidRPr="00223C68">
        <w:t xml:space="preserve"> required to comply with financial legislation and regulations around anti</w:t>
      </w:r>
      <w:r>
        <w:t>-</w:t>
      </w:r>
      <w:r w:rsidRPr="00223C68">
        <w:t>fraud and money laundering when processing financial transactions.</w:t>
      </w:r>
      <w:r>
        <w:t xml:space="preserve"> Any refund of</w:t>
      </w:r>
      <w:r w:rsidRPr="00223C68">
        <w:t xml:space="preserve"> rent </w:t>
      </w:r>
      <w:r>
        <w:t>or</w:t>
      </w:r>
      <w:r w:rsidRPr="00223C68">
        <w:t xml:space="preserve"> service charges will be made direct to that account.</w:t>
      </w:r>
    </w:p>
    <w:p w14:paraId="57184171" w14:textId="77777777" w:rsidR="0039544B" w:rsidRDefault="0039544B" w:rsidP="0039544B">
      <w:pPr>
        <w:pStyle w:val="ListBullet"/>
        <w:numPr>
          <w:ilvl w:val="0"/>
          <w:numId w:val="0"/>
        </w:numPr>
      </w:pPr>
    </w:p>
    <w:p w14:paraId="6622FE89" w14:textId="21D74DE6" w:rsidR="008662C5" w:rsidRPr="0039544B" w:rsidRDefault="0039544B" w:rsidP="0039544B">
      <w:pPr>
        <w:pStyle w:val="ListBullet"/>
        <w:numPr>
          <w:ilvl w:val="0"/>
          <w:numId w:val="0"/>
        </w:numPr>
      </w:pPr>
      <w:r w:rsidRPr="00223C68">
        <w:t>When making payments directly to residents we will pay into the tenant or lessee’s account only, and require supporting documentation to verify the beneficiary details, such as a recent bank statement</w:t>
      </w:r>
      <w:r>
        <w:t xml:space="preserve"> (dated within 3 months)</w:t>
      </w:r>
      <w:r w:rsidRPr="00223C68">
        <w:t>, confirming the beneficiary</w:t>
      </w:r>
      <w:r>
        <w:t>'s</w:t>
      </w:r>
      <w:r w:rsidRPr="00223C68">
        <w:t xml:space="preserve"> address and bank details (sort code and account n</w:t>
      </w:r>
      <w:r>
        <w:t>umber</w:t>
      </w:r>
      <w:r w:rsidRPr="00223C68">
        <w:t>)</w:t>
      </w:r>
      <w:r>
        <w:t>.</w:t>
      </w:r>
    </w:p>
    <w:p w14:paraId="6C0AA113" w14:textId="0A957BA1" w:rsidR="009B1A3D" w:rsidRDefault="008662C5" w:rsidP="009B1A3D">
      <w:pPr>
        <w:pStyle w:val="Heading1"/>
        <w:rPr>
          <w:lang w:val="en-US"/>
        </w:rPr>
      </w:pPr>
      <w:bookmarkStart w:id="29" w:name="_Toc214617377"/>
      <w:r>
        <w:rPr>
          <w:lang w:val="en-US"/>
        </w:rPr>
        <w:t>Appendix 1 – Right to Compensation for Improvements</w:t>
      </w:r>
      <w:bookmarkEnd w:id="29"/>
    </w:p>
    <w:p w14:paraId="46D6F8FF" w14:textId="3FA75426" w:rsidR="006E6694" w:rsidRPr="00CC30A9" w:rsidRDefault="006E6694" w:rsidP="006E6694">
      <w:r w:rsidRPr="00F9230A">
        <w:t>The Housing Act 1985 and the Secure Tenants of Local Authorities (Compensation for Improvement) Regulations 1994</w:t>
      </w:r>
      <w:r w:rsidR="007F2067">
        <w:t>.</w:t>
      </w:r>
    </w:p>
    <w:p w14:paraId="401B33F1" w14:textId="77777777" w:rsidR="006E6694" w:rsidRPr="009269C8" w:rsidRDefault="006E6694" w:rsidP="006E6694">
      <w:r w:rsidRPr="00110AA6">
        <w:t xml:space="preserve">Compensation for improvements of up to £3k will only be paid where the cost has been </w:t>
      </w:r>
      <w:r w:rsidRPr="009269C8">
        <w:t>borne by the resident and will not be paid if the work was grant funded. </w:t>
      </w:r>
    </w:p>
    <w:p w14:paraId="6EA46E34" w14:textId="77777777" w:rsidR="006E6694" w:rsidRPr="009269C8" w:rsidRDefault="006E6694" w:rsidP="006E6694">
      <w:r w:rsidRPr="009269C8">
        <w:t>The sum payable will be improvement costs (which must be considered reasonable and subject to three written estimates), less the value of any grants obtained under Part VIII of the Local Government and Housing Act 1989 or the Home Energy Efficiency Grants Regulations 1992</w:t>
      </w:r>
      <w:r>
        <w:t>,</w:t>
      </w:r>
      <w:r w:rsidRPr="009269C8">
        <w:t xml:space="preserve"> the notional life of the improvement.</w:t>
      </w:r>
    </w:p>
    <w:p w14:paraId="3524AFEF" w14:textId="77777777" w:rsidR="006E6694" w:rsidRPr="009269C8" w:rsidRDefault="006E6694" w:rsidP="006E6694">
      <w:r w:rsidRPr="009269C8">
        <w:t>Incomplete years will be rounded up to a complete year, starting on the date the improvement was completed and ending on the date the compensation is claimed.  </w:t>
      </w:r>
    </w:p>
    <w:p w14:paraId="5B7E4528" w14:textId="77777777" w:rsidR="006E6694" w:rsidRDefault="006E6694" w:rsidP="006E6694">
      <w:r>
        <w:t>The timescales below can be used to</w:t>
      </w:r>
      <w:r w:rsidRPr="009269C8">
        <w:t xml:space="preserve"> calculat</w:t>
      </w:r>
      <w:r>
        <w:t>e</w:t>
      </w:r>
      <w:r w:rsidRPr="009269C8">
        <w:t xml:space="preserve"> the compensation. For example, if a resident applies for compensation for a kitchen renewal and the kitchen is 5 years old,</w:t>
      </w:r>
      <w:r>
        <w:t xml:space="preserve"> the Council</w:t>
      </w:r>
      <w:r w:rsidRPr="009269C8">
        <w:t xml:space="preserve"> will pay 50% compensation of the cost (10% for each year).</w:t>
      </w:r>
    </w:p>
    <w:p w14:paraId="162FE780" w14:textId="77777777" w:rsidR="006E6694" w:rsidRPr="009269C8" w:rsidRDefault="006E6694" w:rsidP="006E6694"/>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8222"/>
      </w:tblGrid>
      <w:tr w:rsidR="006E6694" w:rsidRPr="00E2219B" w14:paraId="2E482D63" w14:textId="77777777" w:rsidTr="005B6519">
        <w:tc>
          <w:tcPr>
            <w:tcW w:w="1126" w:type="dxa"/>
            <w:tcBorders>
              <w:top w:val="single" w:sz="6" w:space="0" w:color="auto"/>
              <w:left w:val="single" w:sz="6" w:space="0" w:color="auto"/>
              <w:bottom w:val="single" w:sz="6" w:space="0" w:color="auto"/>
              <w:right w:val="single" w:sz="6" w:space="0" w:color="auto"/>
            </w:tcBorders>
            <w:vAlign w:val="center"/>
            <w:hideMark/>
          </w:tcPr>
          <w:p w14:paraId="46D0D66B" w14:textId="77777777" w:rsidR="006E6694" w:rsidRPr="002C175D" w:rsidRDefault="006E6694" w:rsidP="005B6519">
            <w:r w:rsidRPr="009269C8">
              <w:t>20 Years </w:t>
            </w:r>
          </w:p>
        </w:tc>
        <w:tc>
          <w:tcPr>
            <w:tcW w:w="8222" w:type="dxa"/>
            <w:tcBorders>
              <w:top w:val="single" w:sz="6" w:space="0" w:color="auto"/>
              <w:left w:val="single" w:sz="6" w:space="0" w:color="auto"/>
              <w:bottom w:val="single" w:sz="6" w:space="0" w:color="auto"/>
              <w:right w:val="single" w:sz="6" w:space="0" w:color="auto"/>
            </w:tcBorders>
            <w:hideMark/>
          </w:tcPr>
          <w:p w14:paraId="54BE9432" w14:textId="77777777" w:rsidR="006E6694" w:rsidRPr="002C175D" w:rsidRDefault="006E6694" w:rsidP="005B6519">
            <w:r w:rsidRPr="009269C8">
              <w:t>Loft Insulation</w:t>
            </w:r>
            <w:r w:rsidRPr="009269C8">
              <w:br/>
              <w:t>Cavity wall insulation</w:t>
            </w:r>
            <w:r w:rsidRPr="009269C8">
              <w:br/>
              <w:t xml:space="preserve">Double </w:t>
            </w:r>
            <w:r w:rsidRPr="002C175D">
              <w:t>glazing or other external window replacement of secondary glazing </w:t>
            </w:r>
          </w:p>
        </w:tc>
      </w:tr>
      <w:tr w:rsidR="006E6694" w:rsidRPr="00E2219B" w14:paraId="31723EAA" w14:textId="77777777" w:rsidTr="005B6519">
        <w:tc>
          <w:tcPr>
            <w:tcW w:w="1126" w:type="dxa"/>
            <w:tcBorders>
              <w:top w:val="single" w:sz="6" w:space="0" w:color="auto"/>
              <w:left w:val="single" w:sz="6" w:space="0" w:color="auto"/>
              <w:bottom w:val="single" w:sz="6" w:space="0" w:color="auto"/>
              <w:right w:val="single" w:sz="6" w:space="0" w:color="auto"/>
            </w:tcBorders>
            <w:vAlign w:val="center"/>
            <w:hideMark/>
          </w:tcPr>
          <w:p w14:paraId="22020609" w14:textId="77777777" w:rsidR="006E6694" w:rsidRPr="002C175D" w:rsidRDefault="006E6694" w:rsidP="005B6519">
            <w:r w:rsidRPr="009269C8">
              <w:t>15 Years </w:t>
            </w:r>
          </w:p>
        </w:tc>
        <w:tc>
          <w:tcPr>
            <w:tcW w:w="8222" w:type="dxa"/>
            <w:tcBorders>
              <w:top w:val="single" w:sz="6" w:space="0" w:color="auto"/>
              <w:left w:val="single" w:sz="6" w:space="0" w:color="auto"/>
              <w:bottom w:val="single" w:sz="6" w:space="0" w:color="auto"/>
              <w:right w:val="single" w:sz="6" w:space="0" w:color="auto"/>
            </w:tcBorders>
            <w:hideMark/>
          </w:tcPr>
          <w:p w14:paraId="42AE3D4B" w14:textId="77777777" w:rsidR="006E6694" w:rsidRPr="002C175D" w:rsidRDefault="006E6694" w:rsidP="005B6519">
            <w:r w:rsidRPr="009269C8">
              <w:t>Rewiring</w:t>
            </w:r>
            <w:r w:rsidRPr="009269C8">
              <w:br/>
              <w:t>Provision of power and lighting or other electrical fitting (including smoke detectors) </w:t>
            </w:r>
          </w:p>
        </w:tc>
      </w:tr>
      <w:tr w:rsidR="006E6694" w:rsidRPr="00E2219B" w14:paraId="2AF1B82E" w14:textId="77777777" w:rsidTr="005B6519">
        <w:tc>
          <w:tcPr>
            <w:tcW w:w="1126" w:type="dxa"/>
            <w:tcBorders>
              <w:top w:val="single" w:sz="6" w:space="0" w:color="auto"/>
              <w:left w:val="single" w:sz="6" w:space="0" w:color="auto"/>
              <w:bottom w:val="single" w:sz="6" w:space="0" w:color="auto"/>
              <w:right w:val="single" w:sz="6" w:space="0" w:color="auto"/>
            </w:tcBorders>
            <w:vAlign w:val="center"/>
            <w:hideMark/>
          </w:tcPr>
          <w:p w14:paraId="06DAC020" w14:textId="77777777" w:rsidR="006E6694" w:rsidRPr="002C175D" w:rsidRDefault="006E6694" w:rsidP="005B6519">
            <w:r w:rsidRPr="009269C8">
              <w:t>12 Years </w:t>
            </w:r>
          </w:p>
        </w:tc>
        <w:tc>
          <w:tcPr>
            <w:tcW w:w="8222" w:type="dxa"/>
            <w:tcBorders>
              <w:top w:val="single" w:sz="6" w:space="0" w:color="auto"/>
              <w:left w:val="single" w:sz="6" w:space="0" w:color="auto"/>
              <w:bottom w:val="single" w:sz="6" w:space="0" w:color="auto"/>
              <w:right w:val="single" w:sz="6" w:space="0" w:color="auto"/>
            </w:tcBorders>
            <w:hideMark/>
          </w:tcPr>
          <w:p w14:paraId="1109403A" w14:textId="77777777" w:rsidR="006E6694" w:rsidRPr="002C175D" w:rsidRDefault="006E6694" w:rsidP="005B6519">
            <w:r w:rsidRPr="009269C8">
              <w:t>Bath or shower base</w:t>
            </w:r>
            <w:r w:rsidRPr="009269C8">
              <w:br/>
              <w:t>Wash Hand Basin</w:t>
            </w:r>
            <w:r w:rsidRPr="009269C8">
              <w:br/>
              <w:t>Toilet</w:t>
            </w:r>
            <w:r w:rsidRPr="009269C8">
              <w:br/>
              <w:t>Space or water heating </w:t>
            </w:r>
          </w:p>
        </w:tc>
      </w:tr>
      <w:tr w:rsidR="006E6694" w:rsidRPr="00E2219B" w14:paraId="04F0E777" w14:textId="77777777" w:rsidTr="005B6519">
        <w:tc>
          <w:tcPr>
            <w:tcW w:w="1126" w:type="dxa"/>
            <w:tcBorders>
              <w:top w:val="single" w:sz="6" w:space="0" w:color="auto"/>
              <w:left w:val="single" w:sz="6" w:space="0" w:color="auto"/>
              <w:bottom w:val="single" w:sz="6" w:space="0" w:color="auto"/>
              <w:right w:val="single" w:sz="6" w:space="0" w:color="auto"/>
            </w:tcBorders>
            <w:vAlign w:val="center"/>
            <w:hideMark/>
          </w:tcPr>
          <w:p w14:paraId="16337EA7" w14:textId="77777777" w:rsidR="006E6694" w:rsidRPr="002C175D" w:rsidRDefault="006E6694" w:rsidP="005B6519">
            <w:r w:rsidRPr="009269C8">
              <w:lastRenderedPageBreak/>
              <w:t>10 Years </w:t>
            </w:r>
          </w:p>
        </w:tc>
        <w:tc>
          <w:tcPr>
            <w:tcW w:w="8222" w:type="dxa"/>
            <w:tcBorders>
              <w:top w:val="single" w:sz="6" w:space="0" w:color="auto"/>
              <w:left w:val="single" w:sz="6" w:space="0" w:color="auto"/>
              <w:bottom w:val="single" w:sz="6" w:space="0" w:color="auto"/>
              <w:right w:val="single" w:sz="6" w:space="0" w:color="auto"/>
            </w:tcBorders>
            <w:hideMark/>
          </w:tcPr>
          <w:p w14:paraId="508E7A26" w14:textId="77777777" w:rsidR="006E6694" w:rsidRPr="002C175D" w:rsidRDefault="006E6694" w:rsidP="005B6519">
            <w:r w:rsidRPr="009269C8">
              <w:t>Kitchen Sink</w:t>
            </w:r>
            <w:r w:rsidRPr="009269C8">
              <w:br/>
              <w:t>Cupboard Storage in Bathroom or Kitchen</w:t>
            </w:r>
            <w:r w:rsidRPr="009269C8">
              <w:br/>
              <w:t>Work surfaces for food preparation</w:t>
            </w:r>
            <w:r w:rsidRPr="009269C8">
              <w:br/>
              <w:t>Insulation of pipes, water tank or cylinder</w:t>
            </w:r>
            <w:r w:rsidRPr="009269C8">
              <w:br/>
              <w:t>Any object which improves the security of the dwelling, excluding burglar alarms </w:t>
            </w:r>
          </w:p>
        </w:tc>
      </w:tr>
      <w:tr w:rsidR="006E6694" w:rsidRPr="00E2219B" w14:paraId="37168263" w14:textId="77777777" w:rsidTr="005B6519">
        <w:tc>
          <w:tcPr>
            <w:tcW w:w="1126" w:type="dxa"/>
            <w:tcBorders>
              <w:top w:val="single" w:sz="6" w:space="0" w:color="auto"/>
              <w:left w:val="single" w:sz="6" w:space="0" w:color="auto"/>
              <w:bottom w:val="single" w:sz="6" w:space="0" w:color="auto"/>
              <w:right w:val="single" w:sz="6" w:space="0" w:color="auto"/>
            </w:tcBorders>
            <w:vAlign w:val="center"/>
            <w:hideMark/>
          </w:tcPr>
          <w:p w14:paraId="28EC63AC" w14:textId="77777777" w:rsidR="006E6694" w:rsidRPr="002C175D" w:rsidRDefault="006E6694" w:rsidP="005B6519">
            <w:r w:rsidRPr="009269C8">
              <w:t>8 Years </w:t>
            </w:r>
          </w:p>
        </w:tc>
        <w:tc>
          <w:tcPr>
            <w:tcW w:w="8222" w:type="dxa"/>
            <w:tcBorders>
              <w:top w:val="single" w:sz="6" w:space="0" w:color="auto"/>
              <w:left w:val="single" w:sz="6" w:space="0" w:color="auto"/>
              <w:bottom w:val="single" w:sz="6" w:space="0" w:color="auto"/>
              <w:right w:val="single" w:sz="6" w:space="0" w:color="auto"/>
            </w:tcBorders>
            <w:hideMark/>
          </w:tcPr>
          <w:p w14:paraId="0FB8941B" w14:textId="77777777" w:rsidR="006E6694" w:rsidRPr="002C175D" w:rsidRDefault="006E6694" w:rsidP="005B6519">
            <w:r w:rsidRPr="009269C8">
              <w:t>Draft proofing of external doors and windows</w:t>
            </w:r>
          </w:p>
        </w:tc>
      </w:tr>
      <w:tr w:rsidR="006E6694" w:rsidRPr="00E2219B" w14:paraId="79C611AA" w14:textId="77777777" w:rsidTr="005B6519">
        <w:tc>
          <w:tcPr>
            <w:tcW w:w="1126" w:type="dxa"/>
            <w:tcBorders>
              <w:top w:val="single" w:sz="6" w:space="0" w:color="auto"/>
              <w:left w:val="single" w:sz="6" w:space="0" w:color="auto"/>
              <w:bottom w:val="single" w:sz="6" w:space="0" w:color="auto"/>
              <w:right w:val="single" w:sz="6" w:space="0" w:color="auto"/>
            </w:tcBorders>
            <w:vAlign w:val="center"/>
            <w:hideMark/>
          </w:tcPr>
          <w:p w14:paraId="7594DABE" w14:textId="77777777" w:rsidR="006E6694" w:rsidRPr="002C175D" w:rsidRDefault="006E6694" w:rsidP="005B6519">
            <w:r w:rsidRPr="009269C8">
              <w:t>7 Years </w:t>
            </w:r>
          </w:p>
        </w:tc>
        <w:tc>
          <w:tcPr>
            <w:tcW w:w="8222" w:type="dxa"/>
            <w:tcBorders>
              <w:top w:val="single" w:sz="6" w:space="0" w:color="auto"/>
              <w:left w:val="single" w:sz="6" w:space="0" w:color="auto"/>
              <w:bottom w:val="single" w:sz="6" w:space="0" w:color="auto"/>
              <w:right w:val="single" w:sz="6" w:space="0" w:color="auto"/>
            </w:tcBorders>
            <w:hideMark/>
          </w:tcPr>
          <w:p w14:paraId="6A988F80" w14:textId="77777777" w:rsidR="006E6694" w:rsidRPr="002C175D" w:rsidRDefault="006E6694" w:rsidP="005B6519">
            <w:r w:rsidRPr="009269C8">
              <w:t>Thermostatic radiator valves </w:t>
            </w:r>
          </w:p>
        </w:tc>
      </w:tr>
    </w:tbl>
    <w:p w14:paraId="3EA0A3BD" w14:textId="77777777" w:rsidR="006E6694" w:rsidRDefault="006E6694" w:rsidP="006E6694"/>
    <w:p w14:paraId="33B6629A" w14:textId="77777777" w:rsidR="006E6694" w:rsidRPr="009269C8" w:rsidRDefault="006E6694" w:rsidP="006E6694">
      <w:r w:rsidRPr="009269C8">
        <w:t>Alternatively, the following formula may be used</w:t>
      </w:r>
      <w:r>
        <w:t>:</w:t>
      </w:r>
    </w:p>
    <w:p w14:paraId="76F178B9" w14:textId="77777777" w:rsidR="006E6694" w:rsidRPr="009269C8" w:rsidRDefault="006E6694" w:rsidP="006E6694">
      <w:r w:rsidRPr="009269C8">
        <w:t>Age of item divided by lifespan of item multiplied by cost</w:t>
      </w:r>
      <w:r>
        <w:t>, f</w:t>
      </w:r>
      <w:r w:rsidRPr="009269C8">
        <w:t>or example</w:t>
      </w:r>
      <w:r>
        <w:t>.</w:t>
      </w:r>
      <w:r w:rsidRPr="009269C8">
        <w:t xml:space="preserve"> </w:t>
      </w:r>
      <w:r>
        <w:t>O</w:t>
      </w:r>
      <w:r w:rsidRPr="009269C8">
        <w:t>r a 3-year-old kitchen sink costing £250 – the calculation would be 3 divided by 10 multiplied by £250 = £75</w:t>
      </w:r>
      <w:r>
        <w:t>.</w:t>
      </w:r>
    </w:p>
    <w:p w14:paraId="5F89C9F8" w14:textId="28B135B0" w:rsidR="008662C5" w:rsidRPr="008662C5" w:rsidRDefault="008662C5" w:rsidP="008662C5">
      <w:pPr>
        <w:rPr>
          <w:lang w:val="en-US" w:eastAsia="en-GB"/>
        </w:rPr>
      </w:pPr>
    </w:p>
    <w:sectPr w:rsidR="008662C5" w:rsidRPr="008662C5" w:rsidSect="006462B8">
      <w:headerReference w:type="even" r:id="rId15"/>
      <w:headerReference w:type="default" r:id="rId16"/>
      <w:footerReference w:type="default" r:id="rId17"/>
      <w:headerReference w:type="first" r:id="rId18"/>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CA2D" w14:textId="77777777" w:rsidR="00CF2996" w:rsidRDefault="00CF2996" w:rsidP="00DC0AA1">
      <w:pPr>
        <w:spacing w:after="0"/>
      </w:pPr>
      <w:r>
        <w:separator/>
      </w:r>
    </w:p>
  </w:endnote>
  <w:endnote w:type="continuationSeparator" w:id="0">
    <w:p w14:paraId="5CD2481C" w14:textId="77777777" w:rsidR="00CF2996" w:rsidRDefault="00CF2996" w:rsidP="00DC0AA1">
      <w:pPr>
        <w:spacing w:after="0"/>
      </w:pPr>
      <w:r>
        <w:continuationSeparator/>
      </w:r>
    </w:p>
  </w:endnote>
  <w:endnote w:type="continuationNotice" w:id="1">
    <w:p w14:paraId="52B60CD4" w14:textId="77777777" w:rsidR="00CF2996" w:rsidRDefault="00CF29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6A4B5065" w:rsidR="00316ED1" w:rsidRPr="00931C93" w:rsidRDefault="00AD670A" w:rsidP="007C32E3">
    <w:pPr>
      <w:pStyle w:val="Footer"/>
    </w:pPr>
    <w:r>
      <w:t>Housing Complaints Compensation Policy 2025-28</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4F1B" w14:textId="77777777" w:rsidR="00CF2996" w:rsidRDefault="00CF2996" w:rsidP="00DC0AA1">
      <w:pPr>
        <w:spacing w:after="0"/>
      </w:pPr>
      <w:r>
        <w:separator/>
      </w:r>
    </w:p>
  </w:footnote>
  <w:footnote w:type="continuationSeparator" w:id="0">
    <w:p w14:paraId="0AD75076" w14:textId="77777777" w:rsidR="00CF2996" w:rsidRDefault="00CF2996" w:rsidP="00DC0AA1">
      <w:pPr>
        <w:spacing w:after="0"/>
      </w:pPr>
      <w:r>
        <w:continuationSeparator/>
      </w:r>
    </w:p>
  </w:footnote>
  <w:footnote w:type="continuationNotice" w:id="1">
    <w:p w14:paraId="23DE2856" w14:textId="77777777" w:rsidR="00CF2996" w:rsidRDefault="00CF29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850" w14:textId="77777777" w:rsidR="00316ED1" w:rsidRPr="00777D19" w:rsidRDefault="00316ED1" w:rsidP="00777D19"/>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65F98"/>
    <w:multiLevelType w:val="multilevel"/>
    <w:tmpl w:val="2826A87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12E10337"/>
    <w:multiLevelType w:val="hybridMultilevel"/>
    <w:tmpl w:val="AB08BC18"/>
    <w:lvl w:ilvl="0" w:tplc="E492710E">
      <w:start w:val="1"/>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B145A"/>
    <w:multiLevelType w:val="multilevel"/>
    <w:tmpl w:val="ADEE2140"/>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1E7B1707"/>
    <w:multiLevelType w:val="hybridMultilevel"/>
    <w:tmpl w:val="9F562568"/>
    <w:lvl w:ilvl="0" w:tplc="A88A2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21F43"/>
    <w:multiLevelType w:val="hybridMultilevel"/>
    <w:tmpl w:val="5F1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EF06F8"/>
    <w:multiLevelType w:val="hybridMultilevel"/>
    <w:tmpl w:val="DFB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A61D0"/>
    <w:multiLevelType w:val="multilevel"/>
    <w:tmpl w:val="83A6F32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BD056A"/>
    <w:multiLevelType w:val="hybridMultilevel"/>
    <w:tmpl w:val="A0F6A25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90813"/>
    <w:multiLevelType w:val="multilevel"/>
    <w:tmpl w:val="F2E00F1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64835DC"/>
    <w:multiLevelType w:val="hybridMultilevel"/>
    <w:tmpl w:val="E1284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77D02"/>
    <w:multiLevelType w:val="hybridMultilevel"/>
    <w:tmpl w:val="2B18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A16B4E"/>
    <w:multiLevelType w:val="hybridMultilevel"/>
    <w:tmpl w:val="DE04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085249"/>
    <w:multiLevelType w:val="hybridMultilevel"/>
    <w:tmpl w:val="FDDC8CD4"/>
    <w:lvl w:ilvl="0" w:tplc="EB1C45D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212D3"/>
    <w:multiLevelType w:val="hybridMultilevel"/>
    <w:tmpl w:val="C19AC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260EE"/>
    <w:multiLevelType w:val="multilevel"/>
    <w:tmpl w:val="973434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730E314C"/>
    <w:multiLevelType w:val="hybridMultilevel"/>
    <w:tmpl w:val="C302C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66EF8"/>
    <w:multiLevelType w:val="hybridMultilevel"/>
    <w:tmpl w:val="DD4C3218"/>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960777">
    <w:abstractNumId w:val="3"/>
  </w:num>
  <w:num w:numId="2" w16cid:durableId="1705208553">
    <w:abstractNumId w:val="0"/>
  </w:num>
  <w:num w:numId="3" w16cid:durableId="748619934">
    <w:abstractNumId w:val="6"/>
  </w:num>
  <w:num w:numId="4" w16cid:durableId="1175612746">
    <w:abstractNumId w:val="11"/>
  </w:num>
  <w:num w:numId="5" w16cid:durableId="150758067">
    <w:abstractNumId w:val="9"/>
  </w:num>
  <w:num w:numId="6" w16cid:durableId="1335104762">
    <w:abstractNumId w:val="2"/>
  </w:num>
  <w:num w:numId="7" w16cid:durableId="1681195345">
    <w:abstractNumId w:val="16"/>
  </w:num>
  <w:num w:numId="8" w16cid:durableId="1829320817">
    <w:abstractNumId w:val="19"/>
  </w:num>
  <w:num w:numId="9" w16cid:durableId="1277370078">
    <w:abstractNumId w:val="13"/>
  </w:num>
  <w:num w:numId="10" w16cid:durableId="52582525">
    <w:abstractNumId w:val="20"/>
  </w:num>
  <w:num w:numId="11" w16cid:durableId="404567286">
    <w:abstractNumId w:val="7"/>
  </w:num>
  <w:num w:numId="12" w16cid:durableId="266234446">
    <w:abstractNumId w:val="1"/>
  </w:num>
  <w:num w:numId="13" w16cid:durableId="1039477582">
    <w:abstractNumId w:val="17"/>
  </w:num>
  <w:num w:numId="14" w16cid:durableId="2062629888">
    <w:abstractNumId w:val="5"/>
  </w:num>
  <w:num w:numId="15" w16cid:durableId="1757289560">
    <w:abstractNumId w:val="14"/>
  </w:num>
  <w:num w:numId="16" w16cid:durableId="867764011">
    <w:abstractNumId w:val="15"/>
  </w:num>
  <w:num w:numId="17" w16cid:durableId="84158987">
    <w:abstractNumId w:val="4"/>
  </w:num>
  <w:num w:numId="18" w16cid:durableId="884291539">
    <w:abstractNumId w:val="10"/>
  </w:num>
  <w:num w:numId="19" w16cid:durableId="632251757">
    <w:abstractNumId w:val="12"/>
  </w:num>
  <w:num w:numId="20" w16cid:durableId="1258633885">
    <w:abstractNumId w:val="18"/>
  </w:num>
  <w:num w:numId="21" w16cid:durableId="1844856377">
    <w:abstractNumId w:val="8"/>
  </w:num>
  <w:num w:numId="22" w16cid:durableId="2038113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358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009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170A7"/>
    <w:rsid w:val="00042CE3"/>
    <w:rsid w:val="00045607"/>
    <w:rsid w:val="00050AF7"/>
    <w:rsid w:val="00050E1F"/>
    <w:rsid w:val="00061541"/>
    <w:rsid w:val="00062AAD"/>
    <w:rsid w:val="0006671A"/>
    <w:rsid w:val="00076C28"/>
    <w:rsid w:val="0008384C"/>
    <w:rsid w:val="00097F1E"/>
    <w:rsid w:val="000C7F53"/>
    <w:rsid w:val="000D62B1"/>
    <w:rsid w:val="000F027E"/>
    <w:rsid w:val="000F4D8B"/>
    <w:rsid w:val="00102042"/>
    <w:rsid w:val="00120FD5"/>
    <w:rsid w:val="0013455F"/>
    <w:rsid w:val="0013514C"/>
    <w:rsid w:val="00142076"/>
    <w:rsid w:val="00154C29"/>
    <w:rsid w:val="00160967"/>
    <w:rsid w:val="00176D3E"/>
    <w:rsid w:val="00184E25"/>
    <w:rsid w:val="00186A92"/>
    <w:rsid w:val="00195072"/>
    <w:rsid w:val="001B001B"/>
    <w:rsid w:val="001C29F6"/>
    <w:rsid w:val="001D06DC"/>
    <w:rsid w:val="001D1BFD"/>
    <w:rsid w:val="001D5006"/>
    <w:rsid w:val="001D66A2"/>
    <w:rsid w:val="001E4CC6"/>
    <w:rsid w:val="002144E5"/>
    <w:rsid w:val="0021651B"/>
    <w:rsid w:val="00216994"/>
    <w:rsid w:val="00222E6A"/>
    <w:rsid w:val="00224595"/>
    <w:rsid w:val="00266F71"/>
    <w:rsid w:val="00296F84"/>
    <w:rsid w:val="002B0D22"/>
    <w:rsid w:val="002D2F0B"/>
    <w:rsid w:val="002E5F89"/>
    <w:rsid w:val="002F2B09"/>
    <w:rsid w:val="002F4369"/>
    <w:rsid w:val="00301853"/>
    <w:rsid w:val="00316ED1"/>
    <w:rsid w:val="0032442E"/>
    <w:rsid w:val="00324E1D"/>
    <w:rsid w:val="00340A5E"/>
    <w:rsid w:val="00352768"/>
    <w:rsid w:val="00354C28"/>
    <w:rsid w:val="00380ED9"/>
    <w:rsid w:val="00387221"/>
    <w:rsid w:val="00390FFD"/>
    <w:rsid w:val="0039544B"/>
    <w:rsid w:val="003A1621"/>
    <w:rsid w:val="003B294A"/>
    <w:rsid w:val="003B5BD1"/>
    <w:rsid w:val="003C6F8C"/>
    <w:rsid w:val="003C7E3F"/>
    <w:rsid w:val="003E2238"/>
    <w:rsid w:val="003E75E8"/>
    <w:rsid w:val="003F0F5D"/>
    <w:rsid w:val="003F373D"/>
    <w:rsid w:val="00402015"/>
    <w:rsid w:val="00407DC8"/>
    <w:rsid w:val="00447908"/>
    <w:rsid w:val="00467183"/>
    <w:rsid w:val="00485688"/>
    <w:rsid w:val="00493FB6"/>
    <w:rsid w:val="00495E66"/>
    <w:rsid w:val="004B4E78"/>
    <w:rsid w:val="004C259A"/>
    <w:rsid w:val="004C3887"/>
    <w:rsid w:val="004D7FB8"/>
    <w:rsid w:val="004F725B"/>
    <w:rsid w:val="005011A9"/>
    <w:rsid w:val="005155CD"/>
    <w:rsid w:val="0054289E"/>
    <w:rsid w:val="005443D5"/>
    <w:rsid w:val="005475F1"/>
    <w:rsid w:val="00564CE8"/>
    <w:rsid w:val="00570FA0"/>
    <w:rsid w:val="005777A8"/>
    <w:rsid w:val="00581AD7"/>
    <w:rsid w:val="0058778F"/>
    <w:rsid w:val="00596F6C"/>
    <w:rsid w:val="005B2A1F"/>
    <w:rsid w:val="005B7EE3"/>
    <w:rsid w:val="005D25D4"/>
    <w:rsid w:val="005D398A"/>
    <w:rsid w:val="005E3E2F"/>
    <w:rsid w:val="005F4AF3"/>
    <w:rsid w:val="006012EC"/>
    <w:rsid w:val="00605D31"/>
    <w:rsid w:val="00640708"/>
    <w:rsid w:val="00641A05"/>
    <w:rsid w:val="006462B8"/>
    <w:rsid w:val="006605C0"/>
    <w:rsid w:val="006616D1"/>
    <w:rsid w:val="0066664D"/>
    <w:rsid w:val="00672420"/>
    <w:rsid w:val="006743F1"/>
    <w:rsid w:val="00677F1F"/>
    <w:rsid w:val="00681BD7"/>
    <w:rsid w:val="006A0848"/>
    <w:rsid w:val="006A4976"/>
    <w:rsid w:val="006B30DA"/>
    <w:rsid w:val="006B5446"/>
    <w:rsid w:val="006B7A44"/>
    <w:rsid w:val="006B7A79"/>
    <w:rsid w:val="006C0A0D"/>
    <w:rsid w:val="006C16DD"/>
    <w:rsid w:val="006D21A3"/>
    <w:rsid w:val="006D25DC"/>
    <w:rsid w:val="006D312C"/>
    <w:rsid w:val="006E1C8C"/>
    <w:rsid w:val="006E6694"/>
    <w:rsid w:val="0070334B"/>
    <w:rsid w:val="007235F3"/>
    <w:rsid w:val="00733F4D"/>
    <w:rsid w:val="00744284"/>
    <w:rsid w:val="007604E4"/>
    <w:rsid w:val="00761F07"/>
    <w:rsid w:val="007632B7"/>
    <w:rsid w:val="00771B68"/>
    <w:rsid w:val="007729F9"/>
    <w:rsid w:val="007914A8"/>
    <w:rsid w:val="007B4C2E"/>
    <w:rsid w:val="007D2518"/>
    <w:rsid w:val="007F2067"/>
    <w:rsid w:val="00803E0D"/>
    <w:rsid w:val="0081073A"/>
    <w:rsid w:val="00835423"/>
    <w:rsid w:val="0084766C"/>
    <w:rsid w:val="0085234F"/>
    <w:rsid w:val="008572FF"/>
    <w:rsid w:val="008662C5"/>
    <w:rsid w:val="00871178"/>
    <w:rsid w:val="00896FCB"/>
    <w:rsid w:val="008F2A6A"/>
    <w:rsid w:val="00900578"/>
    <w:rsid w:val="009008FA"/>
    <w:rsid w:val="009016AE"/>
    <w:rsid w:val="009047C4"/>
    <w:rsid w:val="009051A4"/>
    <w:rsid w:val="00924E3F"/>
    <w:rsid w:val="00925EC8"/>
    <w:rsid w:val="00932F8A"/>
    <w:rsid w:val="009542C4"/>
    <w:rsid w:val="00973C9D"/>
    <w:rsid w:val="00974F28"/>
    <w:rsid w:val="009874B2"/>
    <w:rsid w:val="00992771"/>
    <w:rsid w:val="009B1A3D"/>
    <w:rsid w:val="009B31B2"/>
    <w:rsid w:val="009C2383"/>
    <w:rsid w:val="009E3268"/>
    <w:rsid w:val="009E7C90"/>
    <w:rsid w:val="009F0FF6"/>
    <w:rsid w:val="009F43CD"/>
    <w:rsid w:val="00A03AC5"/>
    <w:rsid w:val="00A254F4"/>
    <w:rsid w:val="00A32B67"/>
    <w:rsid w:val="00A37112"/>
    <w:rsid w:val="00A37161"/>
    <w:rsid w:val="00A410C3"/>
    <w:rsid w:val="00A42952"/>
    <w:rsid w:val="00A44237"/>
    <w:rsid w:val="00A519C1"/>
    <w:rsid w:val="00A611F2"/>
    <w:rsid w:val="00A62058"/>
    <w:rsid w:val="00A63781"/>
    <w:rsid w:val="00A847A7"/>
    <w:rsid w:val="00A87133"/>
    <w:rsid w:val="00A9345F"/>
    <w:rsid w:val="00AB5E2A"/>
    <w:rsid w:val="00AB62D5"/>
    <w:rsid w:val="00AC2EDF"/>
    <w:rsid w:val="00AD353B"/>
    <w:rsid w:val="00AD670A"/>
    <w:rsid w:val="00AE0FCE"/>
    <w:rsid w:val="00AE3D55"/>
    <w:rsid w:val="00AF41FA"/>
    <w:rsid w:val="00AF45F0"/>
    <w:rsid w:val="00AF6503"/>
    <w:rsid w:val="00B11248"/>
    <w:rsid w:val="00B2645F"/>
    <w:rsid w:val="00B267ED"/>
    <w:rsid w:val="00B30334"/>
    <w:rsid w:val="00B37C25"/>
    <w:rsid w:val="00B41DA4"/>
    <w:rsid w:val="00B511F2"/>
    <w:rsid w:val="00B551A1"/>
    <w:rsid w:val="00B57CEC"/>
    <w:rsid w:val="00B605BF"/>
    <w:rsid w:val="00B819D7"/>
    <w:rsid w:val="00B81CAE"/>
    <w:rsid w:val="00B846CB"/>
    <w:rsid w:val="00B93946"/>
    <w:rsid w:val="00B9401F"/>
    <w:rsid w:val="00BA0091"/>
    <w:rsid w:val="00BA26D0"/>
    <w:rsid w:val="00BA4EDA"/>
    <w:rsid w:val="00BA7AEE"/>
    <w:rsid w:val="00C10561"/>
    <w:rsid w:val="00C128C8"/>
    <w:rsid w:val="00C14297"/>
    <w:rsid w:val="00C14F50"/>
    <w:rsid w:val="00C31CA7"/>
    <w:rsid w:val="00C60C7F"/>
    <w:rsid w:val="00C66F34"/>
    <w:rsid w:val="00C716B1"/>
    <w:rsid w:val="00C83793"/>
    <w:rsid w:val="00C96A26"/>
    <w:rsid w:val="00CA10D9"/>
    <w:rsid w:val="00CC1D7B"/>
    <w:rsid w:val="00CD6288"/>
    <w:rsid w:val="00CF2687"/>
    <w:rsid w:val="00CF2996"/>
    <w:rsid w:val="00CF4664"/>
    <w:rsid w:val="00CF4ADE"/>
    <w:rsid w:val="00CF7D3C"/>
    <w:rsid w:val="00D25E12"/>
    <w:rsid w:val="00D3387B"/>
    <w:rsid w:val="00D42166"/>
    <w:rsid w:val="00D454CA"/>
    <w:rsid w:val="00D46BF2"/>
    <w:rsid w:val="00D51D59"/>
    <w:rsid w:val="00D52438"/>
    <w:rsid w:val="00D731F4"/>
    <w:rsid w:val="00D76D9B"/>
    <w:rsid w:val="00DA51BD"/>
    <w:rsid w:val="00DB0198"/>
    <w:rsid w:val="00DB3315"/>
    <w:rsid w:val="00DC0AA1"/>
    <w:rsid w:val="00DC1BF1"/>
    <w:rsid w:val="00DC2350"/>
    <w:rsid w:val="00DD705B"/>
    <w:rsid w:val="00E02115"/>
    <w:rsid w:val="00E2160C"/>
    <w:rsid w:val="00E27357"/>
    <w:rsid w:val="00E3313B"/>
    <w:rsid w:val="00E435DE"/>
    <w:rsid w:val="00E4412C"/>
    <w:rsid w:val="00E60C36"/>
    <w:rsid w:val="00E62B29"/>
    <w:rsid w:val="00E632B1"/>
    <w:rsid w:val="00E635EA"/>
    <w:rsid w:val="00E65B85"/>
    <w:rsid w:val="00E92F42"/>
    <w:rsid w:val="00E93EDE"/>
    <w:rsid w:val="00E96350"/>
    <w:rsid w:val="00EA3594"/>
    <w:rsid w:val="00EB198D"/>
    <w:rsid w:val="00EB5F76"/>
    <w:rsid w:val="00EC585B"/>
    <w:rsid w:val="00EC65DE"/>
    <w:rsid w:val="00ED5DF0"/>
    <w:rsid w:val="00EE2B0F"/>
    <w:rsid w:val="00EE6215"/>
    <w:rsid w:val="00EF04C1"/>
    <w:rsid w:val="00EF0DE6"/>
    <w:rsid w:val="00F03DDC"/>
    <w:rsid w:val="00F431ED"/>
    <w:rsid w:val="00F56DB7"/>
    <w:rsid w:val="00F62456"/>
    <w:rsid w:val="00F74AB4"/>
    <w:rsid w:val="00F97417"/>
    <w:rsid w:val="00FA4E6B"/>
    <w:rsid w:val="00FE6667"/>
    <w:rsid w:val="00FF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900578"/>
    <w:pPr>
      <w:keepNext/>
      <w:keepLines/>
      <w:numPr>
        <w:ilvl w:val="1"/>
        <w:numId w:val="1"/>
      </w:numPr>
      <w:tabs>
        <w:tab w:val="left" w:pos="567"/>
      </w:tabs>
      <w:spacing w:after="120"/>
      <w:ind w:left="113" w:firstLine="0"/>
      <w:outlineLvl w:val="1"/>
    </w:pPr>
    <w:rPr>
      <w:rFonts w:eastAsia="Times New Roman" w:cs="Times New Roman"/>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900578"/>
    <w:rPr>
      <w:rFonts w:ascii="Arial" w:eastAsia="Times New Roman" w:hAnsi="Arial" w:cs="Times New Roman"/>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uiPriority w:val="39"/>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us@towerhamlets.gov.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housing-ombudsma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using-ombudsma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owerhamlets.gov.uk/lgnl/council_and_democracy/data_protection__freedom_of/data_protection__freedom_o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16893E9BB8C8EF4E9F8ADA3E71C665BA" ma:contentTypeVersion="18" ma:contentTypeDescription="Template for creating both new Policies &amp; Procedures Documents." ma:contentTypeScope="" ma:versionID="6bbd388a9a96e6096538661071ef2df7">
  <xsd:schema xmlns:xsd="http://www.w3.org/2001/XMLSchema" xmlns:xs="http://www.w3.org/2001/XMLSchema" xmlns:p="http://schemas.microsoft.com/office/2006/metadata/properties" xmlns:ns1="http://schemas.microsoft.com/sharepoint/v3" xmlns:ns2="6be96773-e9b4-4bf4-b0bf-b5f396bc07c3" xmlns:ns3="63a41b16-6feb-49be-a44c-c1e291ffd80a" xmlns:ns4="http://schemas.microsoft.com/sharepoint/v3/fields" targetNamespace="http://schemas.microsoft.com/office/2006/metadata/properties" ma:root="true" ma:fieldsID="88dc1fee8ab4ac1ff4ab1782033ca5bc" ns1:_="" ns2:_="" ns3:_="" ns4:_="">
    <xsd:import namespace="http://schemas.microsoft.com/sharepoint/v3"/>
    <xsd:import namespace="6be96773-e9b4-4bf4-b0bf-b5f396bc07c3"/>
    <xsd:import namespace="63a41b16-6feb-49be-a44c-c1e291ffd80a"/>
    <xsd:import namespace="http://schemas.microsoft.com/sharepoint/v3/fields"/>
    <xsd:element name="properties">
      <xsd:complexType>
        <xsd:sequence>
          <xsd:element name="documentManagement">
            <xsd:complexType>
              <xsd:all>
                <xsd:element ref="ns2:Function"/>
                <xsd:element ref="ns1:_ExtendedDescription" minOccurs="0"/>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96773-e9b4-4bf4-b0bf-b5f396bc07c3"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Communications"/>
          <xsd:enumeration value="Finance"/>
          <xsd:enumeration value="Health &amp; Safety"/>
          <xsd:enumeration value="Regulatory Assurance"/>
          <xsd:enumeration value="Resources"/>
          <xsd:enumeration value="Community Safety/ASB"/>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6"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7"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8"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9"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10"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1" ma:displayName="Planned Review Date" ma:format="DateOnly" ma:internalName="Planned_x0020_Review_x0020_Date">
      <xsd:simpleType>
        <xsd:restriction base="dms:DateTime"/>
      </xsd:simpleType>
    </xsd:element>
    <xsd:element name="Review_x0020_Cycle" ma:index="12"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QIA xmlns="63a41b16-6feb-49be-a44c-c1e291ffd80a">N/A</EQIA>
    <Document_x0020_Type xmlns="63a41b16-6feb-49be-a44c-c1e291ffd80a">Policy</Document_x0020_Type>
    <Review_x0020_Cycle xmlns="63a41b16-6feb-49be-a44c-c1e291ffd80a">3 Years</Review_x0020_Cycle>
    <Audience xmlns="63a41b16-6feb-49be-a44c-c1e291ffd80a">Internal</Audience>
    <Approval_x0020_Level xmlns="63a41b16-6feb-49be-a44c-c1e291ffd80a">
      <Value>Cabinet</Value>
    </Approval_x0020_Level>
    <_Status xmlns="http://schemas.microsoft.com/sharepoint/v3/fields">Published</_Status>
    <_ExtendedDescription xmlns="http://schemas.microsoft.com/sharepoint/v3" xsi:nil="true"/>
    <Owner xmlns="63a41b16-6feb-49be-a44c-c1e291ffd80a">
      <UserInfo>
        <DisplayName>Darren Reynolds</DisplayName>
        <AccountId>94</AccountId>
        <AccountType/>
      </UserInfo>
    </Owner>
    <Planned_x0020_Review_x0020_Date xmlns="63a41b16-6feb-49be-a44c-c1e291ffd80a">2028-07-20T23:00:00+00:00</Planned_x0020_Review_x0020_Date>
    <Resident_x0020_Consultation xmlns="63a41b16-6feb-49be-a44c-c1e291ffd80a">N/A</Resident_x0020_Consultation>
    <Function xmlns="6be96773-e9b4-4bf4-b0bf-b5f396bc07c3">Regulatory Assurance</Function>
  </documentManagement>
</p:properties>
</file>

<file path=customXml/itemProps1.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2.xml><?xml version="1.0" encoding="utf-8"?>
<ds:datastoreItem xmlns:ds="http://schemas.openxmlformats.org/officeDocument/2006/customXml" ds:itemID="{95CD1781-EEBD-4BE9-8E74-47CF0D32C7F9}"/>
</file>

<file path=customXml/itemProps3.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http://schemas.microsoft.com/sharepoint/v3/fields"/>
    <ds:schemaRef ds:uri="http://schemas.microsoft.com/sharepoint/v3"/>
    <ds:schemaRef ds:uri="beb44f32-11e0-4c3f-a51c-b161ad23a77b"/>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6213</Words>
  <Characters>31875</Characters>
  <Application>Microsoft Office Word</Application>
  <DocSecurity>0</DocSecurity>
  <Lines>2276</Lines>
  <Paragraphs>2004</Paragraphs>
  <ScaleCrop>false</ScaleCrop>
  <HeadingPairs>
    <vt:vector size="2" baseType="variant">
      <vt:variant>
        <vt:lpstr>Title</vt:lpstr>
      </vt:variant>
      <vt:variant>
        <vt:i4>1</vt:i4>
      </vt:variant>
    </vt:vector>
  </HeadingPairs>
  <TitlesOfParts>
    <vt:vector size="1" baseType="lpstr">
      <vt:lpstr>Death of a Tenant Procedure</vt:lpstr>
    </vt:vector>
  </TitlesOfParts>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Complaints Compensation Policy 2025-28</dc:title>
  <dc:subject/>
  <dc:creator>Tyran Pierre</dc:creator>
  <cp:keywords/>
  <dc:description/>
  <cp:lastModifiedBy>Lisa Sykes</cp:lastModifiedBy>
  <cp:revision>71</cp:revision>
  <dcterms:created xsi:type="dcterms:W3CDTF">2025-11-19T16:10:00Z</dcterms:created>
  <dcterms:modified xsi:type="dcterms:W3CDTF">2025-11-21T15:19:00Z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0x0101001C71EB6EB42EF242ADEEEF0D01C9D8460016893E9BB8C8EF4E9F8ADA3E71C665BA</vt:lpwstr>
  </property>
</Properties>
</file>