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BC1FFC8">
            <wp:simplePos x="0" y="0"/>
            <wp:positionH relativeFrom="page">
              <wp:align>right</wp:align>
            </wp:positionH>
            <wp:positionV relativeFrom="paragraph">
              <wp:posOffset>-963543</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092930D2" w14:textId="77777777" w:rsidR="00D52438" w:rsidRDefault="00D52438" w:rsidP="00DC0AA1">
      <w:pPr>
        <w:pStyle w:val="Title"/>
      </w:pPr>
    </w:p>
    <w:p w14:paraId="74B464F9" w14:textId="77777777" w:rsidR="00DC0AA1" w:rsidRPr="00BD0219" w:rsidRDefault="00DC0AA1" w:rsidP="00DC0AA1">
      <w:pPr>
        <w:pStyle w:val="Title"/>
      </w:pPr>
      <w:r>
        <w:t>London Borough of Tower Hamlets</w:t>
      </w:r>
    </w:p>
    <w:p w14:paraId="47929706" w14:textId="77777777" w:rsidR="00DC0AA1" w:rsidRPr="00552F80" w:rsidRDefault="00DC0AA1" w:rsidP="00DC0AA1"/>
    <w:p w14:paraId="0C933257" w14:textId="1F09FD9D" w:rsidR="00DC0AA1" w:rsidRDefault="00FF60C1" w:rsidP="009C2383">
      <w:pPr>
        <w:pStyle w:val="DocTitle"/>
      </w:pPr>
      <w:r>
        <w:t>Leasehold Alterations Policy</w:t>
      </w:r>
    </w:p>
    <w:p w14:paraId="2A7E29BD" w14:textId="77777777" w:rsidR="00B93946" w:rsidRDefault="00B93946" w:rsidP="009C2383">
      <w:pPr>
        <w:pStyle w:val="DocTitle"/>
      </w:pPr>
    </w:p>
    <w:tbl>
      <w:tblPr>
        <w:tblStyle w:val="TableGrid"/>
        <w:tblW w:w="0" w:type="auto"/>
        <w:tblLook w:val="04A0" w:firstRow="1" w:lastRow="0" w:firstColumn="1" w:lastColumn="0" w:noHBand="0" w:noVBand="1"/>
      </w:tblPr>
      <w:tblGrid>
        <w:gridCol w:w="8296"/>
      </w:tblGrid>
      <w:tr w:rsidR="00DC0AA1" w:rsidRPr="00FB7D3F" w14:paraId="32D5C7DC" w14:textId="77777777" w:rsidTr="00B65CD1">
        <w:tc>
          <w:tcPr>
            <w:tcW w:w="8296" w:type="dxa"/>
          </w:tcPr>
          <w:p w14:paraId="05FEDFE4" w14:textId="31A27C2E" w:rsidR="00DC0AA1" w:rsidRPr="00FE574E" w:rsidRDefault="0032442E" w:rsidP="00B65CD1">
            <w:bookmarkStart w:id="0" w:name="_Hlk103025915"/>
            <w:r>
              <w:t xml:space="preserve">Policy </w:t>
            </w:r>
          </w:p>
          <w:p w14:paraId="1DDFEEB8" w14:textId="77777777" w:rsidR="00DC0AA1" w:rsidRPr="00EC2D1B" w:rsidRDefault="00DC0AA1" w:rsidP="00B65CD1"/>
        </w:tc>
      </w:tr>
      <w:tr w:rsidR="00DC0AA1" w:rsidRPr="00FB7D3F" w14:paraId="5AF8386D" w14:textId="77777777" w:rsidTr="00B65CD1">
        <w:tc>
          <w:tcPr>
            <w:tcW w:w="8296" w:type="dxa"/>
          </w:tcPr>
          <w:p w14:paraId="4E61138B" w14:textId="7D04365E" w:rsidR="00DC0AA1" w:rsidRPr="00FE574E" w:rsidRDefault="0032442E" w:rsidP="00B65CD1">
            <w:r>
              <w:t>Insert description</w:t>
            </w:r>
            <w:r w:rsidR="00B54A28" w:rsidRPr="00B54A28">
              <w:rPr>
                <w:rFonts w:eastAsia="Aptos" w:cs="Times New Roman"/>
                <w:color w:val="000000"/>
                <w:lang w:eastAsia="en-US"/>
              </w:rPr>
              <w:t xml:space="preserve"> Outlines LBTH's approach to leasehold alterations within their social housing stock including the legal framework and definitions, responsibilities, governance and training.</w:t>
            </w:r>
          </w:p>
          <w:p w14:paraId="7D37A66A" w14:textId="77777777" w:rsidR="00DC0AA1" w:rsidRPr="00EC2D1B" w:rsidRDefault="00DC0AA1" w:rsidP="00B65CD1"/>
        </w:tc>
      </w:tr>
      <w:tr w:rsidR="00485688" w:rsidRPr="00FB7D3F" w14:paraId="615777F8" w14:textId="77777777" w:rsidTr="0082135B">
        <w:trPr>
          <w:trHeight w:val="567"/>
        </w:trPr>
        <w:tc>
          <w:tcPr>
            <w:tcW w:w="8296" w:type="dxa"/>
            <w:shd w:val="clear" w:color="auto" w:fill="D9D9D9" w:themeFill="background1" w:themeFillShade="D9"/>
          </w:tcPr>
          <w:p w14:paraId="42CD8441" w14:textId="3DE4F771" w:rsidR="00485688" w:rsidRPr="00FE574E" w:rsidRDefault="00485688" w:rsidP="00485688">
            <w:pPr>
              <w:pStyle w:val="BoldNormal"/>
            </w:pPr>
            <w:r>
              <w:t xml:space="preserve">Date edited: </w:t>
            </w:r>
            <w:r w:rsidR="00B54A28">
              <w:t>10.12.25</w:t>
            </w:r>
          </w:p>
        </w:tc>
      </w:tr>
      <w:tr w:rsidR="00485688" w:rsidRPr="00FB7D3F" w14:paraId="509CFE2E" w14:textId="77777777" w:rsidTr="00A17602">
        <w:trPr>
          <w:trHeight w:val="567"/>
        </w:trPr>
        <w:tc>
          <w:tcPr>
            <w:tcW w:w="8296" w:type="dxa"/>
            <w:shd w:val="clear" w:color="auto" w:fill="D9D9D9" w:themeFill="background1" w:themeFillShade="D9"/>
          </w:tcPr>
          <w:p w14:paraId="3A39A5DE" w14:textId="55264AEB" w:rsidR="00485688" w:rsidRDefault="00485688" w:rsidP="00485688">
            <w:pPr>
              <w:pStyle w:val="BoldNormal"/>
            </w:pPr>
            <w:r>
              <w:t xml:space="preserve">Author: </w:t>
            </w:r>
            <w:r w:rsidR="00B54A28">
              <w:t>Bobbette Newell-Bent</w:t>
            </w:r>
            <w:r w:rsidR="004D5B88">
              <w:t xml:space="preserve"> – Leasehold Alterations &amp; Subletting Team Leader / Nasser Patel – Leasehold Specialist</w:t>
            </w:r>
          </w:p>
        </w:tc>
      </w:tr>
      <w:tr w:rsidR="00485688" w:rsidRPr="00FB7D3F" w14:paraId="45D2B857" w14:textId="77777777" w:rsidTr="000A3164">
        <w:trPr>
          <w:trHeight w:val="567"/>
        </w:trPr>
        <w:tc>
          <w:tcPr>
            <w:tcW w:w="8296" w:type="dxa"/>
            <w:shd w:val="clear" w:color="auto" w:fill="D9D9D9" w:themeFill="background1" w:themeFillShade="D9"/>
          </w:tcPr>
          <w:p w14:paraId="0CC6E884" w14:textId="3495F897" w:rsidR="00485688" w:rsidRDefault="00485688" w:rsidP="00485688">
            <w:pPr>
              <w:pStyle w:val="BoldNormal"/>
            </w:pPr>
            <w:r>
              <w:t xml:space="preserve">Owner: </w:t>
            </w:r>
            <w:r w:rsidR="005612C0">
              <w:t>Richard Hards – Head of Leasehold Services</w:t>
            </w:r>
          </w:p>
        </w:tc>
      </w:tr>
      <w:tr w:rsidR="00485688" w:rsidRPr="00FB7D3F" w14:paraId="16B3E0BE" w14:textId="77777777" w:rsidTr="00D552AF">
        <w:trPr>
          <w:trHeight w:val="567"/>
        </w:trPr>
        <w:tc>
          <w:tcPr>
            <w:tcW w:w="8296" w:type="dxa"/>
            <w:shd w:val="clear" w:color="auto" w:fill="D9D9D9" w:themeFill="background1" w:themeFillShade="D9"/>
          </w:tcPr>
          <w:p w14:paraId="297F60DE" w14:textId="49EE25E7" w:rsidR="005612C0" w:rsidRPr="00FE574E" w:rsidRDefault="00485688" w:rsidP="00485688">
            <w:pPr>
              <w:pStyle w:val="BoldNormal"/>
            </w:pPr>
            <w:r w:rsidRPr="00777D19">
              <w:t>Approved by:</w:t>
            </w:r>
            <w:r>
              <w:t xml:space="preserve"> </w:t>
            </w:r>
            <w:r w:rsidR="005612C0">
              <w:t>Housing Management Cabinet Sub-Committee</w:t>
            </w:r>
            <w:r w:rsidR="00186D6B">
              <w:t xml:space="preserve"> 11.02.26</w:t>
            </w:r>
          </w:p>
        </w:tc>
      </w:tr>
      <w:tr w:rsidR="00485688" w:rsidRPr="00FB7D3F" w14:paraId="135D6043" w14:textId="77777777" w:rsidTr="008F570C">
        <w:trPr>
          <w:trHeight w:val="567"/>
        </w:trPr>
        <w:tc>
          <w:tcPr>
            <w:tcW w:w="8296" w:type="dxa"/>
            <w:shd w:val="clear" w:color="auto" w:fill="D9D9D9" w:themeFill="background1" w:themeFillShade="D9"/>
          </w:tcPr>
          <w:p w14:paraId="66317B8B" w14:textId="305B590D" w:rsidR="00485688" w:rsidRPr="00FE574E" w:rsidRDefault="00485688" w:rsidP="00485688">
            <w:pPr>
              <w:pStyle w:val="BoldNormal"/>
            </w:pPr>
            <w:r w:rsidRPr="00777D19">
              <w:t>Review cycle:</w:t>
            </w:r>
            <w:r>
              <w:t xml:space="preserve"> </w:t>
            </w:r>
            <w:r w:rsidR="00186D6B">
              <w:t xml:space="preserve">5 </w:t>
            </w:r>
            <w:r w:rsidRPr="00777D19">
              <w:t>years</w:t>
            </w:r>
          </w:p>
        </w:tc>
      </w:tr>
      <w:tr w:rsidR="00485688" w:rsidRPr="00FB7D3F" w14:paraId="1E6D7631" w14:textId="77777777" w:rsidTr="00FA0DFE">
        <w:trPr>
          <w:trHeight w:val="567"/>
        </w:trPr>
        <w:tc>
          <w:tcPr>
            <w:tcW w:w="8296" w:type="dxa"/>
            <w:shd w:val="clear" w:color="auto" w:fill="D9D9D9" w:themeFill="background1" w:themeFillShade="D9"/>
          </w:tcPr>
          <w:p w14:paraId="15EF7523" w14:textId="00FBAB05" w:rsidR="00485688" w:rsidRPr="00FE574E" w:rsidRDefault="00485688" w:rsidP="00485688">
            <w:pPr>
              <w:pStyle w:val="BoldNormal"/>
            </w:pPr>
            <w:r w:rsidRPr="00777D19">
              <w:t>Next review date:</w:t>
            </w:r>
            <w:r>
              <w:t xml:space="preserve"> </w:t>
            </w:r>
            <w:r w:rsidR="00186D6B">
              <w:t>January 2031</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p w14:paraId="4ADCD42B" w14:textId="77777777" w:rsidR="00DC0AA1" w:rsidRDefault="00DC0AA1" w:rsidP="00DC0AA1"/>
    <w:p w14:paraId="14C464D1" w14:textId="77777777" w:rsidR="00DC0AA1" w:rsidRDefault="00DC0AA1" w:rsidP="00DC0AA1">
      <w:pPr>
        <w:pStyle w:val="BoldNormal"/>
      </w:pPr>
      <w:r w:rsidRPr="00536639">
        <w:t>Regulatory Standards, Legislation and Codes of practice</w:t>
      </w:r>
    </w:p>
    <w:tbl>
      <w:tblPr>
        <w:tblStyle w:val="Table-SideShade"/>
        <w:tblpPr w:leftFromText="180" w:rightFromText="180" w:vertAnchor="text" w:horzAnchor="margin" w:tblpY="314"/>
        <w:tblW w:w="8657" w:type="dxa"/>
        <w:tblLook w:val="04A0" w:firstRow="1" w:lastRow="0" w:firstColumn="1" w:lastColumn="0" w:noHBand="0" w:noVBand="1"/>
      </w:tblPr>
      <w:tblGrid>
        <w:gridCol w:w="2547"/>
        <w:gridCol w:w="6110"/>
      </w:tblGrid>
      <w:tr w:rsidR="00DC0AA1" w:rsidRPr="00DE6AD5" w14:paraId="4E4E42B1" w14:textId="77777777" w:rsidTr="00B4613D">
        <w:trPr>
          <w:trHeight w:val="413"/>
        </w:trPr>
        <w:tc>
          <w:tcPr>
            <w:cnfStyle w:val="001000000000" w:firstRow="0" w:lastRow="0" w:firstColumn="1" w:lastColumn="0" w:oddVBand="0" w:evenVBand="0" w:oddHBand="0" w:evenHBand="0" w:firstRowFirstColumn="0" w:firstRowLastColumn="0" w:lastRowFirstColumn="0" w:lastRowLastColumn="0"/>
            <w:tcW w:w="2547" w:type="dxa"/>
          </w:tcPr>
          <w:p w14:paraId="4D5C6EAE" w14:textId="77777777" w:rsidR="00DC0AA1" w:rsidRPr="00FE574E" w:rsidRDefault="00DC0AA1" w:rsidP="00B65CD1">
            <w:pPr>
              <w:pStyle w:val="BoldNormal"/>
            </w:pPr>
            <w:r w:rsidRPr="00777D19">
              <w:t>Regulator:</w:t>
            </w:r>
          </w:p>
        </w:tc>
        <w:tc>
          <w:tcPr>
            <w:tcW w:w="6110" w:type="dxa"/>
          </w:tcPr>
          <w:p w14:paraId="06DF0D72" w14:textId="3F4434DA" w:rsidR="00E93EDE" w:rsidRDefault="000F563A" w:rsidP="000F563A">
            <w:pPr>
              <w:pStyle w:val="ListBullet"/>
              <w:cnfStyle w:val="000000000000" w:firstRow="0" w:lastRow="0" w:firstColumn="0" w:lastColumn="0" w:oddVBand="0" w:evenVBand="0" w:oddHBand="0" w:evenHBand="0" w:firstRowFirstColumn="0" w:firstRowLastColumn="0" w:lastRowFirstColumn="0" w:lastRowLastColumn="0"/>
            </w:pPr>
            <w:r w:rsidRPr="000F563A">
              <w:t>The Building Safety Regulator</w:t>
            </w:r>
          </w:p>
          <w:p w14:paraId="6E0EF15C" w14:textId="652CC000" w:rsidR="006C16DD" w:rsidRPr="00777D19" w:rsidRDefault="006C16DD" w:rsidP="0032442E">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p>
        </w:tc>
      </w:tr>
      <w:tr w:rsidR="00DC0AA1" w:rsidRPr="00DE6AD5" w14:paraId="783D00AD" w14:textId="77777777" w:rsidTr="00B4613D">
        <w:trPr>
          <w:trHeight w:val="565"/>
        </w:trPr>
        <w:tc>
          <w:tcPr>
            <w:cnfStyle w:val="001000000000" w:firstRow="0" w:lastRow="0" w:firstColumn="1" w:lastColumn="0" w:oddVBand="0" w:evenVBand="0" w:oddHBand="0" w:evenHBand="0" w:firstRowFirstColumn="0" w:firstRowLastColumn="0" w:lastRowFirstColumn="0" w:lastRowLastColumn="0"/>
            <w:tcW w:w="2547" w:type="dxa"/>
          </w:tcPr>
          <w:p w14:paraId="2B616C46" w14:textId="77777777" w:rsidR="00DC0AA1" w:rsidRPr="00FE574E" w:rsidRDefault="00DC0AA1" w:rsidP="00B65CD1">
            <w:pPr>
              <w:pStyle w:val="BoldNormal"/>
            </w:pPr>
            <w:r w:rsidRPr="00777D19">
              <w:t>Legislation:</w:t>
            </w:r>
          </w:p>
        </w:tc>
        <w:tc>
          <w:tcPr>
            <w:tcW w:w="6110" w:type="dxa"/>
          </w:tcPr>
          <w:p w14:paraId="33D34E59" w14:textId="77777777" w:rsidR="00715FF3"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t>Landlord and Tenant Act 1927 s.19(2)</w:t>
            </w:r>
          </w:p>
          <w:p w14:paraId="4C71881E" w14:textId="77777777" w:rsidR="00715FF3"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t>Landlord and Tenant Act 1985</w:t>
            </w:r>
          </w:p>
          <w:p w14:paraId="3A7FD44B" w14:textId="77777777" w:rsidR="00715FF3" w:rsidRPr="002A7B8D"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t>Landlord and Tenant Act 1988</w:t>
            </w:r>
          </w:p>
          <w:p w14:paraId="55002294"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Building Safety Act 2022 </w:t>
            </w:r>
          </w:p>
          <w:p w14:paraId="013B5FBC"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Building Regulations 2010 (as amended) </w:t>
            </w:r>
          </w:p>
          <w:p w14:paraId="5DD46C36"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Planning (Listed Buildings and Conservation Areas) Act 1990 </w:t>
            </w:r>
          </w:p>
          <w:p w14:paraId="3948474F"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Party Wall etc. Act 1996 </w:t>
            </w:r>
          </w:p>
          <w:p w14:paraId="24E47206"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Landlord and Tenant Act 1985 </w:t>
            </w:r>
          </w:p>
          <w:p w14:paraId="6AF71F3A"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The Homes (Fitness for Human Habitation) Act 2018 </w:t>
            </w:r>
          </w:p>
          <w:p w14:paraId="2575E61D"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Housing Act 2004 </w:t>
            </w:r>
          </w:p>
          <w:p w14:paraId="3709ABB2"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Construction (Design and Management) Regulations 2015 </w:t>
            </w:r>
          </w:p>
          <w:p w14:paraId="090C983F" w14:textId="77777777" w:rsidR="00715FF3" w:rsidRPr="00456CF0"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 xml:space="preserve">Health and Safety at Work etc. Act 1974 </w:t>
            </w:r>
          </w:p>
          <w:p w14:paraId="4C807B28" w14:textId="77777777" w:rsidR="00DC0AA1" w:rsidRDefault="00715FF3" w:rsidP="00715FF3">
            <w:pPr>
              <w:pStyle w:val="ListBullet"/>
              <w:cnfStyle w:val="000000000000" w:firstRow="0" w:lastRow="0" w:firstColumn="0" w:lastColumn="0" w:oddVBand="0" w:evenVBand="0" w:oddHBand="0" w:evenHBand="0" w:firstRowFirstColumn="0" w:firstRowLastColumn="0" w:lastRowFirstColumn="0" w:lastRowLastColumn="0"/>
            </w:pPr>
            <w:r w:rsidRPr="00456CF0">
              <w:t>Equality Act 2010</w:t>
            </w:r>
          </w:p>
          <w:p w14:paraId="53838974" w14:textId="43394E6D" w:rsidR="008C5F69" w:rsidRPr="00777D19" w:rsidRDefault="008C5F69" w:rsidP="008C5F6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DC0AA1" w:rsidRPr="00DE6AD5" w14:paraId="5DD7D76E" w14:textId="77777777" w:rsidTr="00B4613D">
        <w:trPr>
          <w:trHeight w:val="565"/>
        </w:trPr>
        <w:tc>
          <w:tcPr>
            <w:cnfStyle w:val="001000000000" w:firstRow="0" w:lastRow="0" w:firstColumn="1" w:lastColumn="0" w:oddVBand="0" w:evenVBand="0" w:oddHBand="0" w:evenHBand="0" w:firstRowFirstColumn="0" w:firstRowLastColumn="0" w:lastRowFirstColumn="0" w:lastRowLastColumn="0"/>
            <w:tcW w:w="2547" w:type="dxa"/>
          </w:tcPr>
          <w:p w14:paraId="574FEF5F" w14:textId="77777777" w:rsidR="00DC0AA1" w:rsidRPr="00FE574E" w:rsidRDefault="00DC0AA1" w:rsidP="00B65CD1">
            <w:pPr>
              <w:pStyle w:val="BoldNormal"/>
            </w:pPr>
            <w:r w:rsidRPr="00777D19">
              <w:t>Codes of practice:</w:t>
            </w:r>
          </w:p>
        </w:tc>
        <w:tc>
          <w:tcPr>
            <w:tcW w:w="6110" w:type="dxa"/>
          </w:tcPr>
          <w:p w14:paraId="2F49A685" w14:textId="77777777" w:rsidR="008C5F69" w:rsidRPr="008C5F69" w:rsidRDefault="008C5F69" w:rsidP="008C5F69">
            <w:pPr>
              <w:numPr>
                <w:ilvl w:val="0"/>
                <w:numId w:val="2"/>
              </w:numPr>
              <w:cnfStyle w:val="000000000000" w:firstRow="0" w:lastRow="0" w:firstColumn="0" w:lastColumn="0" w:oddVBand="0" w:evenVBand="0" w:oddHBand="0" w:evenHBand="0" w:firstRowFirstColumn="0" w:firstRowLastColumn="0" w:lastRowFirstColumn="0" w:lastRowLastColumn="0"/>
            </w:pPr>
            <w:r w:rsidRPr="008C5F69">
              <w:t xml:space="preserve">HHSRS Operating Guidance </w:t>
            </w:r>
          </w:p>
          <w:p w14:paraId="37861602" w14:textId="77777777" w:rsidR="008C5F69" w:rsidRPr="008C5F69" w:rsidRDefault="008C5F69" w:rsidP="008C5F69">
            <w:pPr>
              <w:numPr>
                <w:ilvl w:val="0"/>
                <w:numId w:val="2"/>
              </w:numPr>
              <w:cnfStyle w:val="000000000000" w:firstRow="0" w:lastRow="0" w:firstColumn="0" w:lastColumn="0" w:oddVBand="0" w:evenVBand="0" w:oddHBand="0" w:evenHBand="0" w:firstRowFirstColumn="0" w:firstRowLastColumn="0" w:lastRowFirstColumn="0" w:lastRowLastColumn="0"/>
            </w:pPr>
            <w:r w:rsidRPr="008C5F69">
              <w:t xml:space="preserve">National Planning Policy Framework (NPPF) </w:t>
            </w:r>
          </w:p>
          <w:p w14:paraId="6FB881E7" w14:textId="77777777" w:rsidR="00DC0AA1" w:rsidRDefault="008C5F69" w:rsidP="008C5F69">
            <w:pPr>
              <w:pStyle w:val="ListBullet"/>
              <w:cnfStyle w:val="000000000000" w:firstRow="0" w:lastRow="0" w:firstColumn="0" w:lastColumn="0" w:oddVBand="0" w:evenVBand="0" w:oddHBand="0" w:evenHBand="0" w:firstRowFirstColumn="0" w:firstRowLastColumn="0" w:lastRowFirstColumn="0" w:lastRowLastColumn="0"/>
            </w:pPr>
            <w:r w:rsidRPr="008C5F69">
              <w:t>Building Regulations Approved Documents</w:t>
            </w:r>
          </w:p>
          <w:p w14:paraId="309EF989" w14:textId="2E070E77" w:rsidR="008C5F69" w:rsidRPr="00777D19" w:rsidRDefault="008C5F69" w:rsidP="008C5F6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DC0AA1" w:rsidRPr="00DE6AD5" w14:paraId="21E9BEE1" w14:textId="77777777" w:rsidTr="00B4613D">
        <w:trPr>
          <w:trHeight w:val="565"/>
        </w:trPr>
        <w:tc>
          <w:tcPr>
            <w:cnfStyle w:val="001000000000" w:firstRow="0" w:lastRow="0" w:firstColumn="1" w:lastColumn="0" w:oddVBand="0" w:evenVBand="0" w:oddHBand="0" w:evenHBand="0" w:firstRowFirstColumn="0" w:firstRowLastColumn="0" w:lastRowFirstColumn="0" w:lastRowLastColumn="0"/>
            <w:tcW w:w="2547" w:type="dxa"/>
          </w:tcPr>
          <w:p w14:paraId="3C708EEC" w14:textId="77777777" w:rsidR="00DC0AA1" w:rsidRPr="00FE574E" w:rsidRDefault="00DC0AA1" w:rsidP="00B65CD1">
            <w:pPr>
              <w:pStyle w:val="BoldNormal"/>
            </w:pPr>
            <w:r w:rsidRPr="00777D19">
              <w:t>The policy also operates in the context of:</w:t>
            </w:r>
          </w:p>
        </w:tc>
        <w:tc>
          <w:tcPr>
            <w:tcW w:w="6110" w:type="dxa"/>
          </w:tcPr>
          <w:p w14:paraId="4C6CF938"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Asset Management Strategy </w:t>
            </w:r>
          </w:p>
          <w:p w14:paraId="0BA1B97B"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Fire Safety Policy </w:t>
            </w:r>
          </w:p>
          <w:p w14:paraId="565558E2"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Electrical Safety Policy </w:t>
            </w:r>
          </w:p>
          <w:p w14:paraId="233FAE98"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Asbestos Policy </w:t>
            </w:r>
          </w:p>
          <w:p w14:paraId="5D19C48D"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Gas and Heating Policy </w:t>
            </w:r>
          </w:p>
          <w:p w14:paraId="40962C11"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Lift Safety Policy </w:t>
            </w:r>
          </w:p>
          <w:p w14:paraId="5C254FA8"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 xml:space="preserve">Water Hygiene Policy </w:t>
            </w:r>
          </w:p>
          <w:p w14:paraId="1E6DC4D0" w14:textId="77777777" w:rsidR="001621EC" w:rsidRPr="00823869"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t>Leasehold Agreements</w:t>
            </w:r>
          </w:p>
          <w:p w14:paraId="30821EC8" w14:textId="77777777" w:rsidR="00925EC8" w:rsidRDefault="001621EC" w:rsidP="001621EC">
            <w:pPr>
              <w:pStyle w:val="ListBullet"/>
              <w:cnfStyle w:val="000000000000" w:firstRow="0" w:lastRow="0" w:firstColumn="0" w:lastColumn="0" w:oddVBand="0" w:evenVBand="0" w:oddHBand="0" w:evenHBand="0" w:firstRowFirstColumn="0" w:firstRowLastColumn="0" w:lastRowFirstColumn="0" w:lastRowLastColumn="0"/>
            </w:pPr>
            <w:r w:rsidRPr="00823869">
              <w:t>Getting to Know You Procedure</w:t>
            </w:r>
          </w:p>
          <w:p w14:paraId="4527C628" w14:textId="74241ECD" w:rsidR="001621EC" w:rsidRPr="00777D19" w:rsidRDefault="001621EC" w:rsidP="001621E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bl>
    <w:p w14:paraId="1F4C891E" w14:textId="77777777" w:rsidR="00DC0AA1" w:rsidRDefault="00DC0AA1" w:rsidP="00DC0AA1"/>
    <w:p w14:paraId="56351365" w14:textId="77777777" w:rsidR="00DC0AA1" w:rsidRDefault="00387221" w:rsidP="00387221">
      <w:pPr>
        <w:tabs>
          <w:tab w:val="left" w:pos="1545"/>
        </w:tabs>
      </w:pPr>
      <w:r>
        <w:tab/>
      </w:r>
    </w:p>
    <w:p w14:paraId="4D35FF2E" w14:textId="77777777" w:rsidR="00DC0AA1" w:rsidRDefault="00DC0AA1"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66559E20" w14:textId="27B824EB" w:rsidR="004939D1"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27145254" w:history="1">
            <w:r w:rsidR="004939D1" w:rsidRPr="00AE580A">
              <w:rPr>
                <w:rStyle w:val="Hyperlink"/>
              </w:rPr>
              <w:t>1.</w:t>
            </w:r>
            <w:r w:rsidR="004939D1">
              <w:rPr>
                <w:rFonts w:asciiTheme="minorHAnsi" w:eastAsiaTheme="minorEastAsia" w:hAnsiTheme="minorHAnsi" w:cstheme="minorBidi"/>
                <w:color w:val="auto"/>
                <w:kern w:val="2"/>
                <w:szCs w:val="24"/>
                <w:lang w:eastAsia="en-GB"/>
                <w14:ligatures w14:val="standardContextual"/>
              </w:rPr>
              <w:tab/>
            </w:r>
            <w:r w:rsidR="004939D1" w:rsidRPr="00AE580A">
              <w:rPr>
                <w:rStyle w:val="Hyperlink"/>
              </w:rPr>
              <w:t>Introduction and Objectives</w:t>
            </w:r>
            <w:r w:rsidR="004939D1">
              <w:rPr>
                <w:webHidden/>
              </w:rPr>
              <w:tab/>
            </w:r>
            <w:r w:rsidR="004939D1">
              <w:rPr>
                <w:webHidden/>
              </w:rPr>
              <w:fldChar w:fldCharType="begin"/>
            </w:r>
            <w:r w:rsidR="004939D1">
              <w:rPr>
                <w:webHidden/>
              </w:rPr>
              <w:instrText xml:space="preserve"> PAGEREF _Toc227145254 \h </w:instrText>
            </w:r>
            <w:r w:rsidR="004939D1">
              <w:rPr>
                <w:webHidden/>
              </w:rPr>
            </w:r>
            <w:r w:rsidR="004939D1">
              <w:rPr>
                <w:webHidden/>
              </w:rPr>
              <w:fldChar w:fldCharType="separate"/>
            </w:r>
            <w:r w:rsidR="004939D1">
              <w:rPr>
                <w:webHidden/>
              </w:rPr>
              <w:t>5</w:t>
            </w:r>
            <w:r w:rsidR="004939D1">
              <w:rPr>
                <w:webHidden/>
              </w:rPr>
              <w:fldChar w:fldCharType="end"/>
            </w:r>
          </w:hyperlink>
        </w:p>
        <w:p w14:paraId="7DA01E31" w14:textId="1B2E0652"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55" w:history="1">
            <w:r w:rsidRPr="00AE580A">
              <w:rPr>
                <w:rStyle w:val="Hyperlink"/>
              </w:rPr>
              <w:t>2.</w:t>
            </w:r>
            <w:r>
              <w:rPr>
                <w:rFonts w:asciiTheme="minorHAnsi" w:eastAsiaTheme="minorEastAsia" w:hAnsiTheme="minorHAnsi" w:cstheme="minorBidi"/>
                <w:color w:val="auto"/>
                <w:kern w:val="2"/>
                <w:szCs w:val="24"/>
                <w:lang w:eastAsia="en-GB"/>
                <w14:ligatures w14:val="standardContextual"/>
              </w:rPr>
              <w:tab/>
            </w:r>
            <w:r w:rsidRPr="00AE580A">
              <w:rPr>
                <w:rStyle w:val="Hyperlink"/>
              </w:rPr>
              <w:t>Scope</w:t>
            </w:r>
            <w:r>
              <w:rPr>
                <w:webHidden/>
              </w:rPr>
              <w:tab/>
            </w:r>
            <w:r>
              <w:rPr>
                <w:webHidden/>
              </w:rPr>
              <w:fldChar w:fldCharType="begin"/>
            </w:r>
            <w:r>
              <w:rPr>
                <w:webHidden/>
              </w:rPr>
              <w:instrText xml:space="preserve"> PAGEREF _Toc227145255 \h </w:instrText>
            </w:r>
            <w:r>
              <w:rPr>
                <w:webHidden/>
              </w:rPr>
            </w:r>
            <w:r>
              <w:rPr>
                <w:webHidden/>
              </w:rPr>
              <w:fldChar w:fldCharType="separate"/>
            </w:r>
            <w:r>
              <w:rPr>
                <w:webHidden/>
              </w:rPr>
              <w:t>5</w:t>
            </w:r>
            <w:r>
              <w:rPr>
                <w:webHidden/>
              </w:rPr>
              <w:fldChar w:fldCharType="end"/>
            </w:r>
          </w:hyperlink>
        </w:p>
        <w:p w14:paraId="02B34593" w14:textId="742A02CB"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56" w:history="1">
            <w:r w:rsidRPr="00AE580A">
              <w:rPr>
                <w:rStyle w:val="Hyperlink"/>
              </w:rPr>
              <w:t>3.</w:t>
            </w:r>
            <w:r>
              <w:rPr>
                <w:rFonts w:asciiTheme="minorHAnsi" w:eastAsiaTheme="minorEastAsia" w:hAnsiTheme="minorHAnsi" w:cstheme="minorBidi"/>
                <w:color w:val="auto"/>
                <w:kern w:val="2"/>
                <w:szCs w:val="24"/>
                <w:lang w:eastAsia="en-GB"/>
                <w14:ligatures w14:val="standardContextual"/>
              </w:rPr>
              <w:tab/>
            </w:r>
            <w:r w:rsidRPr="00AE580A">
              <w:rPr>
                <w:rStyle w:val="Hyperlink"/>
              </w:rPr>
              <w:t>Statement of Intent</w:t>
            </w:r>
            <w:r>
              <w:rPr>
                <w:webHidden/>
              </w:rPr>
              <w:tab/>
            </w:r>
            <w:r>
              <w:rPr>
                <w:webHidden/>
              </w:rPr>
              <w:fldChar w:fldCharType="begin"/>
            </w:r>
            <w:r>
              <w:rPr>
                <w:webHidden/>
              </w:rPr>
              <w:instrText xml:space="preserve"> PAGEREF _Toc227145256 \h </w:instrText>
            </w:r>
            <w:r>
              <w:rPr>
                <w:webHidden/>
              </w:rPr>
            </w:r>
            <w:r>
              <w:rPr>
                <w:webHidden/>
              </w:rPr>
              <w:fldChar w:fldCharType="separate"/>
            </w:r>
            <w:r>
              <w:rPr>
                <w:webHidden/>
              </w:rPr>
              <w:t>5</w:t>
            </w:r>
            <w:r>
              <w:rPr>
                <w:webHidden/>
              </w:rPr>
              <w:fldChar w:fldCharType="end"/>
            </w:r>
          </w:hyperlink>
        </w:p>
        <w:p w14:paraId="3280D0F9" w14:textId="2348C1DA"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57" w:history="1">
            <w:r w:rsidRPr="00AE580A">
              <w:rPr>
                <w:rStyle w:val="Hyperlink"/>
              </w:rPr>
              <w:t>4.</w:t>
            </w:r>
            <w:r>
              <w:rPr>
                <w:rFonts w:asciiTheme="minorHAnsi" w:eastAsiaTheme="minorEastAsia" w:hAnsiTheme="minorHAnsi" w:cstheme="minorBidi"/>
                <w:color w:val="auto"/>
                <w:kern w:val="2"/>
                <w:szCs w:val="24"/>
                <w:lang w:eastAsia="en-GB"/>
                <w14:ligatures w14:val="standardContextual"/>
              </w:rPr>
              <w:tab/>
            </w:r>
            <w:r w:rsidRPr="00AE580A">
              <w:rPr>
                <w:rStyle w:val="Hyperlink"/>
              </w:rPr>
              <w:t>Definition and classifications</w:t>
            </w:r>
            <w:r>
              <w:rPr>
                <w:webHidden/>
              </w:rPr>
              <w:tab/>
            </w:r>
            <w:r>
              <w:rPr>
                <w:webHidden/>
              </w:rPr>
              <w:fldChar w:fldCharType="begin"/>
            </w:r>
            <w:r>
              <w:rPr>
                <w:webHidden/>
              </w:rPr>
              <w:instrText xml:space="preserve"> PAGEREF _Toc227145257 \h </w:instrText>
            </w:r>
            <w:r>
              <w:rPr>
                <w:webHidden/>
              </w:rPr>
            </w:r>
            <w:r>
              <w:rPr>
                <w:webHidden/>
              </w:rPr>
              <w:fldChar w:fldCharType="separate"/>
            </w:r>
            <w:r>
              <w:rPr>
                <w:webHidden/>
              </w:rPr>
              <w:t>6</w:t>
            </w:r>
            <w:r>
              <w:rPr>
                <w:webHidden/>
              </w:rPr>
              <w:fldChar w:fldCharType="end"/>
            </w:r>
          </w:hyperlink>
        </w:p>
        <w:p w14:paraId="12DDBF9F" w14:textId="203AE6C5"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58" w:history="1">
            <w:r w:rsidRPr="00AE580A">
              <w:rPr>
                <w:rStyle w:val="Hyperlink"/>
              </w:rPr>
              <w:t>4.1</w:t>
            </w:r>
            <w:r>
              <w:rPr>
                <w:rFonts w:asciiTheme="minorHAnsi" w:eastAsiaTheme="minorEastAsia" w:hAnsiTheme="minorHAnsi" w:cstheme="minorBidi"/>
                <w:color w:val="auto"/>
                <w:kern w:val="2"/>
                <w:szCs w:val="24"/>
                <w:lang w:eastAsia="en-GB"/>
                <w14:ligatures w14:val="standardContextual"/>
              </w:rPr>
              <w:tab/>
            </w:r>
            <w:r w:rsidRPr="00AE580A">
              <w:rPr>
                <w:rStyle w:val="Hyperlink"/>
              </w:rPr>
              <w:t>Minor Internal Alterations</w:t>
            </w:r>
            <w:r>
              <w:rPr>
                <w:webHidden/>
              </w:rPr>
              <w:tab/>
            </w:r>
            <w:r>
              <w:rPr>
                <w:webHidden/>
              </w:rPr>
              <w:fldChar w:fldCharType="begin"/>
            </w:r>
            <w:r>
              <w:rPr>
                <w:webHidden/>
              </w:rPr>
              <w:instrText xml:space="preserve"> PAGEREF _Toc227145258 \h </w:instrText>
            </w:r>
            <w:r>
              <w:rPr>
                <w:webHidden/>
              </w:rPr>
            </w:r>
            <w:r>
              <w:rPr>
                <w:webHidden/>
              </w:rPr>
              <w:fldChar w:fldCharType="separate"/>
            </w:r>
            <w:r>
              <w:rPr>
                <w:webHidden/>
              </w:rPr>
              <w:t>6</w:t>
            </w:r>
            <w:r>
              <w:rPr>
                <w:webHidden/>
              </w:rPr>
              <w:fldChar w:fldCharType="end"/>
            </w:r>
          </w:hyperlink>
        </w:p>
        <w:p w14:paraId="600CF51A" w14:textId="25BBF692"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59" w:history="1">
            <w:r w:rsidRPr="00AE580A">
              <w:rPr>
                <w:rStyle w:val="Hyperlink"/>
              </w:rPr>
              <w:t>4.2</w:t>
            </w:r>
            <w:r>
              <w:rPr>
                <w:rFonts w:asciiTheme="minorHAnsi" w:eastAsiaTheme="minorEastAsia" w:hAnsiTheme="minorHAnsi" w:cstheme="minorBidi"/>
                <w:color w:val="auto"/>
                <w:kern w:val="2"/>
                <w:szCs w:val="24"/>
                <w:lang w:eastAsia="en-GB"/>
                <w14:ligatures w14:val="standardContextual"/>
              </w:rPr>
              <w:tab/>
            </w:r>
            <w:r w:rsidRPr="00AE580A">
              <w:rPr>
                <w:rStyle w:val="Hyperlink"/>
              </w:rPr>
              <w:t>Major Internal Alterations</w:t>
            </w:r>
            <w:r>
              <w:rPr>
                <w:webHidden/>
              </w:rPr>
              <w:tab/>
            </w:r>
            <w:r>
              <w:rPr>
                <w:webHidden/>
              </w:rPr>
              <w:fldChar w:fldCharType="begin"/>
            </w:r>
            <w:r>
              <w:rPr>
                <w:webHidden/>
              </w:rPr>
              <w:instrText xml:space="preserve"> PAGEREF _Toc227145259 \h </w:instrText>
            </w:r>
            <w:r>
              <w:rPr>
                <w:webHidden/>
              </w:rPr>
            </w:r>
            <w:r>
              <w:rPr>
                <w:webHidden/>
              </w:rPr>
              <w:fldChar w:fldCharType="separate"/>
            </w:r>
            <w:r>
              <w:rPr>
                <w:webHidden/>
              </w:rPr>
              <w:t>6</w:t>
            </w:r>
            <w:r>
              <w:rPr>
                <w:webHidden/>
              </w:rPr>
              <w:fldChar w:fldCharType="end"/>
            </w:r>
          </w:hyperlink>
        </w:p>
        <w:p w14:paraId="6C23C514" w14:textId="09E88BF6"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0" w:history="1">
            <w:r w:rsidRPr="00AE580A">
              <w:rPr>
                <w:rStyle w:val="Hyperlink"/>
              </w:rPr>
              <w:t>4.3</w:t>
            </w:r>
            <w:r>
              <w:rPr>
                <w:rFonts w:asciiTheme="minorHAnsi" w:eastAsiaTheme="minorEastAsia" w:hAnsiTheme="minorHAnsi" w:cstheme="minorBidi"/>
                <w:color w:val="auto"/>
                <w:kern w:val="2"/>
                <w:szCs w:val="24"/>
                <w:lang w:eastAsia="en-GB"/>
                <w14:ligatures w14:val="standardContextual"/>
              </w:rPr>
              <w:tab/>
            </w:r>
            <w:r w:rsidRPr="00AE580A">
              <w:rPr>
                <w:rStyle w:val="Hyperlink"/>
              </w:rPr>
              <w:t>Structural Alterations</w:t>
            </w:r>
            <w:r>
              <w:rPr>
                <w:webHidden/>
              </w:rPr>
              <w:tab/>
            </w:r>
            <w:r>
              <w:rPr>
                <w:webHidden/>
              </w:rPr>
              <w:fldChar w:fldCharType="begin"/>
            </w:r>
            <w:r>
              <w:rPr>
                <w:webHidden/>
              </w:rPr>
              <w:instrText xml:space="preserve"> PAGEREF _Toc227145260 \h </w:instrText>
            </w:r>
            <w:r>
              <w:rPr>
                <w:webHidden/>
              </w:rPr>
            </w:r>
            <w:r>
              <w:rPr>
                <w:webHidden/>
              </w:rPr>
              <w:fldChar w:fldCharType="separate"/>
            </w:r>
            <w:r>
              <w:rPr>
                <w:webHidden/>
              </w:rPr>
              <w:t>6</w:t>
            </w:r>
            <w:r>
              <w:rPr>
                <w:webHidden/>
              </w:rPr>
              <w:fldChar w:fldCharType="end"/>
            </w:r>
          </w:hyperlink>
        </w:p>
        <w:p w14:paraId="334C79EA" w14:textId="04A86D4A"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1" w:history="1">
            <w:r w:rsidRPr="00AE580A">
              <w:rPr>
                <w:rStyle w:val="Hyperlink"/>
              </w:rPr>
              <w:t>4.4</w:t>
            </w:r>
            <w:r>
              <w:rPr>
                <w:rFonts w:asciiTheme="minorHAnsi" w:eastAsiaTheme="minorEastAsia" w:hAnsiTheme="minorHAnsi" w:cstheme="minorBidi"/>
                <w:color w:val="auto"/>
                <w:kern w:val="2"/>
                <w:szCs w:val="24"/>
                <w:lang w:eastAsia="en-GB"/>
                <w14:ligatures w14:val="standardContextual"/>
              </w:rPr>
              <w:tab/>
            </w:r>
            <w:r w:rsidRPr="00AE580A">
              <w:rPr>
                <w:rStyle w:val="Hyperlink"/>
              </w:rPr>
              <w:t>External Alterations</w:t>
            </w:r>
            <w:r>
              <w:rPr>
                <w:webHidden/>
              </w:rPr>
              <w:tab/>
            </w:r>
            <w:r>
              <w:rPr>
                <w:webHidden/>
              </w:rPr>
              <w:fldChar w:fldCharType="begin"/>
            </w:r>
            <w:r>
              <w:rPr>
                <w:webHidden/>
              </w:rPr>
              <w:instrText xml:space="preserve"> PAGEREF _Toc227145261 \h </w:instrText>
            </w:r>
            <w:r>
              <w:rPr>
                <w:webHidden/>
              </w:rPr>
            </w:r>
            <w:r>
              <w:rPr>
                <w:webHidden/>
              </w:rPr>
              <w:fldChar w:fldCharType="separate"/>
            </w:r>
            <w:r>
              <w:rPr>
                <w:webHidden/>
              </w:rPr>
              <w:t>6</w:t>
            </w:r>
            <w:r>
              <w:rPr>
                <w:webHidden/>
              </w:rPr>
              <w:fldChar w:fldCharType="end"/>
            </w:r>
          </w:hyperlink>
        </w:p>
        <w:p w14:paraId="17EDE458" w14:textId="4D7D3D16"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2" w:history="1">
            <w:r w:rsidRPr="00AE580A">
              <w:rPr>
                <w:rStyle w:val="Hyperlink"/>
              </w:rPr>
              <w:t>4.5</w:t>
            </w:r>
            <w:r>
              <w:rPr>
                <w:rFonts w:asciiTheme="minorHAnsi" w:eastAsiaTheme="minorEastAsia" w:hAnsiTheme="minorHAnsi" w:cstheme="minorBidi"/>
                <w:color w:val="auto"/>
                <w:kern w:val="2"/>
                <w:szCs w:val="24"/>
                <w:lang w:eastAsia="en-GB"/>
                <w14:ligatures w14:val="standardContextual"/>
              </w:rPr>
              <w:tab/>
            </w:r>
            <w:r w:rsidRPr="00AE580A">
              <w:rPr>
                <w:rStyle w:val="Hyperlink"/>
              </w:rPr>
              <w:t>Repair</w:t>
            </w:r>
            <w:r>
              <w:rPr>
                <w:webHidden/>
              </w:rPr>
              <w:tab/>
            </w:r>
            <w:r>
              <w:rPr>
                <w:webHidden/>
              </w:rPr>
              <w:fldChar w:fldCharType="begin"/>
            </w:r>
            <w:r>
              <w:rPr>
                <w:webHidden/>
              </w:rPr>
              <w:instrText xml:space="preserve"> PAGEREF _Toc227145262 \h </w:instrText>
            </w:r>
            <w:r>
              <w:rPr>
                <w:webHidden/>
              </w:rPr>
            </w:r>
            <w:r>
              <w:rPr>
                <w:webHidden/>
              </w:rPr>
              <w:fldChar w:fldCharType="separate"/>
            </w:r>
            <w:r>
              <w:rPr>
                <w:webHidden/>
              </w:rPr>
              <w:t>6</w:t>
            </w:r>
            <w:r>
              <w:rPr>
                <w:webHidden/>
              </w:rPr>
              <w:fldChar w:fldCharType="end"/>
            </w:r>
          </w:hyperlink>
        </w:p>
        <w:p w14:paraId="1C5DD1BF" w14:textId="26956B2A"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63" w:history="1">
            <w:r w:rsidRPr="00AE580A">
              <w:rPr>
                <w:rStyle w:val="Hyperlink"/>
              </w:rPr>
              <w:t>5.</w:t>
            </w:r>
            <w:r>
              <w:rPr>
                <w:rFonts w:asciiTheme="minorHAnsi" w:eastAsiaTheme="minorEastAsia" w:hAnsiTheme="minorHAnsi" w:cstheme="minorBidi"/>
                <w:color w:val="auto"/>
                <w:kern w:val="2"/>
                <w:szCs w:val="24"/>
                <w:lang w:eastAsia="en-GB"/>
                <w14:ligatures w14:val="standardContextual"/>
              </w:rPr>
              <w:tab/>
            </w:r>
            <w:r w:rsidRPr="00AE580A">
              <w:rPr>
                <w:rStyle w:val="Hyperlink"/>
              </w:rPr>
              <w:t>Leasehold Responsibilities</w:t>
            </w:r>
            <w:r>
              <w:rPr>
                <w:webHidden/>
              </w:rPr>
              <w:tab/>
            </w:r>
            <w:r>
              <w:rPr>
                <w:webHidden/>
              </w:rPr>
              <w:fldChar w:fldCharType="begin"/>
            </w:r>
            <w:r>
              <w:rPr>
                <w:webHidden/>
              </w:rPr>
              <w:instrText xml:space="preserve"> PAGEREF _Toc227145263 \h </w:instrText>
            </w:r>
            <w:r>
              <w:rPr>
                <w:webHidden/>
              </w:rPr>
            </w:r>
            <w:r>
              <w:rPr>
                <w:webHidden/>
              </w:rPr>
              <w:fldChar w:fldCharType="separate"/>
            </w:r>
            <w:r>
              <w:rPr>
                <w:webHidden/>
              </w:rPr>
              <w:t>7</w:t>
            </w:r>
            <w:r>
              <w:rPr>
                <w:webHidden/>
              </w:rPr>
              <w:fldChar w:fldCharType="end"/>
            </w:r>
          </w:hyperlink>
        </w:p>
        <w:p w14:paraId="564454B1" w14:textId="35944A21"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4" w:history="1">
            <w:r w:rsidRPr="00AE580A">
              <w:rPr>
                <w:rStyle w:val="Hyperlink"/>
              </w:rPr>
              <w:t>5.1</w:t>
            </w:r>
            <w:r>
              <w:rPr>
                <w:rFonts w:asciiTheme="minorHAnsi" w:eastAsiaTheme="minorEastAsia" w:hAnsiTheme="minorHAnsi" w:cstheme="minorBidi"/>
                <w:color w:val="auto"/>
                <w:kern w:val="2"/>
                <w:szCs w:val="24"/>
                <w:lang w:eastAsia="en-GB"/>
                <w14:ligatures w14:val="standardContextual"/>
              </w:rPr>
              <w:tab/>
            </w:r>
            <w:r w:rsidRPr="00AE580A">
              <w:rPr>
                <w:rStyle w:val="Hyperlink"/>
              </w:rPr>
              <w:t>Processing Applications</w:t>
            </w:r>
            <w:r>
              <w:rPr>
                <w:webHidden/>
              </w:rPr>
              <w:tab/>
            </w:r>
            <w:r>
              <w:rPr>
                <w:webHidden/>
              </w:rPr>
              <w:fldChar w:fldCharType="begin"/>
            </w:r>
            <w:r>
              <w:rPr>
                <w:webHidden/>
              </w:rPr>
              <w:instrText xml:space="preserve"> PAGEREF _Toc227145264 \h </w:instrText>
            </w:r>
            <w:r>
              <w:rPr>
                <w:webHidden/>
              </w:rPr>
            </w:r>
            <w:r>
              <w:rPr>
                <w:webHidden/>
              </w:rPr>
              <w:fldChar w:fldCharType="separate"/>
            </w:r>
            <w:r>
              <w:rPr>
                <w:webHidden/>
              </w:rPr>
              <w:t>7</w:t>
            </w:r>
            <w:r>
              <w:rPr>
                <w:webHidden/>
              </w:rPr>
              <w:fldChar w:fldCharType="end"/>
            </w:r>
          </w:hyperlink>
        </w:p>
        <w:p w14:paraId="1671EF02" w14:textId="57064D7D"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5" w:history="1">
            <w:r w:rsidRPr="00AE580A">
              <w:rPr>
                <w:rStyle w:val="Hyperlink"/>
              </w:rPr>
              <w:t>5.2</w:t>
            </w:r>
            <w:r>
              <w:rPr>
                <w:rFonts w:asciiTheme="minorHAnsi" w:eastAsiaTheme="minorEastAsia" w:hAnsiTheme="minorHAnsi" w:cstheme="minorBidi"/>
                <w:color w:val="auto"/>
                <w:kern w:val="2"/>
                <w:szCs w:val="24"/>
                <w:lang w:eastAsia="en-GB"/>
                <w14:ligatures w14:val="standardContextual"/>
              </w:rPr>
              <w:tab/>
            </w:r>
            <w:r w:rsidRPr="00AE580A">
              <w:rPr>
                <w:rStyle w:val="Hyperlink"/>
              </w:rPr>
              <w:t>Health and Safety</w:t>
            </w:r>
            <w:r>
              <w:rPr>
                <w:webHidden/>
              </w:rPr>
              <w:tab/>
            </w:r>
            <w:r>
              <w:rPr>
                <w:webHidden/>
              </w:rPr>
              <w:fldChar w:fldCharType="begin"/>
            </w:r>
            <w:r>
              <w:rPr>
                <w:webHidden/>
              </w:rPr>
              <w:instrText xml:space="preserve"> PAGEREF _Toc227145265 \h </w:instrText>
            </w:r>
            <w:r>
              <w:rPr>
                <w:webHidden/>
              </w:rPr>
            </w:r>
            <w:r>
              <w:rPr>
                <w:webHidden/>
              </w:rPr>
              <w:fldChar w:fldCharType="separate"/>
            </w:r>
            <w:r>
              <w:rPr>
                <w:webHidden/>
              </w:rPr>
              <w:t>7</w:t>
            </w:r>
            <w:r>
              <w:rPr>
                <w:webHidden/>
              </w:rPr>
              <w:fldChar w:fldCharType="end"/>
            </w:r>
          </w:hyperlink>
        </w:p>
        <w:p w14:paraId="2BEAD800" w14:textId="14679431"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6" w:history="1">
            <w:r w:rsidRPr="00AE580A">
              <w:rPr>
                <w:rStyle w:val="Hyperlink"/>
              </w:rPr>
              <w:t>5.3</w:t>
            </w:r>
            <w:r>
              <w:rPr>
                <w:rFonts w:asciiTheme="minorHAnsi" w:eastAsiaTheme="minorEastAsia" w:hAnsiTheme="minorHAnsi" w:cstheme="minorBidi"/>
                <w:color w:val="auto"/>
                <w:kern w:val="2"/>
                <w:szCs w:val="24"/>
                <w:lang w:eastAsia="en-GB"/>
                <w14:ligatures w14:val="standardContextual"/>
              </w:rPr>
              <w:tab/>
            </w:r>
            <w:r w:rsidRPr="00AE580A">
              <w:rPr>
                <w:rStyle w:val="Hyperlink"/>
              </w:rPr>
              <w:t>Communication</w:t>
            </w:r>
            <w:r>
              <w:rPr>
                <w:webHidden/>
              </w:rPr>
              <w:tab/>
            </w:r>
            <w:r>
              <w:rPr>
                <w:webHidden/>
              </w:rPr>
              <w:fldChar w:fldCharType="begin"/>
            </w:r>
            <w:r>
              <w:rPr>
                <w:webHidden/>
              </w:rPr>
              <w:instrText xml:space="preserve"> PAGEREF _Toc227145266 \h </w:instrText>
            </w:r>
            <w:r>
              <w:rPr>
                <w:webHidden/>
              </w:rPr>
            </w:r>
            <w:r>
              <w:rPr>
                <w:webHidden/>
              </w:rPr>
              <w:fldChar w:fldCharType="separate"/>
            </w:r>
            <w:r>
              <w:rPr>
                <w:webHidden/>
              </w:rPr>
              <w:t>7</w:t>
            </w:r>
            <w:r>
              <w:rPr>
                <w:webHidden/>
              </w:rPr>
              <w:fldChar w:fldCharType="end"/>
            </w:r>
          </w:hyperlink>
        </w:p>
        <w:p w14:paraId="6B6D3B49" w14:textId="550303AE"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7" w:history="1">
            <w:r w:rsidRPr="00AE580A">
              <w:rPr>
                <w:rStyle w:val="Hyperlink"/>
              </w:rPr>
              <w:t>5.4</w:t>
            </w:r>
            <w:r>
              <w:rPr>
                <w:rFonts w:asciiTheme="minorHAnsi" w:eastAsiaTheme="minorEastAsia" w:hAnsiTheme="minorHAnsi" w:cstheme="minorBidi"/>
                <w:color w:val="auto"/>
                <w:kern w:val="2"/>
                <w:szCs w:val="24"/>
                <w:lang w:eastAsia="en-GB"/>
                <w14:ligatures w14:val="standardContextual"/>
              </w:rPr>
              <w:tab/>
            </w:r>
            <w:r w:rsidRPr="00AE580A">
              <w:rPr>
                <w:rStyle w:val="Hyperlink"/>
              </w:rPr>
              <w:t>Enforcement</w:t>
            </w:r>
            <w:r>
              <w:rPr>
                <w:webHidden/>
              </w:rPr>
              <w:tab/>
            </w:r>
            <w:r>
              <w:rPr>
                <w:webHidden/>
              </w:rPr>
              <w:fldChar w:fldCharType="begin"/>
            </w:r>
            <w:r>
              <w:rPr>
                <w:webHidden/>
              </w:rPr>
              <w:instrText xml:space="preserve"> PAGEREF _Toc227145267 \h </w:instrText>
            </w:r>
            <w:r>
              <w:rPr>
                <w:webHidden/>
              </w:rPr>
            </w:r>
            <w:r>
              <w:rPr>
                <w:webHidden/>
              </w:rPr>
              <w:fldChar w:fldCharType="separate"/>
            </w:r>
            <w:r>
              <w:rPr>
                <w:webHidden/>
              </w:rPr>
              <w:t>7</w:t>
            </w:r>
            <w:r>
              <w:rPr>
                <w:webHidden/>
              </w:rPr>
              <w:fldChar w:fldCharType="end"/>
            </w:r>
          </w:hyperlink>
        </w:p>
        <w:p w14:paraId="58883DB4" w14:textId="7509577C"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68" w:history="1">
            <w:r w:rsidRPr="00AE580A">
              <w:rPr>
                <w:rStyle w:val="Hyperlink"/>
                <w:lang w:val="en-US"/>
              </w:rPr>
              <w:t>6.</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Tenant and Licensee Responsibilities</w:t>
            </w:r>
            <w:r>
              <w:rPr>
                <w:webHidden/>
              </w:rPr>
              <w:tab/>
            </w:r>
            <w:r>
              <w:rPr>
                <w:webHidden/>
              </w:rPr>
              <w:fldChar w:fldCharType="begin"/>
            </w:r>
            <w:r>
              <w:rPr>
                <w:webHidden/>
              </w:rPr>
              <w:instrText xml:space="preserve"> PAGEREF _Toc227145268 \h </w:instrText>
            </w:r>
            <w:r>
              <w:rPr>
                <w:webHidden/>
              </w:rPr>
            </w:r>
            <w:r>
              <w:rPr>
                <w:webHidden/>
              </w:rPr>
              <w:fldChar w:fldCharType="separate"/>
            </w:r>
            <w:r>
              <w:rPr>
                <w:webHidden/>
              </w:rPr>
              <w:t>7</w:t>
            </w:r>
            <w:r>
              <w:rPr>
                <w:webHidden/>
              </w:rPr>
              <w:fldChar w:fldCharType="end"/>
            </w:r>
          </w:hyperlink>
        </w:p>
        <w:p w14:paraId="7DB408AA" w14:textId="599C8938"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69" w:history="1">
            <w:r w:rsidRPr="00AE580A">
              <w:rPr>
                <w:rStyle w:val="Hyperlink"/>
              </w:rPr>
              <w:t>6.1</w:t>
            </w:r>
            <w:r>
              <w:rPr>
                <w:rFonts w:asciiTheme="minorHAnsi" w:eastAsiaTheme="minorEastAsia" w:hAnsiTheme="minorHAnsi" w:cstheme="minorBidi"/>
                <w:color w:val="auto"/>
                <w:kern w:val="2"/>
                <w:szCs w:val="24"/>
                <w:lang w:eastAsia="en-GB"/>
                <w14:ligatures w14:val="standardContextual"/>
              </w:rPr>
              <w:tab/>
            </w:r>
            <w:r w:rsidRPr="00AE580A">
              <w:rPr>
                <w:rStyle w:val="Hyperlink"/>
              </w:rPr>
              <w:t>Leaseholders must:</w:t>
            </w:r>
            <w:r>
              <w:rPr>
                <w:webHidden/>
              </w:rPr>
              <w:tab/>
            </w:r>
            <w:r>
              <w:rPr>
                <w:webHidden/>
              </w:rPr>
              <w:fldChar w:fldCharType="begin"/>
            </w:r>
            <w:r>
              <w:rPr>
                <w:webHidden/>
              </w:rPr>
              <w:instrText xml:space="preserve"> PAGEREF _Toc227145269 \h </w:instrText>
            </w:r>
            <w:r>
              <w:rPr>
                <w:webHidden/>
              </w:rPr>
            </w:r>
            <w:r>
              <w:rPr>
                <w:webHidden/>
              </w:rPr>
              <w:fldChar w:fldCharType="separate"/>
            </w:r>
            <w:r>
              <w:rPr>
                <w:webHidden/>
              </w:rPr>
              <w:t>7</w:t>
            </w:r>
            <w:r>
              <w:rPr>
                <w:webHidden/>
              </w:rPr>
              <w:fldChar w:fldCharType="end"/>
            </w:r>
          </w:hyperlink>
        </w:p>
        <w:p w14:paraId="7EBD5FA2" w14:textId="3D6AE67B"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0" w:history="1">
            <w:r w:rsidRPr="00AE580A">
              <w:rPr>
                <w:rStyle w:val="Hyperlink"/>
              </w:rPr>
              <w:t>6.2</w:t>
            </w:r>
            <w:r>
              <w:rPr>
                <w:rFonts w:asciiTheme="minorHAnsi" w:eastAsiaTheme="minorEastAsia" w:hAnsiTheme="minorHAnsi" w:cstheme="minorBidi"/>
                <w:color w:val="auto"/>
                <w:kern w:val="2"/>
                <w:szCs w:val="24"/>
                <w:lang w:eastAsia="en-GB"/>
                <w14:ligatures w14:val="standardContextual"/>
              </w:rPr>
              <w:tab/>
            </w:r>
            <w:r w:rsidRPr="00AE580A">
              <w:rPr>
                <w:rStyle w:val="Hyperlink"/>
              </w:rPr>
              <w:t>For High-Risk Buildings, Leaseholders must additionally:</w:t>
            </w:r>
            <w:r>
              <w:rPr>
                <w:webHidden/>
              </w:rPr>
              <w:tab/>
            </w:r>
            <w:r>
              <w:rPr>
                <w:webHidden/>
              </w:rPr>
              <w:fldChar w:fldCharType="begin"/>
            </w:r>
            <w:r>
              <w:rPr>
                <w:webHidden/>
              </w:rPr>
              <w:instrText xml:space="preserve"> PAGEREF _Toc227145270 \h </w:instrText>
            </w:r>
            <w:r>
              <w:rPr>
                <w:webHidden/>
              </w:rPr>
            </w:r>
            <w:r>
              <w:rPr>
                <w:webHidden/>
              </w:rPr>
              <w:fldChar w:fldCharType="separate"/>
            </w:r>
            <w:r>
              <w:rPr>
                <w:webHidden/>
              </w:rPr>
              <w:t>8</w:t>
            </w:r>
            <w:r>
              <w:rPr>
                <w:webHidden/>
              </w:rPr>
              <w:fldChar w:fldCharType="end"/>
            </w:r>
          </w:hyperlink>
        </w:p>
        <w:p w14:paraId="420AD00C" w14:textId="5A1B56A4"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1" w:history="1">
            <w:r w:rsidRPr="00AE580A">
              <w:rPr>
                <w:rStyle w:val="Hyperlink"/>
              </w:rPr>
              <w:t>6.3</w:t>
            </w:r>
            <w:r>
              <w:rPr>
                <w:rFonts w:asciiTheme="minorHAnsi" w:eastAsiaTheme="minorEastAsia" w:hAnsiTheme="minorHAnsi" w:cstheme="minorBidi"/>
                <w:color w:val="auto"/>
                <w:kern w:val="2"/>
                <w:szCs w:val="24"/>
                <w:lang w:eastAsia="en-GB"/>
                <w14:ligatures w14:val="standardContextual"/>
              </w:rPr>
              <w:tab/>
            </w:r>
            <w:r w:rsidRPr="00AE580A">
              <w:rPr>
                <w:rStyle w:val="Hyperlink"/>
              </w:rPr>
              <w:t>Liability</w:t>
            </w:r>
            <w:r>
              <w:rPr>
                <w:webHidden/>
              </w:rPr>
              <w:tab/>
            </w:r>
            <w:r>
              <w:rPr>
                <w:webHidden/>
              </w:rPr>
              <w:fldChar w:fldCharType="begin"/>
            </w:r>
            <w:r>
              <w:rPr>
                <w:webHidden/>
              </w:rPr>
              <w:instrText xml:space="preserve"> PAGEREF _Toc227145271 \h </w:instrText>
            </w:r>
            <w:r>
              <w:rPr>
                <w:webHidden/>
              </w:rPr>
            </w:r>
            <w:r>
              <w:rPr>
                <w:webHidden/>
              </w:rPr>
              <w:fldChar w:fldCharType="separate"/>
            </w:r>
            <w:r>
              <w:rPr>
                <w:webHidden/>
              </w:rPr>
              <w:t>8</w:t>
            </w:r>
            <w:r>
              <w:rPr>
                <w:webHidden/>
              </w:rPr>
              <w:fldChar w:fldCharType="end"/>
            </w:r>
          </w:hyperlink>
        </w:p>
        <w:p w14:paraId="33DC427D" w14:textId="214D51B6"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72" w:history="1">
            <w:r w:rsidRPr="00AE580A">
              <w:rPr>
                <w:rStyle w:val="Hyperlink"/>
                <w:lang w:val="en-US"/>
              </w:rPr>
              <w:t>7.</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Overview</w:t>
            </w:r>
            <w:r>
              <w:rPr>
                <w:webHidden/>
              </w:rPr>
              <w:tab/>
            </w:r>
            <w:r>
              <w:rPr>
                <w:webHidden/>
              </w:rPr>
              <w:fldChar w:fldCharType="begin"/>
            </w:r>
            <w:r>
              <w:rPr>
                <w:webHidden/>
              </w:rPr>
              <w:instrText xml:space="preserve"> PAGEREF _Toc227145272 \h </w:instrText>
            </w:r>
            <w:r>
              <w:rPr>
                <w:webHidden/>
              </w:rPr>
            </w:r>
            <w:r>
              <w:rPr>
                <w:webHidden/>
              </w:rPr>
              <w:fldChar w:fldCharType="separate"/>
            </w:r>
            <w:r>
              <w:rPr>
                <w:webHidden/>
              </w:rPr>
              <w:t>8</w:t>
            </w:r>
            <w:r>
              <w:rPr>
                <w:webHidden/>
              </w:rPr>
              <w:fldChar w:fldCharType="end"/>
            </w:r>
          </w:hyperlink>
        </w:p>
        <w:p w14:paraId="23EF7EFE" w14:textId="1650AB25"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73" w:history="1">
            <w:r w:rsidRPr="00AE580A">
              <w:rPr>
                <w:rStyle w:val="Hyperlink"/>
                <w:lang w:val="en-US"/>
              </w:rPr>
              <w:t>8.</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Reasonable grounds for refusing landlord consent</w:t>
            </w:r>
            <w:r>
              <w:rPr>
                <w:webHidden/>
              </w:rPr>
              <w:tab/>
            </w:r>
            <w:r>
              <w:rPr>
                <w:webHidden/>
              </w:rPr>
              <w:fldChar w:fldCharType="begin"/>
            </w:r>
            <w:r>
              <w:rPr>
                <w:webHidden/>
              </w:rPr>
              <w:instrText xml:space="preserve"> PAGEREF _Toc227145273 \h </w:instrText>
            </w:r>
            <w:r>
              <w:rPr>
                <w:webHidden/>
              </w:rPr>
            </w:r>
            <w:r>
              <w:rPr>
                <w:webHidden/>
              </w:rPr>
              <w:fldChar w:fldCharType="separate"/>
            </w:r>
            <w:r>
              <w:rPr>
                <w:webHidden/>
              </w:rPr>
              <w:t>9</w:t>
            </w:r>
            <w:r>
              <w:rPr>
                <w:webHidden/>
              </w:rPr>
              <w:fldChar w:fldCharType="end"/>
            </w:r>
          </w:hyperlink>
        </w:p>
        <w:p w14:paraId="35E797FD" w14:textId="50AABA3F"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4" w:history="1">
            <w:r w:rsidRPr="00AE580A">
              <w:rPr>
                <w:rStyle w:val="Hyperlink"/>
              </w:rPr>
              <w:t>8.1</w:t>
            </w:r>
            <w:r>
              <w:rPr>
                <w:rFonts w:asciiTheme="minorHAnsi" w:eastAsiaTheme="minorEastAsia" w:hAnsiTheme="minorHAnsi" w:cstheme="minorBidi"/>
                <w:color w:val="auto"/>
                <w:kern w:val="2"/>
                <w:szCs w:val="24"/>
                <w:lang w:eastAsia="en-GB"/>
                <w14:ligatures w14:val="standardContextual"/>
              </w:rPr>
              <w:tab/>
            </w:r>
            <w:r w:rsidRPr="00AE580A">
              <w:rPr>
                <w:rStyle w:val="Hyperlink"/>
              </w:rPr>
              <w:t>Water Pumps</w:t>
            </w:r>
            <w:r>
              <w:rPr>
                <w:webHidden/>
              </w:rPr>
              <w:tab/>
            </w:r>
            <w:r>
              <w:rPr>
                <w:webHidden/>
              </w:rPr>
              <w:fldChar w:fldCharType="begin"/>
            </w:r>
            <w:r>
              <w:rPr>
                <w:webHidden/>
              </w:rPr>
              <w:instrText xml:space="preserve"> PAGEREF _Toc227145274 \h </w:instrText>
            </w:r>
            <w:r>
              <w:rPr>
                <w:webHidden/>
              </w:rPr>
            </w:r>
            <w:r>
              <w:rPr>
                <w:webHidden/>
              </w:rPr>
              <w:fldChar w:fldCharType="separate"/>
            </w:r>
            <w:r>
              <w:rPr>
                <w:webHidden/>
              </w:rPr>
              <w:t>9</w:t>
            </w:r>
            <w:r>
              <w:rPr>
                <w:webHidden/>
              </w:rPr>
              <w:fldChar w:fldCharType="end"/>
            </w:r>
          </w:hyperlink>
        </w:p>
        <w:p w14:paraId="10BE83DA" w14:textId="69E34E7F"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5" w:history="1">
            <w:r w:rsidRPr="00AE580A">
              <w:rPr>
                <w:rStyle w:val="Hyperlink"/>
                <w:rFonts w:eastAsia="Arial"/>
              </w:rPr>
              <w:t>8.2</w:t>
            </w:r>
            <w:r>
              <w:rPr>
                <w:rFonts w:asciiTheme="minorHAnsi" w:eastAsiaTheme="minorEastAsia" w:hAnsiTheme="minorHAnsi" w:cstheme="minorBidi"/>
                <w:color w:val="auto"/>
                <w:kern w:val="2"/>
                <w:szCs w:val="24"/>
                <w:lang w:eastAsia="en-GB"/>
                <w14:ligatures w14:val="standardContextual"/>
              </w:rPr>
              <w:tab/>
            </w:r>
            <w:r w:rsidRPr="00AE580A">
              <w:rPr>
                <w:rStyle w:val="Hyperlink"/>
                <w:rFonts w:eastAsia="Arial"/>
              </w:rPr>
              <w:t>Air Vents / Air Condition Units</w:t>
            </w:r>
            <w:r>
              <w:rPr>
                <w:webHidden/>
              </w:rPr>
              <w:tab/>
            </w:r>
            <w:r>
              <w:rPr>
                <w:webHidden/>
              </w:rPr>
              <w:fldChar w:fldCharType="begin"/>
            </w:r>
            <w:r>
              <w:rPr>
                <w:webHidden/>
              </w:rPr>
              <w:instrText xml:space="preserve"> PAGEREF _Toc227145275 \h </w:instrText>
            </w:r>
            <w:r>
              <w:rPr>
                <w:webHidden/>
              </w:rPr>
            </w:r>
            <w:r>
              <w:rPr>
                <w:webHidden/>
              </w:rPr>
              <w:fldChar w:fldCharType="separate"/>
            </w:r>
            <w:r>
              <w:rPr>
                <w:webHidden/>
              </w:rPr>
              <w:t>9</w:t>
            </w:r>
            <w:r>
              <w:rPr>
                <w:webHidden/>
              </w:rPr>
              <w:fldChar w:fldCharType="end"/>
            </w:r>
          </w:hyperlink>
        </w:p>
        <w:p w14:paraId="77D50BD9" w14:textId="5B7F9259"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6" w:history="1">
            <w:r w:rsidRPr="00AE580A">
              <w:rPr>
                <w:rStyle w:val="Hyperlink"/>
                <w:rFonts w:eastAsia="Arial"/>
              </w:rPr>
              <w:t>8.3</w:t>
            </w:r>
            <w:r>
              <w:rPr>
                <w:rFonts w:asciiTheme="minorHAnsi" w:eastAsiaTheme="minorEastAsia" w:hAnsiTheme="minorHAnsi" w:cstheme="minorBidi"/>
                <w:color w:val="auto"/>
                <w:kern w:val="2"/>
                <w:szCs w:val="24"/>
                <w:lang w:eastAsia="en-GB"/>
                <w14:ligatures w14:val="standardContextual"/>
              </w:rPr>
              <w:tab/>
            </w:r>
            <w:r w:rsidRPr="00AE580A">
              <w:rPr>
                <w:rStyle w:val="Hyperlink"/>
                <w:rFonts w:eastAsia="Arial"/>
              </w:rPr>
              <w:t>Heat Pumps</w:t>
            </w:r>
            <w:r>
              <w:rPr>
                <w:webHidden/>
              </w:rPr>
              <w:tab/>
            </w:r>
            <w:r>
              <w:rPr>
                <w:webHidden/>
              </w:rPr>
              <w:fldChar w:fldCharType="begin"/>
            </w:r>
            <w:r>
              <w:rPr>
                <w:webHidden/>
              </w:rPr>
              <w:instrText xml:space="preserve"> PAGEREF _Toc227145276 \h </w:instrText>
            </w:r>
            <w:r>
              <w:rPr>
                <w:webHidden/>
              </w:rPr>
            </w:r>
            <w:r>
              <w:rPr>
                <w:webHidden/>
              </w:rPr>
              <w:fldChar w:fldCharType="separate"/>
            </w:r>
            <w:r>
              <w:rPr>
                <w:webHidden/>
              </w:rPr>
              <w:t>9</w:t>
            </w:r>
            <w:r>
              <w:rPr>
                <w:webHidden/>
              </w:rPr>
              <w:fldChar w:fldCharType="end"/>
            </w:r>
          </w:hyperlink>
        </w:p>
        <w:p w14:paraId="433472E0" w14:textId="4BA1B089"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7" w:history="1">
            <w:r w:rsidRPr="00AE580A">
              <w:rPr>
                <w:rStyle w:val="Hyperlink"/>
                <w:rFonts w:eastAsia="Arial"/>
              </w:rPr>
              <w:t>8.4</w:t>
            </w:r>
            <w:r>
              <w:rPr>
                <w:rFonts w:asciiTheme="minorHAnsi" w:eastAsiaTheme="minorEastAsia" w:hAnsiTheme="minorHAnsi" w:cstheme="minorBidi"/>
                <w:color w:val="auto"/>
                <w:kern w:val="2"/>
                <w:szCs w:val="24"/>
                <w:lang w:eastAsia="en-GB"/>
                <w14:ligatures w14:val="standardContextual"/>
              </w:rPr>
              <w:tab/>
            </w:r>
            <w:r w:rsidRPr="00AE580A">
              <w:rPr>
                <w:rStyle w:val="Hyperlink"/>
                <w:rFonts w:eastAsia="Arial"/>
              </w:rPr>
              <w:t>Solar Panels</w:t>
            </w:r>
            <w:r>
              <w:rPr>
                <w:webHidden/>
              </w:rPr>
              <w:tab/>
            </w:r>
            <w:r>
              <w:rPr>
                <w:webHidden/>
              </w:rPr>
              <w:fldChar w:fldCharType="begin"/>
            </w:r>
            <w:r>
              <w:rPr>
                <w:webHidden/>
              </w:rPr>
              <w:instrText xml:space="preserve"> PAGEREF _Toc227145277 \h </w:instrText>
            </w:r>
            <w:r>
              <w:rPr>
                <w:webHidden/>
              </w:rPr>
            </w:r>
            <w:r>
              <w:rPr>
                <w:webHidden/>
              </w:rPr>
              <w:fldChar w:fldCharType="separate"/>
            </w:r>
            <w:r>
              <w:rPr>
                <w:webHidden/>
              </w:rPr>
              <w:t>9</w:t>
            </w:r>
            <w:r>
              <w:rPr>
                <w:webHidden/>
              </w:rPr>
              <w:fldChar w:fldCharType="end"/>
            </w:r>
          </w:hyperlink>
        </w:p>
        <w:p w14:paraId="4E27DCB5" w14:textId="7A1DAFE5"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8" w:history="1">
            <w:r w:rsidRPr="00AE580A">
              <w:rPr>
                <w:rStyle w:val="Hyperlink"/>
                <w:rFonts w:eastAsia="Arial"/>
              </w:rPr>
              <w:t>8.5</w:t>
            </w:r>
            <w:r>
              <w:rPr>
                <w:rFonts w:asciiTheme="minorHAnsi" w:eastAsiaTheme="minorEastAsia" w:hAnsiTheme="minorHAnsi" w:cstheme="minorBidi"/>
                <w:color w:val="auto"/>
                <w:kern w:val="2"/>
                <w:szCs w:val="24"/>
                <w:lang w:eastAsia="en-GB"/>
                <w14:ligatures w14:val="standardContextual"/>
              </w:rPr>
              <w:tab/>
            </w:r>
            <w:r w:rsidRPr="00AE580A">
              <w:rPr>
                <w:rStyle w:val="Hyperlink"/>
                <w:rFonts w:eastAsia="Arial"/>
              </w:rPr>
              <w:t>Electric Vehicle Charging Points</w:t>
            </w:r>
            <w:r>
              <w:rPr>
                <w:webHidden/>
              </w:rPr>
              <w:tab/>
            </w:r>
            <w:r>
              <w:rPr>
                <w:webHidden/>
              </w:rPr>
              <w:fldChar w:fldCharType="begin"/>
            </w:r>
            <w:r>
              <w:rPr>
                <w:webHidden/>
              </w:rPr>
              <w:instrText xml:space="preserve"> PAGEREF _Toc227145278 \h </w:instrText>
            </w:r>
            <w:r>
              <w:rPr>
                <w:webHidden/>
              </w:rPr>
            </w:r>
            <w:r>
              <w:rPr>
                <w:webHidden/>
              </w:rPr>
              <w:fldChar w:fldCharType="separate"/>
            </w:r>
            <w:r>
              <w:rPr>
                <w:webHidden/>
              </w:rPr>
              <w:t>10</w:t>
            </w:r>
            <w:r>
              <w:rPr>
                <w:webHidden/>
              </w:rPr>
              <w:fldChar w:fldCharType="end"/>
            </w:r>
          </w:hyperlink>
        </w:p>
        <w:p w14:paraId="6A4AE3B8" w14:textId="5C5299C4"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79" w:history="1">
            <w:r w:rsidRPr="00AE580A">
              <w:rPr>
                <w:rStyle w:val="Hyperlink"/>
              </w:rPr>
              <w:t>8.6</w:t>
            </w:r>
            <w:r>
              <w:rPr>
                <w:rFonts w:asciiTheme="minorHAnsi" w:eastAsiaTheme="minorEastAsia" w:hAnsiTheme="minorHAnsi" w:cstheme="minorBidi"/>
                <w:color w:val="auto"/>
                <w:kern w:val="2"/>
                <w:szCs w:val="24"/>
                <w:lang w:eastAsia="en-GB"/>
                <w14:ligatures w14:val="standardContextual"/>
              </w:rPr>
              <w:tab/>
            </w:r>
            <w:r w:rsidRPr="00AE580A">
              <w:rPr>
                <w:rStyle w:val="Hyperlink"/>
              </w:rPr>
              <w:t>Boundary Wall (extensions)</w:t>
            </w:r>
            <w:r>
              <w:rPr>
                <w:webHidden/>
              </w:rPr>
              <w:tab/>
            </w:r>
            <w:r>
              <w:rPr>
                <w:webHidden/>
              </w:rPr>
              <w:fldChar w:fldCharType="begin"/>
            </w:r>
            <w:r>
              <w:rPr>
                <w:webHidden/>
              </w:rPr>
              <w:instrText xml:space="preserve"> PAGEREF _Toc227145279 \h </w:instrText>
            </w:r>
            <w:r>
              <w:rPr>
                <w:webHidden/>
              </w:rPr>
            </w:r>
            <w:r>
              <w:rPr>
                <w:webHidden/>
              </w:rPr>
              <w:fldChar w:fldCharType="separate"/>
            </w:r>
            <w:r>
              <w:rPr>
                <w:webHidden/>
              </w:rPr>
              <w:t>10</w:t>
            </w:r>
            <w:r>
              <w:rPr>
                <w:webHidden/>
              </w:rPr>
              <w:fldChar w:fldCharType="end"/>
            </w:r>
          </w:hyperlink>
        </w:p>
        <w:p w14:paraId="560EED1F" w14:textId="5FE9084B"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0" w:history="1">
            <w:r w:rsidRPr="00AE580A">
              <w:rPr>
                <w:rStyle w:val="Hyperlink"/>
              </w:rPr>
              <w:t>8.7</w:t>
            </w:r>
            <w:r>
              <w:rPr>
                <w:rFonts w:asciiTheme="minorHAnsi" w:eastAsiaTheme="minorEastAsia" w:hAnsiTheme="minorHAnsi" w:cstheme="minorBidi"/>
                <w:color w:val="auto"/>
                <w:kern w:val="2"/>
                <w:szCs w:val="24"/>
                <w:lang w:eastAsia="en-GB"/>
                <w14:ligatures w14:val="standardContextual"/>
              </w:rPr>
              <w:tab/>
            </w:r>
            <w:r w:rsidRPr="00AE580A">
              <w:rPr>
                <w:rStyle w:val="Hyperlink"/>
              </w:rPr>
              <w:t>Underfloor Heating Systems</w:t>
            </w:r>
            <w:r>
              <w:rPr>
                <w:webHidden/>
              </w:rPr>
              <w:tab/>
            </w:r>
            <w:r>
              <w:rPr>
                <w:webHidden/>
              </w:rPr>
              <w:fldChar w:fldCharType="begin"/>
            </w:r>
            <w:r>
              <w:rPr>
                <w:webHidden/>
              </w:rPr>
              <w:instrText xml:space="preserve"> PAGEREF _Toc227145280 \h </w:instrText>
            </w:r>
            <w:r>
              <w:rPr>
                <w:webHidden/>
              </w:rPr>
            </w:r>
            <w:r>
              <w:rPr>
                <w:webHidden/>
              </w:rPr>
              <w:fldChar w:fldCharType="separate"/>
            </w:r>
            <w:r>
              <w:rPr>
                <w:webHidden/>
              </w:rPr>
              <w:t>10</w:t>
            </w:r>
            <w:r>
              <w:rPr>
                <w:webHidden/>
              </w:rPr>
              <w:fldChar w:fldCharType="end"/>
            </w:r>
          </w:hyperlink>
        </w:p>
        <w:p w14:paraId="15ABB1F4" w14:textId="56C6646A"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1" w:history="1">
            <w:r w:rsidRPr="00AE580A">
              <w:rPr>
                <w:rStyle w:val="Hyperlink"/>
              </w:rPr>
              <w:t>8.8</w:t>
            </w:r>
            <w:r>
              <w:rPr>
                <w:rFonts w:asciiTheme="minorHAnsi" w:eastAsiaTheme="minorEastAsia" w:hAnsiTheme="minorHAnsi" w:cstheme="minorBidi"/>
                <w:color w:val="auto"/>
                <w:kern w:val="2"/>
                <w:szCs w:val="24"/>
                <w:lang w:eastAsia="en-GB"/>
                <w14:ligatures w14:val="standardContextual"/>
              </w:rPr>
              <w:tab/>
            </w:r>
            <w:r w:rsidRPr="00AE580A">
              <w:rPr>
                <w:rStyle w:val="Hyperlink"/>
              </w:rPr>
              <w:t>Mist Water System</w:t>
            </w:r>
            <w:r>
              <w:rPr>
                <w:webHidden/>
              </w:rPr>
              <w:tab/>
            </w:r>
            <w:r>
              <w:rPr>
                <w:webHidden/>
              </w:rPr>
              <w:fldChar w:fldCharType="begin"/>
            </w:r>
            <w:r>
              <w:rPr>
                <w:webHidden/>
              </w:rPr>
              <w:instrText xml:space="preserve"> PAGEREF _Toc227145281 \h </w:instrText>
            </w:r>
            <w:r>
              <w:rPr>
                <w:webHidden/>
              </w:rPr>
            </w:r>
            <w:r>
              <w:rPr>
                <w:webHidden/>
              </w:rPr>
              <w:fldChar w:fldCharType="separate"/>
            </w:r>
            <w:r>
              <w:rPr>
                <w:webHidden/>
              </w:rPr>
              <w:t>10</w:t>
            </w:r>
            <w:r>
              <w:rPr>
                <w:webHidden/>
              </w:rPr>
              <w:fldChar w:fldCharType="end"/>
            </w:r>
          </w:hyperlink>
        </w:p>
        <w:p w14:paraId="76D6A27F" w14:textId="6EA35126"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2" w:history="1">
            <w:r w:rsidRPr="00AE580A">
              <w:rPr>
                <w:rStyle w:val="Hyperlink"/>
              </w:rPr>
              <w:t>8.9</w:t>
            </w:r>
            <w:r>
              <w:rPr>
                <w:rFonts w:asciiTheme="minorHAnsi" w:eastAsiaTheme="minorEastAsia" w:hAnsiTheme="minorHAnsi" w:cstheme="minorBidi"/>
                <w:color w:val="auto"/>
                <w:kern w:val="2"/>
                <w:szCs w:val="24"/>
                <w:lang w:eastAsia="en-GB"/>
                <w14:ligatures w14:val="standardContextual"/>
              </w:rPr>
              <w:tab/>
            </w:r>
            <w:r w:rsidRPr="00AE580A">
              <w:rPr>
                <w:rStyle w:val="Hyperlink"/>
              </w:rPr>
              <w:t>Inner Bedrooms</w:t>
            </w:r>
            <w:r>
              <w:rPr>
                <w:webHidden/>
              </w:rPr>
              <w:tab/>
            </w:r>
            <w:r>
              <w:rPr>
                <w:webHidden/>
              </w:rPr>
              <w:fldChar w:fldCharType="begin"/>
            </w:r>
            <w:r>
              <w:rPr>
                <w:webHidden/>
              </w:rPr>
              <w:instrText xml:space="preserve"> PAGEREF _Toc227145282 \h </w:instrText>
            </w:r>
            <w:r>
              <w:rPr>
                <w:webHidden/>
              </w:rPr>
            </w:r>
            <w:r>
              <w:rPr>
                <w:webHidden/>
              </w:rPr>
              <w:fldChar w:fldCharType="separate"/>
            </w:r>
            <w:r>
              <w:rPr>
                <w:webHidden/>
              </w:rPr>
              <w:t>10</w:t>
            </w:r>
            <w:r>
              <w:rPr>
                <w:webHidden/>
              </w:rPr>
              <w:fldChar w:fldCharType="end"/>
            </w:r>
          </w:hyperlink>
        </w:p>
        <w:p w14:paraId="2324DF92" w14:textId="133DB03D"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3" w:history="1">
            <w:r w:rsidRPr="00AE580A">
              <w:rPr>
                <w:rStyle w:val="Hyperlink"/>
              </w:rPr>
              <w:t>8.10</w:t>
            </w:r>
            <w:r>
              <w:rPr>
                <w:rFonts w:asciiTheme="minorHAnsi" w:eastAsiaTheme="minorEastAsia" w:hAnsiTheme="minorHAnsi" w:cstheme="minorBidi"/>
                <w:color w:val="auto"/>
                <w:kern w:val="2"/>
                <w:szCs w:val="24"/>
                <w:lang w:eastAsia="en-GB"/>
                <w14:ligatures w14:val="standardContextual"/>
              </w:rPr>
              <w:tab/>
            </w:r>
            <w:r w:rsidRPr="00AE580A">
              <w:rPr>
                <w:rStyle w:val="Hyperlink"/>
              </w:rPr>
              <w:t>Knock-through’s (De-conversions)</w:t>
            </w:r>
            <w:r>
              <w:rPr>
                <w:webHidden/>
              </w:rPr>
              <w:tab/>
            </w:r>
            <w:r>
              <w:rPr>
                <w:webHidden/>
              </w:rPr>
              <w:fldChar w:fldCharType="begin"/>
            </w:r>
            <w:r>
              <w:rPr>
                <w:webHidden/>
              </w:rPr>
              <w:instrText xml:space="preserve"> PAGEREF _Toc227145283 \h </w:instrText>
            </w:r>
            <w:r>
              <w:rPr>
                <w:webHidden/>
              </w:rPr>
            </w:r>
            <w:r>
              <w:rPr>
                <w:webHidden/>
              </w:rPr>
              <w:fldChar w:fldCharType="separate"/>
            </w:r>
            <w:r>
              <w:rPr>
                <w:webHidden/>
              </w:rPr>
              <w:t>10</w:t>
            </w:r>
            <w:r>
              <w:rPr>
                <w:webHidden/>
              </w:rPr>
              <w:fldChar w:fldCharType="end"/>
            </w:r>
          </w:hyperlink>
        </w:p>
        <w:p w14:paraId="58A19A36" w14:textId="271E2139"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4" w:history="1">
            <w:r w:rsidRPr="00AE580A">
              <w:rPr>
                <w:rStyle w:val="Hyperlink"/>
              </w:rPr>
              <w:t>8.11</w:t>
            </w:r>
            <w:r>
              <w:rPr>
                <w:rFonts w:asciiTheme="minorHAnsi" w:eastAsiaTheme="minorEastAsia" w:hAnsiTheme="minorHAnsi" w:cstheme="minorBidi"/>
                <w:color w:val="auto"/>
                <w:kern w:val="2"/>
                <w:szCs w:val="24"/>
                <w:lang w:eastAsia="en-GB"/>
                <w14:ligatures w14:val="standardContextual"/>
              </w:rPr>
              <w:tab/>
            </w:r>
            <w:r w:rsidRPr="00AE580A">
              <w:rPr>
                <w:rStyle w:val="Hyperlink"/>
              </w:rPr>
              <w:t>Windows</w:t>
            </w:r>
            <w:r>
              <w:rPr>
                <w:webHidden/>
              </w:rPr>
              <w:tab/>
            </w:r>
            <w:r>
              <w:rPr>
                <w:webHidden/>
              </w:rPr>
              <w:fldChar w:fldCharType="begin"/>
            </w:r>
            <w:r>
              <w:rPr>
                <w:webHidden/>
              </w:rPr>
              <w:instrText xml:space="preserve"> PAGEREF _Toc227145284 \h </w:instrText>
            </w:r>
            <w:r>
              <w:rPr>
                <w:webHidden/>
              </w:rPr>
            </w:r>
            <w:r>
              <w:rPr>
                <w:webHidden/>
              </w:rPr>
              <w:fldChar w:fldCharType="separate"/>
            </w:r>
            <w:r>
              <w:rPr>
                <w:webHidden/>
              </w:rPr>
              <w:t>10</w:t>
            </w:r>
            <w:r>
              <w:rPr>
                <w:webHidden/>
              </w:rPr>
              <w:fldChar w:fldCharType="end"/>
            </w:r>
          </w:hyperlink>
        </w:p>
        <w:p w14:paraId="4AA5EFF8" w14:textId="3190775F"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85" w:history="1">
            <w:r w:rsidRPr="00AE580A">
              <w:rPr>
                <w:rStyle w:val="Hyperlink"/>
                <w:lang w:val="en-US"/>
              </w:rPr>
              <w:t>9.</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Breach of Lease</w:t>
            </w:r>
            <w:r>
              <w:rPr>
                <w:webHidden/>
              </w:rPr>
              <w:tab/>
            </w:r>
            <w:r>
              <w:rPr>
                <w:webHidden/>
              </w:rPr>
              <w:fldChar w:fldCharType="begin"/>
            </w:r>
            <w:r>
              <w:rPr>
                <w:webHidden/>
              </w:rPr>
              <w:instrText xml:space="preserve"> PAGEREF _Toc227145285 \h </w:instrText>
            </w:r>
            <w:r>
              <w:rPr>
                <w:webHidden/>
              </w:rPr>
            </w:r>
            <w:r>
              <w:rPr>
                <w:webHidden/>
              </w:rPr>
              <w:fldChar w:fldCharType="separate"/>
            </w:r>
            <w:r>
              <w:rPr>
                <w:webHidden/>
              </w:rPr>
              <w:t>10</w:t>
            </w:r>
            <w:r>
              <w:rPr>
                <w:webHidden/>
              </w:rPr>
              <w:fldChar w:fldCharType="end"/>
            </w:r>
          </w:hyperlink>
        </w:p>
        <w:p w14:paraId="5AF3DB94" w14:textId="5183FDA3"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86" w:history="1">
            <w:r w:rsidRPr="00AE580A">
              <w:rPr>
                <w:rStyle w:val="Hyperlink"/>
              </w:rPr>
              <w:t>10.</w:t>
            </w:r>
            <w:r>
              <w:rPr>
                <w:rFonts w:asciiTheme="minorHAnsi" w:eastAsiaTheme="minorEastAsia" w:hAnsiTheme="minorHAnsi" w:cstheme="minorBidi"/>
                <w:color w:val="auto"/>
                <w:kern w:val="2"/>
                <w:szCs w:val="24"/>
                <w:lang w:eastAsia="en-GB"/>
                <w14:ligatures w14:val="standardContextual"/>
              </w:rPr>
              <w:tab/>
            </w:r>
            <w:r w:rsidRPr="00AE580A">
              <w:rPr>
                <w:rStyle w:val="Hyperlink"/>
              </w:rPr>
              <w:t>Landlord Consent, Planning Permission &amp; Building Control Consent</w:t>
            </w:r>
            <w:r>
              <w:rPr>
                <w:webHidden/>
              </w:rPr>
              <w:tab/>
            </w:r>
            <w:r>
              <w:rPr>
                <w:webHidden/>
              </w:rPr>
              <w:fldChar w:fldCharType="begin"/>
            </w:r>
            <w:r>
              <w:rPr>
                <w:webHidden/>
              </w:rPr>
              <w:instrText xml:space="preserve"> PAGEREF _Toc227145286 \h </w:instrText>
            </w:r>
            <w:r>
              <w:rPr>
                <w:webHidden/>
              </w:rPr>
            </w:r>
            <w:r>
              <w:rPr>
                <w:webHidden/>
              </w:rPr>
              <w:fldChar w:fldCharType="separate"/>
            </w:r>
            <w:r>
              <w:rPr>
                <w:webHidden/>
              </w:rPr>
              <w:t>11</w:t>
            </w:r>
            <w:r>
              <w:rPr>
                <w:webHidden/>
              </w:rPr>
              <w:fldChar w:fldCharType="end"/>
            </w:r>
          </w:hyperlink>
        </w:p>
        <w:p w14:paraId="583B987A" w14:textId="382C1CA0"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7" w:history="1">
            <w:r w:rsidRPr="00AE580A">
              <w:rPr>
                <w:rStyle w:val="Hyperlink"/>
              </w:rPr>
              <w:t>10.1</w:t>
            </w:r>
            <w:r>
              <w:rPr>
                <w:rFonts w:asciiTheme="minorHAnsi" w:eastAsiaTheme="minorEastAsia" w:hAnsiTheme="minorHAnsi" w:cstheme="minorBidi"/>
                <w:color w:val="auto"/>
                <w:kern w:val="2"/>
                <w:szCs w:val="24"/>
                <w:lang w:eastAsia="en-GB"/>
                <w14:ligatures w14:val="standardContextual"/>
              </w:rPr>
              <w:tab/>
            </w:r>
            <w:r w:rsidRPr="00AE580A">
              <w:rPr>
                <w:rStyle w:val="Hyperlink"/>
              </w:rPr>
              <w:t>Principal criteria for granting landlord permission to leaseholders</w:t>
            </w:r>
            <w:r>
              <w:rPr>
                <w:webHidden/>
              </w:rPr>
              <w:tab/>
            </w:r>
            <w:r>
              <w:rPr>
                <w:webHidden/>
              </w:rPr>
              <w:fldChar w:fldCharType="begin"/>
            </w:r>
            <w:r>
              <w:rPr>
                <w:webHidden/>
              </w:rPr>
              <w:instrText xml:space="preserve"> PAGEREF _Toc227145287 \h </w:instrText>
            </w:r>
            <w:r>
              <w:rPr>
                <w:webHidden/>
              </w:rPr>
            </w:r>
            <w:r>
              <w:rPr>
                <w:webHidden/>
              </w:rPr>
              <w:fldChar w:fldCharType="separate"/>
            </w:r>
            <w:r>
              <w:rPr>
                <w:webHidden/>
              </w:rPr>
              <w:t>12</w:t>
            </w:r>
            <w:r>
              <w:rPr>
                <w:webHidden/>
              </w:rPr>
              <w:fldChar w:fldCharType="end"/>
            </w:r>
          </w:hyperlink>
        </w:p>
        <w:p w14:paraId="015566C0" w14:textId="7DF61B1D"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88" w:history="1">
            <w:r w:rsidRPr="00AE580A">
              <w:rPr>
                <w:rStyle w:val="Hyperlink"/>
              </w:rPr>
              <w:t>11.</w:t>
            </w:r>
            <w:r>
              <w:rPr>
                <w:rFonts w:asciiTheme="minorHAnsi" w:eastAsiaTheme="minorEastAsia" w:hAnsiTheme="minorHAnsi" w:cstheme="minorBidi"/>
                <w:color w:val="auto"/>
                <w:kern w:val="2"/>
                <w:szCs w:val="24"/>
                <w:lang w:eastAsia="en-GB"/>
                <w14:ligatures w14:val="standardContextual"/>
              </w:rPr>
              <w:tab/>
            </w:r>
            <w:r w:rsidRPr="00AE580A">
              <w:rPr>
                <w:rStyle w:val="Hyperlink"/>
              </w:rPr>
              <w:t>Retrospective Permission</w:t>
            </w:r>
            <w:r>
              <w:rPr>
                <w:webHidden/>
              </w:rPr>
              <w:tab/>
            </w:r>
            <w:r>
              <w:rPr>
                <w:webHidden/>
              </w:rPr>
              <w:fldChar w:fldCharType="begin"/>
            </w:r>
            <w:r>
              <w:rPr>
                <w:webHidden/>
              </w:rPr>
              <w:instrText xml:space="preserve"> PAGEREF _Toc227145288 \h </w:instrText>
            </w:r>
            <w:r>
              <w:rPr>
                <w:webHidden/>
              </w:rPr>
            </w:r>
            <w:r>
              <w:rPr>
                <w:webHidden/>
              </w:rPr>
              <w:fldChar w:fldCharType="separate"/>
            </w:r>
            <w:r>
              <w:rPr>
                <w:webHidden/>
              </w:rPr>
              <w:t>12</w:t>
            </w:r>
            <w:r>
              <w:rPr>
                <w:webHidden/>
              </w:rPr>
              <w:fldChar w:fldCharType="end"/>
            </w:r>
          </w:hyperlink>
        </w:p>
        <w:p w14:paraId="445392D7" w14:textId="42179F2B"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89" w:history="1">
            <w:r w:rsidRPr="00AE580A">
              <w:rPr>
                <w:rStyle w:val="Hyperlink"/>
              </w:rPr>
              <w:t>11.1</w:t>
            </w:r>
            <w:r>
              <w:rPr>
                <w:rFonts w:asciiTheme="minorHAnsi" w:eastAsiaTheme="minorEastAsia" w:hAnsiTheme="minorHAnsi" w:cstheme="minorBidi"/>
                <w:color w:val="auto"/>
                <w:kern w:val="2"/>
                <w:szCs w:val="24"/>
                <w:lang w:eastAsia="en-GB"/>
                <w14:ligatures w14:val="standardContextual"/>
              </w:rPr>
              <w:tab/>
            </w:r>
            <w:r w:rsidRPr="00AE580A">
              <w:rPr>
                <w:rStyle w:val="Hyperlink"/>
              </w:rPr>
              <w:t>Charges</w:t>
            </w:r>
            <w:r>
              <w:rPr>
                <w:webHidden/>
              </w:rPr>
              <w:tab/>
            </w:r>
            <w:r>
              <w:rPr>
                <w:webHidden/>
              </w:rPr>
              <w:fldChar w:fldCharType="begin"/>
            </w:r>
            <w:r>
              <w:rPr>
                <w:webHidden/>
              </w:rPr>
              <w:instrText xml:space="preserve"> PAGEREF _Toc227145289 \h </w:instrText>
            </w:r>
            <w:r>
              <w:rPr>
                <w:webHidden/>
              </w:rPr>
            </w:r>
            <w:r>
              <w:rPr>
                <w:webHidden/>
              </w:rPr>
              <w:fldChar w:fldCharType="separate"/>
            </w:r>
            <w:r>
              <w:rPr>
                <w:webHidden/>
              </w:rPr>
              <w:t>12</w:t>
            </w:r>
            <w:r>
              <w:rPr>
                <w:webHidden/>
              </w:rPr>
              <w:fldChar w:fldCharType="end"/>
            </w:r>
          </w:hyperlink>
        </w:p>
        <w:p w14:paraId="553519B2" w14:textId="41AAD3A3" w:rsidR="004939D1" w:rsidRDefault="004939D1">
          <w:pPr>
            <w:pStyle w:val="TOC2"/>
            <w:rPr>
              <w:rFonts w:asciiTheme="minorHAnsi" w:eastAsiaTheme="minorEastAsia" w:hAnsiTheme="minorHAnsi" w:cstheme="minorBidi"/>
              <w:color w:val="auto"/>
              <w:kern w:val="2"/>
              <w:szCs w:val="24"/>
              <w:lang w:eastAsia="en-GB"/>
              <w14:ligatures w14:val="standardContextual"/>
            </w:rPr>
          </w:pPr>
          <w:hyperlink w:anchor="_Toc227145290" w:history="1">
            <w:r w:rsidRPr="00AE580A">
              <w:rPr>
                <w:rStyle w:val="Hyperlink"/>
              </w:rPr>
              <w:t>11.2</w:t>
            </w:r>
            <w:r>
              <w:rPr>
                <w:rFonts w:asciiTheme="minorHAnsi" w:eastAsiaTheme="minorEastAsia" w:hAnsiTheme="minorHAnsi" w:cstheme="minorBidi"/>
                <w:color w:val="auto"/>
                <w:kern w:val="2"/>
                <w:szCs w:val="24"/>
                <w:lang w:eastAsia="en-GB"/>
                <w14:ligatures w14:val="standardContextual"/>
              </w:rPr>
              <w:tab/>
            </w:r>
            <w:r w:rsidRPr="00AE580A">
              <w:rPr>
                <w:rStyle w:val="Hyperlink"/>
              </w:rPr>
              <w:t>Appeals</w:t>
            </w:r>
            <w:r>
              <w:rPr>
                <w:webHidden/>
              </w:rPr>
              <w:tab/>
            </w:r>
            <w:r>
              <w:rPr>
                <w:webHidden/>
              </w:rPr>
              <w:fldChar w:fldCharType="begin"/>
            </w:r>
            <w:r>
              <w:rPr>
                <w:webHidden/>
              </w:rPr>
              <w:instrText xml:space="preserve"> PAGEREF _Toc227145290 \h </w:instrText>
            </w:r>
            <w:r>
              <w:rPr>
                <w:webHidden/>
              </w:rPr>
            </w:r>
            <w:r>
              <w:rPr>
                <w:webHidden/>
              </w:rPr>
              <w:fldChar w:fldCharType="separate"/>
            </w:r>
            <w:r>
              <w:rPr>
                <w:webHidden/>
              </w:rPr>
              <w:t>12</w:t>
            </w:r>
            <w:r>
              <w:rPr>
                <w:webHidden/>
              </w:rPr>
              <w:fldChar w:fldCharType="end"/>
            </w:r>
          </w:hyperlink>
        </w:p>
        <w:p w14:paraId="7127B3ED" w14:textId="1AF33649"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91" w:history="1">
            <w:r w:rsidRPr="00AE580A">
              <w:rPr>
                <w:rStyle w:val="Hyperlink"/>
                <w:lang w:val="en-US"/>
              </w:rPr>
              <w:t>12.</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Fee Structure and Consent</w:t>
            </w:r>
            <w:r>
              <w:rPr>
                <w:webHidden/>
              </w:rPr>
              <w:tab/>
            </w:r>
            <w:r>
              <w:rPr>
                <w:webHidden/>
              </w:rPr>
              <w:fldChar w:fldCharType="begin"/>
            </w:r>
            <w:r>
              <w:rPr>
                <w:webHidden/>
              </w:rPr>
              <w:instrText xml:space="preserve"> PAGEREF _Toc227145291 \h </w:instrText>
            </w:r>
            <w:r>
              <w:rPr>
                <w:webHidden/>
              </w:rPr>
            </w:r>
            <w:r>
              <w:rPr>
                <w:webHidden/>
              </w:rPr>
              <w:fldChar w:fldCharType="separate"/>
            </w:r>
            <w:r>
              <w:rPr>
                <w:webHidden/>
              </w:rPr>
              <w:t>12</w:t>
            </w:r>
            <w:r>
              <w:rPr>
                <w:webHidden/>
              </w:rPr>
              <w:fldChar w:fldCharType="end"/>
            </w:r>
          </w:hyperlink>
        </w:p>
        <w:p w14:paraId="1B2E8B61" w14:textId="7875324B"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92" w:history="1">
            <w:r w:rsidRPr="00AE580A">
              <w:rPr>
                <w:rStyle w:val="Hyperlink"/>
                <w:rFonts w:eastAsia="Arial"/>
              </w:rPr>
              <w:t>13.</w:t>
            </w:r>
            <w:r>
              <w:rPr>
                <w:rFonts w:asciiTheme="minorHAnsi" w:eastAsiaTheme="minorEastAsia" w:hAnsiTheme="minorHAnsi" w:cstheme="minorBidi"/>
                <w:color w:val="auto"/>
                <w:kern w:val="2"/>
                <w:szCs w:val="24"/>
                <w:lang w:eastAsia="en-GB"/>
                <w14:ligatures w14:val="standardContextual"/>
              </w:rPr>
              <w:tab/>
            </w:r>
            <w:r w:rsidRPr="00AE580A">
              <w:rPr>
                <w:rStyle w:val="Hyperlink"/>
                <w:rFonts w:eastAsia="Arial"/>
              </w:rPr>
              <w:t>Compensation</w:t>
            </w:r>
            <w:r>
              <w:rPr>
                <w:webHidden/>
              </w:rPr>
              <w:tab/>
            </w:r>
            <w:r>
              <w:rPr>
                <w:webHidden/>
              </w:rPr>
              <w:fldChar w:fldCharType="begin"/>
            </w:r>
            <w:r>
              <w:rPr>
                <w:webHidden/>
              </w:rPr>
              <w:instrText xml:space="preserve"> PAGEREF _Toc227145292 \h </w:instrText>
            </w:r>
            <w:r>
              <w:rPr>
                <w:webHidden/>
              </w:rPr>
            </w:r>
            <w:r>
              <w:rPr>
                <w:webHidden/>
              </w:rPr>
              <w:fldChar w:fldCharType="separate"/>
            </w:r>
            <w:r>
              <w:rPr>
                <w:webHidden/>
              </w:rPr>
              <w:t>13</w:t>
            </w:r>
            <w:r>
              <w:rPr>
                <w:webHidden/>
              </w:rPr>
              <w:fldChar w:fldCharType="end"/>
            </w:r>
          </w:hyperlink>
        </w:p>
        <w:p w14:paraId="63A5BA83" w14:textId="750DAB54"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93" w:history="1">
            <w:r w:rsidRPr="00AE580A">
              <w:rPr>
                <w:rStyle w:val="Hyperlink"/>
                <w:lang w:val="en-US"/>
              </w:rPr>
              <w:t>14.</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Disputed Valuation</w:t>
            </w:r>
            <w:r>
              <w:rPr>
                <w:webHidden/>
              </w:rPr>
              <w:tab/>
            </w:r>
            <w:r>
              <w:rPr>
                <w:webHidden/>
              </w:rPr>
              <w:fldChar w:fldCharType="begin"/>
            </w:r>
            <w:r>
              <w:rPr>
                <w:webHidden/>
              </w:rPr>
              <w:instrText xml:space="preserve"> PAGEREF _Toc227145293 \h </w:instrText>
            </w:r>
            <w:r>
              <w:rPr>
                <w:webHidden/>
              </w:rPr>
            </w:r>
            <w:r>
              <w:rPr>
                <w:webHidden/>
              </w:rPr>
              <w:fldChar w:fldCharType="separate"/>
            </w:r>
            <w:r>
              <w:rPr>
                <w:webHidden/>
              </w:rPr>
              <w:t>14</w:t>
            </w:r>
            <w:r>
              <w:rPr>
                <w:webHidden/>
              </w:rPr>
              <w:fldChar w:fldCharType="end"/>
            </w:r>
          </w:hyperlink>
        </w:p>
        <w:p w14:paraId="67F12F38" w14:textId="54EB776B"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94" w:history="1">
            <w:r w:rsidRPr="00AE580A">
              <w:rPr>
                <w:rStyle w:val="Hyperlink"/>
                <w:lang w:val="en-US"/>
              </w:rPr>
              <w:t>15.</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Monitoring and Governance</w:t>
            </w:r>
            <w:r>
              <w:rPr>
                <w:webHidden/>
              </w:rPr>
              <w:tab/>
            </w:r>
            <w:r>
              <w:rPr>
                <w:webHidden/>
              </w:rPr>
              <w:fldChar w:fldCharType="begin"/>
            </w:r>
            <w:r>
              <w:rPr>
                <w:webHidden/>
              </w:rPr>
              <w:instrText xml:space="preserve"> PAGEREF _Toc227145294 \h </w:instrText>
            </w:r>
            <w:r>
              <w:rPr>
                <w:webHidden/>
              </w:rPr>
            </w:r>
            <w:r>
              <w:rPr>
                <w:webHidden/>
              </w:rPr>
              <w:fldChar w:fldCharType="separate"/>
            </w:r>
            <w:r>
              <w:rPr>
                <w:webHidden/>
              </w:rPr>
              <w:t>14</w:t>
            </w:r>
            <w:r>
              <w:rPr>
                <w:webHidden/>
              </w:rPr>
              <w:fldChar w:fldCharType="end"/>
            </w:r>
          </w:hyperlink>
        </w:p>
        <w:p w14:paraId="2AAD6C4F" w14:textId="0C88AE4D" w:rsidR="004939D1" w:rsidRDefault="004939D1">
          <w:pPr>
            <w:pStyle w:val="TOC1"/>
            <w:rPr>
              <w:rFonts w:asciiTheme="minorHAnsi" w:eastAsiaTheme="minorEastAsia" w:hAnsiTheme="minorHAnsi" w:cstheme="minorBidi"/>
              <w:color w:val="auto"/>
              <w:kern w:val="2"/>
              <w:szCs w:val="24"/>
              <w:lang w:eastAsia="en-GB"/>
              <w14:ligatures w14:val="standardContextual"/>
            </w:rPr>
          </w:pPr>
          <w:hyperlink w:anchor="_Toc227145295" w:history="1">
            <w:r w:rsidRPr="00AE580A">
              <w:rPr>
                <w:rStyle w:val="Hyperlink"/>
                <w:lang w:val="en-US"/>
              </w:rPr>
              <w:t>16.</w:t>
            </w:r>
            <w:r>
              <w:rPr>
                <w:rFonts w:asciiTheme="minorHAnsi" w:eastAsiaTheme="minorEastAsia" w:hAnsiTheme="minorHAnsi" w:cstheme="minorBidi"/>
                <w:color w:val="auto"/>
                <w:kern w:val="2"/>
                <w:szCs w:val="24"/>
                <w:lang w:eastAsia="en-GB"/>
                <w14:ligatures w14:val="standardContextual"/>
              </w:rPr>
              <w:tab/>
            </w:r>
            <w:r w:rsidRPr="00AE580A">
              <w:rPr>
                <w:rStyle w:val="Hyperlink"/>
                <w:lang w:val="en-US"/>
              </w:rPr>
              <w:t>Appendices</w:t>
            </w:r>
            <w:r>
              <w:rPr>
                <w:webHidden/>
              </w:rPr>
              <w:tab/>
            </w:r>
            <w:r>
              <w:rPr>
                <w:webHidden/>
              </w:rPr>
              <w:fldChar w:fldCharType="begin"/>
            </w:r>
            <w:r>
              <w:rPr>
                <w:webHidden/>
              </w:rPr>
              <w:instrText xml:space="preserve"> PAGEREF _Toc227145295 \h </w:instrText>
            </w:r>
            <w:r>
              <w:rPr>
                <w:webHidden/>
              </w:rPr>
            </w:r>
            <w:r>
              <w:rPr>
                <w:webHidden/>
              </w:rPr>
              <w:fldChar w:fldCharType="separate"/>
            </w:r>
            <w:r>
              <w:rPr>
                <w:webHidden/>
              </w:rPr>
              <w:t>14</w:t>
            </w:r>
            <w:r>
              <w:rPr>
                <w:webHidden/>
              </w:rPr>
              <w:fldChar w:fldCharType="end"/>
            </w:r>
          </w:hyperlink>
        </w:p>
        <w:p w14:paraId="1A6BC306" w14:textId="5A20DAEE" w:rsidR="00DC0AA1" w:rsidRDefault="00DC0AA1" w:rsidP="00DC0AA1">
          <w:r>
            <w:rPr>
              <w:b/>
              <w:bCs/>
              <w:noProof/>
            </w:rPr>
            <w:fldChar w:fldCharType="end"/>
          </w:r>
        </w:p>
      </w:sdtContent>
    </w:sdt>
    <w:p w14:paraId="33257274" w14:textId="77777777" w:rsidR="00DC0AA1" w:rsidRPr="002926FB" w:rsidRDefault="00DC0AA1" w:rsidP="00DC1BF1">
      <w:r>
        <w:br w:type="page"/>
      </w:r>
    </w:p>
    <w:p w14:paraId="1B8A30A5" w14:textId="4034F978" w:rsidR="00B846CB" w:rsidRPr="00B846CB" w:rsidRDefault="00B846CB" w:rsidP="00B9401F">
      <w:pPr>
        <w:pStyle w:val="Heading1"/>
      </w:pPr>
      <w:bookmarkStart w:id="1" w:name="_Toc227145254"/>
      <w:r w:rsidRPr="00B846CB">
        <w:lastRenderedPageBreak/>
        <w:t>In</w:t>
      </w:r>
      <w:r w:rsidR="00E84D67">
        <w:t>troduction</w:t>
      </w:r>
      <w:r w:rsidR="000A1BA3">
        <w:t xml:space="preserve"> and Objectives</w:t>
      </w:r>
      <w:bookmarkEnd w:id="1"/>
    </w:p>
    <w:p w14:paraId="0AF3FC41" w14:textId="43448358" w:rsidR="00677E5C" w:rsidRPr="004117B8" w:rsidRDefault="00677E5C" w:rsidP="00677E5C">
      <w:pPr>
        <w:rPr>
          <w:lang w:eastAsia="en-GB"/>
        </w:rPr>
      </w:pPr>
      <w:bookmarkStart w:id="2" w:name="_Hlk60741059"/>
      <w:r w:rsidRPr="004117B8">
        <w:rPr>
          <w:lang w:eastAsia="en-GB"/>
        </w:rPr>
        <w:t>The London Borough of Tower Hamlets recognises that leaseholders may wish to improve their properties through alterations and improvements. This policy establishes a formal framework for granting landlord consent for various types of alterations to leasehold properties.</w:t>
      </w:r>
    </w:p>
    <w:p w14:paraId="4D20EFD4" w14:textId="77777777" w:rsidR="00677E5C" w:rsidRPr="004117B8" w:rsidRDefault="00677E5C" w:rsidP="00677E5C">
      <w:pPr>
        <w:rPr>
          <w:lang w:eastAsia="en-GB"/>
        </w:rPr>
      </w:pPr>
      <w:r w:rsidRPr="004117B8">
        <w:rPr>
          <w:lang w:eastAsia="en-GB"/>
        </w:rPr>
        <w:t>This policy aims to:</w:t>
      </w:r>
    </w:p>
    <w:p w14:paraId="039D63EC" w14:textId="77777777" w:rsidR="00677E5C" w:rsidRPr="000149FC" w:rsidRDefault="00677E5C" w:rsidP="000149FC">
      <w:pPr>
        <w:pStyle w:val="ListBullet"/>
      </w:pPr>
      <w:r w:rsidRPr="000149FC">
        <w:t>Ensure a consistent and fair approach to processing alteration requests</w:t>
      </w:r>
    </w:p>
    <w:p w14:paraId="480F0849" w14:textId="77777777" w:rsidR="00677E5C" w:rsidRPr="000149FC" w:rsidRDefault="00677E5C" w:rsidP="000149FC">
      <w:pPr>
        <w:pStyle w:val="ListBullet"/>
      </w:pPr>
      <w:r w:rsidRPr="000149FC">
        <w:t>Protect the structural integrity and safety of council buildings</w:t>
      </w:r>
    </w:p>
    <w:p w14:paraId="03BDB12A" w14:textId="77777777" w:rsidR="00677E5C" w:rsidRPr="000149FC" w:rsidRDefault="00677E5C" w:rsidP="000149FC">
      <w:pPr>
        <w:pStyle w:val="ListBullet"/>
      </w:pPr>
      <w:r w:rsidRPr="000149FC">
        <w:t>Maintain the aesthetic appearance of estates and buildings</w:t>
      </w:r>
    </w:p>
    <w:p w14:paraId="1F42472A" w14:textId="77777777" w:rsidR="00677E5C" w:rsidRPr="000149FC" w:rsidRDefault="00677E5C" w:rsidP="000149FC">
      <w:pPr>
        <w:pStyle w:val="ListBullet"/>
      </w:pPr>
      <w:r w:rsidRPr="000149FC">
        <w:t>Comply with all relevant legislation and regulations</w:t>
      </w:r>
    </w:p>
    <w:p w14:paraId="4CB0E4DB" w14:textId="77777777" w:rsidR="00677E5C" w:rsidRPr="000149FC" w:rsidRDefault="00677E5C" w:rsidP="000149FC">
      <w:pPr>
        <w:pStyle w:val="ListBullet"/>
      </w:pPr>
      <w:r w:rsidRPr="000149FC">
        <w:t>Balance leaseholders' aspirations with the council's responsibilities as landlord</w:t>
      </w:r>
    </w:p>
    <w:p w14:paraId="39489427" w14:textId="77777777" w:rsidR="00677E5C" w:rsidRPr="000149FC" w:rsidRDefault="00677E5C" w:rsidP="000149FC">
      <w:pPr>
        <w:pStyle w:val="ListBullet"/>
      </w:pPr>
      <w:r w:rsidRPr="000149FC">
        <w:t>Ensure transparency in decision-making processes</w:t>
      </w:r>
    </w:p>
    <w:p w14:paraId="306879E8" w14:textId="77777777" w:rsidR="00677E5C" w:rsidRDefault="00677E5C" w:rsidP="00677E5C">
      <w:pPr>
        <w:rPr>
          <w:lang w:eastAsia="en-GB"/>
        </w:rPr>
      </w:pPr>
      <w:r w:rsidRPr="004117B8">
        <w:rPr>
          <w:lang w:eastAsia="en-GB"/>
        </w:rPr>
        <w:t>Following the implementation of the Building Safety Act 2022, additional requirements now apply to alterations in Higher-Risk Buildings (HRBs). This policy reflects these obligations and ensures compliance with the Building Safety Regulator's requirements.</w:t>
      </w:r>
    </w:p>
    <w:p w14:paraId="3E9B5A41" w14:textId="4BC4794A" w:rsidR="000B43FF" w:rsidRPr="004117B8" w:rsidRDefault="00677E5C" w:rsidP="00677E5C">
      <w:pPr>
        <w:rPr>
          <w:lang w:eastAsia="en-GB"/>
        </w:rPr>
      </w:pPr>
      <w:r>
        <w:rPr>
          <w:lang w:eastAsia="en-GB"/>
        </w:rPr>
        <w:t>Leaseholders are the intended audience for this policy. This policy’s driving purpose is to ensure that buildings remain safe and habitable for everyone, and to ensure that residents are not infringed upon by their neighbours through the outcome of any alteration.</w:t>
      </w:r>
    </w:p>
    <w:p w14:paraId="31D1D30C" w14:textId="14A5339C" w:rsidR="00B846CB" w:rsidRPr="00B846CB" w:rsidRDefault="00E84D67" w:rsidP="00B846CB">
      <w:pPr>
        <w:pStyle w:val="Heading1"/>
      </w:pPr>
      <w:bookmarkStart w:id="3" w:name="_Toc227145255"/>
      <w:bookmarkEnd w:id="2"/>
      <w:r>
        <w:t>Scope</w:t>
      </w:r>
      <w:bookmarkEnd w:id="3"/>
    </w:p>
    <w:p w14:paraId="7A5D47B2" w14:textId="21F72971" w:rsidR="000149FC" w:rsidRPr="006877FB" w:rsidRDefault="000149FC" w:rsidP="000149FC">
      <w:pPr>
        <w:rPr>
          <w:lang w:eastAsia="en-GB"/>
        </w:rPr>
      </w:pPr>
      <w:r w:rsidRPr="006877FB">
        <w:rPr>
          <w:lang w:eastAsia="en-GB"/>
        </w:rPr>
        <w:t>This policy applies to:</w:t>
      </w:r>
    </w:p>
    <w:p w14:paraId="67946761" w14:textId="77777777" w:rsidR="000149FC" w:rsidRPr="006877FB" w:rsidRDefault="000149FC" w:rsidP="000149FC">
      <w:pPr>
        <w:pStyle w:val="ListBullet"/>
        <w:rPr>
          <w:lang w:eastAsia="en-GB"/>
        </w:rPr>
      </w:pPr>
      <w:r w:rsidRPr="006877FB">
        <w:rPr>
          <w:lang w:eastAsia="en-GB"/>
        </w:rPr>
        <w:t>All residential leasehold properties owned by LBTH</w:t>
      </w:r>
    </w:p>
    <w:p w14:paraId="434EEDD9" w14:textId="77777777" w:rsidR="000149FC" w:rsidRPr="006877FB" w:rsidRDefault="000149FC" w:rsidP="000149FC">
      <w:pPr>
        <w:pStyle w:val="ListBullet"/>
        <w:rPr>
          <w:lang w:eastAsia="en-GB"/>
        </w:rPr>
      </w:pPr>
      <w:r w:rsidRPr="006877FB">
        <w:rPr>
          <w:lang w:eastAsia="en-GB"/>
        </w:rPr>
        <w:t>Alterations to the internal structure and layout of leasehold flats</w:t>
      </w:r>
    </w:p>
    <w:p w14:paraId="4607701A" w14:textId="77777777" w:rsidR="000149FC" w:rsidRPr="006877FB" w:rsidRDefault="000149FC" w:rsidP="000149FC">
      <w:pPr>
        <w:pStyle w:val="ListBullet"/>
        <w:rPr>
          <w:lang w:eastAsia="en-GB"/>
        </w:rPr>
      </w:pPr>
      <w:r w:rsidRPr="006877FB">
        <w:rPr>
          <w:lang w:eastAsia="en-GB"/>
        </w:rPr>
        <w:t>External alterations affecting the building structure or appearance</w:t>
      </w:r>
    </w:p>
    <w:p w14:paraId="26648038" w14:textId="77777777" w:rsidR="000149FC" w:rsidRPr="006877FB" w:rsidRDefault="000149FC" w:rsidP="000149FC">
      <w:pPr>
        <w:pStyle w:val="ListBullet"/>
        <w:rPr>
          <w:lang w:eastAsia="en-GB"/>
        </w:rPr>
      </w:pPr>
      <w:r w:rsidRPr="006877FB">
        <w:rPr>
          <w:lang w:eastAsia="en-GB"/>
        </w:rPr>
        <w:t>Works affecting communal areas or services</w:t>
      </w:r>
    </w:p>
    <w:p w14:paraId="7897B7F6" w14:textId="7A0BB217" w:rsidR="000149FC" w:rsidRPr="006877FB" w:rsidRDefault="000149FC" w:rsidP="000149FC">
      <w:pPr>
        <w:pStyle w:val="ListBullet"/>
        <w:rPr>
          <w:lang w:eastAsia="en-GB"/>
        </w:rPr>
      </w:pPr>
      <w:r w:rsidRPr="006877FB">
        <w:rPr>
          <w:lang w:eastAsia="en-GB"/>
        </w:rPr>
        <w:t>Retrospective applications for unauthorised alterations</w:t>
      </w:r>
      <w:r w:rsidR="00AC6E58">
        <w:rPr>
          <w:lang w:eastAsia="en-GB"/>
        </w:rPr>
        <w:t>.</w:t>
      </w:r>
    </w:p>
    <w:p w14:paraId="6F794D7A" w14:textId="77777777" w:rsidR="000149FC" w:rsidRPr="006877FB" w:rsidRDefault="000149FC" w:rsidP="000149FC">
      <w:pPr>
        <w:rPr>
          <w:lang w:eastAsia="en-GB"/>
        </w:rPr>
      </w:pPr>
      <w:r w:rsidRPr="006877FB">
        <w:rPr>
          <w:lang w:eastAsia="en-GB"/>
        </w:rPr>
        <w:t>This policy does not cover:</w:t>
      </w:r>
    </w:p>
    <w:p w14:paraId="1B9E3DEE" w14:textId="77777777" w:rsidR="000149FC" w:rsidRPr="006877FB" w:rsidRDefault="000149FC" w:rsidP="000149FC">
      <w:pPr>
        <w:pStyle w:val="ListBullet"/>
        <w:rPr>
          <w:lang w:eastAsia="en-GB"/>
        </w:rPr>
      </w:pPr>
      <w:r w:rsidRPr="006877FB">
        <w:rPr>
          <w:lang w:eastAsia="en-GB"/>
        </w:rPr>
        <w:t>Routine repairs and maintenance (covered by lease obligations)</w:t>
      </w:r>
    </w:p>
    <w:p w14:paraId="20BA89A3" w14:textId="77777777" w:rsidR="000149FC" w:rsidRPr="006877FB" w:rsidRDefault="000149FC" w:rsidP="000149FC">
      <w:pPr>
        <w:pStyle w:val="ListBullet"/>
        <w:rPr>
          <w:lang w:eastAsia="en-GB"/>
        </w:rPr>
      </w:pPr>
      <w:r w:rsidRPr="006877FB">
        <w:rPr>
          <w:lang w:eastAsia="en-GB"/>
        </w:rPr>
        <w:t>Works to freehold properties</w:t>
      </w:r>
    </w:p>
    <w:p w14:paraId="570CF14E" w14:textId="42C1A504" w:rsidR="007235F3" w:rsidRDefault="000149FC" w:rsidP="00C906BB">
      <w:pPr>
        <w:pStyle w:val="ListBullet"/>
        <w:rPr>
          <w:lang w:eastAsia="en-GB"/>
        </w:rPr>
      </w:pPr>
      <w:r w:rsidRPr="006877FB">
        <w:rPr>
          <w:lang w:eastAsia="en-GB"/>
        </w:rPr>
        <w:t>Commercial properties</w:t>
      </w:r>
      <w:r w:rsidR="00AC6E58">
        <w:rPr>
          <w:lang w:eastAsia="en-GB"/>
        </w:rPr>
        <w:t>.</w:t>
      </w:r>
    </w:p>
    <w:p w14:paraId="0AA47C70" w14:textId="6EBB3CDE" w:rsidR="00E84D67" w:rsidRDefault="00E84D67" w:rsidP="00E84D67">
      <w:pPr>
        <w:pStyle w:val="Heading1"/>
      </w:pPr>
      <w:bookmarkStart w:id="4" w:name="_Toc227145256"/>
      <w:r>
        <w:t>Statement of Intent</w:t>
      </w:r>
      <w:bookmarkEnd w:id="4"/>
    </w:p>
    <w:p w14:paraId="35537A9D" w14:textId="421DB504" w:rsidR="00132DDD" w:rsidRPr="006877FB" w:rsidRDefault="00132DDD" w:rsidP="00132DDD">
      <w:pPr>
        <w:rPr>
          <w:lang w:eastAsia="en-GB"/>
        </w:rPr>
      </w:pPr>
      <w:r w:rsidRPr="006877FB">
        <w:rPr>
          <w:lang w:eastAsia="en-GB"/>
        </w:rPr>
        <w:t>We acknowledge our legal obligations under Section 19(2) of the Landlord and</w:t>
      </w:r>
      <w:r w:rsidR="00D87962">
        <w:rPr>
          <w:lang w:eastAsia="en-GB"/>
        </w:rPr>
        <w:t xml:space="preserve"> </w:t>
      </w:r>
      <w:r w:rsidRPr="006877FB">
        <w:rPr>
          <w:lang w:eastAsia="en-GB"/>
        </w:rPr>
        <w:t>Tenant Act 1927, which states that consent for alterations cannot be unreasonably withheld.</w:t>
      </w:r>
    </w:p>
    <w:p w14:paraId="5E93ABD4" w14:textId="77777777" w:rsidR="00132DDD" w:rsidRPr="006877FB" w:rsidRDefault="00132DDD" w:rsidP="00132DDD">
      <w:pPr>
        <w:rPr>
          <w:lang w:eastAsia="en-GB"/>
        </w:rPr>
      </w:pPr>
      <w:r w:rsidRPr="006877FB">
        <w:rPr>
          <w:lang w:eastAsia="en-GB"/>
        </w:rPr>
        <w:t>We will:</w:t>
      </w:r>
    </w:p>
    <w:p w14:paraId="6233D934" w14:textId="77777777" w:rsidR="00132DDD" w:rsidRPr="006877FB" w:rsidRDefault="00132DDD" w:rsidP="00132DDD">
      <w:pPr>
        <w:pStyle w:val="ListBullet"/>
        <w:rPr>
          <w:lang w:eastAsia="en-GB"/>
        </w:rPr>
      </w:pPr>
      <w:r w:rsidRPr="006877FB">
        <w:rPr>
          <w:lang w:eastAsia="en-GB"/>
        </w:rPr>
        <w:t>Process all applications fairly and consistently</w:t>
      </w:r>
    </w:p>
    <w:p w14:paraId="7A207D06" w14:textId="77777777" w:rsidR="00132DDD" w:rsidRPr="006877FB" w:rsidRDefault="00132DDD" w:rsidP="00132DDD">
      <w:pPr>
        <w:pStyle w:val="ListBullet"/>
        <w:rPr>
          <w:lang w:eastAsia="en-GB"/>
        </w:rPr>
      </w:pPr>
      <w:r w:rsidRPr="006877FB">
        <w:rPr>
          <w:lang w:eastAsia="en-GB"/>
        </w:rPr>
        <w:t>Not unreasonably withhold consent where alterations meet our criteria</w:t>
      </w:r>
    </w:p>
    <w:p w14:paraId="4B6946EA" w14:textId="77777777" w:rsidR="00132DDD" w:rsidRPr="006877FB" w:rsidRDefault="00132DDD" w:rsidP="00132DDD">
      <w:pPr>
        <w:pStyle w:val="ListBullet"/>
        <w:rPr>
          <w:lang w:eastAsia="en-GB"/>
        </w:rPr>
      </w:pPr>
      <w:r w:rsidRPr="006877FB">
        <w:rPr>
          <w:lang w:eastAsia="en-GB"/>
        </w:rPr>
        <w:t>Provide clear guidance on requirements and procedures</w:t>
      </w:r>
    </w:p>
    <w:p w14:paraId="20D2630A" w14:textId="77777777" w:rsidR="00132DDD" w:rsidRPr="006877FB" w:rsidRDefault="00132DDD" w:rsidP="00132DDD">
      <w:pPr>
        <w:pStyle w:val="ListBullet"/>
        <w:rPr>
          <w:lang w:eastAsia="en-GB"/>
        </w:rPr>
      </w:pPr>
      <w:r w:rsidRPr="006877FB">
        <w:rPr>
          <w:lang w:eastAsia="en-GB"/>
        </w:rPr>
        <w:t>Respond to applications within published timescales</w:t>
      </w:r>
    </w:p>
    <w:p w14:paraId="422E3CEA" w14:textId="77777777" w:rsidR="00132DDD" w:rsidRPr="006877FB" w:rsidRDefault="00132DDD" w:rsidP="00132DDD">
      <w:pPr>
        <w:pStyle w:val="ListBullet"/>
        <w:rPr>
          <w:lang w:eastAsia="en-GB"/>
        </w:rPr>
      </w:pPr>
      <w:r w:rsidRPr="006877FB">
        <w:rPr>
          <w:lang w:eastAsia="en-GB"/>
        </w:rPr>
        <w:lastRenderedPageBreak/>
        <w:t>Ensure all decisions consider health, safety and structural integrity</w:t>
      </w:r>
    </w:p>
    <w:p w14:paraId="17CB11CA" w14:textId="577B4DB9" w:rsidR="00724FEC" w:rsidRDefault="00132DDD" w:rsidP="00C906BB">
      <w:pPr>
        <w:pStyle w:val="ListBullet"/>
        <w:rPr>
          <w:lang w:eastAsia="en-GB"/>
        </w:rPr>
      </w:pPr>
      <w:r w:rsidRPr="006877FB">
        <w:rPr>
          <w:lang w:eastAsia="en-GB"/>
        </w:rPr>
        <w:t>Take enforcement action where unauthorised alterations compromise safety</w:t>
      </w:r>
      <w:r>
        <w:rPr>
          <w:lang w:eastAsia="en-GB"/>
        </w:rPr>
        <w:t>.</w:t>
      </w:r>
    </w:p>
    <w:p w14:paraId="07103235" w14:textId="1E848C05" w:rsidR="00724FEC" w:rsidRDefault="00724FEC" w:rsidP="00724FEC">
      <w:pPr>
        <w:pStyle w:val="Heading1"/>
      </w:pPr>
      <w:bookmarkStart w:id="5" w:name="_Toc227145257"/>
      <w:r>
        <w:t>Definition and classifications</w:t>
      </w:r>
      <w:bookmarkEnd w:id="5"/>
    </w:p>
    <w:p w14:paraId="2F537FC0" w14:textId="48B8C9A2" w:rsidR="007D2518" w:rsidRDefault="009C32D3" w:rsidP="000F7FF2">
      <w:pPr>
        <w:rPr>
          <w:lang w:eastAsia="en-GB"/>
        </w:rPr>
      </w:pPr>
      <w:r>
        <w:rPr>
          <w:lang w:eastAsia="en-GB"/>
        </w:rPr>
        <w:t>There are four types of alteration which this policy covers as follows:</w:t>
      </w:r>
    </w:p>
    <w:p w14:paraId="6E53712E" w14:textId="2295D2A0" w:rsidR="000F7FF2" w:rsidRPr="00485688" w:rsidRDefault="009F5197" w:rsidP="000F7FF2">
      <w:pPr>
        <w:pStyle w:val="Heading2"/>
      </w:pPr>
      <w:bookmarkStart w:id="6" w:name="_Toc227145258"/>
      <w:r>
        <w:t>Minor Internal Alterations</w:t>
      </w:r>
      <w:bookmarkEnd w:id="6"/>
    </w:p>
    <w:p w14:paraId="34E5FEBC" w14:textId="527CFF9A" w:rsidR="00900578" w:rsidRPr="00CC1D7B" w:rsidRDefault="005450EF" w:rsidP="005450EF">
      <w:pPr>
        <w:rPr>
          <w:lang w:val="en-US" w:eastAsia="en-GB"/>
        </w:rPr>
      </w:pPr>
      <w:r>
        <w:t>Minor internal alterations are w</w:t>
      </w:r>
      <w:r w:rsidRPr="00CC6FD2">
        <w:t>orks that maintain the existing layout and structure of the property without affecting the building's fabric or systems. They typically involve replacing existing fixtures with similar items or cosmetic improvements that don't require structural work or building regulations approval. Examples include like-for-like replacement of kitchens and bathrooms, internal redecoration, and replacement of internal doors (excluding fire-rated doors).</w:t>
      </w:r>
    </w:p>
    <w:p w14:paraId="3D9B4FAD" w14:textId="4C7FD5F5" w:rsidR="00CC1D7B" w:rsidRDefault="00E84D67" w:rsidP="00485688">
      <w:pPr>
        <w:pStyle w:val="Heading2"/>
      </w:pPr>
      <w:bookmarkStart w:id="7" w:name="_Toc227145259"/>
      <w:r>
        <w:t xml:space="preserve">Major </w:t>
      </w:r>
      <w:r w:rsidR="00BC5A8F">
        <w:t>I</w:t>
      </w:r>
      <w:r>
        <w:t xml:space="preserve">nternal </w:t>
      </w:r>
      <w:r w:rsidR="00BC5A8F">
        <w:t>A</w:t>
      </w:r>
      <w:r>
        <w:t>lterations</w:t>
      </w:r>
      <w:bookmarkEnd w:id="7"/>
    </w:p>
    <w:p w14:paraId="201BDA1B" w14:textId="342A4600" w:rsidR="00900578" w:rsidRDefault="00E867A0" w:rsidP="00900578">
      <w:r>
        <w:t xml:space="preserve">Major internal alterations are works that </w:t>
      </w:r>
      <w:r w:rsidRPr="00EF1B30">
        <w:t>involve significant changes to the internal configuration or systems of the property but do not affect the structural integrity of the building. They may require building regulations approval and often involve creating new openings in non-structural walls or installing new services. Examples include removal of non-structural walls, installation of en-suite bathrooms, changes to room layouts, installation of new heating systems, and flooring changes such as installing laminate or wooden floors.</w:t>
      </w:r>
    </w:p>
    <w:p w14:paraId="7261A814" w14:textId="3597C156" w:rsidR="00E84D67" w:rsidRDefault="00EC038F" w:rsidP="00E84D67">
      <w:pPr>
        <w:pStyle w:val="Heading2"/>
      </w:pPr>
      <w:bookmarkStart w:id="8" w:name="_Toc227145260"/>
      <w:r>
        <w:t xml:space="preserve">Structural </w:t>
      </w:r>
      <w:r w:rsidR="00BC5A8F">
        <w:t>A</w:t>
      </w:r>
      <w:r>
        <w:t>lterations</w:t>
      </w:r>
      <w:bookmarkEnd w:id="8"/>
    </w:p>
    <w:p w14:paraId="226290A4" w14:textId="126221CB" w:rsidR="00EC038F" w:rsidRPr="003E64B4" w:rsidRDefault="003E64B4" w:rsidP="00EC038F">
      <w:pPr>
        <w:rPr>
          <w:lang w:eastAsia="en-GB"/>
        </w:rPr>
      </w:pPr>
      <w:r>
        <w:t>Structural alterations are w</w:t>
      </w:r>
      <w:r w:rsidRPr="002627D7">
        <w:rPr>
          <w:lang w:eastAsia="en-GB"/>
        </w:rPr>
        <w:t>orks that affect or could potentially affect the structural integrity, stability or load-bearing capacity of the building. They always require structural engineer input and building regulations approval and may impact on the council's future maintenance obligations. Examples include removal of chimney breasts, loft conversions, any changes affecting load-bearing elements, and creation of new window or door openings in external walls.</w:t>
      </w:r>
    </w:p>
    <w:p w14:paraId="29C7887D" w14:textId="617D1069" w:rsidR="00EC038F" w:rsidRDefault="00EC038F" w:rsidP="00EC038F">
      <w:pPr>
        <w:pStyle w:val="Heading2"/>
      </w:pPr>
      <w:bookmarkStart w:id="9" w:name="_Toc227145261"/>
      <w:r>
        <w:t xml:space="preserve">External </w:t>
      </w:r>
      <w:r w:rsidR="00BC5A8F">
        <w:t>A</w:t>
      </w:r>
      <w:r>
        <w:t>lterations</w:t>
      </w:r>
      <w:bookmarkEnd w:id="9"/>
    </w:p>
    <w:p w14:paraId="79516A77" w14:textId="56B094A7" w:rsidR="007C65BC" w:rsidRDefault="003B1DF5" w:rsidP="003B1DF5">
      <w:pPr>
        <w:rPr>
          <w:lang w:eastAsia="en-GB"/>
        </w:rPr>
      </w:pPr>
      <w:r>
        <w:t>External alterations are works that</w:t>
      </w:r>
      <w:r w:rsidRPr="00776F85">
        <w:rPr>
          <w:lang w:eastAsia="en-GB"/>
        </w:rPr>
        <w:t xml:space="preserve"> affect the exterior appearance or fabric of the building, including additions to the external walls or changes to communal areas. They often have implications for the uniform appearance of the building and may require planning permission. Examples include installation of satellite dishes, security cameras, external lighting, window replacements, and construction of conservatories or extensions.</w:t>
      </w:r>
    </w:p>
    <w:p w14:paraId="5826771B" w14:textId="6C11937D" w:rsidR="00EC038F" w:rsidRDefault="00EC038F" w:rsidP="00EC038F">
      <w:pPr>
        <w:pStyle w:val="Heading2"/>
      </w:pPr>
      <w:bookmarkStart w:id="10" w:name="_Toc227145262"/>
      <w:r>
        <w:t>Repair</w:t>
      </w:r>
      <w:bookmarkEnd w:id="10"/>
    </w:p>
    <w:p w14:paraId="336AFC63" w14:textId="14579E0C" w:rsidR="001922E4" w:rsidRPr="00CD620C" w:rsidRDefault="008C2000" w:rsidP="001922E4">
      <w:pPr>
        <w:rPr>
          <w:lang w:eastAsia="en-GB"/>
        </w:rPr>
      </w:pPr>
      <w:r>
        <w:rPr>
          <w:b/>
          <w:bCs/>
          <w:lang w:eastAsia="en-GB"/>
        </w:rPr>
        <w:t>A repair is distinct from an alteration as follows:</w:t>
      </w:r>
      <w:r w:rsidR="00A61189">
        <w:rPr>
          <w:b/>
          <w:bCs/>
          <w:lang w:eastAsia="en-GB"/>
        </w:rPr>
        <w:t xml:space="preserve"> </w:t>
      </w:r>
      <w:r>
        <w:rPr>
          <w:lang w:eastAsia="en-GB"/>
        </w:rPr>
        <w:t xml:space="preserve">A </w:t>
      </w:r>
      <w:r w:rsidR="001922E4" w:rsidRPr="00A0273B">
        <w:rPr>
          <w:lang w:eastAsia="en-GB"/>
        </w:rPr>
        <w:t>repair</w:t>
      </w:r>
      <w:r w:rsidR="001922E4" w:rsidRPr="00197623">
        <w:rPr>
          <w:lang w:eastAsia="en-GB"/>
        </w:rPr>
        <w:t xml:space="preserve"> restores an element to a condition </w:t>
      </w:r>
      <w:r w:rsidR="001922E4" w:rsidRPr="00A0273B">
        <w:rPr>
          <w:lang w:eastAsia="en-GB"/>
        </w:rPr>
        <w:t>reasonably fit for occupation</w:t>
      </w:r>
      <w:r w:rsidR="001922E4">
        <w:rPr>
          <w:lang w:eastAsia="en-GB"/>
        </w:rPr>
        <w:t xml:space="preserve"> through r</w:t>
      </w:r>
      <w:r w:rsidR="001922E4" w:rsidRPr="00197623">
        <w:rPr>
          <w:lang w:eastAsia="en-GB"/>
        </w:rPr>
        <w:t xml:space="preserve">enewal or replacement to remedy a defect without </w:t>
      </w:r>
      <w:r w:rsidR="001922E4" w:rsidRPr="00A0273B">
        <w:rPr>
          <w:lang w:eastAsia="en-GB"/>
        </w:rPr>
        <w:t>materially</w:t>
      </w:r>
      <w:r w:rsidR="001922E4" w:rsidRPr="00197623">
        <w:rPr>
          <w:lang w:eastAsia="en-GB"/>
        </w:rPr>
        <w:t xml:space="preserve"> changing design, layout, specification, or appearance (modern equivalents allowed). An </w:t>
      </w:r>
      <w:r w:rsidR="001922E4" w:rsidRPr="00A0273B">
        <w:rPr>
          <w:lang w:eastAsia="en-GB"/>
        </w:rPr>
        <w:t>alteration</w:t>
      </w:r>
      <w:r w:rsidR="001922E4" w:rsidRPr="00197623">
        <w:rPr>
          <w:lang w:eastAsia="en-GB"/>
        </w:rPr>
        <w:t xml:space="preserve"> changes the design, layout, performance, materials, dimensions, or appearance</w:t>
      </w:r>
      <w:r w:rsidR="001922E4">
        <w:rPr>
          <w:lang w:eastAsia="en-GB"/>
        </w:rPr>
        <w:t xml:space="preserve"> of an element itself, </w:t>
      </w:r>
      <w:r w:rsidR="001922E4" w:rsidRPr="00197623">
        <w:rPr>
          <w:lang w:eastAsia="en-GB"/>
        </w:rPr>
        <w:t xml:space="preserve">and may be a </w:t>
      </w:r>
      <w:r w:rsidR="001922E4" w:rsidRPr="00A0273B">
        <w:rPr>
          <w:lang w:eastAsia="en-GB"/>
        </w:rPr>
        <w:t>material alteration</w:t>
      </w:r>
      <w:r w:rsidR="001922E4" w:rsidRPr="00197623">
        <w:rPr>
          <w:lang w:eastAsia="en-GB"/>
        </w:rPr>
        <w:t xml:space="preserve"> for Building Regulations purposes.</w:t>
      </w:r>
      <w:r w:rsidR="001922E4">
        <w:rPr>
          <w:lang w:eastAsia="en-GB"/>
        </w:rPr>
        <w:t xml:space="preserve"> </w:t>
      </w:r>
      <w:r w:rsidR="001922E4" w:rsidRPr="00A0273B">
        <w:rPr>
          <w:lang w:eastAsia="en-GB"/>
        </w:rPr>
        <w:t>Examples of repair include</w:t>
      </w:r>
      <w:r w:rsidR="001922E4" w:rsidRPr="00197623">
        <w:rPr>
          <w:lang w:eastAsia="en-GB"/>
        </w:rPr>
        <w:t xml:space="preserve"> patching plasterwork; like</w:t>
      </w:r>
      <w:r w:rsidR="001922E4" w:rsidRPr="00197623">
        <w:rPr>
          <w:lang w:eastAsia="en-GB"/>
        </w:rPr>
        <w:noBreakHyphen/>
        <w:t>for</w:t>
      </w:r>
      <w:r w:rsidR="001922E4" w:rsidRPr="00197623">
        <w:rPr>
          <w:lang w:eastAsia="en-GB"/>
        </w:rPr>
        <w:noBreakHyphen/>
        <w:t>like replacement of a failed tap or radiator; renewing a worn internal door to the same spec</w:t>
      </w:r>
      <w:r w:rsidR="001922E4">
        <w:rPr>
          <w:lang w:eastAsia="en-GB"/>
        </w:rPr>
        <w:t>ification. For this reason, repairs do not fall within the scope of this policy.</w:t>
      </w:r>
    </w:p>
    <w:p w14:paraId="101FE956" w14:textId="7BB30689" w:rsidR="00B846CB" w:rsidRDefault="00EC038F" w:rsidP="001922E4">
      <w:pPr>
        <w:pStyle w:val="Heading1"/>
      </w:pPr>
      <w:bookmarkStart w:id="11" w:name="_Toc227145263"/>
      <w:r>
        <w:lastRenderedPageBreak/>
        <w:t>Leasehold Responsibilities</w:t>
      </w:r>
      <w:bookmarkEnd w:id="11"/>
    </w:p>
    <w:p w14:paraId="269A2CFF" w14:textId="75416FEC" w:rsidR="00EC038F" w:rsidRDefault="00F470C4" w:rsidP="00EC038F">
      <w:pPr>
        <w:pStyle w:val="Heading2"/>
      </w:pPr>
      <w:bookmarkStart w:id="12" w:name="_Toc227145264"/>
      <w:r>
        <w:t>Processing Applications</w:t>
      </w:r>
      <w:bookmarkEnd w:id="12"/>
    </w:p>
    <w:p w14:paraId="7481899C" w14:textId="1751DCBE" w:rsidR="00A0040F" w:rsidRPr="002770FA" w:rsidRDefault="00A0040F" w:rsidP="00A0040F">
      <w:pPr>
        <w:pStyle w:val="ListBullet"/>
      </w:pPr>
      <w:r w:rsidRPr="002770FA">
        <w:t xml:space="preserve">Acknowledge applications within </w:t>
      </w:r>
      <w:r>
        <w:t>5</w:t>
      </w:r>
      <w:r w:rsidRPr="002770FA">
        <w:t xml:space="preserve"> working days</w:t>
      </w:r>
    </w:p>
    <w:p w14:paraId="28891398" w14:textId="77777777" w:rsidR="00A0040F" w:rsidRPr="002770FA" w:rsidRDefault="00A0040F" w:rsidP="00A0040F">
      <w:pPr>
        <w:pStyle w:val="ListBullet"/>
      </w:pPr>
      <w:r w:rsidRPr="002770FA">
        <w:t>Provide clear information on requirements and fees</w:t>
      </w:r>
    </w:p>
    <w:p w14:paraId="2DC173AE" w14:textId="77777777" w:rsidR="00A0040F" w:rsidRPr="002770FA" w:rsidRDefault="00A0040F" w:rsidP="00A0040F">
      <w:pPr>
        <w:pStyle w:val="ListBullet"/>
      </w:pPr>
      <w:r w:rsidRPr="002770FA">
        <w:t>Arrange inspections where necessary</w:t>
      </w:r>
    </w:p>
    <w:p w14:paraId="4F66CA11" w14:textId="6FD5EC61" w:rsidR="00EC038F" w:rsidRPr="00A0040F" w:rsidRDefault="00A0040F" w:rsidP="00EC038F">
      <w:pPr>
        <w:pStyle w:val="ListBullet"/>
      </w:pPr>
      <w:r w:rsidRPr="002770FA">
        <w:t>Consult with relevant internal departments</w:t>
      </w:r>
      <w:r w:rsidR="00C906BB">
        <w:t>.</w:t>
      </w:r>
    </w:p>
    <w:p w14:paraId="29C80C9A" w14:textId="5D38DB13" w:rsidR="00EC038F" w:rsidRDefault="00F470C4" w:rsidP="00EC038F">
      <w:pPr>
        <w:pStyle w:val="Heading2"/>
      </w:pPr>
      <w:bookmarkStart w:id="13" w:name="_Toc227145265"/>
      <w:r>
        <w:t>Health and Safety</w:t>
      </w:r>
      <w:bookmarkEnd w:id="13"/>
    </w:p>
    <w:p w14:paraId="64018694" w14:textId="44D77BE1" w:rsidR="00017B13" w:rsidRPr="002770FA" w:rsidRDefault="00017B13" w:rsidP="00017B13">
      <w:pPr>
        <w:pStyle w:val="ListBullet"/>
      </w:pPr>
      <w:r w:rsidRPr="002770FA">
        <w:t>Ensure all approved alterations meet safety standards</w:t>
      </w:r>
      <w:r>
        <w:t xml:space="preserve"> according to this document's Codes of Practice</w:t>
      </w:r>
    </w:p>
    <w:p w14:paraId="2994D4C7" w14:textId="77777777" w:rsidR="00017B13" w:rsidRPr="002770FA" w:rsidRDefault="00017B13" w:rsidP="00017B13">
      <w:pPr>
        <w:pStyle w:val="ListBullet"/>
      </w:pPr>
      <w:r w:rsidRPr="002770FA">
        <w:t>Require compliance with Building Regulations</w:t>
      </w:r>
    </w:p>
    <w:p w14:paraId="4DB3972E" w14:textId="77777777" w:rsidR="00017B13" w:rsidRPr="002770FA" w:rsidRDefault="00017B13" w:rsidP="00017B13">
      <w:pPr>
        <w:pStyle w:val="ListBullet"/>
      </w:pPr>
      <w:r w:rsidRPr="002770FA">
        <w:t>Verify works meet fire safety requirements</w:t>
      </w:r>
    </w:p>
    <w:p w14:paraId="57AA4ED1" w14:textId="7CDA3999" w:rsidR="00EC038F" w:rsidRPr="00017B13" w:rsidRDefault="00017B13" w:rsidP="00EC038F">
      <w:pPr>
        <w:pStyle w:val="ListBullet"/>
      </w:pPr>
      <w:r w:rsidRPr="002770FA">
        <w:t>Protect residents from unsafe alterations</w:t>
      </w:r>
      <w:r w:rsidR="00C906BB">
        <w:t>.</w:t>
      </w:r>
    </w:p>
    <w:p w14:paraId="5BA17ECC" w14:textId="16BF8F6F" w:rsidR="00EC038F" w:rsidRDefault="00F470C4" w:rsidP="00EC038F">
      <w:pPr>
        <w:pStyle w:val="Heading2"/>
      </w:pPr>
      <w:bookmarkStart w:id="14" w:name="_Toc227145266"/>
      <w:r>
        <w:t>Communication</w:t>
      </w:r>
      <w:bookmarkEnd w:id="14"/>
    </w:p>
    <w:p w14:paraId="78968985" w14:textId="24F9983C" w:rsidR="009F74E3" w:rsidRPr="002770FA" w:rsidRDefault="009F74E3" w:rsidP="009F74E3">
      <w:pPr>
        <w:pStyle w:val="ListBullet"/>
      </w:pPr>
      <w:r w:rsidRPr="002770FA">
        <w:t>Maintain clear communication throughout the process</w:t>
      </w:r>
    </w:p>
    <w:p w14:paraId="4226B039" w14:textId="77777777" w:rsidR="009F74E3" w:rsidRPr="002770FA" w:rsidRDefault="009F74E3" w:rsidP="009F74E3">
      <w:pPr>
        <w:pStyle w:val="ListBullet"/>
      </w:pPr>
      <w:r w:rsidRPr="002770FA">
        <w:t>Provide reasons for any refusal</w:t>
      </w:r>
    </w:p>
    <w:p w14:paraId="61434CC0" w14:textId="77777777" w:rsidR="009F74E3" w:rsidRPr="002770FA" w:rsidRDefault="009F74E3" w:rsidP="009F74E3">
      <w:pPr>
        <w:pStyle w:val="ListBullet"/>
      </w:pPr>
      <w:r w:rsidRPr="002770FA">
        <w:t>Offer guidance on acceptable alternatives where possible</w:t>
      </w:r>
    </w:p>
    <w:p w14:paraId="0C6E7504" w14:textId="5AE0A63B" w:rsidR="00363AA3" w:rsidRPr="009F74E3" w:rsidRDefault="009F74E3" w:rsidP="00363AA3">
      <w:pPr>
        <w:pStyle w:val="ListBullet"/>
      </w:pPr>
      <w:r w:rsidRPr="002770FA">
        <w:t>Ensure accessibility of information and processes</w:t>
      </w:r>
      <w:r w:rsidR="00C906BB">
        <w:t>.</w:t>
      </w:r>
    </w:p>
    <w:p w14:paraId="422A11CC" w14:textId="7C80F4AC" w:rsidR="00363AA3" w:rsidRDefault="00F470C4" w:rsidP="00363AA3">
      <w:pPr>
        <w:pStyle w:val="Heading2"/>
      </w:pPr>
      <w:bookmarkStart w:id="15" w:name="_Toc227145267"/>
      <w:r>
        <w:t>Enforcement</w:t>
      </w:r>
      <w:bookmarkEnd w:id="15"/>
    </w:p>
    <w:p w14:paraId="79A6E9A0" w14:textId="4BAA0290" w:rsidR="00891D20" w:rsidRPr="002770FA" w:rsidRDefault="00891D20" w:rsidP="00891D20">
      <w:pPr>
        <w:pStyle w:val="ListBullet"/>
      </w:pPr>
      <w:r w:rsidRPr="002770FA">
        <w:t>Monitor compliance with consent conditions</w:t>
      </w:r>
    </w:p>
    <w:p w14:paraId="135D925E" w14:textId="77777777" w:rsidR="00891D20" w:rsidRPr="002770FA" w:rsidRDefault="00891D20" w:rsidP="00891D20">
      <w:pPr>
        <w:pStyle w:val="ListBullet"/>
      </w:pPr>
      <w:r w:rsidRPr="002770FA">
        <w:t>Take action against unauthorised alterations</w:t>
      </w:r>
    </w:p>
    <w:p w14:paraId="07C4E1B7" w14:textId="77777777" w:rsidR="00891D20" w:rsidRPr="002770FA" w:rsidRDefault="00891D20" w:rsidP="00891D20">
      <w:pPr>
        <w:pStyle w:val="ListBullet"/>
      </w:pPr>
      <w:r w:rsidRPr="002770FA">
        <w:t>Require reinstatement where necessary</w:t>
      </w:r>
    </w:p>
    <w:p w14:paraId="2FDF4966" w14:textId="775604D0" w:rsidR="00363AA3" w:rsidRPr="00891D20" w:rsidRDefault="00891D20" w:rsidP="00363AA3">
      <w:pPr>
        <w:pStyle w:val="ListBullet"/>
      </w:pPr>
      <w:r w:rsidRPr="002770FA">
        <w:t>Use legal remedies for serious breaches</w:t>
      </w:r>
      <w:r w:rsidR="00C906BB">
        <w:t>.</w:t>
      </w:r>
    </w:p>
    <w:p w14:paraId="4A851C92" w14:textId="05EEED78" w:rsidR="00823B9E" w:rsidRPr="00891D20" w:rsidRDefault="00823B9E" w:rsidP="00823B9E">
      <w:pPr>
        <w:pStyle w:val="Heading1"/>
        <w:rPr>
          <w:lang w:val="en-US"/>
        </w:rPr>
      </w:pPr>
      <w:bookmarkStart w:id="16" w:name="_Toc227145268"/>
      <w:r>
        <w:rPr>
          <w:lang w:val="en-US"/>
        </w:rPr>
        <w:t>Tenant and Licensee Responsibilities</w:t>
      </w:r>
      <w:bookmarkEnd w:id="16"/>
    </w:p>
    <w:p w14:paraId="17A032FC" w14:textId="3556A6E3" w:rsidR="00823B9E" w:rsidRDefault="003B2BE9" w:rsidP="00823B9E">
      <w:pPr>
        <w:pStyle w:val="Heading2"/>
      </w:pPr>
      <w:bookmarkStart w:id="17" w:name="_Toc227145269"/>
      <w:r>
        <w:t>Leaseholders must:</w:t>
      </w:r>
      <w:bookmarkEnd w:id="17"/>
    </w:p>
    <w:p w14:paraId="37577FB4" w14:textId="179B4A64" w:rsidR="00A61FC7" w:rsidRPr="0043597E" w:rsidRDefault="00A61FC7" w:rsidP="00A61FC7">
      <w:pPr>
        <w:pStyle w:val="ListBullet"/>
        <w:rPr>
          <w:lang w:eastAsia="en-GB"/>
        </w:rPr>
      </w:pPr>
      <w:r w:rsidRPr="0043597E">
        <w:rPr>
          <w:lang w:eastAsia="en-GB"/>
        </w:rPr>
        <w:t>Obtain written landlord consent before starting any alterations</w:t>
      </w:r>
    </w:p>
    <w:p w14:paraId="32CAEB4B" w14:textId="77777777" w:rsidR="00A61FC7" w:rsidRPr="0043597E" w:rsidRDefault="00A61FC7" w:rsidP="00A61FC7">
      <w:pPr>
        <w:pStyle w:val="ListBullet"/>
        <w:rPr>
          <w:lang w:eastAsia="en-GB"/>
        </w:rPr>
      </w:pPr>
      <w:r w:rsidRPr="0043597E">
        <w:rPr>
          <w:lang w:eastAsia="en-GB"/>
        </w:rPr>
        <w:t>Submit complete applications with all required documentation</w:t>
      </w:r>
      <w:r>
        <w:rPr>
          <w:rStyle w:val="FootnoteReference"/>
          <w:lang w:eastAsia="en-GB"/>
        </w:rPr>
        <w:footnoteReference w:id="2"/>
      </w:r>
    </w:p>
    <w:p w14:paraId="2DB159FD" w14:textId="77777777" w:rsidR="00A61FC7" w:rsidRPr="0043597E" w:rsidRDefault="00A61FC7" w:rsidP="00A61FC7">
      <w:pPr>
        <w:pStyle w:val="ListBullet"/>
        <w:rPr>
          <w:lang w:eastAsia="en-GB"/>
        </w:rPr>
      </w:pPr>
      <w:r w:rsidRPr="0043597E">
        <w:rPr>
          <w:lang w:eastAsia="en-GB"/>
        </w:rPr>
        <w:t>Pay all applicable fees and charges</w:t>
      </w:r>
    </w:p>
    <w:p w14:paraId="07D60C2A" w14:textId="77777777" w:rsidR="00A61FC7" w:rsidRPr="0043597E" w:rsidRDefault="00A61FC7" w:rsidP="00A61FC7">
      <w:pPr>
        <w:pStyle w:val="ListBullet"/>
        <w:rPr>
          <w:lang w:eastAsia="en-GB"/>
        </w:rPr>
      </w:pPr>
      <w:r w:rsidRPr="0043597E">
        <w:rPr>
          <w:lang w:eastAsia="en-GB"/>
        </w:rPr>
        <w:t xml:space="preserve">Obtain all necessary statutory approvals (planning, building control, </w:t>
      </w:r>
      <w:r>
        <w:t>Building Safety Regulator (BSR)</w:t>
      </w:r>
      <w:r w:rsidRPr="0043597E">
        <w:rPr>
          <w:lang w:eastAsia="en-GB"/>
        </w:rPr>
        <w:t>)</w:t>
      </w:r>
    </w:p>
    <w:p w14:paraId="399D6526" w14:textId="77777777" w:rsidR="00A61FC7" w:rsidRPr="0043597E" w:rsidRDefault="00A61FC7" w:rsidP="00A61FC7">
      <w:pPr>
        <w:pStyle w:val="ListBullet"/>
        <w:rPr>
          <w:lang w:eastAsia="en-GB"/>
        </w:rPr>
      </w:pPr>
      <w:r w:rsidRPr="0043597E">
        <w:rPr>
          <w:lang w:eastAsia="en-GB"/>
        </w:rPr>
        <w:t>Use qualified contractors with appropriate insurance</w:t>
      </w:r>
    </w:p>
    <w:p w14:paraId="663E3DFE" w14:textId="77777777" w:rsidR="00A61FC7" w:rsidRPr="0043597E" w:rsidRDefault="00A61FC7" w:rsidP="00A61FC7">
      <w:pPr>
        <w:pStyle w:val="ListBullet"/>
        <w:rPr>
          <w:lang w:eastAsia="en-GB"/>
        </w:rPr>
      </w:pPr>
      <w:r w:rsidRPr="0043597E">
        <w:rPr>
          <w:lang w:eastAsia="en-GB"/>
        </w:rPr>
        <w:t>Comply with all consent conditions</w:t>
      </w:r>
    </w:p>
    <w:p w14:paraId="7CDD1548" w14:textId="77777777" w:rsidR="00A61FC7" w:rsidRPr="0043597E" w:rsidRDefault="00A61FC7" w:rsidP="00A61FC7">
      <w:pPr>
        <w:pStyle w:val="ListBullet"/>
        <w:rPr>
          <w:lang w:eastAsia="en-GB"/>
        </w:rPr>
      </w:pPr>
      <w:r w:rsidRPr="0043597E">
        <w:rPr>
          <w:lang w:eastAsia="en-GB"/>
        </w:rPr>
        <w:t>Allow access for inspections</w:t>
      </w:r>
    </w:p>
    <w:p w14:paraId="48866D75" w14:textId="77777777" w:rsidR="00A61FC7" w:rsidRPr="0043597E" w:rsidRDefault="00A61FC7" w:rsidP="00A61FC7">
      <w:pPr>
        <w:pStyle w:val="ListBullet"/>
        <w:rPr>
          <w:lang w:eastAsia="en-GB"/>
        </w:rPr>
      </w:pPr>
      <w:r w:rsidRPr="0043597E">
        <w:rPr>
          <w:lang w:eastAsia="en-GB"/>
        </w:rPr>
        <w:t>Maintain alterations at their own cost</w:t>
      </w:r>
    </w:p>
    <w:p w14:paraId="6821F68C" w14:textId="77777777" w:rsidR="00A61FC7" w:rsidRDefault="00A61FC7" w:rsidP="00A61FC7">
      <w:pPr>
        <w:pStyle w:val="ListBullet"/>
        <w:rPr>
          <w:lang w:eastAsia="en-GB"/>
        </w:rPr>
      </w:pPr>
      <w:r w:rsidRPr="0043597E">
        <w:rPr>
          <w:lang w:eastAsia="en-GB"/>
        </w:rPr>
        <w:t>Accept liability for any damage caused</w:t>
      </w:r>
    </w:p>
    <w:p w14:paraId="3F2DB916" w14:textId="3A1684E3" w:rsidR="00823B9E" w:rsidRDefault="00A61FC7" w:rsidP="00823B9E">
      <w:pPr>
        <w:pStyle w:val="ListBullet"/>
        <w:rPr>
          <w:lang w:eastAsia="en-GB"/>
        </w:rPr>
      </w:pPr>
      <w:r>
        <w:t>Keep their home in good condition and repair</w:t>
      </w:r>
    </w:p>
    <w:p w14:paraId="3B7BF4B2" w14:textId="5C6A4BA3" w:rsidR="00F06894" w:rsidRDefault="00F06894" w:rsidP="00F06894">
      <w:pPr>
        <w:pStyle w:val="ListBullet"/>
        <w:rPr>
          <w:lang w:eastAsia="en-GB"/>
        </w:rPr>
      </w:pPr>
      <w:r>
        <w:t xml:space="preserve">Not carry out any alterations to their home other than fixtures and fittings without written permission from </w:t>
      </w:r>
      <w:r w:rsidR="00111DF4">
        <w:t>LBTH and</w:t>
      </w:r>
      <w:r>
        <w:t xml:space="preserve"> ask us if in doubt.</w:t>
      </w:r>
    </w:p>
    <w:p w14:paraId="26F86EBA" w14:textId="77777777" w:rsidR="003A5CE0" w:rsidRDefault="003A5CE0" w:rsidP="00111DF4">
      <w:pPr>
        <w:pStyle w:val="ListBullet"/>
        <w:numPr>
          <w:ilvl w:val="0"/>
          <w:numId w:val="0"/>
        </w:numPr>
        <w:rPr>
          <w:lang w:eastAsia="en-GB"/>
        </w:rPr>
      </w:pPr>
    </w:p>
    <w:p w14:paraId="4C81B706" w14:textId="4E74BAED" w:rsidR="00823B9E" w:rsidRDefault="003B2BE9" w:rsidP="00823B9E">
      <w:pPr>
        <w:pStyle w:val="Heading2"/>
      </w:pPr>
      <w:bookmarkStart w:id="18" w:name="_Toc227145270"/>
      <w:r>
        <w:t>For High-Risk Buildings, Leaseholders must additionally:</w:t>
      </w:r>
      <w:bookmarkEnd w:id="18"/>
    </w:p>
    <w:p w14:paraId="104A9888" w14:textId="5D495D18" w:rsidR="00FE2B91" w:rsidRPr="0043597E" w:rsidRDefault="00FE2B91" w:rsidP="00FE2B91">
      <w:pPr>
        <w:pStyle w:val="ListBullet"/>
        <w:rPr>
          <w:lang w:eastAsia="en-GB"/>
        </w:rPr>
      </w:pPr>
      <w:r w:rsidRPr="0043597E">
        <w:rPr>
          <w:lang w:eastAsia="en-GB"/>
        </w:rPr>
        <w:t>Apply to the Building Safety Regulator before commencing works</w:t>
      </w:r>
    </w:p>
    <w:p w14:paraId="18CA562D" w14:textId="77777777" w:rsidR="00FE2B91" w:rsidRPr="0043597E" w:rsidRDefault="00FE2B91" w:rsidP="00FE2B91">
      <w:pPr>
        <w:pStyle w:val="ListBullet"/>
        <w:rPr>
          <w:lang w:eastAsia="en-GB"/>
        </w:rPr>
      </w:pPr>
      <w:r w:rsidRPr="0043597E">
        <w:rPr>
          <w:lang w:eastAsia="en-GB"/>
        </w:rPr>
        <w:t>Not start works until BSR approval is granted</w:t>
      </w:r>
    </w:p>
    <w:p w14:paraId="2EA93356" w14:textId="47C432B3" w:rsidR="00FE2B91" w:rsidRDefault="00FE2B91" w:rsidP="00FE2B91">
      <w:pPr>
        <w:pStyle w:val="ListBullet"/>
        <w:rPr>
          <w:lang w:eastAsia="en-GB"/>
        </w:rPr>
      </w:pPr>
      <w:r w:rsidRPr="0043597E">
        <w:rPr>
          <w:lang w:eastAsia="en-GB"/>
        </w:rPr>
        <w:t xml:space="preserve">Provide BSR approval documentation with their </w:t>
      </w:r>
      <w:r>
        <w:rPr>
          <w:lang w:eastAsia="en-GB"/>
        </w:rPr>
        <w:t xml:space="preserve">retrospective </w:t>
      </w:r>
      <w:r w:rsidRPr="0043597E">
        <w:rPr>
          <w:lang w:eastAsia="en-GB"/>
        </w:rPr>
        <w:t>landlord consent application</w:t>
      </w:r>
      <w:r>
        <w:rPr>
          <w:lang w:eastAsia="en-GB"/>
        </w:rPr>
        <w:t>.</w:t>
      </w:r>
    </w:p>
    <w:p w14:paraId="13A74ED9" w14:textId="17C1D02F" w:rsidR="00823B9E" w:rsidRDefault="003B2BE9" w:rsidP="00823B9E">
      <w:pPr>
        <w:pStyle w:val="Heading2"/>
      </w:pPr>
      <w:bookmarkStart w:id="19" w:name="_Toc227145271"/>
      <w:r>
        <w:t>Liability</w:t>
      </w:r>
      <w:bookmarkEnd w:id="19"/>
    </w:p>
    <w:p w14:paraId="22745FA1" w14:textId="60916FBD" w:rsidR="00823B9E" w:rsidRPr="00B20C10" w:rsidRDefault="00B20C10" w:rsidP="00B20C10">
      <w:pPr>
        <w:pStyle w:val="ListBullet"/>
        <w:numPr>
          <w:ilvl w:val="0"/>
          <w:numId w:val="0"/>
        </w:numPr>
        <w:tabs>
          <w:tab w:val="left" w:pos="1440"/>
        </w:tabs>
      </w:pPr>
      <w:r w:rsidRPr="004552EE">
        <w:t>Consent to alterations is granted on the basis that all risk and costs sit with the leaseholder. The leaseholder is responsible for any unexpected or consequential costs arising during or after the works, including making good damage to their home, the structure or common parts; complying with Building Regulations and any planning requirements; paying the council’s reasonable professional fees connected with the consent; reinstating at their own expense if required; remedying nuisance or noise issues; and carrying appropriate insurance and warranties for the works. The council will not fund or reimburse costs related to alterations.</w:t>
      </w:r>
    </w:p>
    <w:p w14:paraId="4243C54D" w14:textId="5E5C47A9" w:rsidR="00823B9E" w:rsidRDefault="00823B9E" w:rsidP="00823B9E">
      <w:pPr>
        <w:pStyle w:val="Heading1"/>
        <w:rPr>
          <w:lang w:val="en-US"/>
        </w:rPr>
      </w:pPr>
      <w:bookmarkStart w:id="20" w:name="_Toc227145272"/>
      <w:r>
        <w:rPr>
          <w:lang w:val="en-US"/>
        </w:rPr>
        <w:t>Overview</w:t>
      </w:r>
      <w:bookmarkEnd w:id="20"/>
    </w:p>
    <w:p w14:paraId="427B16DF" w14:textId="64CA4CF8" w:rsidR="009A6DB3" w:rsidRDefault="009A6DB3" w:rsidP="009A6DB3">
      <w:pPr>
        <w:pStyle w:val="ListBullet"/>
        <w:numPr>
          <w:ilvl w:val="0"/>
          <w:numId w:val="0"/>
        </w:numPr>
        <w:rPr>
          <w:lang w:eastAsia="en-GB"/>
        </w:rPr>
      </w:pPr>
      <w:r w:rsidRPr="007E5907">
        <w:rPr>
          <w:lang w:eastAsia="en-GB"/>
        </w:rPr>
        <w:t>Residents</w:t>
      </w:r>
      <w:r>
        <w:rPr>
          <w:lang w:eastAsia="en-GB"/>
        </w:rPr>
        <w:t>’</w:t>
      </w:r>
      <w:r w:rsidRPr="007E5907">
        <w:rPr>
          <w:lang w:eastAsia="en-GB"/>
        </w:rPr>
        <w:t xml:space="preserve"> expectations and Council priorities have changed since </w:t>
      </w:r>
      <w:r>
        <w:t xml:space="preserve">2004, </w:t>
      </w:r>
      <w:r w:rsidRPr="007E5907">
        <w:rPr>
          <w:lang w:eastAsia="en-GB"/>
        </w:rPr>
        <w:t>2011 and 20</w:t>
      </w:r>
      <w:r>
        <w:t xml:space="preserve">17 </w:t>
      </w:r>
      <w:r w:rsidRPr="007E5907">
        <w:rPr>
          <w:lang w:eastAsia="en-GB"/>
        </w:rPr>
        <w:t>when policies for leasehold alterations</w:t>
      </w:r>
      <w:r>
        <w:t xml:space="preserve"> were agreed. </w:t>
      </w:r>
      <w:r w:rsidRPr="00821251">
        <w:t>Retaining the polic</w:t>
      </w:r>
      <w:r>
        <w:t xml:space="preserve">y </w:t>
      </w:r>
      <w:r w:rsidRPr="00821251">
        <w:t xml:space="preserve">in the current form would not </w:t>
      </w:r>
      <w:r>
        <w:t xml:space="preserve">fully </w:t>
      </w:r>
      <w:r w:rsidRPr="00821251">
        <w:t>serve the aspiration of the Council and that of the residents. Therefore, it is significant for the Council to refresh its policies to be consistent and equitable to the residents’ expectations and its aspirations</w:t>
      </w:r>
    </w:p>
    <w:p w14:paraId="07293F8F" w14:textId="77777777" w:rsidR="009A6DB3" w:rsidRDefault="009A6DB3" w:rsidP="009A6DB3">
      <w:pPr>
        <w:pStyle w:val="ListBullet"/>
        <w:numPr>
          <w:ilvl w:val="0"/>
          <w:numId w:val="0"/>
        </w:numPr>
        <w:rPr>
          <w:lang w:eastAsia="en-GB"/>
        </w:rPr>
      </w:pPr>
    </w:p>
    <w:p w14:paraId="5477FC8E" w14:textId="77777777" w:rsidR="009A6DB3" w:rsidRDefault="009A6DB3" w:rsidP="009A6DB3">
      <w:pPr>
        <w:pStyle w:val="ListBullet"/>
        <w:numPr>
          <w:ilvl w:val="0"/>
          <w:numId w:val="0"/>
        </w:numPr>
        <w:rPr>
          <w:lang w:eastAsia="en-GB"/>
        </w:rPr>
      </w:pPr>
      <w:r w:rsidRPr="00FA687A">
        <w:rPr>
          <w:lang w:eastAsia="en-GB"/>
        </w:rPr>
        <w:t>Under the terms of their lease, leaseholders can request that the</w:t>
      </w:r>
      <w:r>
        <w:t xml:space="preserve"> </w:t>
      </w:r>
      <w:r w:rsidRPr="00FA687A">
        <w:rPr>
          <w:lang w:eastAsia="en-GB"/>
        </w:rPr>
        <w:t>landlord considers requests for alterations and the Council has a duty to</w:t>
      </w:r>
      <w:r>
        <w:t xml:space="preserve"> </w:t>
      </w:r>
      <w:r w:rsidRPr="00FA687A">
        <w:rPr>
          <w:lang w:eastAsia="en-GB"/>
        </w:rPr>
        <w:t>consider such applications. This allows the Council, like other social landlords,</w:t>
      </w:r>
      <w:r>
        <w:t xml:space="preserve"> </w:t>
      </w:r>
      <w:r w:rsidRPr="00FA687A">
        <w:rPr>
          <w:lang w:eastAsia="en-GB"/>
        </w:rPr>
        <w:t>to manage its assets by preventing unauthorised alterations and</w:t>
      </w:r>
      <w:r>
        <w:t xml:space="preserve"> </w:t>
      </w:r>
      <w:r w:rsidRPr="00FA687A">
        <w:rPr>
          <w:lang w:eastAsia="en-GB"/>
        </w:rPr>
        <w:t>improvements which can adversely affect its buildings both internally and</w:t>
      </w:r>
      <w:r>
        <w:t xml:space="preserve"> </w:t>
      </w:r>
      <w:r w:rsidRPr="00FA687A">
        <w:rPr>
          <w:lang w:eastAsia="en-GB"/>
        </w:rPr>
        <w:t>externally.</w:t>
      </w:r>
    </w:p>
    <w:p w14:paraId="1A20C8DA" w14:textId="77777777" w:rsidR="009A6DB3" w:rsidRDefault="009A6DB3" w:rsidP="009A6DB3">
      <w:pPr>
        <w:pStyle w:val="ListBullet"/>
        <w:numPr>
          <w:ilvl w:val="0"/>
          <w:numId w:val="0"/>
        </w:numPr>
        <w:rPr>
          <w:lang w:eastAsia="en-GB"/>
        </w:rPr>
      </w:pPr>
    </w:p>
    <w:p w14:paraId="76C610EF" w14:textId="77777777" w:rsidR="009A6DB3" w:rsidRDefault="009A6DB3" w:rsidP="009A6DB3">
      <w:pPr>
        <w:pStyle w:val="ListBullet"/>
        <w:numPr>
          <w:ilvl w:val="0"/>
          <w:numId w:val="0"/>
        </w:numPr>
      </w:pPr>
      <w:r w:rsidRPr="00FA687A">
        <w:rPr>
          <w:lang w:eastAsia="en-GB"/>
        </w:rPr>
        <w:t xml:space="preserve">The Council and </w:t>
      </w:r>
      <w:r>
        <w:t xml:space="preserve">Housing Services (formerly THH) continue to be </w:t>
      </w:r>
      <w:r w:rsidRPr="00FA687A">
        <w:rPr>
          <w:lang w:eastAsia="en-GB"/>
        </w:rPr>
        <w:t xml:space="preserve">aware that there are </w:t>
      </w:r>
      <w:r>
        <w:t xml:space="preserve">still </w:t>
      </w:r>
      <w:r w:rsidRPr="00FA687A">
        <w:rPr>
          <w:lang w:eastAsia="en-GB"/>
        </w:rPr>
        <w:t>an increasing number of such unauthorised alterations</w:t>
      </w:r>
      <w:r>
        <w:t xml:space="preserve"> reported through several avenues</w:t>
      </w:r>
      <w:r w:rsidRPr="00FA687A">
        <w:rPr>
          <w:lang w:eastAsia="en-GB"/>
        </w:rPr>
        <w:t>.</w:t>
      </w:r>
      <w:r>
        <w:t xml:space="preserve"> </w:t>
      </w:r>
      <w:r w:rsidRPr="00FA687A">
        <w:rPr>
          <w:lang w:eastAsia="en-GB"/>
        </w:rPr>
        <w:t xml:space="preserve">Therefore, the Council has reviewed its approach to give </w:t>
      </w:r>
      <w:r>
        <w:t xml:space="preserve">further </w:t>
      </w:r>
      <w:r w:rsidRPr="00FA687A">
        <w:rPr>
          <w:lang w:eastAsia="en-GB"/>
        </w:rPr>
        <w:t>clear guidance as to</w:t>
      </w:r>
      <w:r>
        <w:t xml:space="preserve"> </w:t>
      </w:r>
      <w:r w:rsidRPr="00FA687A">
        <w:rPr>
          <w:lang w:eastAsia="en-GB"/>
        </w:rPr>
        <w:t>what type of alterations is acceptable and prevent the increase in</w:t>
      </w:r>
      <w:r>
        <w:t xml:space="preserve"> </w:t>
      </w:r>
      <w:r w:rsidRPr="00FA687A">
        <w:rPr>
          <w:lang w:eastAsia="en-GB"/>
        </w:rPr>
        <w:t>unauthorised alterations</w:t>
      </w:r>
      <w:r>
        <w:t xml:space="preserve"> that may compromise health &amp; safety and the integrity of the Council building. </w:t>
      </w:r>
    </w:p>
    <w:p w14:paraId="27849471" w14:textId="77777777" w:rsidR="009A6DB3" w:rsidRDefault="009A6DB3" w:rsidP="009A6DB3">
      <w:pPr>
        <w:pStyle w:val="ListBullet"/>
        <w:numPr>
          <w:ilvl w:val="0"/>
          <w:numId w:val="0"/>
        </w:numPr>
        <w:ind w:left="360" w:hanging="360"/>
        <w:rPr>
          <w:lang w:eastAsia="en-GB"/>
        </w:rPr>
      </w:pPr>
    </w:p>
    <w:p w14:paraId="243F7105" w14:textId="77777777" w:rsidR="009A6DB3" w:rsidRDefault="009A6DB3" w:rsidP="009A6DB3">
      <w:pPr>
        <w:pStyle w:val="ListBullet"/>
        <w:numPr>
          <w:ilvl w:val="0"/>
          <w:numId w:val="0"/>
        </w:numPr>
        <w:rPr>
          <w:lang w:eastAsia="en-GB"/>
        </w:rPr>
      </w:pPr>
      <w:r>
        <w:rPr>
          <w:lang w:eastAsia="en-GB"/>
        </w:rPr>
        <w:t xml:space="preserve">Following the tragic fire incident at Grenfell tower (June 2017), several measures and appropriate legislation have come into force, and which changes the way the Council considers applications for authorisation. </w:t>
      </w:r>
    </w:p>
    <w:p w14:paraId="30DF889C" w14:textId="77777777" w:rsidR="009A6DB3" w:rsidRDefault="009A6DB3" w:rsidP="009A6DB3">
      <w:pPr>
        <w:pStyle w:val="ListBullet"/>
        <w:numPr>
          <w:ilvl w:val="0"/>
          <w:numId w:val="0"/>
        </w:numPr>
        <w:ind w:left="360" w:hanging="360"/>
        <w:rPr>
          <w:lang w:eastAsia="en-GB"/>
        </w:rPr>
      </w:pPr>
    </w:p>
    <w:p w14:paraId="0A88A091" w14:textId="77777777" w:rsidR="009A6DB3" w:rsidRDefault="009A6DB3" w:rsidP="009A6DB3">
      <w:pPr>
        <w:pStyle w:val="ListBullet"/>
        <w:numPr>
          <w:ilvl w:val="0"/>
          <w:numId w:val="0"/>
        </w:numPr>
        <w:rPr>
          <w:lang w:eastAsia="en-GB"/>
        </w:rPr>
      </w:pPr>
      <w:r>
        <w:rPr>
          <w:lang w:eastAsia="en-GB"/>
        </w:rPr>
        <w:t xml:space="preserve">Leaseholders have applied for Council consent on a range of works both internal and </w:t>
      </w:r>
    </w:p>
    <w:p w14:paraId="368490A0" w14:textId="77777777" w:rsidR="009A6DB3" w:rsidRDefault="009A6DB3" w:rsidP="009A6DB3">
      <w:pPr>
        <w:pStyle w:val="ListBullet"/>
        <w:numPr>
          <w:ilvl w:val="0"/>
          <w:numId w:val="0"/>
        </w:numPr>
        <w:rPr>
          <w:lang w:eastAsia="en-GB"/>
        </w:rPr>
      </w:pPr>
      <w:r>
        <w:rPr>
          <w:lang w:eastAsia="en-GB"/>
        </w:rPr>
        <w:t>external. This report proposes a new and more systematic policy for the Council with clearer definitions of the different types of alterations and the criteria for authorising them.</w:t>
      </w:r>
    </w:p>
    <w:p w14:paraId="16AD1B93" w14:textId="77777777" w:rsidR="009A6DB3" w:rsidRPr="003A4145" w:rsidRDefault="009A6DB3" w:rsidP="009A6DB3">
      <w:pPr>
        <w:rPr>
          <w:rFonts w:eastAsia="Arial" w:cs="Times New Roman"/>
          <w:color w:val="000000"/>
          <w:lang w:eastAsia="en-GB"/>
        </w:rPr>
      </w:pPr>
      <w:r w:rsidRPr="003A4145">
        <w:rPr>
          <w:rFonts w:eastAsia="Arial" w:cs="Times New Roman"/>
          <w:color w:val="000000"/>
          <w:lang w:eastAsia="en-GB"/>
        </w:rPr>
        <w:t xml:space="preserve">The Council has two types of leases, its own lease and the Greater London Council lease (GLC lease). The two leases require leaseholders to seek consent for </w:t>
      </w:r>
      <w:r w:rsidRPr="003A4145">
        <w:rPr>
          <w:rFonts w:eastAsia="Arial" w:cs="Times New Roman"/>
          <w:color w:val="000000"/>
          <w:lang w:eastAsia="en-GB"/>
        </w:rPr>
        <w:lastRenderedPageBreak/>
        <w:t>alterations and improvement works on their properties</w:t>
      </w:r>
      <w:r w:rsidRPr="003A4145">
        <w:rPr>
          <w:rFonts w:eastAsia="Arial" w:cs="Times New Roman"/>
          <w:color w:val="000000"/>
        </w:rPr>
        <w:t>. However, t</w:t>
      </w:r>
      <w:r w:rsidRPr="003A4145">
        <w:rPr>
          <w:rFonts w:eastAsia="Arial" w:cs="Times New Roman"/>
          <w:color w:val="000000"/>
          <w:lang w:eastAsia="en-GB"/>
        </w:rPr>
        <w:t>he landlord must also have regard to the Landlord and Tenant Act</w:t>
      </w:r>
      <w:r w:rsidRPr="003A4145">
        <w:rPr>
          <w:rFonts w:eastAsia="Arial" w:cs="Times New Roman"/>
          <w:color w:val="000000"/>
        </w:rPr>
        <w:t xml:space="preserve"> </w:t>
      </w:r>
      <w:r w:rsidRPr="003A4145">
        <w:rPr>
          <w:rFonts w:eastAsia="Arial" w:cs="Times New Roman"/>
          <w:color w:val="000000"/>
          <w:lang w:eastAsia="en-GB"/>
        </w:rPr>
        <w:t>1927, Section 19(2) of the Act states that regardless of the lease, consent for</w:t>
      </w:r>
      <w:r w:rsidRPr="003A4145">
        <w:rPr>
          <w:rFonts w:eastAsia="Arial" w:cs="Times New Roman"/>
          <w:color w:val="000000"/>
        </w:rPr>
        <w:t xml:space="preserve"> </w:t>
      </w:r>
      <w:r w:rsidRPr="003A4145">
        <w:rPr>
          <w:rFonts w:eastAsia="Arial" w:cs="Times New Roman"/>
          <w:color w:val="000000"/>
          <w:lang w:eastAsia="en-GB"/>
        </w:rPr>
        <w:t>alterations cannot be unreasonably withheld.</w:t>
      </w:r>
    </w:p>
    <w:p w14:paraId="0A079AE4" w14:textId="77777777" w:rsidR="009A6DB3" w:rsidRPr="003A4145" w:rsidRDefault="009A6DB3" w:rsidP="009A6DB3">
      <w:pPr>
        <w:rPr>
          <w:rFonts w:eastAsia="Arial" w:cs="Times New Roman"/>
          <w:color w:val="000000"/>
          <w:lang w:eastAsia="en-GB"/>
        </w:rPr>
      </w:pPr>
      <w:r w:rsidRPr="003A4145">
        <w:rPr>
          <w:rFonts w:eastAsia="Arial" w:cs="Times New Roman"/>
          <w:color w:val="000000"/>
          <w:lang w:eastAsia="en-GB"/>
        </w:rPr>
        <w:t>The Council recognises that alterations and improvement works can make a substantial contribution to the leaseholder’s and tenant’s quality of life, therefore the Council should not be a hindrance to leaseholders who would like to improve their properties. However, consideration also must be given in some cases to the effect of the planned work on the structure of the building and the possible impact on other residents. The aesthetics of any alterations also need to be carefully assessed to maintain the uniform appearance of the building. In addition, matters relating to the overall quality of home design are also very important.</w:t>
      </w:r>
    </w:p>
    <w:p w14:paraId="7879DF00" w14:textId="4705DDCA" w:rsidR="00FD5FC1" w:rsidRDefault="00FD5FC1" w:rsidP="00FD5FC1">
      <w:pPr>
        <w:pStyle w:val="Heading1"/>
        <w:rPr>
          <w:lang w:val="en-US"/>
        </w:rPr>
      </w:pPr>
      <w:bookmarkStart w:id="21" w:name="_Toc227145273"/>
      <w:r>
        <w:rPr>
          <w:lang w:val="en-US"/>
        </w:rPr>
        <w:t>Reasonable grounds for refusing landlord consent</w:t>
      </w:r>
      <w:bookmarkEnd w:id="21"/>
    </w:p>
    <w:p w14:paraId="32E7F71D" w14:textId="77777777" w:rsidR="004D4A64" w:rsidRDefault="009A6DB3" w:rsidP="004D4A64">
      <w:pPr>
        <w:rPr>
          <w:rFonts w:eastAsia="Arial" w:cs="Times New Roman"/>
          <w:color w:val="000000"/>
        </w:rPr>
      </w:pPr>
      <w:r>
        <w:rPr>
          <w:lang w:val="en-US" w:eastAsia="en-GB"/>
        </w:rPr>
        <w:t xml:space="preserve">The Council </w:t>
      </w:r>
      <w:r w:rsidR="004D4A64" w:rsidRPr="00AD31DA">
        <w:rPr>
          <w:rFonts w:eastAsia="Arial" w:cs="Times New Roman"/>
          <w:color w:val="000000"/>
          <w:lang w:eastAsia="en-GB"/>
        </w:rPr>
        <w:t>will normally not consider some types of alterations</w:t>
      </w:r>
      <w:r w:rsidR="004D4A64">
        <w:rPr>
          <w:rFonts w:eastAsia="Arial" w:cs="Times New Roman"/>
          <w:color w:val="000000"/>
          <w:lang w:eastAsia="en-GB"/>
        </w:rPr>
        <w:t>.</w:t>
      </w:r>
    </w:p>
    <w:p w14:paraId="07FFF09A" w14:textId="77777777" w:rsidR="004D4A64" w:rsidRDefault="004D4A64" w:rsidP="004D4A64">
      <w:pPr>
        <w:rPr>
          <w:rFonts w:eastAsia="Arial" w:cs="Times New Roman"/>
          <w:color w:val="000000"/>
        </w:rPr>
      </w:pPr>
      <w:r>
        <w:rPr>
          <w:rFonts w:eastAsia="Arial" w:cs="Times New Roman"/>
          <w:color w:val="000000"/>
        </w:rPr>
        <w:t>Below are examples of other types of alteration request that either will not be given consent or consent may be given with conditions attached.</w:t>
      </w:r>
    </w:p>
    <w:p w14:paraId="5AE966B5" w14:textId="2928D265" w:rsidR="00FD5FC1" w:rsidRDefault="003B2BE9" w:rsidP="00FD5FC1">
      <w:pPr>
        <w:pStyle w:val="Heading2"/>
      </w:pPr>
      <w:bookmarkStart w:id="22" w:name="_Toc227145274"/>
      <w:r>
        <w:t xml:space="preserve">Water </w:t>
      </w:r>
      <w:r w:rsidR="002D2535">
        <w:t>P</w:t>
      </w:r>
      <w:r>
        <w:t>umps</w:t>
      </w:r>
      <w:bookmarkEnd w:id="22"/>
    </w:p>
    <w:p w14:paraId="605E75B7" w14:textId="10CE0C27" w:rsidR="004D4A64" w:rsidRDefault="00FC5607" w:rsidP="004D4A64">
      <w:pPr>
        <w:rPr>
          <w:rFonts w:eastAsia="Arial" w:cs="Times New Roman"/>
          <w:color w:val="000000"/>
        </w:rPr>
      </w:pPr>
      <w:r>
        <w:rPr>
          <w:lang w:val="en-US" w:eastAsia="en-GB"/>
        </w:rPr>
        <w:t xml:space="preserve">Consent </w:t>
      </w:r>
      <w:r>
        <w:rPr>
          <w:rFonts w:eastAsia="Arial" w:cs="Times New Roman"/>
          <w:color w:val="000000"/>
        </w:rPr>
        <w:t xml:space="preserve">for water pumps will only be granted for houses on a case-by-case basis where it can be guaranteed that there will be no noise nuisance or negative impact on residential </w:t>
      </w:r>
      <w:r w:rsidR="00144E77">
        <w:rPr>
          <w:rFonts w:eastAsia="Arial" w:cs="Times New Roman"/>
          <w:color w:val="000000"/>
        </w:rPr>
        <w:t>amenities</w:t>
      </w:r>
      <w:r>
        <w:rPr>
          <w:rFonts w:eastAsia="Arial" w:cs="Times New Roman"/>
          <w:color w:val="000000"/>
        </w:rPr>
        <w:t>. Where it is found that a water pump has been installed without consent and is causing a noise nuisance or negatively impacting residential amenity, leaseholders will be required to remove the equipment at their own expense. Failure to comply may result in enforcement action where the installation contravenes lease conditions or undermines the peaceful enjoyment of the premises by others.</w:t>
      </w:r>
    </w:p>
    <w:p w14:paraId="5819B35C" w14:textId="1A9FE0E6" w:rsidR="00CE2040" w:rsidRDefault="00CE2040" w:rsidP="00CE2040">
      <w:pPr>
        <w:pStyle w:val="Heading2"/>
        <w:rPr>
          <w:rFonts w:eastAsia="Arial"/>
        </w:rPr>
      </w:pPr>
      <w:bookmarkStart w:id="23" w:name="_Toc227145275"/>
      <w:r>
        <w:rPr>
          <w:rFonts w:eastAsia="Arial"/>
        </w:rPr>
        <w:t>Air Vents / Air Condition Units</w:t>
      </w:r>
      <w:bookmarkEnd w:id="23"/>
    </w:p>
    <w:p w14:paraId="46AF8AED" w14:textId="77777777" w:rsidR="00957084" w:rsidRDefault="00235529" w:rsidP="00957084">
      <w:pPr>
        <w:rPr>
          <w:rFonts w:eastAsia="Arial" w:cs="Times New Roman"/>
          <w:color w:val="000000"/>
        </w:rPr>
      </w:pPr>
      <w:r>
        <w:rPr>
          <w:rFonts w:eastAsia="Arial" w:cs="Times New Roman"/>
          <w:color w:val="000000"/>
        </w:rPr>
        <w:t xml:space="preserve">Consent will not be granted </w:t>
      </w:r>
      <w:r w:rsidR="00957084" w:rsidRPr="003344F9">
        <w:rPr>
          <w:rFonts w:eastAsia="Arial" w:cs="Times New Roman"/>
          <w:color w:val="000000"/>
        </w:rPr>
        <w:t>for the installation of any ventilation system that requires attachment to the Council’s external structural wall, as this wall remains the property of the council. Any modification to the external structure without permission constitutes a breach of lease and changes the overall appearance of the block.</w:t>
      </w:r>
    </w:p>
    <w:p w14:paraId="21292B01" w14:textId="5728A5D7" w:rsidR="00CE2040" w:rsidRDefault="00957084" w:rsidP="00957084">
      <w:pPr>
        <w:pStyle w:val="Heading2"/>
        <w:rPr>
          <w:rFonts w:eastAsia="Arial"/>
        </w:rPr>
      </w:pPr>
      <w:bookmarkStart w:id="24" w:name="_Toc227145276"/>
      <w:r>
        <w:rPr>
          <w:rFonts w:eastAsia="Arial"/>
        </w:rPr>
        <w:t>Heat Pumps</w:t>
      </w:r>
      <w:bookmarkEnd w:id="24"/>
    </w:p>
    <w:p w14:paraId="6EF4F560" w14:textId="3AA27946" w:rsidR="005C3233" w:rsidRPr="003344F9" w:rsidRDefault="00957084" w:rsidP="005C3233">
      <w:pPr>
        <w:rPr>
          <w:rFonts w:eastAsia="Arial" w:cs="Times New Roman"/>
          <w:color w:val="000000"/>
        </w:rPr>
      </w:pPr>
      <w:r>
        <w:rPr>
          <w:lang w:val="en-US" w:eastAsia="en-GB"/>
        </w:rPr>
        <w:t xml:space="preserve">Landlord consent </w:t>
      </w:r>
      <w:r w:rsidR="005C3233" w:rsidRPr="003344F9">
        <w:rPr>
          <w:rFonts w:eastAsia="Arial" w:cs="Times New Roman"/>
          <w:color w:val="000000"/>
        </w:rPr>
        <w:t>for the installation of heat pumps to flats within blocks in estates or on estate environments and or any densely populated area</w:t>
      </w:r>
      <w:r w:rsidR="00441F3A" w:rsidRPr="003344F9">
        <w:rPr>
          <w:rFonts w:eastAsia="Arial" w:cs="Times New Roman"/>
          <w:color w:val="000000"/>
        </w:rPr>
        <w:t xml:space="preserve">. </w:t>
      </w:r>
      <w:r w:rsidR="005C3233" w:rsidRPr="003344F9">
        <w:rPr>
          <w:rFonts w:eastAsia="Arial" w:cs="Times New Roman"/>
          <w:color w:val="000000"/>
        </w:rPr>
        <w:t>The external placement and operational noise levels are likely to cause disturbance to nearby residents, thereby impacting residential amenity. Outdoor units need sufficient space and airflow, which can be challenging in compact urban settings. Ground-source systems require large garden areas for pipework. Also, retrofitting into older buildings may require significant modifications to insulation and ductwork.</w:t>
      </w:r>
    </w:p>
    <w:p w14:paraId="3604B8C5" w14:textId="2147C60A" w:rsidR="00957084" w:rsidRDefault="005C3233" w:rsidP="005C3233">
      <w:pPr>
        <w:pStyle w:val="Heading2"/>
        <w:rPr>
          <w:rFonts w:eastAsia="Arial"/>
        </w:rPr>
      </w:pPr>
      <w:bookmarkStart w:id="25" w:name="_Toc227145277"/>
      <w:r>
        <w:rPr>
          <w:rFonts w:eastAsia="Arial"/>
        </w:rPr>
        <w:t>Solar Panels</w:t>
      </w:r>
      <w:bookmarkEnd w:id="25"/>
    </w:p>
    <w:p w14:paraId="6636BF9B" w14:textId="2AA68F12" w:rsidR="005C3233" w:rsidRDefault="005C3233" w:rsidP="005C3233">
      <w:pPr>
        <w:rPr>
          <w:rFonts w:eastAsia="Arial" w:cs="Times New Roman"/>
          <w:color w:val="000000"/>
        </w:rPr>
      </w:pPr>
      <w:r>
        <w:rPr>
          <w:lang w:val="en-US" w:eastAsia="en-GB"/>
        </w:rPr>
        <w:t xml:space="preserve">The roof </w:t>
      </w:r>
      <w:r w:rsidR="002A1B21">
        <w:rPr>
          <w:rFonts w:eastAsia="Arial" w:cs="Times New Roman"/>
          <w:color w:val="000000"/>
        </w:rPr>
        <w:t>forms part of the structure of the building and belongs to the Council. However, requests from leaseholders to install solar panels will be reviewed on a case-by-case basis</w:t>
      </w:r>
      <w:r w:rsidR="002A1B21" w:rsidRPr="003344F9">
        <w:rPr>
          <w:rFonts w:eastAsia="Arial" w:cs="Times New Roman"/>
          <w:color w:val="000000"/>
        </w:rPr>
        <w:t>.</w:t>
      </w:r>
    </w:p>
    <w:p w14:paraId="5FF18B4D" w14:textId="69555E3C" w:rsidR="002A1B21" w:rsidRDefault="002A1B21" w:rsidP="002A1B21">
      <w:pPr>
        <w:pStyle w:val="Heading2"/>
        <w:rPr>
          <w:rFonts w:eastAsia="Arial"/>
        </w:rPr>
      </w:pPr>
      <w:bookmarkStart w:id="26" w:name="_Toc227145278"/>
      <w:r>
        <w:rPr>
          <w:rFonts w:eastAsia="Arial"/>
        </w:rPr>
        <w:lastRenderedPageBreak/>
        <w:t>Electric Vehicle Charging Points</w:t>
      </w:r>
      <w:bookmarkEnd w:id="26"/>
    </w:p>
    <w:p w14:paraId="0CE3E275" w14:textId="5531C514" w:rsidR="002A1B21" w:rsidRPr="002A1B21" w:rsidRDefault="002A1B21" w:rsidP="002A1B21">
      <w:pPr>
        <w:rPr>
          <w:lang w:val="en-US" w:eastAsia="en-GB"/>
        </w:rPr>
      </w:pPr>
      <w:r>
        <w:rPr>
          <w:lang w:val="en-US" w:eastAsia="en-GB"/>
        </w:rPr>
        <w:t xml:space="preserve">Electric vehicle charging points will not usually be permitted to run across communal areas. </w:t>
      </w:r>
      <w:r w:rsidR="008F693C">
        <w:rPr>
          <w:rFonts w:eastAsia="Arial" w:cs="Times New Roman"/>
          <w:color w:val="000000"/>
        </w:rPr>
        <w:t>C</w:t>
      </w:r>
      <w:r w:rsidR="008F693C" w:rsidRPr="003344F9">
        <w:rPr>
          <w:rFonts w:eastAsia="Arial" w:cs="Times New Roman"/>
          <w:color w:val="000000"/>
        </w:rPr>
        <w:t xml:space="preserve">onsideration </w:t>
      </w:r>
      <w:r w:rsidR="008F693C">
        <w:rPr>
          <w:rFonts w:eastAsia="Arial" w:cs="Times New Roman"/>
          <w:color w:val="000000"/>
        </w:rPr>
        <w:t xml:space="preserve">will be </w:t>
      </w:r>
      <w:r w:rsidR="008F693C" w:rsidRPr="003344F9">
        <w:rPr>
          <w:rFonts w:eastAsia="Arial" w:cs="Times New Roman"/>
          <w:color w:val="000000"/>
        </w:rPr>
        <w:t>given to leaseholders with a dedicated driveway</w:t>
      </w:r>
      <w:r w:rsidR="008F693C">
        <w:rPr>
          <w:rFonts w:eastAsia="Arial" w:cs="Times New Roman"/>
          <w:color w:val="000000"/>
        </w:rPr>
        <w:t>.</w:t>
      </w:r>
    </w:p>
    <w:p w14:paraId="21B7B9EB" w14:textId="2EB1673B" w:rsidR="00FD5FC1" w:rsidRDefault="002D2535" w:rsidP="00FD5FC1">
      <w:pPr>
        <w:pStyle w:val="Heading2"/>
      </w:pPr>
      <w:bookmarkStart w:id="27" w:name="_Toc227145279"/>
      <w:r>
        <w:t>Boundary Wall (extensions)</w:t>
      </w:r>
      <w:bookmarkEnd w:id="27"/>
    </w:p>
    <w:p w14:paraId="48C07906" w14:textId="4C0D88FF" w:rsidR="008F693C" w:rsidRPr="008F693C" w:rsidRDefault="008F693C" w:rsidP="008F693C">
      <w:pPr>
        <w:rPr>
          <w:lang w:val="en-US" w:eastAsia="en-GB"/>
        </w:rPr>
      </w:pPr>
      <w:r>
        <w:rPr>
          <w:lang w:val="en-US" w:eastAsia="en-GB"/>
        </w:rPr>
        <w:t xml:space="preserve">Consent </w:t>
      </w:r>
      <w:r w:rsidR="00F11F0F" w:rsidRPr="003344F9">
        <w:rPr>
          <w:rFonts w:eastAsia="Arial" w:cs="Times New Roman"/>
          <w:color w:val="000000"/>
        </w:rPr>
        <w:t xml:space="preserve">to install a gateway into the council’s boundary wall as a means of escape from a newly built extension will not be granted, as the wall remains the property of the council and any such alteration would infringe upon council ownership rights; additionally, this modification may invalidate </w:t>
      </w:r>
      <w:r w:rsidR="00F11F0F">
        <w:rPr>
          <w:rFonts w:eastAsia="Arial" w:cs="Times New Roman"/>
          <w:color w:val="000000"/>
        </w:rPr>
        <w:t xml:space="preserve">the </w:t>
      </w:r>
      <w:r w:rsidR="00F11F0F" w:rsidRPr="003344F9">
        <w:rPr>
          <w:rFonts w:eastAsia="Arial" w:cs="Times New Roman"/>
          <w:color w:val="000000"/>
        </w:rPr>
        <w:t>building insurance.</w:t>
      </w:r>
    </w:p>
    <w:p w14:paraId="38A28A4E" w14:textId="0E02007B" w:rsidR="00FD5FC1" w:rsidRDefault="002D2535" w:rsidP="00FD5FC1">
      <w:pPr>
        <w:pStyle w:val="Heading2"/>
      </w:pPr>
      <w:bookmarkStart w:id="28" w:name="_Toc227145280"/>
      <w:r>
        <w:t>Underfloor Heating Systems</w:t>
      </w:r>
      <w:bookmarkEnd w:id="28"/>
    </w:p>
    <w:p w14:paraId="6DC169CE" w14:textId="77777777" w:rsidR="001F118C" w:rsidRPr="003344F9" w:rsidRDefault="00B53C10" w:rsidP="001F118C">
      <w:pPr>
        <w:rPr>
          <w:rFonts w:eastAsia="Arial" w:cs="Times New Roman"/>
          <w:color w:val="000000"/>
        </w:rPr>
      </w:pPr>
      <w:r>
        <w:rPr>
          <w:lang w:val="en-US" w:eastAsia="en-GB"/>
        </w:rPr>
        <w:t xml:space="preserve">Landlord </w:t>
      </w:r>
      <w:r w:rsidR="001F118C" w:rsidRPr="003344F9">
        <w:rPr>
          <w:rFonts w:eastAsia="Arial" w:cs="Times New Roman"/>
          <w:color w:val="000000"/>
        </w:rPr>
        <w:t>consent will not be granted for the installation of underfloor heating systems due to the potential risk that if the underfloor heating becomes defective and has a leak, this will affect the adjoining propert</w:t>
      </w:r>
      <w:r w:rsidR="001F118C">
        <w:rPr>
          <w:rFonts w:eastAsia="Arial" w:cs="Times New Roman"/>
          <w:color w:val="000000"/>
        </w:rPr>
        <w:t>ies</w:t>
      </w:r>
      <w:r w:rsidR="001F118C" w:rsidRPr="003344F9">
        <w:rPr>
          <w:rFonts w:eastAsia="Arial" w:cs="Times New Roman"/>
          <w:color w:val="000000"/>
        </w:rPr>
        <w:t xml:space="preserve"> </w:t>
      </w:r>
      <w:r w:rsidR="001F118C">
        <w:rPr>
          <w:rFonts w:eastAsia="Arial" w:cs="Times New Roman"/>
          <w:color w:val="000000"/>
        </w:rPr>
        <w:t xml:space="preserve">or the flats </w:t>
      </w:r>
      <w:r w:rsidR="001F118C" w:rsidRPr="003344F9">
        <w:rPr>
          <w:rFonts w:eastAsia="Arial" w:cs="Times New Roman"/>
          <w:color w:val="000000"/>
        </w:rPr>
        <w:t>below</w:t>
      </w:r>
      <w:r w:rsidR="001F118C">
        <w:rPr>
          <w:rFonts w:eastAsia="Arial" w:cs="Times New Roman"/>
          <w:color w:val="000000"/>
        </w:rPr>
        <w:t xml:space="preserve"> </w:t>
      </w:r>
      <w:r w:rsidR="001F118C" w:rsidRPr="003344F9">
        <w:rPr>
          <w:rFonts w:eastAsia="Arial" w:cs="Times New Roman"/>
          <w:color w:val="000000"/>
        </w:rPr>
        <w:t>and the overall building structure. We must consider the impact to other resident’s properties where the risk of water ingress into their properties is a possibility. The difficulty in finding a leak and isolating it can also be challenging and create a vast amount of work with digging up the concrete flooring.  Also, these systems have to be tied into the floors which then ties into the structure of the building belonging to the landlord. This would make the flooring the responsibility of the landlord to maintain. Consideration may</w:t>
      </w:r>
      <w:r w:rsidR="001F118C">
        <w:rPr>
          <w:rFonts w:eastAsia="Arial" w:cs="Times New Roman"/>
          <w:color w:val="000000"/>
        </w:rPr>
        <w:t xml:space="preserve"> </w:t>
      </w:r>
      <w:r w:rsidR="001F118C" w:rsidRPr="003344F9">
        <w:rPr>
          <w:rFonts w:eastAsia="Arial" w:cs="Times New Roman"/>
          <w:color w:val="000000"/>
        </w:rPr>
        <w:t>only be given to ground floor flats only.</w:t>
      </w:r>
    </w:p>
    <w:p w14:paraId="46D15470" w14:textId="19090A26" w:rsidR="00FD5FC1" w:rsidRDefault="0078255B" w:rsidP="00FD5FC1">
      <w:pPr>
        <w:pStyle w:val="Heading2"/>
      </w:pPr>
      <w:bookmarkStart w:id="29" w:name="_Toc227145281"/>
      <w:r>
        <w:t>Mist Water System</w:t>
      </w:r>
      <w:bookmarkEnd w:id="29"/>
    </w:p>
    <w:p w14:paraId="5E755A47" w14:textId="5C569EB4" w:rsidR="001F118C" w:rsidRPr="001F118C" w:rsidRDefault="001A5CEA" w:rsidP="001F118C">
      <w:pPr>
        <w:rPr>
          <w:lang w:val="en-US" w:eastAsia="en-GB"/>
        </w:rPr>
      </w:pPr>
      <w:r>
        <w:rPr>
          <w:lang w:val="en-US" w:eastAsia="en-GB"/>
        </w:rPr>
        <w:t xml:space="preserve">The </w:t>
      </w:r>
      <w:r w:rsidR="00520441" w:rsidRPr="003344F9">
        <w:rPr>
          <w:rFonts w:eastAsia="Arial" w:cs="Times New Roman"/>
          <w:color w:val="000000"/>
        </w:rPr>
        <w:t>Council does not permit the installation of water mist systems within its leasehold properties, such systems pose a risk of water damage to adjoining flats and the overall building structure; therefore, consent to install a water mist system will be refused to safeguard communal integrity and prevent potential liability.</w:t>
      </w:r>
    </w:p>
    <w:p w14:paraId="5615773A" w14:textId="137C765C" w:rsidR="00FD5FC1" w:rsidRDefault="0078255B" w:rsidP="00FD5FC1">
      <w:pPr>
        <w:pStyle w:val="Heading2"/>
      </w:pPr>
      <w:bookmarkStart w:id="30" w:name="_Toc227145282"/>
      <w:r>
        <w:t>Inner Bedrooms</w:t>
      </w:r>
      <w:bookmarkEnd w:id="30"/>
    </w:p>
    <w:p w14:paraId="2027F17C" w14:textId="2EDD33AB" w:rsidR="00520441" w:rsidRPr="00520441" w:rsidRDefault="00AB2F0B" w:rsidP="00520441">
      <w:pPr>
        <w:rPr>
          <w:lang w:val="en-US" w:eastAsia="en-GB"/>
        </w:rPr>
      </w:pPr>
      <w:r>
        <w:rPr>
          <w:lang w:val="en-US" w:eastAsia="en-GB"/>
        </w:rPr>
        <w:t xml:space="preserve">Landlord </w:t>
      </w:r>
      <w:r w:rsidR="009A52F6" w:rsidRPr="00B655B7">
        <w:rPr>
          <w:rFonts w:eastAsia="Arial" w:cs="Times New Roman"/>
          <w:color w:val="000000"/>
        </w:rPr>
        <w:t>consent will not be granted for the creation of an inner bedroom</w:t>
      </w:r>
      <w:r w:rsidR="009A52F6">
        <w:rPr>
          <w:rFonts w:eastAsia="Arial" w:cs="Times New Roman"/>
          <w:color w:val="000000"/>
        </w:rPr>
        <w:t xml:space="preserve">, </w:t>
      </w:r>
      <w:r w:rsidR="009A52F6" w:rsidRPr="00B655B7">
        <w:rPr>
          <w:rFonts w:eastAsia="Arial" w:cs="Times New Roman"/>
          <w:color w:val="000000"/>
        </w:rPr>
        <w:t>such rooms pose a significant fire risk; occupants may become trapped without a direct means of escape, which breaches building regulations and fire safety standards</w:t>
      </w:r>
      <w:r w:rsidR="00441F3A">
        <w:rPr>
          <w:rFonts w:eastAsia="Arial" w:cs="Times New Roman"/>
          <w:color w:val="000000"/>
        </w:rPr>
        <w:t xml:space="preserve">. </w:t>
      </w:r>
      <w:r w:rsidR="009A52F6">
        <w:rPr>
          <w:rFonts w:eastAsia="Arial" w:cs="Times New Roman"/>
          <w:color w:val="000000"/>
        </w:rPr>
        <w:t>Reinstatement will be required.</w:t>
      </w:r>
    </w:p>
    <w:p w14:paraId="35FE02AE" w14:textId="0DAF3EEB" w:rsidR="00210082" w:rsidRDefault="00210082" w:rsidP="00210082">
      <w:pPr>
        <w:pStyle w:val="Heading2"/>
      </w:pPr>
      <w:bookmarkStart w:id="31" w:name="_Toc227145283"/>
      <w:r>
        <w:t>Knock-through’s (De-conversions)</w:t>
      </w:r>
      <w:bookmarkEnd w:id="31"/>
    </w:p>
    <w:p w14:paraId="2720861D" w14:textId="3EC92FF0" w:rsidR="009A52F6" w:rsidRPr="009A52F6" w:rsidRDefault="009A52F6" w:rsidP="009A52F6">
      <w:pPr>
        <w:rPr>
          <w:lang w:val="en-US" w:eastAsia="en-GB"/>
        </w:rPr>
      </w:pPr>
      <w:r>
        <w:rPr>
          <w:lang w:val="en-US" w:eastAsia="en-GB"/>
        </w:rPr>
        <w:t xml:space="preserve">Requests </w:t>
      </w:r>
      <w:r w:rsidR="00767455" w:rsidRPr="00BE1491">
        <w:rPr>
          <w:rFonts w:eastAsia="Arial" w:cs="Times New Roman"/>
          <w:color w:val="000000"/>
        </w:rPr>
        <w:t xml:space="preserve">from leaseholders to revert knock-through properties back into single dwellings will be reviewed on a case-by-case basis and </w:t>
      </w:r>
      <w:r w:rsidR="00767455">
        <w:rPr>
          <w:rFonts w:eastAsia="Arial" w:cs="Times New Roman"/>
          <w:color w:val="000000"/>
        </w:rPr>
        <w:t xml:space="preserve">if permitted </w:t>
      </w:r>
      <w:r w:rsidR="00767455" w:rsidRPr="00BE1491">
        <w:rPr>
          <w:rFonts w:eastAsia="Arial" w:cs="Times New Roman"/>
          <w:color w:val="000000"/>
        </w:rPr>
        <w:t xml:space="preserve">will include a valuation and a premium payable for the </w:t>
      </w:r>
      <w:r w:rsidR="00767455">
        <w:rPr>
          <w:rFonts w:eastAsia="Arial" w:cs="Times New Roman"/>
          <w:color w:val="000000"/>
        </w:rPr>
        <w:t>de-</w:t>
      </w:r>
      <w:r w:rsidR="00767455" w:rsidRPr="00BE1491">
        <w:rPr>
          <w:rFonts w:eastAsia="Arial" w:cs="Times New Roman"/>
          <w:color w:val="000000"/>
        </w:rPr>
        <w:t>conversion</w:t>
      </w:r>
      <w:r w:rsidR="00767455">
        <w:rPr>
          <w:rFonts w:eastAsia="Arial" w:cs="Times New Roman"/>
          <w:color w:val="000000"/>
        </w:rPr>
        <w:t xml:space="preserve"> back into two units</w:t>
      </w:r>
      <w:r w:rsidR="00767455" w:rsidRPr="00BE1491">
        <w:rPr>
          <w:rFonts w:eastAsia="Arial" w:cs="Times New Roman"/>
          <w:color w:val="000000"/>
        </w:rPr>
        <w:t>.</w:t>
      </w:r>
    </w:p>
    <w:p w14:paraId="7BFC4BFD" w14:textId="5A58BCC9" w:rsidR="00210082" w:rsidRDefault="00210082" w:rsidP="00210082">
      <w:pPr>
        <w:pStyle w:val="Heading2"/>
      </w:pPr>
      <w:bookmarkStart w:id="32" w:name="_Toc227145284"/>
      <w:r>
        <w:t>Windows</w:t>
      </w:r>
      <w:bookmarkEnd w:id="32"/>
    </w:p>
    <w:p w14:paraId="6F43FF33" w14:textId="7C6A9F40" w:rsidR="00767455" w:rsidRPr="00767455" w:rsidRDefault="00767455" w:rsidP="00767455">
      <w:pPr>
        <w:rPr>
          <w:lang w:val="en-US" w:eastAsia="en-GB"/>
        </w:rPr>
      </w:pPr>
      <w:r>
        <w:rPr>
          <w:lang w:val="en-US" w:eastAsia="en-GB"/>
        </w:rPr>
        <w:t xml:space="preserve">As </w:t>
      </w:r>
      <w:r w:rsidR="00396D43">
        <w:rPr>
          <w:rFonts w:eastAsia="Arial" w:cs="Times New Roman"/>
          <w:color w:val="000000"/>
        </w:rPr>
        <w:t xml:space="preserve">the </w:t>
      </w:r>
      <w:r w:rsidR="00396D43" w:rsidRPr="00BE1491">
        <w:rPr>
          <w:rFonts w:eastAsia="Arial" w:cs="Times New Roman"/>
          <w:color w:val="000000"/>
        </w:rPr>
        <w:t xml:space="preserve">windows form part of the structure owned by the Council, the responsibility for their maintenance, repair, or replacement lies with the </w:t>
      </w:r>
      <w:r w:rsidR="00396D43">
        <w:rPr>
          <w:rFonts w:eastAsia="Arial" w:cs="Times New Roman"/>
          <w:color w:val="000000"/>
        </w:rPr>
        <w:t>Council</w:t>
      </w:r>
      <w:r w:rsidR="00396D43" w:rsidRPr="00BE1491">
        <w:rPr>
          <w:rFonts w:eastAsia="Arial" w:cs="Times New Roman"/>
          <w:color w:val="000000"/>
        </w:rPr>
        <w:t>. Leaseholders are generally not permitted to replace</w:t>
      </w:r>
      <w:r w:rsidR="00396D43">
        <w:rPr>
          <w:rFonts w:eastAsia="Arial" w:cs="Times New Roman"/>
          <w:color w:val="000000"/>
        </w:rPr>
        <w:t xml:space="preserve"> the council’s</w:t>
      </w:r>
      <w:r w:rsidR="00396D43" w:rsidRPr="00BE1491">
        <w:rPr>
          <w:rFonts w:eastAsia="Arial" w:cs="Times New Roman"/>
          <w:color w:val="000000"/>
        </w:rPr>
        <w:t xml:space="preserve"> windows. However, requests will be considered on a case-by-case basis, and </w:t>
      </w:r>
      <w:r w:rsidR="00396D43">
        <w:rPr>
          <w:rFonts w:eastAsia="Arial" w:cs="Times New Roman"/>
          <w:color w:val="000000"/>
        </w:rPr>
        <w:t xml:space="preserve">in certain circumstances </w:t>
      </w:r>
      <w:r w:rsidR="00396D43" w:rsidRPr="00BE1491">
        <w:rPr>
          <w:rFonts w:eastAsia="Arial" w:cs="Times New Roman"/>
          <w:color w:val="000000"/>
        </w:rPr>
        <w:t xml:space="preserve">exceptions </w:t>
      </w:r>
      <w:r w:rsidR="00396D43">
        <w:rPr>
          <w:rFonts w:eastAsia="Arial" w:cs="Times New Roman"/>
          <w:color w:val="000000"/>
        </w:rPr>
        <w:t>will be made</w:t>
      </w:r>
      <w:r w:rsidR="00396D43" w:rsidRPr="00BE1491">
        <w:rPr>
          <w:rFonts w:eastAsia="Arial" w:cs="Times New Roman"/>
          <w:color w:val="000000"/>
        </w:rPr>
        <w:t>.</w:t>
      </w:r>
    </w:p>
    <w:p w14:paraId="7F2B3E5B" w14:textId="3B33ADD3" w:rsidR="00FD5FC1" w:rsidRDefault="00FD5FC1" w:rsidP="00FD5FC1">
      <w:pPr>
        <w:pStyle w:val="Heading1"/>
        <w:rPr>
          <w:lang w:val="en-US"/>
        </w:rPr>
      </w:pPr>
      <w:bookmarkStart w:id="33" w:name="_Toc227145285"/>
      <w:r>
        <w:rPr>
          <w:lang w:val="en-US"/>
        </w:rPr>
        <w:t>Breach of Lease</w:t>
      </w:r>
      <w:bookmarkEnd w:id="33"/>
    </w:p>
    <w:p w14:paraId="4B5994FA" w14:textId="77777777" w:rsidR="004A70E1" w:rsidRDefault="00396D43" w:rsidP="004A70E1">
      <w:pPr>
        <w:rPr>
          <w:rFonts w:eastAsia="Arial" w:cs="Times New Roman"/>
          <w:color w:val="000000"/>
          <w:lang w:eastAsia="en-GB"/>
        </w:rPr>
      </w:pPr>
      <w:r>
        <w:rPr>
          <w:lang w:val="en-US" w:eastAsia="en-GB"/>
        </w:rPr>
        <w:t xml:space="preserve">Unauthorised </w:t>
      </w:r>
      <w:r w:rsidR="004A70E1" w:rsidRPr="00AD31DA">
        <w:rPr>
          <w:rFonts w:eastAsia="Arial" w:cs="Times New Roman"/>
          <w:color w:val="000000"/>
          <w:lang w:eastAsia="en-GB"/>
        </w:rPr>
        <w:t>alterations carried out by leaseholder</w:t>
      </w:r>
      <w:r w:rsidR="004A70E1">
        <w:rPr>
          <w:rFonts w:eastAsia="Arial" w:cs="Times New Roman"/>
          <w:color w:val="000000"/>
          <w:lang w:eastAsia="en-GB"/>
        </w:rPr>
        <w:t>s</w:t>
      </w:r>
      <w:r w:rsidR="004A70E1" w:rsidRPr="00AD31DA">
        <w:rPr>
          <w:rFonts w:eastAsia="Arial" w:cs="Times New Roman"/>
          <w:color w:val="000000"/>
          <w:lang w:eastAsia="en-GB"/>
        </w:rPr>
        <w:t xml:space="preserve"> without prior landlord consent is deemed as a breach of the lease as leaseholders are required to seek landlord </w:t>
      </w:r>
      <w:r w:rsidR="004A70E1" w:rsidRPr="00AD31DA">
        <w:rPr>
          <w:rFonts w:eastAsia="Arial" w:cs="Times New Roman"/>
          <w:color w:val="000000"/>
          <w:lang w:eastAsia="en-GB"/>
        </w:rPr>
        <w:lastRenderedPageBreak/>
        <w:t xml:space="preserve">consent prior to carrying out any alterations. </w:t>
      </w:r>
      <w:r w:rsidR="004A70E1" w:rsidRPr="003D3B7F">
        <w:rPr>
          <w:rFonts w:eastAsia="Arial" w:cs="Times New Roman"/>
          <w:color w:val="000000"/>
          <w:lang w:eastAsia="en-GB"/>
        </w:rPr>
        <w:t>In cases where the works carried out do</w:t>
      </w:r>
      <w:r w:rsidR="004A70E1">
        <w:rPr>
          <w:rFonts w:eastAsia="Arial" w:cs="Times New Roman"/>
          <w:color w:val="000000"/>
          <w:lang w:eastAsia="en-GB"/>
        </w:rPr>
        <w:t xml:space="preserve"> </w:t>
      </w:r>
      <w:r w:rsidR="004A70E1" w:rsidRPr="003D3B7F">
        <w:rPr>
          <w:rFonts w:eastAsia="Arial" w:cs="Times New Roman"/>
          <w:color w:val="000000"/>
          <w:lang w:eastAsia="en-GB"/>
        </w:rPr>
        <w:t xml:space="preserve">not fall within the landlord consent criteria. Enforcement action may be taken to in relation to re-instating the property back to its original condition.  </w:t>
      </w:r>
    </w:p>
    <w:p w14:paraId="46B5127D" w14:textId="77777777" w:rsidR="004A70E1" w:rsidRPr="00AD31DA" w:rsidRDefault="004A70E1" w:rsidP="004A70E1">
      <w:pPr>
        <w:rPr>
          <w:rFonts w:eastAsia="Arial" w:cs="Times New Roman"/>
          <w:color w:val="000000"/>
        </w:rPr>
      </w:pPr>
      <w:r w:rsidRPr="00AD31DA">
        <w:rPr>
          <w:rFonts w:eastAsia="Arial" w:cs="Times New Roman"/>
          <w:color w:val="000000"/>
        </w:rPr>
        <w:t xml:space="preserve">In recent times, the Council has increasingly received breach of lease notification namely through the Section 42 Lease Extension and the Buyback Programme valuations. This adds additional pressure to understand any potential health &amp; safety risks together with building safety. </w:t>
      </w:r>
    </w:p>
    <w:p w14:paraId="2B930CD2" w14:textId="77777777" w:rsidR="004A70E1" w:rsidRDefault="004A70E1" w:rsidP="004A70E1">
      <w:pPr>
        <w:rPr>
          <w:rFonts w:eastAsia="Arial" w:cs="Times New Roman"/>
          <w:color w:val="000000"/>
          <w:lang w:eastAsia="en-GB"/>
        </w:rPr>
      </w:pPr>
      <w:r w:rsidRPr="00AD31DA">
        <w:rPr>
          <w:rFonts w:eastAsia="Arial" w:cs="Times New Roman"/>
          <w:color w:val="000000"/>
          <w:lang w:eastAsia="en-GB"/>
        </w:rPr>
        <w:t>Cases where works have been carried out without our consent will require the leaseholder to seek retrospective landlord consent by submitting a retrospective alteration application for the works</w:t>
      </w:r>
      <w:r w:rsidRPr="00AD31DA">
        <w:rPr>
          <w:rFonts w:eastAsia="Arial" w:cs="Times New Roman"/>
          <w:color w:val="000000"/>
        </w:rPr>
        <w:t xml:space="preserve"> (see section on retrospective landlord consent below). </w:t>
      </w:r>
      <w:r w:rsidRPr="00AD31DA">
        <w:rPr>
          <w:rFonts w:eastAsia="Arial" w:cs="Times New Roman"/>
          <w:color w:val="000000"/>
          <w:lang w:eastAsia="en-GB"/>
        </w:rPr>
        <w:t xml:space="preserve">Please note that the submission of an application does not constitute landlord consent, </w:t>
      </w:r>
      <w:r>
        <w:rPr>
          <w:rFonts w:eastAsia="Arial" w:cs="Times New Roman"/>
          <w:color w:val="000000"/>
          <w:lang w:eastAsia="en-GB"/>
        </w:rPr>
        <w:t xml:space="preserve">the Council </w:t>
      </w:r>
      <w:r w:rsidRPr="00AD31DA">
        <w:rPr>
          <w:rFonts w:eastAsia="Arial" w:cs="Times New Roman"/>
          <w:color w:val="000000"/>
          <w:lang w:eastAsia="en-GB"/>
        </w:rPr>
        <w:t>will review the application in line with our alterations policy and come to a decision on whether to grant consent or request reinstatement of the works or</w:t>
      </w:r>
      <w:r>
        <w:rPr>
          <w:rFonts w:eastAsia="Arial" w:cs="Times New Roman"/>
          <w:color w:val="000000"/>
          <w:lang w:eastAsia="en-GB"/>
        </w:rPr>
        <w:t xml:space="preserve"> </w:t>
      </w:r>
      <w:r w:rsidRPr="00AD31DA">
        <w:rPr>
          <w:rFonts w:eastAsia="Arial" w:cs="Times New Roman"/>
          <w:color w:val="000000"/>
          <w:lang w:eastAsia="en-GB"/>
        </w:rPr>
        <w:t>reinstating the property back in line with the lease floor plan.  </w:t>
      </w:r>
    </w:p>
    <w:p w14:paraId="435F8BBC" w14:textId="77777777" w:rsidR="004A70E1" w:rsidRDefault="004A70E1" w:rsidP="004A70E1">
      <w:pPr>
        <w:rPr>
          <w:rFonts w:eastAsia="Arial" w:cs="Times New Roman"/>
          <w:color w:val="000000"/>
        </w:rPr>
      </w:pPr>
      <w:r w:rsidRPr="003344F9">
        <w:rPr>
          <w:rFonts w:eastAsia="Arial" w:cs="Times New Roman"/>
          <w:color w:val="000000"/>
        </w:rPr>
        <w:t>If it is determined that alterations carried out by a leaseholder have resulted in water ingress into the property below, landlord consent for the works will not be granted or retrospectively approved until the source of the leak has been fully identified and rectified to the satisfaction of the Council. In cases where the leak is ongoing or causes continued damage, the Council may require full reinstatement of the affected areas to their original condition and reserves the right to take enforcement action to protect the integrity of the building and the interests of other residents.</w:t>
      </w:r>
    </w:p>
    <w:p w14:paraId="6108A479" w14:textId="119CEA0C" w:rsidR="00FD5FC1" w:rsidRDefault="00FD5FC1" w:rsidP="00FD5FC1">
      <w:pPr>
        <w:pStyle w:val="Heading1"/>
      </w:pPr>
      <w:bookmarkStart w:id="34" w:name="_Toc227145286"/>
      <w:r>
        <w:t>Landlord Consent, Planning Permission &amp; Building Control Consent</w:t>
      </w:r>
      <w:bookmarkEnd w:id="34"/>
    </w:p>
    <w:p w14:paraId="14C98CDF" w14:textId="77777777" w:rsidR="0008185E" w:rsidRPr="00AD31DA" w:rsidRDefault="004A70E1" w:rsidP="0008185E">
      <w:pPr>
        <w:rPr>
          <w:rFonts w:eastAsia="Arial" w:cs="Times New Roman"/>
          <w:color w:val="000000"/>
        </w:rPr>
      </w:pPr>
      <w:r>
        <w:rPr>
          <w:lang w:eastAsia="en-GB"/>
        </w:rPr>
        <w:t xml:space="preserve">Landlord consent </w:t>
      </w:r>
      <w:r w:rsidR="0008185E" w:rsidRPr="00AD31DA">
        <w:rPr>
          <w:rFonts w:eastAsia="Arial" w:cs="Times New Roman"/>
          <w:color w:val="000000"/>
          <w:lang w:eastAsia="en-GB"/>
        </w:rPr>
        <w:t>differs from</w:t>
      </w:r>
      <w:r w:rsidR="0008185E" w:rsidRPr="00AD31DA">
        <w:rPr>
          <w:rFonts w:eastAsia="Arial" w:cs="Times New Roman"/>
          <w:color w:val="000000"/>
        </w:rPr>
        <w:t xml:space="preserve"> </w:t>
      </w:r>
      <w:r w:rsidR="0008185E" w:rsidRPr="00AD31DA">
        <w:rPr>
          <w:rFonts w:eastAsia="Arial" w:cs="Times New Roman"/>
          <w:color w:val="000000"/>
          <w:lang w:eastAsia="en-GB"/>
        </w:rPr>
        <w:t>planning permission</w:t>
      </w:r>
      <w:r w:rsidR="0008185E" w:rsidRPr="00AD31DA">
        <w:rPr>
          <w:rFonts w:eastAsia="Arial" w:cs="Times New Roman"/>
          <w:color w:val="000000"/>
        </w:rPr>
        <w:t xml:space="preserve"> and building control consent</w:t>
      </w:r>
      <w:r w:rsidR="0008185E" w:rsidRPr="00AD31DA">
        <w:rPr>
          <w:rFonts w:eastAsia="Arial" w:cs="Times New Roman"/>
          <w:color w:val="000000"/>
          <w:lang w:eastAsia="en-GB"/>
        </w:rPr>
        <w:t>. Planning permission is subject to the planning laws and</w:t>
      </w:r>
      <w:r w:rsidR="0008185E" w:rsidRPr="00AD31DA">
        <w:rPr>
          <w:rFonts w:eastAsia="Arial" w:cs="Times New Roman"/>
          <w:color w:val="000000"/>
        </w:rPr>
        <w:t xml:space="preserve"> </w:t>
      </w:r>
      <w:r w:rsidR="0008185E" w:rsidRPr="00AD31DA">
        <w:rPr>
          <w:rFonts w:eastAsia="Arial" w:cs="Times New Roman"/>
          <w:color w:val="000000"/>
          <w:lang w:eastAsia="en-GB"/>
        </w:rPr>
        <w:t>regulations (including the Building Regulations</w:t>
      </w:r>
      <w:r w:rsidR="0008185E" w:rsidRPr="00AD31DA">
        <w:rPr>
          <w:rFonts w:eastAsia="Arial" w:cs="Times New Roman"/>
          <w:color w:val="000000"/>
        </w:rPr>
        <w:t xml:space="preserve">). See High Rise Building Regulations below. Likewise, building control must be compliant with </w:t>
      </w:r>
      <w:r w:rsidR="0008185E">
        <w:rPr>
          <w:rFonts w:eastAsia="Arial" w:cs="Times New Roman"/>
          <w:color w:val="000000"/>
        </w:rPr>
        <w:t>B</w:t>
      </w:r>
      <w:r w:rsidR="0008185E" w:rsidRPr="00AD31DA">
        <w:rPr>
          <w:rFonts w:eastAsia="Arial" w:cs="Times New Roman"/>
          <w:color w:val="000000"/>
        </w:rPr>
        <w:t xml:space="preserve">uilding </w:t>
      </w:r>
      <w:r w:rsidR="0008185E">
        <w:rPr>
          <w:rFonts w:eastAsia="Arial" w:cs="Times New Roman"/>
          <w:color w:val="000000"/>
        </w:rPr>
        <w:t>R</w:t>
      </w:r>
      <w:r w:rsidR="0008185E" w:rsidRPr="00AD31DA">
        <w:rPr>
          <w:rFonts w:eastAsia="Arial" w:cs="Times New Roman"/>
          <w:color w:val="000000"/>
        </w:rPr>
        <w:t xml:space="preserve">egulations. These are </w:t>
      </w:r>
      <w:r w:rsidR="0008185E" w:rsidRPr="00AD31DA">
        <w:rPr>
          <w:rFonts w:eastAsia="Arial" w:cs="Times New Roman"/>
          <w:color w:val="000000"/>
          <w:lang w:eastAsia="en-GB"/>
        </w:rPr>
        <w:t>managed by the</w:t>
      </w:r>
      <w:r w:rsidR="0008185E" w:rsidRPr="00AD31DA">
        <w:rPr>
          <w:rFonts w:eastAsia="Arial" w:cs="Times New Roman"/>
          <w:color w:val="000000"/>
        </w:rPr>
        <w:t xml:space="preserve"> </w:t>
      </w:r>
      <w:r w:rsidR="0008185E" w:rsidRPr="00AD31DA">
        <w:rPr>
          <w:rFonts w:eastAsia="Arial" w:cs="Times New Roman"/>
          <w:color w:val="000000"/>
          <w:lang w:eastAsia="en-GB"/>
        </w:rPr>
        <w:t xml:space="preserve">Council's Planning </w:t>
      </w:r>
      <w:r w:rsidR="0008185E" w:rsidRPr="00AD31DA">
        <w:rPr>
          <w:rFonts w:eastAsia="Arial" w:cs="Times New Roman"/>
          <w:color w:val="000000"/>
        </w:rPr>
        <w:t xml:space="preserve">and Building Control Departments respectively.  </w:t>
      </w:r>
    </w:p>
    <w:p w14:paraId="132E01E9" w14:textId="77777777" w:rsidR="0008185E" w:rsidRPr="00AD31DA" w:rsidRDefault="0008185E" w:rsidP="0008185E">
      <w:pPr>
        <w:rPr>
          <w:rFonts w:eastAsia="Arial" w:cs="Times New Roman"/>
          <w:color w:val="000000"/>
          <w:lang w:eastAsia="en-GB"/>
        </w:rPr>
      </w:pPr>
      <w:r w:rsidRPr="00AD31DA">
        <w:rPr>
          <w:rFonts w:eastAsia="Arial" w:cs="Times New Roman"/>
          <w:color w:val="000000"/>
        </w:rPr>
        <w:t xml:space="preserve">The Planning Department must </w:t>
      </w:r>
      <w:r w:rsidRPr="00AD31DA">
        <w:rPr>
          <w:rFonts w:eastAsia="Arial" w:cs="Times New Roman"/>
          <w:color w:val="000000"/>
          <w:lang w:eastAsia="en-GB"/>
        </w:rPr>
        <w:t>send copies of all planning</w:t>
      </w:r>
      <w:r w:rsidRPr="00AD31DA">
        <w:rPr>
          <w:rFonts w:eastAsia="Arial" w:cs="Times New Roman"/>
          <w:color w:val="000000"/>
        </w:rPr>
        <w:t xml:space="preserve"> </w:t>
      </w:r>
      <w:r w:rsidRPr="00AD31DA">
        <w:rPr>
          <w:rFonts w:eastAsia="Arial" w:cs="Times New Roman"/>
          <w:color w:val="000000"/>
          <w:lang w:eastAsia="en-GB"/>
        </w:rPr>
        <w:t>applications relating to Council housing to the Leasehold Services Team</w:t>
      </w:r>
      <w:r w:rsidRPr="00AD31DA">
        <w:rPr>
          <w:rFonts w:eastAsia="Arial" w:cs="Times New Roman"/>
          <w:color w:val="000000"/>
        </w:rPr>
        <w:t xml:space="preserve"> s</w:t>
      </w:r>
      <w:r w:rsidRPr="00AD31DA">
        <w:rPr>
          <w:rFonts w:eastAsia="Arial" w:cs="Times New Roman"/>
          <w:color w:val="000000"/>
          <w:lang w:eastAsia="en-GB"/>
        </w:rPr>
        <w:t>o these can be checked to ensure that landlord permission has already</w:t>
      </w:r>
      <w:r w:rsidRPr="00AD31DA">
        <w:rPr>
          <w:rFonts w:eastAsia="Arial" w:cs="Times New Roman"/>
          <w:color w:val="000000"/>
        </w:rPr>
        <w:t xml:space="preserve"> </w:t>
      </w:r>
      <w:r w:rsidRPr="00AD31DA">
        <w:rPr>
          <w:rFonts w:eastAsia="Arial" w:cs="Times New Roman"/>
          <w:color w:val="000000"/>
          <w:lang w:eastAsia="en-GB"/>
        </w:rPr>
        <w:t>been granted</w:t>
      </w:r>
      <w:r>
        <w:rPr>
          <w:rFonts w:eastAsia="Arial" w:cs="Times New Roman"/>
          <w:color w:val="000000"/>
          <w:lang w:eastAsia="en-GB"/>
        </w:rPr>
        <w:t xml:space="preserve"> prior to works commencing</w:t>
      </w:r>
      <w:r w:rsidRPr="00AD31DA">
        <w:rPr>
          <w:rFonts w:eastAsia="Arial" w:cs="Times New Roman"/>
          <w:color w:val="000000"/>
          <w:lang w:eastAsia="en-GB"/>
        </w:rPr>
        <w:t xml:space="preserve">. </w:t>
      </w:r>
    </w:p>
    <w:p w14:paraId="670BF247" w14:textId="77777777" w:rsidR="0008185E" w:rsidRPr="00D316B8" w:rsidRDefault="0008185E" w:rsidP="0008185E">
      <w:pPr>
        <w:rPr>
          <w:rFonts w:eastAsia="Arial" w:cs="Times New Roman"/>
          <w:color w:val="000000"/>
          <w:lang w:eastAsia="en-GB"/>
        </w:rPr>
      </w:pPr>
      <w:r w:rsidRPr="00D316B8">
        <w:rPr>
          <w:rFonts w:eastAsia="Arial" w:cs="Times New Roman"/>
          <w:color w:val="000000"/>
          <w:lang w:eastAsia="en-GB"/>
        </w:rPr>
        <w:t>It is the applicants’ responsibility to seek appropriate planning</w:t>
      </w:r>
      <w:r w:rsidRPr="00D316B8">
        <w:rPr>
          <w:rFonts w:eastAsia="Arial" w:cs="Times New Roman"/>
          <w:color w:val="000000"/>
        </w:rPr>
        <w:t xml:space="preserve"> </w:t>
      </w:r>
      <w:r w:rsidRPr="00D316B8">
        <w:rPr>
          <w:rFonts w:eastAsia="Arial" w:cs="Times New Roman"/>
          <w:color w:val="000000"/>
          <w:lang w:eastAsia="en-GB"/>
        </w:rPr>
        <w:t>and building control consents</w:t>
      </w:r>
      <w:r w:rsidRPr="00D316B8">
        <w:rPr>
          <w:rFonts w:eastAsia="Arial" w:cs="Times New Roman"/>
          <w:color w:val="000000"/>
        </w:rPr>
        <w:t xml:space="preserve">, once conditional landlord consent is granted. Please note that obtaining planning and building control consent </w:t>
      </w:r>
      <w:r w:rsidRPr="00D316B8">
        <w:rPr>
          <w:rFonts w:eastAsia="Arial" w:cs="Times New Roman"/>
          <w:color w:val="000000"/>
          <w:lang w:eastAsia="en-GB"/>
        </w:rPr>
        <w:t>does not</w:t>
      </w:r>
      <w:r w:rsidRPr="00D316B8">
        <w:rPr>
          <w:rFonts w:eastAsia="Arial" w:cs="Times New Roman"/>
          <w:color w:val="000000"/>
        </w:rPr>
        <w:t xml:space="preserve"> </w:t>
      </w:r>
      <w:r w:rsidRPr="00D316B8">
        <w:rPr>
          <w:rFonts w:eastAsia="Arial" w:cs="Times New Roman"/>
          <w:color w:val="000000"/>
          <w:lang w:eastAsia="en-GB"/>
        </w:rPr>
        <w:t xml:space="preserve">guarantee the award of landlord consent, </w:t>
      </w:r>
      <w:r w:rsidRPr="00D316B8">
        <w:rPr>
          <w:rFonts w:eastAsia="Arial" w:cs="Times New Roman"/>
          <w:color w:val="000000"/>
        </w:rPr>
        <w:t xml:space="preserve">as </w:t>
      </w:r>
      <w:r w:rsidRPr="00D316B8">
        <w:rPr>
          <w:rFonts w:eastAsia="Arial" w:cs="Times New Roman"/>
          <w:color w:val="000000"/>
          <w:lang w:eastAsia="en-GB"/>
        </w:rPr>
        <w:t>they are separate considerations.</w:t>
      </w:r>
      <w:r w:rsidRPr="00D316B8">
        <w:rPr>
          <w:rFonts w:eastAsia="Arial" w:cs="Times New Roman"/>
          <w:color w:val="000000"/>
        </w:rPr>
        <w:t xml:space="preserve"> </w:t>
      </w:r>
    </w:p>
    <w:p w14:paraId="505A7531" w14:textId="77777777" w:rsidR="0008185E" w:rsidRPr="00D316B8" w:rsidRDefault="0008185E" w:rsidP="0008185E">
      <w:pPr>
        <w:rPr>
          <w:rFonts w:eastAsia="Arial" w:cs="Times New Roman"/>
          <w:color w:val="000000"/>
          <w:lang w:eastAsia="en-GB"/>
        </w:rPr>
      </w:pPr>
      <w:r w:rsidRPr="00D316B8">
        <w:rPr>
          <w:rFonts w:eastAsia="Arial" w:cs="Times New Roman"/>
          <w:color w:val="000000"/>
          <w:lang w:eastAsia="en-GB"/>
        </w:rPr>
        <w:t xml:space="preserve">In response to a request for an alteration, Landlord’s consent takes priority. It takes account of the requirements for the management of the building and the various criteria listed in </w:t>
      </w:r>
      <w:r w:rsidRPr="00D316B8">
        <w:rPr>
          <w:rFonts w:eastAsia="Arial" w:cs="Times New Roman"/>
          <w:color w:val="000000"/>
        </w:rPr>
        <w:t>Appendix 2 &amp; 3 below. L</w:t>
      </w:r>
      <w:r w:rsidRPr="00D316B8">
        <w:rPr>
          <w:rFonts w:eastAsia="Arial" w:cs="Times New Roman"/>
          <w:color w:val="000000"/>
          <w:lang w:eastAsia="en-GB"/>
        </w:rPr>
        <w:t xml:space="preserve">andlord’s </w:t>
      </w:r>
      <w:r w:rsidRPr="00D316B8">
        <w:rPr>
          <w:rFonts w:eastAsia="Arial" w:cs="Times New Roman"/>
          <w:color w:val="000000"/>
        </w:rPr>
        <w:t>conditional c</w:t>
      </w:r>
      <w:r w:rsidRPr="00D316B8">
        <w:rPr>
          <w:rFonts w:eastAsia="Arial" w:cs="Times New Roman"/>
          <w:color w:val="000000"/>
          <w:lang w:eastAsia="en-GB"/>
        </w:rPr>
        <w:t>onsent will be required before any physical works are undertaken.</w:t>
      </w:r>
    </w:p>
    <w:p w14:paraId="394ECC1E" w14:textId="77777777" w:rsidR="0008185E" w:rsidRPr="0008185E" w:rsidRDefault="0008185E" w:rsidP="0008185E">
      <w:pPr>
        <w:pStyle w:val="ListBullet"/>
        <w:rPr>
          <w:lang w:eastAsia="en-GB"/>
        </w:rPr>
      </w:pPr>
      <w:r w:rsidRPr="0008185E">
        <w:rPr>
          <w:lang w:eastAsia="en-GB"/>
        </w:rPr>
        <w:t xml:space="preserve">Conditional consent will require the meeting of certain criteria both before works can start and the meeting of all conditional requirements prior to formal consent being granted. </w:t>
      </w:r>
    </w:p>
    <w:p w14:paraId="1EF96348" w14:textId="77777777" w:rsidR="0008185E" w:rsidRPr="0008185E" w:rsidRDefault="0008185E" w:rsidP="0008185E">
      <w:pPr>
        <w:pStyle w:val="ListBullet"/>
        <w:rPr>
          <w:lang w:eastAsia="en-GB"/>
        </w:rPr>
      </w:pPr>
      <w:r w:rsidRPr="0008185E">
        <w:rPr>
          <w:lang w:eastAsia="en-GB"/>
        </w:rPr>
        <w:t>Formal consent will only be granted when these obligations have been fully met and agreed by a Council representative.</w:t>
      </w:r>
    </w:p>
    <w:p w14:paraId="5793162B" w14:textId="1503C44B" w:rsidR="004A70E1" w:rsidRPr="004A70E1" w:rsidRDefault="0008185E" w:rsidP="004A70E1">
      <w:pPr>
        <w:pStyle w:val="ListBullet"/>
        <w:rPr>
          <w:lang w:eastAsia="en-GB"/>
        </w:rPr>
      </w:pPr>
      <w:r w:rsidRPr="0008185E">
        <w:rPr>
          <w:lang w:eastAsia="en-GB"/>
        </w:rPr>
        <w:lastRenderedPageBreak/>
        <w:t>Should a lessee not fulfil these terms they will be deemed to be in breach of their lease and the Council will seek to take whatever action it deems appropriate to remedy the situation</w:t>
      </w:r>
      <w:r>
        <w:rPr>
          <w:lang w:eastAsia="en-GB"/>
        </w:rPr>
        <w:t>.</w:t>
      </w:r>
    </w:p>
    <w:p w14:paraId="59E1B92C" w14:textId="71435020" w:rsidR="00FD5FC1" w:rsidRDefault="00632118" w:rsidP="00FD5FC1">
      <w:pPr>
        <w:pStyle w:val="Heading2"/>
      </w:pPr>
      <w:bookmarkStart w:id="35" w:name="_Toc227145287"/>
      <w:r>
        <w:t>Principal criteria for granting landlord permission to leaseholders</w:t>
      </w:r>
      <w:bookmarkEnd w:id="35"/>
    </w:p>
    <w:p w14:paraId="5E6C3897" w14:textId="77777777" w:rsidR="001377B7" w:rsidRPr="00D316B8" w:rsidRDefault="004B3946" w:rsidP="001377B7">
      <w:pPr>
        <w:rPr>
          <w:rFonts w:eastAsia="Arial" w:cs="Times New Roman"/>
          <w:color w:val="000000"/>
          <w:lang w:eastAsia="en-GB"/>
        </w:rPr>
      </w:pPr>
      <w:r>
        <w:rPr>
          <w:lang w:val="en-US" w:eastAsia="en-GB"/>
        </w:rPr>
        <w:t xml:space="preserve">To improve </w:t>
      </w:r>
      <w:r w:rsidR="001377B7" w:rsidRPr="00D316B8">
        <w:rPr>
          <w:rFonts w:eastAsia="Arial" w:cs="Times New Roman"/>
          <w:color w:val="000000"/>
          <w:lang w:eastAsia="en-GB"/>
        </w:rPr>
        <w:t xml:space="preserve">clarity a detailed list has been drawn up of the categories of work requiring landlord consent </w:t>
      </w:r>
      <w:r w:rsidR="001377B7" w:rsidRPr="00D316B8">
        <w:rPr>
          <w:rFonts w:eastAsia="Arial" w:cs="Times New Roman"/>
          <w:color w:val="000000"/>
        </w:rPr>
        <w:t xml:space="preserve">which </w:t>
      </w:r>
      <w:r w:rsidR="001377B7" w:rsidRPr="00D316B8">
        <w:rPr>
          <w:rFonts w:eastAsia="Arial" w:cs="Times New Roman"/>
          <w:color w:val="000000"/>
          <w:lang w:eastAsia="en-GB"/>
        </w:rPr>
        <w:t xml:space="preserve">is provided in Appendix </w:t>
      </w:r>
      <w:r w:rsidR="001377B7" w:rsidRPr="00D316B8">
        <w:rPr>
          <w:rFonts w:eastAsia="Arial" w:cs="Times New Roman"/>
          <w:color w:val="000000"/>
        </w:rPr>
        <w:t>2 and 3 below</w:t>
      </w:r>
      <w:r w:rsidR="001377B7" w:rsidRPr="00D316B8">
        <w:rPr>
          <w:rFonts w:eastAsia="Arial" w:cs="Times New Roman"/>
          <w:color w:val="000000"/>
          <w:lang w:eastAsia="en-GB"/>
        </w:rPr>
        <w:t>.</w:t>
      </w:r>
      <w:r w:rsidR="001377B7" w:rsidRPr="00D316B8">
        <w:rPr>
          <w:rFonts w:eastAsia="Arial" w:cs="Times New Roman"/>
          <w:color w:val="000000"/>
        </w:rPr>
        <w:t xml:space="preserve"> Appendix 2 outlines internal works subject to several important qualifications which will be used i</w:t>
      </w:r>
      <w:r w:rsidR="001377B7" w:rsidRPr="00D316B8">
        <w:rPr>
          <w:rFonts w:eastAsia="Arial" w:cs="Times New Roman"/>
          <w:color w:val="000000"/>
          <w:lang w:eastAsia="en-GB"/>
        </w:rPr>
        <w:t xml:space="preserve">n deciding whether the Council can authorise a proposed alteration. </w:t>
      </w:r>
    </w:p>
    <w:p w14:paraId="78C3D085" w14:textId="77777777" w:rsidR="001377B7" w:rsidRPr="00D316B8" w:rsidRDefault="001377B7" w:rsidP="001377B7">
      <w:pPr>
        <w:rPr>
          <w:rFonts w:eastAsia="Arial" w:cs="Times New Roman"/>
          <w:color w:val="000000"/>
        </w:rPr>
      </w:pPr>
      <w:r w:rsidRPr="00D316B8">
        <w:rPr>
          <w:rFonts w:eastAsia="Arial" w:cs="Times New Roman"/>
          <w:color w:val="000000"/>
        </w:rPr>
        <w:t xml:space="preserve">In contrast, Appendix 3 outlines the external, structural, safety or environmental criteria. The proposed work must not cause or be likely to cause any maintenance or structural problems. It must not encroach onto or affect the present or future use of any land which </w:t>
      </w:r>
      <w:r>
        <w:rPr>
          <w:rFonts w:eastAsia="Arial" w:cs="Times New Roman"/>
          <w:color w:val="000000"/>
        </w:rPr>
        <w:t xml:space="preserve">does </w:t>
      </w:r>
      <w:r w:rsidRPr="00D316B8">
        <w:rPr>
          <w:rFonts w:eastAsia="Arial" w:cs="Times New Roman"/>
          <w:color w:val="000000"/>
        </w:rPr>
        <w:t xml:space="preserve">not </w:t>
      </w:r>
      <w:r>
        <w:rPr>
          <w:rFonts w:eastAsia="Arial" w:cs="Times New Roman"/>
          <w:color w:val="000000"/>
        </w:rPr>
        <w:t xml:space="preserve">form </w:t>
      </w:r>
      <w:r w:rsidRPr="00D316B8">
        <w:rPr>
          <w:rFonts w:eastAsia="Arial" w:cs="Times New Roman"/>
          <w:color w:val="000000"/>
        </w:rPr>
        <w:t xml:space="preserve">part of the </w:t>
      </w:r>
      <w:r>
        <w:rPr>
          <w:rFonts w:eastAsia="Arial" w:cs="Times New Roman"/>
          <w:color w:val="000000"/>
        </w:rPr>
        <w:t>leaseholder’s demise</w:t>
      </w:r>
      <w:r w:rsidRPr="00D316B8">
        <w:rPr>
          <w:rFonts w:eastAsia="Arial" w:cs="Times New Roman"/>
          <w:color w:val="000000"/>
        </w:rPr>
        <w:t xml:space="preserve">. </w:t>
      </w:r>
    </w:p>
    <w:p w14:paraId="105C59D9" w14:textId="366D4B68" w:rsidR="00632118" w:rsidRDefault="00632118" w:rsidP="00632118">
      <w:pPr>
        <w:pStyle w:val="Heading1"/>
      </w:pPr>
      <w:bookmarkStart w:id="36" w:name="_Toc227145288"/>
      <w:r>
        <w:t>Retrospective Permission</w:t>
      </w:r>
      <w:bookmarkEnd w:id="36"/>
    </w:p>
    <w:p w14:paraId="0D147233" w14:textId="77777777" w:rsidR="00D201FE" w:rsidRPr="00D316B8" w:rsidRDefault="001377B7" w:rsidP="00D201FE">
      <w:pPr>
        <w:rPr>
          <w:rFonts w:eastAsia="Arial" w:cs="Times New Roman"/>
          <w:color w:val="000000"/>
        </w:rPr>
      </w:pPr>
      <w:r>
        <w:rPr>
          <w:lang w:eastAsia="en-GB"/>
        </w:rPr>
        <w:t xml:space="preserve">The </w:t>
      </w:r>
      <w:r w:rsidR="00D201FE" w:rsidRPr="00D316B8">
        <w:rPr>
          <w:rFonts w:eastAsia="Arial" w:cs="Times New Roman"/>
          <w:color w:val="000000"/>
        </w:rPr>
        <w:t xml:space="preserve">Council will consider each application on its </w:t>
      </w:r>
      <w:r w:rsidR="00D201FE">
        <w:rPr>
          <w:rFonts w:eastAsia="Arial" w:cs="Times New Roman"/>
          <w:color w:val="000000"/>
        </w:rPr>
        <w:t xml:space="preserve">own </w:t>
      </w:r>
      <w:r w:rsidR="00D201FE" w:rsidRPr="00D316B8">
        <w:rPr>
          <w:rFonts w:eastAsia="Arial" w:cs="Times New Roman"/>
          <w:color w:val="000000"/>
        </w:rPr>
        <w:t>merits but are highly unlikely to agree retrospective permission for large scale works (</w:t>
      </w:r>
      <w:r w:rsidR="00D201FE">
        <w:rPr>
          <w:rFonts w:eastAsia="Arial" w:cs="Times New Roman"/>
          <w:color w:val="000000"/>
        </w:rPr>
        <w:t xml:space="preserve">e.g. </w:t>
      </w:r>
      <w:r w:rsidR="00D201FE" w:rsidRPr="00D316B8">
        <w:rPr>
          <w:rFonts w:eastAsia="Arial" w:cs="Times New Roman"/>
          <w:color w:val="000000"/>
        </w:rPr>
        <w:t>removal of internal walls</w:t>
      </w:r>
      <w:r w:rsidR="00D201FE">
        <w:rPr>
          <w:rFonts w:eastAsia="Arial" w:cs="Times New Roman"/>
          <w:color w:val="000000"/>
        </w:rPr>
        <w:t xml:space="preserve">, chimney removals, and </w:t>
      </w:r>
      <w:r w:rsidR="00D201FE" w:rsidRPr="00D316B8">
        <w:rPr>
          <w:rFonts w:eastAsia="Arial" w:cs="Times New Roman"/>
          <w:color w:val="000000"/>
        </w:rPr>
        <w:t xml:space="preserve">extensions that require gateways/exits to be created in the Council's boundary lines). Note this list is not exhaustive. Where it may have a detrimental impact on the building insurance, the maintenance obligations of the Landlord or the design consistency of the building including the light affected by another building. </w:t>
      </w:r>
    </w:p>
    <w:p w14:paraId="646DCE84" w14:textId="77777777" w:rsidR="00D201FE" w:rsidRPr="00D316B8" w:rsidRDefault="00D201FE" w:rsidP="00D201FE">
      <w:pPr>
        <w:rPr>
          <w:rFonts w:eastAsia="Arial" w:cs="Times New Roman"/>
          <w:color w:val="000000"/>
          <w:lang w:eastAsia="en-GB"/>
        </w:rPr>
      </w:pPr>
      <w:r w:rsidRPr="00D316B8">
        <w:rPr>
          <w:rFonts w:eastAsia="Arial" w:cs="Times New Roman"/>
          <w:color w:val="000000"/>
          <w:lang w:eastAsia="en-GB"/>
        </w:rPr>
        <w:t>Where retrospective consent cannot be granted, the leaseholder will be</w:t>
      </w:r>
      <w:r w:rsidRPr="00D316B8">
        <w:rPr>
          <w:rFonts w:eastAsia="Arial" w:cs="Times New Roman"/>
          <w:color w:val="000000"/>
        </w:rPr>
        <w:t xml:space="preserve"> </w:t>
      </w:r>
      <w:r w:rsidRPr="00D316B8">
        <w:rPr>
          <w:rFonts w:eastAsia="Arial" w:cs="Times New Roman"/>
          <w:color w:val="000000"/>
          <w:lang w:eastAsia="en-GB"/>
        </w:rPr>
        <w:t>required to reinstate the property to its former condition that is before</w:t>
      </w:r>
      <w:r w:rsidRPr="00D316B8">
        <w:rPr>
          <w:rFonts w:eastAsia="Arial" w:cs="Times New Roman"/>
          <w:color w:val="000000"/>
        </w:rPr>
        <w:t xml:space="preserve"> </w:t>
      </w:r>
      <w:r w:rsidRPr="00D316B8">
        <w:rPr>
          <w:rFonts w:eastAsia="Arial" w:cs="Times New Roman"/>
          <w:color w:val="000000"/>
          <w:lang w:eastAsia="en-GB"/>
        </w:rPr>
        <w:t xml:space="preserve">the alterations were carried out, </w:t>
      </w:r>
      <w:r>
        <w:rPr>
          <w:rFonts w:eastAsia="Arial" w:cs="Times New Roman"/>
          <w:color w:val="000000"/>
          <w:lang w:eastAsia="en-GB"/>
        </w:rPr>
        <w:t xml:space="preserve">and </w:t>
      </w:r>
      <w:r w:rsidRPr="00D316B8">
        <w:rPr>
          <w:rFonts w:eastAsia="Arial" w:cs="Times New Roman"/>
          <w:color w:val="000000"/>
          <w:lang w:eastAsia="en-GB"/>
        </w:rPr>
        <w:t>at no cost to the Council.</w:t>
      </w:r>
    </w:p>
    <w:p w14:paraId="6398936E" w14:textId="77777777" w:rsidR="00D201FE" w:rsidRPr="00D316B8" w:rsidRDefault="00D201FE" w:rsidP="00D201FE">
      <w:pPr>
        <w:rPr>
          <w:rFonts w:eastAsia="Arial" w:cs="Times New Roman"/>
          <w:color w:val="000000"/>
          <w:lang w:eastAsia="en-GB"/>
        </w:rPr>
      </w:pPr>
      <w:r w:rsidRPr="00D316B8">
        <w:rPr>
          <w:rFonts w:eastAsia="Arial" w:cs="Times New Roman"/>
          <w:color w:val="000000"/>
          <w:lang w:eastAsia="en-GB"/>
        </w:rPr>
        <w:t>An inspection of the property will be carried out to confirm that any</w:t>
      </w:r>
      <w:r w:rsidRPr="00D316B8">
        <w:rPr>
          <w:rFonts w:eastAsia="Arial" w:cs="Times New Roman"/>
          <w:color w:val="000000"/>
        </w:rPr>
        <w:t xml:space="preserve"> </w:t>
      </w:r>
      <w:r w:rsidRPr="00D316B8">
        <w:rPr>
          <w:rFonts w:eastAsia="Arial" w:cs="Times New Roman"/>
          <w:color w:val="000000"/>
          <w:lang w:eastAsia="en-GB"/>
        </w:rPr>
        <w:t>work required by the Council as the landlord has taken place and that it</w:t>
      </w:r>
      <w:r w:rsidRPr="00D316B8">
        <w:rPr>
          <w:rFonts w:eastAsia="Arial" w:cs="Times New Roman"/>
          <w:color w:val="000000"/>
        </w:rPr>
        <w:t xml:space="preserve"> </w:t>
      </w:r>
      <w:r w:rsidRPr="00D316B8">
        <w:rPr>
          <w:rFonts w:eastAsia="Arial" w:cs="Times New Roman"/>
          <w:color w:val="000000"/>
          <w:lang w:eastAsia="en-GB"/>
        </w:rPr>
        <w:t>is to a satisfactory standard. Advice will be sought from the Legal</w:t>
      </w:r>
      <w:r w:rsidRPr="00D316B8">
        <w:rPr>
          <w:rFonts w:eastAsia="Arial" w:cs="Times New Roman"/>
          <w:color w:val="000000"/>
        </w:rPr>
        <w:t xml:space="preserve"> </w:t>
      </w:r>
      <w:r w:rsidRPr="00D316B8">
        <w:rPr>
          <w:rFonts w:eastAsia="Arial" w:cs="Times New Roman"/>
          <w:color w:val="000000"/>
          <w:lang w:eastAsia="en-GB"/>
        </w:rPr>
        <w:t>Service regarding appropriate enforcement action in respect of any</w:t>
      </w:r>
      <w:r w:rsidRPr="00D316B8">
        <w:rPr>
          <w:rFonts w:eastAsia="Arial" w:cs="Times New Roman"/>
          <w:color w:val="000000"/>
        </w:rPr>
        <w:t xml:space="preserve"> </w:t>
      </w:r>
      <w:r w:rsidRPr="00D316B8">
        <w:rPr>
          <w:rFonts w:eastAsia="Arial" w:cs="Times New Roman"/>
          <w:color w:val="000000"/>
          <w:lang w:eastAsia="en-GB"/>
        </w:rPr>
        <w:t>failures to comply with the Council's conditions.</w:t>
      </w:r>
    </w:p>
    <w:p w14:paraId="0A000B07" w14:textId="0ED4C24B" w:rsidR="00632118" w:rsidRDefault="00632118" w:rsidP="00632118">
      <w:pPr>
        <w:pStyle w:val="Heading2"/>
      </w:pPr>
      <w:bookmarkStart w:id="37" w:name="_Toc227145289"/>
      <w:r>
        <w:t>Charges</w:t>
      </w:r>
      <w:bookmarkEnd w:id="37"/>
    </w:p>
    <w:p w14:paraId="02CC2E65" w14:textId="7D5836A8" w:rsidR="00587C83" w:rsidRDefault="00587C83" w:rsidP="00587C83">
      <w:pPr>
        <w:rPr>
          <w:rFonts w:eastAsia="Arial" w:cs="Times New Roman"/>
          <w:color w:val="000000"/>
        </w:rPr>
      </w:pPr>
      <w:r>
        <w:rPr>
          <w:lang w:val="en-US" w:eastAsia="en-GB"/>
        </w:rPr>
        <w:t xml:space="preserve">Section 19(2) </w:t>
      </w:r>
      <w:r w:rsidR="007505F1" w:rsidRPr="00D316B8">
        <w:rPr>
          <w:rFonts w:eastAsia="Arial" w:cs="Times New Roman"/>
          <w:color w:val="000000"/>
        </w:rPr>
        <w:t>of the Landlord and Tenant Act enables the landlord to require the payment of a reasonable sum to cover any legal or other expenses properly incurred as a precondition to the granting of a licence or consent.</w:t>
      </w:r>
    </w:p>
    <w:p w14:paraId="55735F6D" w14:textId="77777777" w:rsidR="00CC7A4F" w:rsidRDefault="00CC7A4F" w:rsidP="00CC7A4F">
      <w:pPr>
        <w:pStyle w:val="Heading2"/>
      </w:pPr>
      <w:bookmarkStart w:id="38" w:name="_Toc227145290"/>
      <w:r>
        <w:t>Appeals</w:t>
      </w:r>
      <w:bookmarkEnd w:id="38"/>
    </w:p>
    <w:p w14:paraId="476A5609" w14:textId="62C69E1D" w:rsidR="00CC7A4F" w:rsidRDefault="00CC7A4F" w:rsidP="00CC7A4F">
      <w:pPr>
        <w:rPr>
          <w:rFonts w:eastAsia="Arial" w:cs="Times New Roman"/>
          <w:color w:val="000000"/>
        </w:rPr>
      </w:pPr>
      <w:r>
        <w:rPr>
          <w:lang w:val="en-US" w:eastAsia="en-GB"/>
        </w:rPr>
        <w:t xml:space="preserve">There  </w:t>
      </w:r>
      <w:r w:rsidRPr="00F90E6D">
        <w:rPr>
          <w:rFonts w:eastAsia="Arial" w:cs="Times New Roman"/>
          <w:color w:val="000000"/>
        </w:rPr>
        <w:t>is no Council procedure for appealing against an application that is not approved. However, the leaseholder may raise issues through the Council's Formal Complaints Procedure and the Housing Ombudsman</w:t>
      </w:r>
      <w:r>
        <w:rPr>
          <w:rFonts w:eastAsia="Arial" w:cs="Times New Roman"/>
          <w:color w:val="000000"/>
        </w:rPr>
        <w:t>.</w:t>
      </w:r>
    </w:p>
    <w:p w14:paraId="7E9E698E" w14:textId="118011C5" w:rsidR="00C516E6" w:rsidRDefault="00C516E6" w:rsidP="00C516E6">
      <w:pPr>
        <w:pStyle w:val="Heading1"/>
        <w:rPr>
          <w:lang w:val="en-US"/>
        </w:rPr>
      </w:pPr>
      <w:bookmarkStart w:id="39" w:name="_Toc227145291"/>
      <w:r>
        <w:rPr>
          <w:lang w:val="en-US"/>
        </w:rPr>
        <w:t>Fee Structure and Consent</w:t>
      </w:r>
      <w:bookmarkEnd w:id="39"/>
    </w:p>
    <w:p w14:paraId="42F2D622" w14:textId="77777777" w:rsidR="00F60638" w:rsidRDefault="00C516E6" w:rsidP="00F60638">
      <w:pPr>
        <w:rPr>
          <w:rFonts w:eastAsia="Arial" w:cs="Times New Roman"/>
          <w:color w:val="000000"/>
        </w:rPr>
      </w:pPr>
      <w:r>
        <w:rPr>
          <w:lang w:val="en-US" w:eastAsia="en-GB"/>
        </w:rPr>
        <w:t>The following</w:t>
      </w:r>
      <w:r w:rsidR="00F60638">
        <w:rPr>
          <w:lang w:val="en-US" w:eastAsia="en-GB"/>
        </w:rPr>
        <w:t xml:space="preserve"> </w:t>
      </w:r>
      <w:r w:rsidR="00F60638" w:rsidRPr="00F90E6D">
        <w:rPr>
          <w:rFonts w:eastAsia="Arial" w:cs="Times New Roman"/>
          <w:color w:val="000000"/>
        </w:rPr>
        <w:t xml:space="preserve">fees set out under table (1) applies for alteration requests: However, the fees are always subject to an annual review. Furthermore, the Council may need to appoint a new Surveyor to perform some of the related tasks whose charges may differ. In addition to consideration on the nature of the application and the queries associated with it.  </w:t>
      </w:r>
    </w:p>
    <w:p w14:paraId="790DA014" w14:textId="77777777" w:rsidR="00F60638" w:rsidRPr="007A20D6" w:rsidRDefault="00F60638" w:rsidP="00F60638">
      <w:pPr>
        <w:rPr>
          <w:rFonts w:eastAsia="Arial" w:cs="Times New Roman"/>
          <w:b/>
          <w:bCs/>
          <w:color w:val="000000"/>
        </w:rPr>
      </w:pPr>
      <w:r w:rsidRPr="007A20D6">
        <w:rPr>
          <w:b/>
          <w:bCs/>
        </w:rPr>
        <w:lastRenderedPageBreak/>
        <w:t>Table 1</w:t>
      </w:r>
    </w:p>
    <w:tbl>
      <w:tblPr>
        <w:tblStyle w:val="TableGrid"/>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583"/>
        <w:gridCol w:w="2211"/>
        <w:gridCol w:w="2212"/>
      </w:tblGrid>
      <w:tr w:rsidR="00F60638" w14:paraId="5AF98331" w14:textId="77777777" w:rsidTr="00AF3E27">
        <w:trPr>
          <w:trHeight w:val="584"/>
        </w:trPr>
        <w:tc>
          <w:tcPr>
            <w:tcW w:w="4583" w:type="dxa"/>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1AC31548" w14:textId="77777777" w:rsidR="00F60638" w:rsidRPr="00E70778" w:rsidRDefault="00F60638" w:rsidP="00AF3E27">
            <w:r w:rsidRPr="00E70778">
              <w:rPr>
                <w:rFonts w:eastAsia="Arial"/>
              </w:rPr>
              <w:t> </w:t>
            </w:r>
          </w:p>
        </w:tc>
        <w:tc>
          <w:tcPr>
            <w:tcW w:w="2211" w:type="dxa"/>
            <w:tcBorders>
              <w:top w:val="single" w:sz="8"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491421EE" w14:textId="77777777" w:rsidR="00F60638" w:rsidRPr="00E70778" w:rsidRDefault="00F60638" w:rsidP="00AF3E27">
            <w:r w:rsidRPr="00E70778">
              <w:rPr>
                <w:rFonts w:eastAsia="Arial"/>
              </w:rPr>
              <w:t xml:space="preserve">Minor </w:t>
            </w:r>
          </w:p>
          <w:p w14:paraId="246678D6" w14:textId="77777777" w:rsidR="00F60638" w:rsidRPr="00E70778" w:rsidRDefault="00F60638" w:rsidP="00AF3E27">
            <w:r w:rsidRPr="00E70778">
              <w:rPr>
                <w:rFonts w:eastAsia="Arial"/>
              </w:rPr>
              <w:t>Alterations</w:t>
            </w:r>
          </w:p>
        </w:tc>
        <w:tc>
          <w:tcPr>
            <w:tcW w:w="2212" w:type="dxa"/>
            <w:tcBorders>
              <w:top w:val="single" w:sz="8"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tcPr>
          <w:p w14:paraId="0A366743" w14:textId="77777777" w:rsidR="00F60638" w:rsidRPr="00E70778" w:rsidRDefault="00F60638" w:rsidP="00AF3E27">
            <w:r w:rsidRPr="00E70778">
              <w:rPr>
                <w:rFonts w:eastAsia="Arial"/>
              </w:rPr>
              <w:t>Major</w:t>
            </w:r>
          </w:p>
          <w:p w14:paraId="64242DAF" w14:textId="77777777" w:rsidR="00F60638" w:rsidRPr="00E70778" w:rsidRDefault="00F60638" w:rsidP="00AF3E27">
            <w:r w:rsidRPr="00E70778">
              <w:rPr>
                <w:rFonts w:eastAsia="Arial"/>
              </w:rPr>
              <w:t>Alterations</w:t>
            </w:r>
          </w:p>
        </w:tc>
      </w:tr>
      <w:tr w:rsidR="00F60638" w14:paraId="51D43769" w14:textId="77777777" w:rsidTr="00AF3E27">
        <w:trPr>
          <w:trHeight w:val="292"/>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2AC8DE" w14:textId="77777777" w:rsidR="00F60638" w:rsidRPr="00E70778" w:rsidRDefault="00F60638" w:rsidP="00AF3E27">
            <w:r w:rsidRPr="00E70778">
              <w:rPr>
                <w:rFonts w:eastAsia="Arial"/>
              </w:rPr>
              <w:t>Application fee</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68ACDC" w14:textId="77777777" w:rsidR="00F60638" w:rsidRPr="005558FF" w:rsidRDefault="00F60638" w:rsidP="00AF3E27">
            <w:r w:rsidRPr="005558FF">
              <w:rPr>
                <w:rFonts w:eastAsia="Arial"/>
              </w:rPr>
              <w:t>£</w:t>
            </w:r>
            <w:r>
              <w:rPr>
                <w:rFonts w:eastAsia="Arial"/>
              </w:rPr>
              <w:t>100-£385</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7BC6750" w14:textId="77777777" w:rsidR="00F60638" w:rsidRPr="005558FF" w:rsidRDefault="00F60638" w:rsidP="00AF3E27">
            <w:r w:rsidRPr="005558FF">
              <w:rPr>
                <w:rFonts w:eastAsia="Arial"/>
              </w:rPr>
              <w:t>£450</w:t>
            </w:r>
            <w:r>
              <w:rPr>
                <w:rFonts w:eastAsia="Arial"/>
              </w:rPr>
              <w:t>-£500</w:t>
            </w:r>
          </w:p>
        </w:tc>
      </w:tr>
      <w:tr w:rsidR="00F60638" w14:paraId="0D8C45A2" w14:textId="77777777" w:rsidTr="00AF3E27">
        <w:trPr>
          <w:trHeight w:val="292"/>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5E9EB2" w14:textId="77777777" w:rsidR="00F60638" w:rsidRPr="00E70778" w:rsidRDefault="00F60638" w:rsidP="00AF3E27">
            <w:r>
              <w:t>Retrospective fee</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FAED8E" w14:textId="77777777" w:rsidR="00F60638" w:rsidRPr="005558FF" w:rsidRDefault="00F60638" w:rsidP="00AF3E27">
            <w:r w:rsidRPr="005558FF">
              <w:t>£</w:t>
            </w:r>
            <w:r>
              <w:t>150-£</w:t>
            </w:r>
            <w:r w:rsidRPr="005558FF">
              <w:t>540</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7820BA" w14:textId="77777777" w:rsidR="00F60638" w:rsidRPr="005558FF" w:rsidRDefault="00F60638" w:rsidP="00AF3E27">
            <w:r w:rsidRPr="005558FF">
              <w:t>£5</w:t>
            </w:r>
            <w:r>
              <w:t>5</w:t>
            </w:r>
            <w:r w:rsidRPr="005558FF">
              <w:t>0</w:t>
            </w:r>
            <w:r>
              <w:t>-£650</w:t>
            </w:r>
          </w:p>
        </w:tc>
      </w:tr>
      <w:tr w:rsidR="00F60638" w14:paraId="0BA47302" w14:textId="77777777" w:rsidTr="00AF3E27">
        <w:trPr>
          <w:trHeight w:val="347"/>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5804F5" w14:textId="77777777" w:rsidR="00F60638" w:rsidRPr="00E70778" w:rsidRDefault="00F60638" w:rsidP="00AF3E27">
            <w:r w:rsidRPr="00E70778">
              <w:rPr>
                <w:rFonts w:eastAsia="Arial"/>
              </w:rPr>
              <w:t>Structural Surveyor’s review</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C3122F" w14:textId="77777777" w:rsidR="00F60638" w:rsidRPr="00E70778" w:rsidRDefault="00F60638" w:rsidP="00AF3E27">
            <w:r w:rsidRPr="00E70778">
              <w:rPr>
                <w:rFonts w:eastAsia="Arial"/>
              </w:rPr>
              <w:t>£201</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9D4D1E" w14:textId="77777777" w:rsidR="00F60638" w:rsidRPr="00E70778" w:rsidRDefault="00F60638" w:rsidP="00AF3E27">
            <w:r w:rsidRPr="00E70778">
              <w:rPr>
                <w:rFonts w:eastAsia="Arial"/>
              </w:rPr>
              <w:t>£201</w:t>
            </w:r>
          </w:p>
        </w:tc>
      </w:tr>
      <w:tr w:rsidR="00F60638" w14:paraId="24DD1B31" w14:textId="77777777" w:rsidTr="00AF3E27">
        <w:trPr>
          <w:trHeight w:val="353"/>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DCD7FD" w14:textId="77777777" w:rsidR="00F60638" w:rsidRPr="00E70778" w:rsidRDefault="00F60638" w:rsidP="00AF3E27">
            <w:r w:rsidRPr="00E70778">
              <w:rPr>
                <w:rFonts w:eastAsia="Arial"/>
              </w:rPr>
              <w:t>Post inspection by Surveyor</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56CA98" w14:textId="77777777" w:rsidR="00F60638" w:rsidRPr="00E70778" w:rsidRDefault="00F60638" w:rsidP="00AF3E27">
            <w:r w:rsidRPr="00E70778">
              <w:rPr>
                <w:rFonts w:eastAsia="Arial"/>
              </w:rPr>
              <w:t>£14</w:t>
            </w:r>
            <w:r>
              <w:rPr>
                <w:rFonts w:eastAsia="Arial"/>
              </w:rPr>
              <w:t>5</w:t>
            </w:r>
          </w:p>
          <w:p w14:paraId="51A70036" w14:textId="77777777" w:rsidR="00F60638" w:rsidRPr="00E70778" w:rsidRDefault="00F60638" w:rsidP="00AF3E27">
            <w:r w:rsidRPr="00E70778">
              <w:rPr>
                <w:rFonts w:eastAsia="Arial"/>
              </w:rPr>
              <w:t>(no report)</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BFED0A" w14:textId="77777777" w:rsidR="00F60638" w:rsidRPr="00E70778" w:rsidRDefault="00F60638" w:rsidP="00AF3E27">
            <w:r w:rsidRPr="00E70778">
              <w:rPr>
                <w:rFonts w:eastAsia="Arial"/>
              </w:rPr>
              <w:t>£6</w:t>
            </w:r>
            <w:r>
              <w:rPr>
                <w:rFonts w:eastAsia="Arial"/>
              </w:rPr>
              <w:t>95</w:t>
            </w:r>
          </w:p>
          <w:p w14:paraId="73F54ECE" w14:textId="77777777" w:rsidR="00F60638" w:rsidRPr="00E70778" w:rsidRDefault="00F60638" w:rsidP="00AF3E27">
            <w:r w:rsidRPr="00E70778">
              <w:rPr>
                <w:rFonts w:eastAsia="Arial"/>
              </w:rPr>
              <w:t>(includes a report)</w:t>
            </w:r>
          </w:p>
        </w:tc>
      </w:tr>
      <w:tr w:rsidR="00F60638" w14:paraId="675A03F6" w14:textId="77777777" w:rsidTr="00AF3E27">
        <w:trPr>
          <w:trHeight w:val="277"/>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68DF12" w14:textId="77777777" w:rsidR="00F60638" w:rsidRPr="00E70778" w:rsidRDefault="00F60638" w:rsidP="00AF3E27">
            <w:r w:rsidRPr="00E70778">
              <w:rPr>
                <w:rFonts w:eastAsia="Arial"/>
              </w:rPr>
              <w:t>Re-inspection (if applicable)</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429F30" w14:textId="77777777" w:rsidR="00F60638" w:rsidRPr="00E70778" w:rsidRDefault="00F60638" w:rsidP="00AF3E27">
            <w:r w:rsidRPr="00E70778">
              <w:rPr>
                <w:rFonts w:eastAsia="Arial"/>
              </w:rPr>
              <w:t>£1</w:t>
            </w:r>
            <w:r>
              <w:rPr>
                <w:rFonts w:eastAsia="Arial"/>
              </w:rPr>
              <w:t>45</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E1D29F" w14:textId="77777777" w:rsidR="00F60638" w:rsidRPr="00E70778" w:rsidRDefault="00F60638" w:rsidP="00AF3E27">
            <w:r w:rsidRPr="00E70778">
              <w:rPr>
                <w:rFonts w:eastAsia="Arial"/>
              </w:rPr>
              <w:t>£1</w:t>
            </w:r>
            <w:r>
              <w:rPr>
                <w:rFonts w:eastAsia="Arial"/>
              </w:rPr>
              <w:t>45</w:t>
            </w:r>
          </w:p>
        </w:tc>
      </w:tr>
      <w:tr w:rsidR="00F60638" w14:paraId="2951394F" w14:textId="77777777" w:rsidTr="00AF3E27">
        <w:trPr>
          <w:trHeight w:val="277"/>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56EB48" w14:textId="77777777" w:rsidR="00F60638" w:rsidRPr="00E70778" w:rsidRDefault="00F60638" w:rsidP="00AF3E27">
            <w:r w:rsidRPr="00E70778">
              <w:rPr>
                <w:rFonts w:eastAsia="Arial"/>
              </w:rPr>
              <w:t>Floor plan (if applicable)</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8CE6C0" w14:textId="77777777" w:rsidR="00F60638" w:rsidRPr="00E70778" w:rsidRDefault="00F60638" w:rsidP="00AF3E27">
            <w:r w:rsidRPr="00E70778">
              <w:rPr>
                <w:rFonts w:eastAsia="Arial"/>
              </w:rPr>
              <w:t>£</w:t>
            </w:r>
            <w:r>
              <w:rPr>
                <w:rFonts w:eastAsia="Arial"/>
              </w:rPr>
              <w:t xml:space="preserve">470 + VAT </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7D1311" w14:textId="77777777" w:rsidR="00F60638" w:rsidRPr="00E70778" w:rsidRDefault="00F60638" w:rsidP="00AF3E27">
            <w:r>
              <w:t>£950 + VAT</w:t>
            </w:r>
          </w:p>
        </w:tc>
      </w:tr>
      <w:tr w:rsidR="00F60638" w14:paraId="4BB63CDD" w14:textId="77777777" w:rsidTr="00AF3E27">
        <w:trPr>
          <w:trHeight w:val="376"/>
        </w:trPr>
        <w:tc>
          <w:tcPr>
            <w:tcW w:w="9006" w:type="dxa"/>
            <w:gridSpan w:val="3"/>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3FE83E99" w14:textId="77777777" w:rsidR="00F60638" w:rsidRPr="007E536F" w:rsidRDefault="00F60638" w:rsidP="00AF3E27">
            <w:r w:rsidRPr="007E536F">
              <w:t xml:space="preserve">Boiler replacement                                       £100 (new) </w:t>
            </w:r>
          </w:p>
        </w:tc>
      </w:tr>
      <w:tr w:rsidR="00F60638" w14:paraId="0BEAA8D6" w14:textId="77777777" w:rsidTr="00AF3E27">
        <w:trPr>
          <w:trHeight w:val="376"/>
        </w:trPr>
        <w:tc>
          <w:tcPr>
            <w:tcW w:w="9006" w:type="dxa"/>
            <w:gridSpan w:val="3"/>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2949B67D" w14:textId="77777777" w:rsidR="00F60638" w:rsidRPr="007E536F" w:rsidRDefault="00F60638" w:rsidP="00AF3E27">
            <w:r w:rsidRPr="007E536F">
              <w:t xml:space="preserve">Electrics                                                        £100 (new) </w:t>
            </w:r>
          </w:p>
        </w:tc>
      </w:tr>
      <w:tr w:rsidR="00F60638" w14:paraId="13F60B53" w14:textId="77777777" w:rsidTr="00AF3E27">
        <w:trPr>
          <w:trHeight w:val="376"/>
        </w:trPr>
        <w:tc>
          <w:tcPr>
            <w:tcW w:w="9006" w:type="dxa"/>
            <w:gridSpan w:val="3"/>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445BE1E6" w14:textId="77777777" w:rsidR="00F60638" w:rsidRPr="007E536F" w:rsidRDefault="00F60638" w:rsidP="00AF3E27">
            <w:r w:rsidRPr="007E536F">
              <w:t>Minor plumbing                                             £100 (new)</w:t>
            </w:r>
          </w:p>
        </w:tc>
      </w:tr>
      <w:tr w:rsidR="00F60638" w14:paraId="37BA75A9" w14:textId="77777777" w:rsidTr="00AF3E27">
        <w:trPr>
          <w:trHeight w:val="376"/>
        </w:trPr>
        <w:tc>
          <w:tcPr>
            <w:tcW w:w="9006" w:type="dxa"/>
            <w:gridSpan w:val="3"/>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tcPr>
          <w:p w14:paraId="611D2FAA" w14:textId="77777777" w:rsidR="00F60638" w:rsidRPr="007E536F" w:rsidRDefault="00F60638" w:rsidP="00AF3E27">
            <w:r w:rsidRPr="007E536F">
              <w:t>Post inspection                                             £145</w:t>
            </w:r>
          </w:p>
        </w:tc>
      </w:tr>
      <w:tr w:rsidR="00F60638" w14:paraId="13F7D017" w14:textId="77777777" w:rsidTr="00AF3E27">
        <w:trPr>
          <w:trHeight w:val="68"/>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8DD4D8" w14:textId="77777777" w:rsidR="00F60638" w:rsidRPr="00E70778" w:rsidRDefault="00F60638" w:rsidP="00AF3E27">
            <w:r w:rsidRPr="00E70778">
              <w:rPr>
                <w:rFonts w:eastAsia="Arial"/>
              </w:rPr>
              <w:t>Valuations for Premium and negotiation of Premium (if applicable)</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D2B3C3B" w14:textId="77777777" w:rsidR="00F60638" w:rsidRPr="00E70778" w:rsidRDefault="00F60638" w:rsidP="00AF3E27">
            <w:r w:rsidRPr="00E70778">
              <w:rPr>
                <w:rFonts w:eastAsia="Arial"/>
              </w:rPr>
              <w:t>£</w:t>
            </w:r>
            <w:r>
              <w:rPr>
                <w:rFonts w:eastAsia="Arial"/>
              </w:rPr>
              <w:t>2,020</w:t>
            </w:r>
            <w:r w:rsidRPr="00E70778">
              <w:rPr>
                <w:rFonts w:eastAsia="Arial"/>
              </w:rPr>
              <w:t xml:space="preserve"> + Vat</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EB29480" w14:textId="77777777" w:rsidR="00F60638" w:rsidRPr="00E70778" w:rsidRDefault="00F60638" w:rsidP="00AF3E27">
            <w:r w:rsidRPr="00E70778">
              <w:rPr>
                <w:rFonts w:eastAsia="Arial"/>
              </w:rPr>
              <w:t>£</w:t>
            </w:r>
            <w:r>
              <w:rPr>
                <w:rFonts w:eastAsia="Arial"/>
              </w:rPr>
              <w:t>2,020</w:t>
            </w:r>
            <w:r w:rsidRPr="00E70778">
              <w:rPr>
                <w:rFonts w:eastAsia="Arial"/>
              </w:rPr>
              <w:t xml:space="preserve"> + Vat</w:t>
            </w:r>
          </w:p>
        </w:tc>
      </w:tr>
      <w:tr w:rsidR="00F60638" w14:paraId="71EF16F1" w14:textId="77777777" w:rsidTr="00AF3E27">
        <w:trPr>
          <w:trHeight w:val="495"/>
        </w:trPr>
        <w:tc>
          <w:tcPr>
            <w:tcW w:w="4583"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F6B0D0" w14:textId="77777777" w:rsidR="00F60638" w:rsidRPr="00E70778" w:rsidRDefault="00F60638" w:rsidP="00AF3E27">
            <w:r w:rsidRPr="00E70778">
              <w:rPr>
                <w:rFonts w:eastAsia="Arial"/>
              </w:rPr>
              <w:t xml:space="preserve">Legal Services </w:t>
            </w:r>
          </w:p>
          <w:p w14:paraId="26E9E6B8" w14:textId="77777777" w:rsidR="00F60638" w:rsidRPr="00E70778" w:rsidRDefault="00F60638" w:rsidP="00AF3E27">
            <w:r w:rsidRPr="00E70778">
              <w:rPr>
                <w:rFonts w:eastAsia="Arial"/>
              </w:rPr>
              <w:t>(licence to alter/deed of variation)</w:t>
            </w:r>
          </w:p>
        </w:tc>
        <w:tc>
          <w:tcPr>
            <w:tcW w:w="22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644DB6F" w14:textId="77777777" w:rsidR="00F60638" w:rsidRPr="00E70778" w:rsidRDefault="00F60638" w:rsidP="00AF3E27">
            <w:r w:rsidRPr="00E70778">
              <w:rPr>
                <w:rFonts w:eastAsia="Arial"/>
              </w:rPr>
              <w:t>£</w:t>
            </w:r>
            <w:r>
              <w:rPr>
                <w:rFonts w:eastAsia="Arial"/>
              </w:rPr>
              <w:t>1,095</w:t>
            </w:r>
          </w:p>
        </w:tc>
        <w:tc>
          <w:tcPr>
            <w:tcW w:w="22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AA3332D" w14:textId="77777777" w:rsidR="00F60638" w:rsidRPr="00E70778" w:rsidRDefault="00F60638" w:rsidP="00AF3E27">
            <w:r w:rsidRPr="00E70778">
              <w:rPr>
                <w:rFonts w:eastAsia="Arial"/>
              </w:rPr>
              <w:t>£</w:t>
            </w:r>
            <w:r>
              <w:rPr>
                <w:rFonts w:eastAsia="Arial"/>
              </w:rPr>
              <w:t>2,305</w:t>
            </w:r>
          </w:p>
        </w:tc>
      </w:tr>
    </w:tbl>
    <w:p w14:paraId="7C501455" w14:textId="77777777" w:rsidR="00F60638" w:rsidRDefault="00F60638" w:rsidP="00F60638">
      <w:pPr>
        <w:pStyle w:val="ListBullet"/>
        <w:numPr>
          <w:ilvl w:val="0"/>
          <w:numId w:val="0"/>
        </w:numPr>
        <w:ind w:left="360" w:hanging="360"/>
        <w:rPr>
          <w:lang w:eastAsia="en-GB"/>
        </w:rPr>
      </w:pPr>
    </w:p>
    <w:p w14:paraId="2728F997" w14:textId="77777777" w:rsidR="00F60638" w:rsidRPr="00D156DC" w:rsidRDefault="00F60638" w:rsidP="00F60638">
      <w:pPr>
        <w:rPr>
          <w:rFonts w:eastAsia="Arial" w:cs="Times New Roman"/>
          <w:color w:val="000000"/>
        </w:rPr>
      </w:pPr>
      <w:r w:rsidRPr="00D156DC">
        <w:rPr>
          <w:rFonts w:eastAsia="Arial" w:cs="Times New Roman"/>
          <w:color w:val="000000"/>
        </w:rPr>
        <w:t xml:space="preserve">Additionally, we will charge £50 an hour for significant administrative work. The Council will carry out a post inspection before a final consent (letter/licence to alter) is issued. On occasions, the Council may have to complete a Deed of Variation to your lease. </w:t>
      </w:r>
    </w:p>
    <w:p w14:paraId="69FBE14E" w14:textId="77777777" w:rsidR="00F60638" w:rsidRPr="004F0C53" w:rsidRDefault="00F60638" w:rsidP="004F0C53">
      <w:pPr>
        <w:pStyle w:val="ListBullet"/>
      </w:pPr>
      <w:r w:rsidRPr="004F0C53">
        <w:t xml:space="preserve">Letter of Consent – a letter of agreement for works that are deemed to be reasonable and uncomplicated </w:t>
      </w:r>
    </w:p>
    <w:p w14:paraId="7EFF6A2A" w14:textId="77777777" w:rsidR="00F60638" w:rsidRPr="004F0C53" w:rsidRDefault="00F60638" w:rsidP="004F0C53">
      <w:pPr>
        <w:pStyle w:val="ListBullet"/>
      </w:pPr>
      <w:r w:rsidRPr="004F0C53">
        <w:t xml:space="preserve">Licence to Alterations – this is where there is a more substantive request for changes in the layout, structure or otherwise that might require a landlord permission (i.e. the installation of an ensuite shower room or the removal of a partition wall) </w:t>
      </w:r>
    </w:p>
    <w:p w14:paraId="2798BEA0" w14:textId="77777777" w:rsidR="00F60638" w:rsidRPr="004F0C53" w:rsidRDefault="00F60638" w:rsidP="004F0C53">
      <w:pPr>
        <w:pStyle w:val="ListBullet"/>
      </w:pPr>
      <w:r w:rsidRPr="004F0C53">
        <w:t>Deed of variation – This is for anything that alters the demise (description of the property in the lease). This will generally mean a change in the number of rooms, for example in the case of a loft conversion; or where the Council agrees to sell a garden to the leaseholder</w:t>
      </w:r>
    </w:p>
    <w:p w14:paraId="5F12F16B" w14:textId="67A75F40" w:rsidR="007505F1" w:rsidRPr="004F0C53" w:rsidRDefault="00F60638" w:rsidP="007505F1">
      <w:pPr>
        <w:pStyle w:val="ListBullet"/>
        <w:rPr>
          <w:rFonts w:eastAsia="Arial" w:cs="Times New Roman"/>
          <w:color w:val="000000"/>
        </w:rPr>
      </w:pPr>
      <w:r w:rsidRPr="004F0C53">
        <w:rPr>
          <w:rFonts w:eastAsia="Arial"/>
        </w:rPr>
        <w:t>The fees quoted in the above table are subject to an annual review by the Council</w:t>
      </w:r>
      <w:r w:rsidR="004F0C53">
        <w:t>.</w:t>
      </w:r>
    </w:p>
    <w:p w14:paraId="303E6235" w14:textId="015B439F" w:rsidR="004F0C53" w:rsidRDefault="004F0C53" w:rsidP="004F0C53">
      <w:pPr>
        <w:pStyle w:val="Heading1"/>
        <w:rPr>
          <w:rFonts w:eastAsia="Arial"/>
        </w:rPr>
      </w:pPr>
      <w:bookmarkStart w:id="40" w:name="_Toc227145292"/>
      <w:r>
        <w:rPr>
          <w:rFonts w:eastAsia="Arial"/>
        </w:rPr>
        <w:t>Compensation</w:t>
      </w:r>
      <w:bookmarkEnd w:id="40"/>
    </w:p>
    <w:p w14:paraId="51AB19F0" w14:textId="28E04639" w:rsidR="00A2173A" w:rsidRDefault="004F0C53" w:rsidP="00C34B4F">
      <w:pPr>
        <w:rPr>
          <w:lang w:val="en-US"/>
        </w:rPr>
      </w:pPr>
      <w:r>
        <w:rPr>
          <w:lang w:eastAsia="en-GB"/>
        </w:rPr>
        <w:t xml:space="preserve">Compensation for damage </w:t>
      </w:r>
      <w:r w:rsidR="00D135E3" w:rsidRPr="00066360">
        <w:rPr>
          <w:rFonts w:eastAsia="Arial" w:cs="Times New Roman"/>
          <w:color w:val="000000"/>
        </w:rPr>
        <w:t xml:space="preserve">or diminution in value of the premises: This is a charge the Council has not previously pursued. Section 19(2) of the Landlord and Tenant Act 1927 states that a clause requiring landlord consent for alterations is deemed to be subject to a proviso that consent is not to be unreasonably withheld but this does not prevent the landlord from requiring as a condition of such licence or consent the payment of a reasonable sum in respect of any damage to or diminution in the value of the premises or any neighbouring premises belonging to the landlord. Each case </w:t>
      </w:r>
      <w:r w:rsidR="00D135E3" w:rsidRPr="00066360">
        <w:rPr>
          <w:rFonts w:eastAsia="Arial" w:cs="Times New Roman"/>
          <w:color w:val="000000"/>
        </w:rPr>
        <w:lastRenderedPageBreak/>
        <w:t>is to be assessed by the Council's Asset Management sections and the appropriate advice given accordingly.</w:t>
      </w:r>
    </w:p>
    <w:p w14:paraId="7A5A1556" w14:textId="33A4EE2C" w:rsidR="00A2173A" w:rsidRDefault="00A2173A" w:rsidP="00A2173A">
      <w:pPr>
        <w:pStyle w:val="Heading1"/>
        <w:rPr>
          <w:lang w:val="en-US"/>
        </w:rPr>
      </w:pPr>
      <w:bookmarkStart w:id="41" w:name="_Toc227145293"/>
      <w:r>
        <w:rPr>
          <w:lang w:val="en-US"/>
        </w:rPr>
        <w:t>Disputed Valuation</w:t>
      </w:r>
      <w:bookmarkEnd w:id="41"/>
    </w:p>
    <w:p w14:paraId="56432A2E" w14:textId="77777777" w:rsidR="00E21806" w:rsidRPr="00066360" w:rsidRDefault="00C34B4F" w:rsidP="00E21806">
      <w:pPr>
        <w:rPr>
          <w:rFonts w:eastAsia="Arial" w:cs="Times New Roman"/>
          <w:color w:val="000000"/>
        </w:rPr>
      </w:pPr>
      <w:r>
        <w:rPr>
          <w:lang w:val="en-US" w:eastAsia="en-GB"/>
        </w:rPr>
        <w:t xml:space="preserve">If the </w:t>
      </w:r>
      <w:r w:rsidR="00E21806" w:rsidRPr="00066360">
        <w:rPr>
          <w:rFonts w:eastAsia="Arial" w:cs="Times New Roman"/>
          <w:color w:val="000000"/>
        </w:rPr>
        <w:t xml:space="preserve">leaseholder disputes the valuation as determined by Asset Management or by a Valuer acting on behalf of the Council, then he or she may commission their own valuation of the work they propose at their own cost. However, their costs will not be refundable even if their alternative valuation is accepted by the Council. The valuer they choose must be a member of the Royal Institute of Chartered Surveyors.  </w:t>
      </w:r>
    </w:p>
    <w:p w14:paraId="69B5FB3A" w14:textId="77777777" w:rsidR="00E21806" w:rsidRPr="00066360" w:rsidRDefault="00E21806" w:rsidP="00E21806">
      <w:pPr>
        <w:rPr>
          <w:rFonts w:eastAsia="Arial" w:cs="Times New Roman"/>
          <w:color w:val="000000"/>
        </w:rPr>
      </w:pPr>
      <w:r w:rsidRPr="00066360">
        <w:rPr>
          <w:rFonts w:eastAsia="Arial" w:cs="Times New Roman"/>
          <w:color w:val="000000"/>
        </w:rPr>
        <w:t xml:space="preserve">Landlord permission cannot be granted if: </w:t>
      </w:r>
    </w:p>
    <w:p w14:paraId="0573DC15" w14:textId="77777777" w:rsidR="00E21806" w:rsidRPr="00E21806" w:rsidRDefault="00E21806" w:rsidP="00E21806">
      <w:pPr>
        <w:pStyle w:val="ListBullet"/>
      </w:pPr>
      <w:r w:rsidRPr="00E21806">
        <w:t xml:space="preserve">the applicant has arrears of service charges, Council Tax or any other debts with the Council, without an agreement to pay </w:t>
      </w:r>
    </w:p>
    <w:p w14:paraId="48CEB658" w14:textId="77777777" w:rsidR="00E21806" w:rsidRPr="00E21806" w:rsidRDefault="00E21806" w:rsidP="00E21806">
      <w:pPr>
        <w:pStyle w:val="ListBullet"/>
      </w:pPr>
      <w:r w:rsidRPr="00E21806">
        <w:t>the Council is about to take or is taking action for any breach of the lease.</w:t>
      </w:r>
    </w:p>
    <w:p w14:paraId="3D3627F5" w14:textId="77777777" w:rsidR="00E21806" w:rsidRPr="00066360" w:rsidRDefault="00E21806" w:rsidP="00E21806">
      <w:pPr>
        <w:rPr>
          <w:rFonts w:eastAsia="Arial" w:cs="Times New Roman"/>
          <w:color w:val="000000"/>
        </w:rPr>
      </w:pPr>
      <w:r w:rsidRPr="00066360">
        <w:rPr>
          <w:rFonts w:eastAsia="Arial" w:cs="Times New Roman"/>
          <w:color w:val="000000"/>
        </w:rPr>
        <w:t xml:space="preserve">Subject to meeting above, if the Council considers the proposed alterations to be possible in principle. Then the leaseholder will be required to follow the alteration process and adhere to any caveats or conditions set out by the Council. </w:t>
      </w:r>
    </w:p>
    <w:p w14:paraId="61A7C19C" w14:textId="77777777" w:rsidR="00E21806" w:rsidRPr="00066360" w:rsidRDefault="00E21806" w:rsidP="00E21806">
      <w:pPr>
        <w:rPr>
          <w:rFonts w:eastAsia="Arial" w:cs="Times New Roman"/>
          <w:color w:val="000000"/>
        </w:rPr>
      </w:pPr>
      <w:r w:rsidRPr="00066360">
        <w:rPr>
          <w:rFonts w:eastAsia="Arial" w:cs="Times New Roman"/>
          <w:color w:val="000000"/>
        </w:rPr>
        <w:t>General Application Requirements</w:t>
      </w:r>
      <w:r>
        <w:rPr>
          <w:rFonts w:eastAsia="Arial" w:cs="Times New Roman"/>
          <w:color w:val="000000"/>
        </w:rPr>
        <w:t>:</w:t>
      </w:r>
    </w:p>
    <w:p w14:paraId="7BBB752E" w14:textId="77777777" w:rsidR="00E21806" w:rsidRDefault="00E21806" w:rsidP="00E21806">
      <w:pPr>
        <w:rPr>
          <w:rFonts w:eastAsia="Arial" w:cs="Times New Roman"/>
          <w:color w:val="000000"/>
        </w:rPr>
      </w:pPr>
      <w:r w:rsidRPr="00066360">
        <w:rPr>
          <w:rFonts w:eastAsia="Arial" w:cs="Times New Roman"/>
          <w:color w:val="000000"/>
        </w:rPr>
        <w:t xml:space="preserve">The leaseholder must provide the following items before start of work so that conditional consent can be granted. These are set out in Appendix 1. </w:t>
      </w:r>
    </w:p>
    <w:p w14:paraId="6A8B5F1E" w14:textId="7B3C4960" w:rsidR="00A2173A" w:rsidRDefault="00A2173A" w:rsidP="00A2173A">
      <w:pPr>
        <w:pStyle w:val="Heading1"/>
        <w:rPr>
          <w:lang w:val="en-US"/>
        </w:rPr>
      </w:pPr>
      <w:bookmarkStart w:id="42" w:name="_Toc227145294"/>
      <w:r>
        <w:rPr>
          <w:lang w:val="en-US"/>
        </w:rPr>
        <w:t>Monitoring and Governance</w:t>
      </w:r>
      <w:bookmarkEnd w:id="42"/>
    </w:p>
    <w:p w14:paraId="08F8B18B" w14:textId="77777777" w:rsidR="009752A3" w:rsidRPr="00B8053D" w:rsidRDefault="00E532BF" w:rsidP="009752A3">
      <w:pPr>
        <w:rPr>
          <w:lang w:eastAsia="en-GB"/>
        </w:rPr>
      </w:pPr>
      <w:r>
        <w:rPr>
          <w:lang w:val="en-US" w:eastAsia="en-GB"/>
        </w:rPr>
        <w:t xml:space="preserve">The Housing </w:t>
      </w:r>
      <w:r w:rsidR="009752A3" w:rsidRPr="00B8053D">
        <w:rPr>
          <w:lang w:eastAsia="en-GB"/>
        </w:rPr>
        <w:t xml:space="preserve">Management Cabinet Sub Committee has overall governance responsibility for ensuring this policy is fully implemented to ensure full compliance with legislation and regulatory standards. As such, the Housing Management Cabinet Sub Committee will formally approve this policy and review it every </w:t>
      </w:r>
      <w:r w:rsidR="009752A3">
        <w:rPr>
          <w:lang w:eastAsia="en-GB"/>
        </w:rPr>
        <w:t>five</w:t>
      </w:r>
      <w:r w:rsidR="009752A3" w:rsidRPr="00B8053D">
        <w:rPr>
          <w:lang w:eastAsia="en-GB"/>
        </w:rPr>
        <w:t xml:space="preserve"> years (or sooner if there is a change in legislation, regulation</w:t>
      </w:r>
      <w:r w:rsidR="009752A3">
        <w:t>,</w:t>
      </w:r>
      <w:r w:rsidR="009752A3" w:rsidRPr="00B8053D">
        <w:rPr>
          <w:lang w:eastAsia="en-GB"/>
        </w:rPr>
        <w:t xml:space="preserve"> or best practice). </w:t>
      </w:r>
    </w:p>
    <w:p w14:paraId="47BFD3D9" w14:textId="77777777" w:rsidR="009752A3" w:rsidRPr="009F57B6" w:rsidRDefault="009752A3" w:rsidP="009752A3">
      <w:r w:rsidRPr="001D5FC3">
        <w:t xml:space="preserve">The Head of </w:t>
      </w:r>
      <w:r>
        <w:t>Leasehold</w:t>
      </w:r>
      <w:r w:rsidRPr="001D5FC3">
        <w:t xml:space="preserve"> has strategic responsibility </w:t>
      </w:r>
      <w:r>
        <w:t>management and implementation of</w:t>
      </w:r>
      <w:r w:rsidRPr="001D5FC3">
        <w:t xml:space="preserve"> this policy.</w:t>
      </w:r>
      <w:r>
        <w:t xml:space="preserve"> </w:t>
      </w:r>
      <w:r w:rsidRPr="002818BE">
        <w:t xml:space="preserve">This policy </w:t>
      </w:r>
      <w:r>
        <w:t>has undergone resident scrutiny prior to publishing.</w:t>
      </w:r>
    </w:p>
    <w:p w14:paraId="63833431" w14:textId="492F0D34" w:rsidR="009752A3" w:rsidRPr="004939D1" w:rsidRDefault="00A2173A" w:rsidP="009752A3">
      <w:pPr>
        <w:pStyle w:val="Heading1"/>
        <w:rPr>
          <w:lang w:val="en-US"/>
        </w:rPr>
      </w:pPr>
      <w:bookmarkStart w:id="43" w:name="_Toc227145295"/>
      <w:r>
        <w:rPr>
          <w:lang w:val="en-US"/>
        </w:rPr>
        <w:t>Appendices</w:t>
      </w:r>
      <w:bookmarkEnd w:id="43"/>
    </w:p>
    <w:p w14:paraId="50D553E6" w14:textId="77777777" w:rsidR="00D22CA4" w:rsidRDefault="00D22CA4" w:rsidP="00D22CA4">
      <w:pPr>
        <w:rPr>
          <w:rFonts w:eastAsia="Arial" w:cs="Times New Roman"/>
          <w:b/>
          <w:bCs/>
          <w:color w:val="000000"/>
        </w:rPr>
      </w:pPr>
      <w:r w:rsidRPr="00F750E6">
        <w:rPr>
          <w:rFonts w:eastAsia="Arial" w:cs="Times New Roman"/>
          <w:b/>
          <w:bCs/>
          <w:color w:val="000000"/>
        </w:rPr>
        <w:t>Appendix 1</w:t>
      </w:r>
    </w:p>
    <w:p w14:paraId="5EAFA08B" w14:textId="77777777" w:rsidR="00CF19EE" w:rsidRPr="00F750E6" w:rsidRDefault="00CF19EE" w:rsidP="00D22CA4">
      <w:pPr>
        <w:rPr>
          <w:rFonts w:eastAsia="Arial" w:cs="Times New Roman"/>
          <w:b/>
          <w:bCs/>
          <w:color w:val="000000"/>
        </w:rPr>
      </w:pPr>
    </w:p>
    <w:tbl>
      <w:tblPr>
        <w:tblStyle w:val="TableGrid"/>
        <w:tblW w:w="0" w:type="auto"/>
        <w:tblInd w:w="-5" w:type="dxa"/>
        <w:tblLook w:val="04A0" w:firstRow="1" w:lastRow="0" w:firstColumn="1" w:lastColumn="0" w:noHBand="0" w:noVBand="1"/>
      </w:tblPr>
      <w:tblGrid>
        <w:gridCol w:w="4253"/>
        <w:gridCol w:w="4643"/>
      </w:tblGrid>
      <w:tr w:rsidR="00D22CA4" w14:paraId="5467E897" w14:textId="77777777" w:rsidTr="00CD20E1">
        <w:tc>
          <w:tcPr>
            <w:tcW w:w="4253" w:type="dxa"/>
          </w:tcPr>
          <w:p w14:paraId="23008EB9" w14:textId="77777777" w:rsidR="00D22CA4" w:rsidRPr="00925F9A" w:rsidRDefault="00D22CA4" w:rsidP="00AF3E27">
            <w:pPr>
              <w:rPr>
                <w:b/>
                <w:bCs/>
              </w:rPr>
            </w:pPr>
            <w:r w:rsidRPr="00925F9A">
              <w:rPr>
                <w:b/>
                <w:bCs/>
              </w:rPr>
              <w:t xml:space="preserve">Alteration Application Requirements </w:t>
            </w:r>
          </w:p>
        </w:tc>
        <w:tc>
          <w:tcPr>
            <w:tcW w:w="4643" w:type="dxa"/>
          </w:tcPr>
          <w:p w14:paraId="677025D2" w14:textId="77777777" w:rsidR="00D22CA4" w:rsidRPr="00293DEE" w:rsidRDefault="00D22CA4" w:rsidP="00AF3E27">
            <w:pPr>
              <w:rPr>
                <w:b/>
                <w:bCs/>
              </w:rPr>
            </w:pPr>
            <w:r w:rsidRPr="00293DEE">
              <w:rPr>
                <w:b/>
                <w:bCs/>
              </w:rPr>
              <w:t>Comments</w:t>
            </w:r>
          </w:p>
        </w:tc>
      </w:tr>
      <w:tr w:rsidR="00D22CA4" w14:paraId="5DE578A0" w14:textId="77777777" w:rsidTr="00CD20E1">
        <w:tc>
          <w:tcPr>
            <w:tcW w:w="4253" w:type="dxa"/>
          </w:tcPr>
          <w:p w14:paraId="3152DA00" w14:textId="77777777" w:rsidR="00D22CA4" w:rsidRDefault="00D22CA4" w:rsidP="00AF3E27">
            <w:r>
              <w:t xml:space="preserve">Planning permission </w:t>
            </w:r>
          </w:p>
        </w:tc>
        <w:tc>
          <w:tcPr>
            <w:tcW w:w="4643" w:type="dxa"/>
          </w:tcPr>
          <w:p w14:paraId="5281F01D" w14:textId="77777777" w:rsidR="00D22CA4" w:rsidRDefault="00D22CA4" w:rsidP="00AF3E27">
            <w:r>
              <w:t>For external alterations such as extensions</w:t>
            </w:r>
          </w:p>
        </w:tc>
      </w:tr>
      <w:tr w:rsidR="00D22CA4" w14:paraId="492C33B2" w14:textId="77777777" w:rsidTr="00CD20E1">
        <w:tc>
          <w:tcPr>
            <w:tcW w:w="4253" w:type="dxa"/>
          </w:tcPr>
          <w:p w14:paraId="47518823" w14:textId="77777777" w:rsidR="00D22CA4" w:rsidRDefault="00D22CA4" w:rsidP="00AF3E27">
            <w:r>
              <w:t>Building Control</w:t>
            </w:r>
          </w:p>
        </w:tc>
        <w:tc>
          <w:tcPr>
            <w:tcW w:w="4643" w:type="dxa"/>
          </w:tcPr>
          <w:p w14:paraId="1DE083C7" w14:textId="77777777" w:rsidR="00D22CA4" w:rsidRDefault="00D22CA4" w:rsidP="00AF3E27">
            <w:r>
              <w:t xml:space="preserve">For internal and external alterations </w:t>
            </w:r>
          </w:p>
        </w:tc>
      </w:tr>
      <w:tr w:rsidR="00D22CA4" w14:paraId="1E1A917F" w14:textId="77777777" w:rsidTr="00CD20E1">
        <w:tc>
          <w:tcPr>
            <w:tcW w:w="4253" w:type="dxa"/>
          </w:tcPr>
          <w:p w14:paraId="3FC81BAA" w14:textId="77777777" w:rsidR="00D22CA4" w:rsidRDefault="00D22CA4" w:rsidP="00AF3E27">
            <w:r>
              <w:t xml:space="preserve">Conservation Area </w:t>
            </w:r>
            <w:r w:rsidRPr="00BB5DF0">
              <w:t xml:space="preserve">and local byelaws </w:t>
            </w:r>
          </w:p>
        </w:tc>
        <w:tc>
          <w:tcPr>
            <w:tcW w:w="4643" w:type="dxa"/>
          </w:tcPr>
          <w:p w14:paraId="7ADA2717" w14:textId="77777777" w:rsidR="00D22CA4" w:rsidRDefault="00D22CA4" w:rsidP="00AF3E27">
            <w:r>
              <w:t>Doors, wind</w:t>
            </w:r>
            <w:r w:rsidRPr="00CD72C4">
              <w:t>ows &amp; any external works</w:t>
            </w:r>
          </w:p>
        </w:tc>
      </w:tr>
      <w:tr w:rsidR="00D22CA4" w14:paraId="12356AAF" w14:textId="77777777" w:rsidTr="00CD20E1">
        <w:tc>
          <w:tcPr>
            <w:tcW w:w="4253" w:type="dxa"/>
          </w:tcPr>
          <w:p w14:paraId="7C4C7D97" w14:textId="77777777" w:rsidR="00D22CA4" w:rsidRDefault="00D22CA4" w:rsidP="00AF3E27">
            <w:r>
              <w:t>Description of proposed works (diagram, p</w:t>
            </w:r>
            <w:r w:rsidRPr="00EF340E">
              <w:t>lans</w:t>
            </w:r>
            <w:r>
              <w:t xml:space="preserve"> or photographs, </w:t>
            </w:r>
          </w:p>
        </w:tc>
        <w:tc>
          <w:tcPr>
            <w:tcW w:w="4643" w:type="dxa"/>
          </w:tcPr>
          <w:p w14:paraId="1D7AFC80" w14:textId="77777777" w:rsidR="00D22CA4" w:rsidRDefault="00D22CA4" w:rsidP="00AF3E27">
            <w:r>
              <w:t>Detailed information</w:t>
            </w:r>
          </w:p>
        </w:tc>
      </w:tr>
      <w:tr w:rsidR="00D22CA4" w14:paraId="3B13E890" w14:textId="77777777" w:rsidTr="00CD20E1">
        <w:tc>
          <w:tcPr>
            <w:tcW w:w="4253" w:type="dxa"/>
          </w:tcPr>
          <w:p w14:paraId="264A672F" w14:textId="77777777" w:rsidR="00D22CA4" w:rsidRDefault="00D22CA4" w:rsidP="00AF3E27">
            <w:r>
              <w:t xml:space="preserve">Architectural plans for structural work or reconfiguration </w:t>
            </w:r>
          </w:p>
        </w:tc>
        <w:tc>
          <w:tcPr>
            <w:tcW w:w="4643" w:type="dxa"/>
          </w:tcPr>
          <w:p w14:paraId="0F6544FA" w14:textId="77777777" w:rsidR="00D22CA4" w:rsidRDefault="00D22CA4" w:rsidP="00AF3E27">
            <w:r>
              <w:t>if appropriate</w:t>
            </w:r>
          </w:p>
        </w:tc>
      </w:tr>
      <w:tr w:rsidR="00D22CA4" w14:paraId="0FB6DEDE" w14:textId="77777777" w:rsidTr="00CD20E1">
        <w:tc>
          <w:tcPr>
            <w:tcW w:w="4253" w:type="dxa"/>
          </w:tcPr>
          <w:p w14:paraId="05CDA991" w14:textId="77777777" w:rsidR="00D22CA4" w:rsidRDefault="00D22CA4" w:rsidP="00AF3E27">
            <w:r w:rsidRPr="00EF340E">
              <w:lastRenderedPageBreak/>
              <w:t>Structural calculations or engineers report</w:t>
            </w:r>
          </w:p>
        </w:tc>
        <w:tc>
          <w:tcPr>
            <w:tcW w:w="4643" w:type="dxa"/>
          </w:tcPr>
          <w:p w14:paraId="3DEEDD91" w14:textId="77777777" w:rsidR="00D22CA4" w:rsidRPr="00EF340E" w:rsidRDefault="00D22CA4" w:rsidP="00AF3E27">
            <w:r>
              <w:t>if appropriate</w:t>
            </w:r>
          </w:p>
        </w:tc>
      </w:tr>
      <w:tr w:rsidR="00D22CA4" w14:paraId="00F852E8" w14:textId="77777777" w:rsidTr="00CD20E1">
        <w:tc>
          <w:tcPr>
            <w:tcW w:w="4253" w:type="dxa"/>
          </w:tcPr>
          <w:p w14:paraId="7590A04B" w14:textId="77777777" w:rsidR="00D22CA4" w:rsidRDefault="00D22CA4" w:rsidP="00AF3E27">
            <w:r w:rsidRPr="00EF340E">
              <w:t>Compliance with the Party Wall Act</w:t>
            </w:r>
            <w:r>
              <w:t xml:space="preserve"> </w:t>
            </w:r>
          </w:p>
        </w:tc>
        <w:tc>
          <w:tcPr>
            <w:tcW w:w="4643" w:type="dxa"/>
          </w:tcPr>
          <w:p w14:paraId="48625F8C" w14:textId="77777777" w:rsidR="00D22CA4" w:rsidRPr="00EF340E" w:rsidRDefault="00D22CA4" w:rsidP="00AF3E27">
            <w:r>
              <w:t>where party wall is affected</w:t>
            </w:r>
          </w:p>
        </w:tc>
      </w:tr>
      <w:tr w:rsidR="00D22CA4" w14:paraId="38FFC895" w14:textId="77777777" w:rsidTr="00CD20E1">
        <w:tc>
          <w:tcPr>
            <w:tcW w:w="4253" w:type="dxa"/>
          </w:tcPr>
          <w:p w14:paraId="519147FA" w14:textId="77777777" w:rsidR="00D22CA4" w:rsidRDefault="00D22CA4" w:rsidP="00AF3E27">
            <w:r>
              <w:t xml:space="preserve">Cost estimate for insurance revaluation in the case of major work </w:t>
            </w:r>
          </w:p>
        </w:tc>
        <w:tc>
          <w:tcPr>
            <w:tcW w:w="4643" w:type="dxa"/>
          </w:tcPr>
          <w:p w14:paraId="4D83166A" w14:textId="77777777" w:rsidR="00D22CA4" w:rsidRDefault="00D22CA4" w:rsidP="00AF3E27"/>
        </w:tc>
      </w:tr>
      <w:tr w:rsidR="00D22CA4" w14:paraId="72BFEDDC" w14:textId="77777777" w:rsidTr="00CD20E1">
        <w:tc>
          <w:tcPr>
            <w:tcW w:w="4253" w:type="dxa"/>
          </w:tcPr>
          <w:p w14:paraId="47BEE16F" w14:textId="77777777" w:rsidR="00D22CA4" w:rsidRDefault="00D22CA4" w:rsidP="00AF3E27">
            <w:r>
              <w:t xml:space="preserve">Fees - payment of the necessary landlord fees in advance </w:t>
            </w:r>
          </w:p>
        </w:tc>
        <w:tc>
          <w:tcPr>
            <w:tcW w:w="4643" w:type="dxa"/>
          </w:tcPr>
          <w:p w14:paraId="00DB28FC" w14:textId="77777777" w:rsidR="00D22CA4" w:rsidRDefault="00D22CA4" w:rsidP="00AF3E27"/>
        </w:tc>
      </w:tr>
      <w:tr w:rsidR="00D22CA4" w14:paraId="1B95B43E" w14:textId="77777777" w:rsidTr="00CD20E1">
        <w:tc>
          <w:tcPr>
            <w:tcW w:w="4253" w:type="dxa"/>
          </w:tcPr>
          <w:p w14:paraId="48151878" w14:textId="77777777" w:rsidR="00D22CA4" w:rsidRDefault="00D22CA4" w:rsidP="00AF3E27">
            <w:r>
              <w:t xml:space="preserve">Payment of a premium of up to 25% </w:t>
            </w:r>
          </w:p>
        </w:tc>
        <w:tc>
          <w:tcPr>
            <w:tcW w:w="4643" w:type="dxa"/>
          </w:tcPr>
          <w:p w14:paraId="6C58893C" w14:textId="77777777" w:rsidR="00D22CA4" w:rsidRDefault="00D22CA4" w:rsidP="00AF3E27">
            <w:r>
              <w:t>If required in relation to major work, in respect of a reasonable sum, in respect of any damage or diminution in value</w:t>
            </w:r>
          </w:p>
        </w:tc>
      </w:tr>
      <w:tr w:rsidR="00D22CA4" w14:paraId="6C45266F" w14:textId="77777777" w:rsidTr="00CD20E1">
        <w:tc>
          <w:tcPr>
            <w:tcW w:w="4253" w:type="dxa"/>
          </w:tcPr>
          <w:p w14:paraId="5930624C" w14:textId="77777777" w:rsidR="00D22CA4" w:rsidRDefault="00D22CA4" w:rsidP="00AF3E27">
            <w:r>
              <w:t xml:space="preserve">Site inspections - pre or post work as required. </w:t>
            </w:r>
          </w:p>
        </w:tc>
        <w:tc>
          <w:tcPr>
            <w:tcW w:w="4643" w:type="dxa"/>
          </w:tcPr>
          <w:p w14:paraId="3037EB28" w14:textId="77777777" w:rsidR="00D22CA4" w:rsidRDefault="00D22CA4" w:rsidP="00AF3E27">
            <w:r>
              <w:t>These will generally be carried out by LBTH Surveyors</w:t>
            </w:r>
          </w:p>
        </w:tc>
      </w:tr>
    </w:tbl>
    <w:p w14:paraId="33E0666A" w14:textId="77777777" w:rsidR="00D22CA4" w:rsidRDefault="00D22CA4" w:rsidP="00D22CA4">
      <w:pPr>
        <w:pStyle w:val="ListBullet"/>
        <w:numPr>
          <w:ilvl w:val="0"/>
          <w:numId w:val="0"/>
        </w:numPr>
        <w:ind w:left="360" w:hanging="360"/>
        <w:rPr>
          <w:lang w:eastAsia="en-GB"/>
        </w:rPr>
      </w:pPr>
    </w:p>
    <w:p w14:paraId="42C5AE2D" w14:textId="77777777" w:rsidR="00D22CA4" w:rsidRPr="0091322E" w:rsidRDefault="00D22CA4" w:rsidP="00D22CA4">
      <w:pPr>
        <w:rPr>
          <w:rFonts w:eastAsia="Arial" w:cs="Times New Roman"/>
          <w:color w:val="000000"/>
          <w:szCs w:val="24"/>
        </w:rPr>
      </w:pPr>
      <w:r w:rsidRPr="0091322E">
        <w:rPr>
          <w:rFonts w:eastAsia="Arial" w:cs="Times New Roman"/>
          <w:color w:val="000000"/>
          <w:szCs w:val="24"/>
        </w:rPr>
        <w:t>Once conditional landlord consent is granted the leaseholder will be required to contact the Planning Department (</w:t>
      </w:r>
      <w:hyperlink r:id="rId11" w:tooltip="mailto:planning@towerhamlets.gov.uk" w:history="1">
        <w:r w:rsidRPr="0091322E">
          <w:rPr>
            <w:rFonts w:eastAsia="Arial" w:cs="Times New Roman"/>
            <w:color w:val="0563C1"/>
            <w:szCs w:val="24"/>
            <w:u w:val="single"/>
          </w:rPr>
          <w:t>planningandbuilding@towerhamlets.gov.uk</w:t>
        </w:r>
      </w:hyperlink>
      <w:r w:rsidRPr="0091322E">
        <w:rPr>
          <w:rFonts w:eastAsia="Arial" w:cs="Times New Roman"/>
          <w:color w:val="000000"/>
          <w:szCs w:val="24"/>
        </w:rPr>
        <w:t>) and Building Control Section (</w:t>
      </w:r>
      <w:hyperlink r:id="rId12" w:tooltip="mailto:buildingcontrol@towerhamlets.gov.uk" w:history="1">
        <w:r w:rsidRPr="0091322E">
          <w:rPr>
            <w:rFonts w:eastAsia="Arial" w:cs="Times New Roman"/>
            <w:color w:val="0563C1"/>
            <w:szCs w:val="24"/>
            <w:u w:val="single"/>
          </w:rPr>
          <w:t>buildingcontrol@towerhamlets.gov.uk</w:t>
        </w:r>
      </w:hyperlink>
      <w:r w:rsidRPr="0091322E">
        <w:rPr>
          <w:rFonts w:eastAsia="Arial" w:cs="Times New Roman"/>
          <w:color w:val="000000"/>
          <w:szCs w:val="24"/>
        </w:rPr>
        <w:t>). They can also both be contacted on 020 7364 5009 for further information. </w:t>
      </w:r>
    </w:p>
    <w:p w14:paraId="34B7BAA2" w14:textId="77777777" w:rsidR="00D22CA4" w:rsidRPr="0091322E" w:rsidRDefault="00D22CA4" w:rsidP="00D22CA4">
      <w:pPr>
        <w:rPr>
          <w:rFonts w:eastAsia="Arial" w:cs="Times New Roman"/>
          <w:color w:val="000000"/>
          <w:szCs w:val="24"/>
        </w:rPr>
      </w:pPr>
      <w:r w:rsidRPr="0091322E">
        <w:rPr>
          <w:rFonts w:eastAsia="Arial" w:cs="Times New Roman"/>
          <w:color w:val="000000"/>
          <w:szCs w:val="24"/>
        </w:rPr>
        <w:t xml:space="preserve">If the property is in a building that has at least 7 storeys or is at least 18 metres high and falls within the description of a High Rise Building (HRB), the leaseholder will be required to submit an application via the Building Safety Regulator website. </w:t>
      </w:r>
      <w:hyperlink r:id="rId13" w:tooltip="https://gbr01.safelinks.protection.outlook.com/?url=https%3A%2F%2Fwww.gov.uk%2Fguidance%2Fmanage-a-building-control-application-for-a-higher-risk-building&amp;data=05%7C02%7CBobbette.Newell-Bent%40towerhamlets.gov.uk%7C4802f670450847c4849f08dd30cc2d9d%7C3c0aec87f9" w:history="1">
        <w:r w:rsidRPr="0091322E">
          <w:rPr>
            <w:rFonts w:eastAsia="Arial" w:cs="Times New Roman"/>
            <w:color w:val="0563C1"/>
            <w:szCs w:val="24"/>
            <w:u w:val="single"/>
          </w:rPr>
          <w:t>Manage a building control application for a higher-risk building - GOV.UK</w:t>
        </w:r>
      </w:hyperlink>
    </w:p>
    <w:p w14:paraId="4564EB19" w14:textId="4DCCDDF2" w:rsidR="00D22CA4" w:rsidRPr="0091322E" w:rsidRDefault="00D22CA4" w:rsidP="00D22CA4">
      <w:pPr>
        <w:rPr>
          <w:rFonts w:eastAsia="Arial" w:cs="Times New Roman"/>
          <w:color w:val="000000"/>
          <w:szCs w:val="24"/>
        </w:rPr>
      </w:pPr>
      <w:r w:rsidRPr="0091322E">
        <w:rPr>
          <w:rFonts w:eastAsia="Arial" w:cs="Times New Roman"/>
          <w:color w:val="000000"/>
          <w:szCs w:val="24"/>
        </w:rPr>
        <w:t>In some instances, the leaseholder may also be required to contact the Council's</w:t>
      </w:r>
      <w:r w:rsidR="004E5BDE">
        <w:rPr>
          <w:rFonts w:eastAsia="Arial" w:cs="Times New Roman"/>
          <w:color w:val="000000"/>
          <w:szCs w:val="24"/>
        </w:rPr>
        <w:t xml:space="preserve"> Environmental Health who can be contacted at the following:</w:t>
      </w:r>
      <w:r w:rsidRPr="0091322E">
        <w:rPr>
          <w:rFonts w:eastAsia="Arial" w:cs="Times New Roman"/>
          <w:color w:val="000000"/>
          <w:szCs w:val="24"/>
        </w:rPr>
        <w:t xml:space="preserve"> </w:t>
      </w:r>
    </w:p>
    <w:p w14:paraId="4B9BFD9D" w14:textId="77777777" w:rsidR="00D22CA4" w:rsidRPr="0091322E" w:rsidRDefault="00D22CA4" w:rsidP="00D22CA4">
      <w:pPr>
        <w:rPr>
          <w:rFonts w:eastAsia="Arial" w:cs="Times New Roman"/>
          <w:color w:val="000000"/>
          <w:szCs w:val="24"/>
        </w:rPr>
      </w:pPr>
      <w:hyperlink r:id="rId14" w:history="1">
        <w:r w:rsidRPr="0091322E">
          <w:rPr>
            <w:rFonts w:eastAsia="Arial" w:cs="Times New Roman"/>
            <w:color w:val="0563C1"/>
            <w:szCs w:val="24"/>
            <w:u w:val="single"/>
          </w:rPr>
          <w:t>Environmental.health@towerhamlets.gov.uk</w:t>
        </w:r>
      </w:hyperlink>
    </w:p>
    <w:p w14:paraId="3A5D6094" w14:textId="77777777" w:rsidR="00D22CA4" w:rsidRPr="0091322E" w:rsidRDefault="00D22CA4" w:rsidP="00D22CA4">
      <w:pPr>
        <w:rPr>
          <w:rFonts w:eastAsia="Arial" w:cs="Times New Roman"/>
          <w:color w:val="000000"/>
          <w:szCs w:val="24"/>
        </w:rPr>
      </w:pPr>
      <w:hyperlink r:id="rId15" w:history="1">
        <w:r w:rsidRPr="0091322E">
          <w:rPr>
            <w:rFonts w:eastAsia="Arial" w:cs="Times New Roman"/>
            <w:color w:val="0563C1"/>
            <w:szCs w:val="24"/>
            <w:u w:val="single"/>
          </w:rPr>
          <w:t>housinglicensing@towerhamlets.gov.uk</w:t>
        </w:r>
      </w:hyperlink>
      <w:r w:rsidRPr="0091322E">
        <w:rPr>
          <w:rFonts w:eastAsia="Arial" w:cs="Times New Roman"/>
          <w:color w:val="000000"/>
          <w:szCs w:val="24"/>
        </w:rPr>
        <w:t xml:space="preserve">   or 0207 364 5008</w:t>
      </w:r>
    </w:p>
    <w:p w14:paraId="15EF538E" w14:textId="1965346C" w:rsidR="004E5BDE" w:rsidRDefault="00D22CA4" w:rsidP="004E5BDE">
      <w:pPr>
        <w:rPr>
          <w:b/>
          <w:bCs/>
        </w:rPr>
      </w:pPr>
      <w:r>
        <w:rPr>
          <w:b/>
          <w:bCs/>
        </w:rPr>
        <w:t>Houses Multiple Occupation (HMO)</w:t>
      </w:r>
    </w:p>
    <w:p w14:paraId="26A99A6A" w14:textId="38C5C3A5" w:rsidR="00D22CA4" w:rsidRPr="00071128" w:rsidRDefault="00D22CA4" w:rsidP="004E5BDE">
      <w:pPr>
        <w:rPr>
          <w:rFonts w:asciiTheme="minorHAnsi" w:hAnsiTheme="minorHAnsi" w:cstheme="minorHAnsi"/>
          <w:b/>
          <w:bCs/>
        </w:rPr>
      </w:pPr>
      <w:r w:rsidRPr="00B04076">
        <w:rPr>
          <w:rFonts w:eastAsia="Arial" w:cs="Times New Roman"/>
          <w:color w:val="000000"/>
        </w:rPr>
        <w:t>If you are subletting your home and it’s occupied by three or more unrelated persons, who do not form a single household and share amenities such as bathrooms, your home is an HMO. You would require a licence from the Council to sublet your home in this way. For more information and to find out what licence(s) you would need to obtain please contact Environmental Health and Trading Standards, Tel: 020 7364 5008,</w:t>
      </w:r>
      <w:r w:rsidRPr="00071128">
        <w:rPr>
          <w:rFonts w:asciiTheme="minorHAnsi" w:hAnsiTheme="minorHAnsi" w:cstheme="minorHAnsi"/>
        </w:rPr>
        <w:t xml:space="preserve"> </w:t>
      </w:r>
      <w:r>
        <w:rPr>
          <w:rFonts w:eastAsia="Arial" w:cs="Times New Roman"/>
          <w:color w:val="0563C1"/>
        </w:rPr>
        <w:t xml:space="preserve">email </w:t>
      </w:r>
      <w:hyperlink r:id="rId16" w:tgtFrame="_blank" w:tooltip="mailto:housinglicensing@towerhamlets.gov.uk" w:history="1">
        <w:r w:rsidRPr="00B04076">
          <w:rPr>
            <w:rFonts w:eastAsia="Arial" w:cs="Times New Roman"/>
            <w:color w:val="0563C1"/>
          </w:rPr>
          <w:t>housinglicensing@towerhamlets.gov.uk</w:t>
        </w:r>
      </w:hyperlink>
      <w:r>
        <w:rPr>
          <w:rFonts w:eastAsia="Arial" w:cs="Times New Roman"/>
          <w:color w:val="0563C1"/>
          <w:u w:val="single"/>
        </w:rPr>
        <w:t xml:space="preserve"> </w:t>
      </w:r>
    </w:p>
    <w:p w14:paraId="5395A761" w14:textId="33B572A6" w:rsidR="00D22CA4" w:rsidRPr="006D6F5A" w:rsidRDefault="00D22CA4" w:rsidP="00D22CA4">
      <w:pPr>
        <w:rPr>
          <w:rFonts w:eastAsia="Arial" w:cs="Times New Roman"/>
          <w:b/>
          <w:bCs/>
          <w:color w:val="000000"/>
        </w:rPr>
      </w:pPr>
      <w:r w:rsidRPr="006D6F5A">
        <w:rPr>
          <w:rFonts w:eastAsia="Arial" w:cs="Times New Roman"/>
          <w:b/>
          <w:bCs/>
          <w:color w:val="000000"/>
        </w:rPr>
        <w:t>Asbestos</w:t>
      </w:r>
    </w:p>
    <w:p w14:paraId="2F430A08" w14:textId="7A97DB3C" w:rsidR="00D22CA4" w:rsidRPr="00A20C24" w:rsidRDefault="00D22CA4" w:rsidP="00D22CA4">
      <w:pPr>
        <w:rPr>
          <w:rFonts w:eastAsia="Arial" w:cs="Times New Roman"/>
          <w:color w:val="000000"/>
        </w:rPr>
      </w:pPr>
      <w:r w:rsidRPr="00A20C24">
        <w:rPr>
          <w:rFonts w:eastAsia="Arial" w:cs="Times New Roman"/>
          <w:color w:val="000000"/>
        </w:rPr>
        <w:t>Your alteration may affect a part of the building where asbestos is present. For example, if you are putting in sound insulation you may disturb either your property or have to (with LBTH’s permission) go into the reserved part of the building (that belonging to the Council). After seeking landlord consent you must employ a contractor to carry out the work and/or remove the asbestos</w:t>
      </w:r>
      <w:r w:rsidR="00384846">
        <w:rPr>
          <w:rFonts w:eastAsia="Arial" w:cs="Times New Roman"/>
          <w:color w:val="000000"/>
        </w:rPr>
        <w:t>.</w:t>
      </w:r>
    </w:p>
    <w:p w14:paraId="39E4ADEC" w14:textId="77777777" w:rsidR="00D22CA4" w:rsidRPr="00A20C24" w:rsidRDefault="00D22CA4" w:rsidP="00D22CA4">
      <w:pPr>
        <w:rPr>
          <w:rFonts w:eastAsia="Arial" w:cs="Times New Roman"/>
          <w:color w:val="000000"/>
        </w:rPr>
      </w:pPr>
      <w:r w:rsidRPr="00A20C24">
        <w:rPr>
          <w:rFonts w:eastAsia="Arial" w:cs="Times New Roman"/>
          <w:color w:val="000000"/>
        </w:rPr>
        <w:t>In some circumstances, no permission is required (for instance, internal decorations, repair or like for like replacement) and the Leaseholder will be informed of this at this stage.</w:t>
      </w:r>
    </w:p>
    <w:p w14:paraId="14F1087C" w14:textId="77777777" w:rsidR="00D22CA4" w:rsidRPr="00384846" w:rsidRDefault="00D22CA4" w:rsidP="00D22CA4">
      <w:pPr>
        <w:rPr>
          <w:rFonts w:eastAsia="Arial" w:cs="Times New Roman"/>
          <w:b/>
          <w:bCs/>
          <w:color w:val="000000"/>
        </w:rPr>
      </w:pPr>
      <w:r w:rsidRPr="00384846">
        <w:rPr>
          <w:rFonts w:eastAsia="Arial" w:cs="Times New Roman"/>
          <w:b/>
          <w:bCs/>
          <w:color w:val="000000"/>
        </w:rPr>
        <w:t>Principle Criteria for Approving Alterations:</w:t>
      </w:r>
    </w:p>
    <w:p w14:paraId="7DDF370A" w14:textId="77777777" w:rsidR="00D22CA4" w:rsidRPr="00A20C24" w:rsidRDefault="00D22CA4" w:rsidP="00D22CA4">
      <w:pPr>
        <w:rPr>
          <w:rFonts w:eastAsia="Arial" w:cs="Times New Roman"/>
          <w:color w:val="000000"/>
        </w:rPr>
      </w:pPr>
      <w:r w:rsidRPr="00A20C24">
        <w:rPr>
          <w:rFonts w:eastAsia="Arial" w:cs="Times New Roman"/>
          <w:color w:val="000000"/>
          <w:lang w:eastAsia="en-GB"/>
        </w:rPr>
        <w:lastRenderedPageBreak/>
        <w:t>This Appendix describes the main criteria which the Council as the landlord uses in relation to applications for alterations to its properties</w:t>
      </w:r>
      <w:r w:rsidRPr="00A20C24">
        <w:rPr>
          <w:rFonts w:eastAsia="Arial" w:cs="Times New Roman"/>
          <w:color w:val="000000"/>
        </w:rPr>
        <w:t xml:space="preserve"> pertained to internal and external works. </w:t>
      </w:r>
    </w:p>
    <w:p w14:paraId="774F6B19" w14:textId="77777777" w:rsidR="00D22CA4" w:rsidRPr="00A20C24" w:rsidRDefault="00D22CA4" w:rsidP="00D22CA4">
      <w:pPr>
        <w:rPr>
          <w:rFonts w:eastAsia="Arial" w:cs="Times New Roman"/>
          <w:color w:val="000000"/>
          <w:lang w:eastAsia="en-GB"/>
        </w:rPr>
      </w:pPr>
      <w:r w:rsidRPr="00A20C24">
        <w:rPr>
          <w:rFonts w:eastAsia="Arial" w:cs="Times New Roman"/>
          <w:color w:val="000000"/>
        </w:rPr>
        <w:t xml:space="preserve">Internal: </w:t>
      </w:r>
      <w:r w:rsidRPr="00A20C24">
        <w:rPr>
          <w:rFonts w:eastAsia="Arial" w:cs="Times New Roman"/>
          <w:color w:val="000000"/>
          <w:lang w:eastAsia="en-GB"/>
        </w:rPr>
        <w:t>Consent will normally be given for proposed alterations to the inside of the property subject to the following considerations:</w:t>
      </w:r>
    </w:p>
    <w:p w14:paraId="3CCC90A6" w14:textId="77777777" w:rsidR="00D22CA4" w:rsidRDefault="00D22CA4" w:rsidP="00D22CA4">
      <w:pPr>
        <w:rPr>
          <w:rFonts w:eastAsia="Arial" w:cs="Times New Roman"/>
          <w:b/>
          <w:bCs/>
          <w:color w:val="000000"/>
        </w:rPr>
      </w:pPr>
      <w:r w:rsidRPr="00F750E6">
        <w:rPr>
          <w:rFonts w:eastAsia="Arial" w:cs="Times New Roman"/>
          <w:b/>
          <w:bCs/>
          <w:color w:val="000000"/>
        </w:rPr>
        <w:t>Appendix 2</w:t>
      </w:r>
    </w:p>
    <w:p w14:paraId="615C46FF" w14:textId="77777777" w:rsidR="00CF19EE" w:rsidRPr="00F750E6" w:rsidRDefault="00CF19EE" w:rsidP="00D22CA4">
      <w:pPr>
        <w:rPr>
          <w:rFonts w:eastAsia="Arial" w:cs="Times New Roman"/>
          <w:b/>
          <w:bCs/>
          <w:color w:val="000000"/>
        </w:rPr>
      </w:pPr>
    </w:p>
    <w:tbl>
      <w:tblPr>
        <w:tblStyle w:val="TableGrid"/>
        <w:tblW w:w="9100" w:type="dxa"/>
        <w:tblInd w:w="29" w:type="dxa"/>
        <w:tblLook w:val="04A0" w:firstRow="1" w:lastRow="0" w:firstColumn="1" w:lastColumn="0" w:noHBand="0" w:noVBand="1"/>
      </w:tblPr>
      <w:tblGrid>
        <w:gridCol w:w="1964"/>
        <w:gridCol w:w="7136"/>
      </w:tblGrid>
      <w:tr w:rsidR="00D22CA4" w:rsidRPr="00D74DBB" w14:paraId="5A05C003" w14:textId="77777777" w:rsidTr="002D6835">
        <w:tc>
          <w:tcPr>
            <w:tcW w:w="1384" w:type="dxa"/>
          </w:tcPr>
          <w:p w14:paraId="0ED5FFCF" w14:textId="77777777" w:rsidR="00D22CA4" w:rsidRPr="001C5C7B" w:rsidRDefault="00D22CA4" w:rsidP="00AF3E27">
            <w:pPr>
              <w:rPr>
                <w:rFonts w:cs="Times New Roman"/>
                <w:b/>
                <w:bCs/>
                <w:color w:val="000000"/>
              </w:rPr>
            </w:pPr>
            <w:r w:rsidRPr="001C5C7B">
              <w:rPr>
                <w:rFonts w:cs="Times New Roman"/>
                <w:b/>
                <w:bCs/>
                <w:color w:val="000000"/>
              </w:rPr>
              <w:t>Proposed Request</w:t>
            </w:r>
          </w:p>
        </w:tc>
        <w:tc>
          <w:tcPr>
            <w:tcW w:w="7716" w:type="dxa"/>
          </w:tcPr>
          <w:p w14:paraId="42C350F6" w14:textId="77777777" w:rsidR="00D22CA4" w:rsidRPr="001C5C7B" w:rsidRDefault="00D22CA4" w:rsidP="00AF3E27">
            <w:pPr>
              <w:rPr>
                <w:rFonts w:cs="Times New Roman"/>
                <w:b/>
                <w:bCs/>
                <w:color w:val="000000"/>
              </w:rPr>
            </w:pPr>
            <w:r w:rsidRPr="001C5C7B">
              <w:rPr>
                <w:rFonts w:cs="Times New Roman"/>
                <w:b/>
                <w:bCs/>
                <w:color w:val="000000"/>
              </w:rPr>
              <w:t xml:space="preserve">Consideration/Evaluation </w:t>
            </w:r>
          </w:p>
        </w:tc>
      </w:tr>
      <w:tr w:rsidR="00D22CA4" w:rsidRPr="00D74DBB" w14:paraId="35291317" w14:textId="77777777" w:rsidTr="002D6835">
        <w:trPr>
          <w:trHeight w:val="3098"/>
        </w:trPr>
        <w:tc>
          <w:tcPr>
            <w:tcW w:w="1384" w:type="dxa"/>
          </w:tcPr>
          <w:p w14:paraId="179360FC" w14:textId="77777777" w:rsidR="00D22CA4" w:rsidRDefault="00D22CA4" w:rsidP="00AF3E27">
            <w:pPr>
              <w:rPr>
                <w:rFonts w:cs="Times New Roman"/>
                <w:color w:val="000000"/>
              </w:rPr>
            </w:pPr>
            <w:r w:rsidRPr="00D74DBB">
              <w:rPr>
                <w:rFonts w:cs="Times New Roman"/>
                <w:color w:val="000000"/>
              </w:rPr>
              <w:t>Change of the layout (reconfiguration)</w:t>
            </w:r>
          </w:p>
          <w:p w14:paraId="0BFC742C" w14:textId="77777777" w:rsidR="00D22CA4" w:rsidRDefault="00D22CA4" w:rsidP="00AF3E27">
            <w:pPr>
              <w:rPr>
                <w:rFonts w:cs="Times New Roman"/>
                <w:color w:val="000000"/>
              </w:rPr>
            </w:pPr>
          </w:p>
          <w:p w14:paraId="6F01808B" w14:textId="77777777" w:rsidR="00D22CA4" w:rsidRDefault="00D22CA4" w:rsidP="00AF3E27">
            <w:pPr>
              <w:rPr>
                <w:rFonts w:cs="Times New Roman"/>
                <w:color w:val="000000"/>
              </w:rPr>
            </w:pPr>
          </w:p>
          <w:p w14:paraId="27AD360E" w14:textId="77777777" w:rsidR="00D22CA4" w:rsidRDefault="00D22CA4" w:rsidP="00AF3E27">
            <w:pPr>
              <w:rPr>
                <w:rFonts w:cs="Times New Roman"/>
                <w:color w:val="000000"/>
              </w:rPr>
            </w:pPr>
          </w:p>
          <w:p w14:paraId="3AFF7DBE" w14:textId="77777777" w:rsidR="00D22CA4" w:rsidRDefault="00D22CA4" w:rsidP="00AF3E27">
            <w:pPr>
              <w:rPr>
                <w:rFonts w:cs="Times New Roman"/>
                <w:color w:val="000000"/>
              </w:rPr>
            </w:pPr>
          </w:p>
          <w:p w14:paraId="7687C6E0" w14:textId="77777777" w:rsidR="00D22CA4" w:rsidRDefault="00D22CA4" w:rsidP="00AF3E27">
            <w:pPr>
              <w:rPr>
                <w:rFonts w:cs="Times New Roman"/>
                <w:color w:val="000000"/>
              </w:rPr>
            </w:pPr>
          </w:p>
          <w:p w14:paraId="51E56BF2" w14:textId="77777777" w:rsidR="00D22CA4" w:rsidRDefault="00D22CA4" w:rsidP="00AF3E27">
            <w:pPr>
              <w:rPr>
                <w:rFonts w:cs="Times New Roman"/>
                <w:color w:val="000000"/>
              </w:rPr>
            </w:pPr>
          </w:p>
          <w:p w14:paraId="696B0465" w14:textId="77777777" w:rsidR="00D22CA4" w:rsidRDefault="00D22CA4" w:rsidP="00AF3E27">
            <w:pPr>
              <w:rPr>
                <w:rFonts w:cs="Times New Roman"/>
                <w:color w:val="000000"/>
              </w:rPr>
            </w:pPr>
          </w:p>
          <w:p w14:paraId="71141EE6" w14:textId="77777777" w:rsidR="00D22CA4" w:rsidRPr="00D74DBB" w:rsidRDefault="00D22CA4" w:rsidP="00AF3E27">
            <w:pPr>
              <w:rPr>
                <w:rFonts w:cs="Times New Roman"/>
                <w:color w:val="000000"/>
              </w:rPr>
            </w:pPr>
          </w:p>
        </w:tc>
        <w:tc>
          <w:tcPr>
            <w:tcW w:w="7716" w:type="dxa"/>
          </w:tcPr>
          <w:p w14:paraId="0B2C16DA" w14:textId="60AE439A" w:rsidR="00D22CA4" w:rsidRPr="0000717D" w:rsidRDefault="00D22CA4" w:rsidP="0000717D">
            <w:pPr>
              <w:pStyle w:val="ListBullet"/>
            </w:pPr>
            <w:r w:rsidRPr="00D74DBB">
              <w:t>Does not impact on other flats in the building (for instance see `bedroom position</w:t>
            </w:r>
            <w:r>
              <w:t>)</w:t>
            </w:r>
            <w:r w:rsidR="00072D9A">
              <w:t>.</w:t>
            </w:r>
          </w:p>
          <w:p w14:paraId="72B3212E" w14:textId="1823691B" w:rsidR="00D22CA4" w:rsidRPr="0000717D" w:rsidRDefault="00D22CA4" w:rsidP="0000717D">
            <w:pPr>
              <w:pStyle w:val="ListBullet"/>
            </w:pPr>
            <w:r w:rsidRPr="00D74DBB">
              <w:t>Should not reduce the possibility of escape from the flat in the event of a fire nor should it increase the likelihood of the onset or spread of fire and smoke.</w:t>
            </w:r>
          </w:p>
          <w:p w14:paraId="4F7D9F9F" w14:textId="63A5E546" w:rsidR="00D22CA4" w:rsidRPr="0000717D" w:rsidRDefault="00D22CA4" w:rsidP="0000717D">
            <w:pPr>
              <w:pStyle w:val="ListBullet"/>
            </w:pPr>
            <w:r w:rsidRPr="00D74DBB">
              <w:t>Must not cause additional noise or disturbance on account of changes in the habitation or the use of the premises that could not have been envisaged in the original design of the building and of the adjacent living spaces.</w:t>
            </w:r>
          </w:p>
          <w:p w14:paraId="2161849C" w14:textId="7D8DFC8F" w:rsidR="00D22CA4" w:rsidRPr="00D74DBB" w:rsidRDefault="00D22CA4" w:rsidP="0000717D">
            <w:pPr>
              <w:pStyle w:val="ListBullet"/>
            </w:pPr>
            <w:r w:rsidRPr="00D74DBB">
              <w:t>Ensuring that the living room is not converted into a habitable bedroom</w:t>
            </w:r>
            <w:r w:rsidR="0000717D">
              <w:t>.</w:t>
            </w:r>
          </w:p>
        </w:tc>
      </w:tr>
      <w:tr w:rsidR="00D22CA4" w:rsidRPr="00D74DBB" w14:paraId="4F2FD1F2" w14:textId="77777777" w:rsidTr="002D6835">
        <w:tc>
          <w:tcPr>
            <w:tcW w:w="1384" w:type="dxa"/>
          </w:tcPr>
          <w:p w14:paraId="03CE1899" w14:textId="77777777" w:rsidR="00D22CA4" w:rsidRPr="00D74DBB" w:rsidRDefault="00D22CA4" w:rsidP="00AF3E27">
            <w:pPr>
              <w:rPr>
                <w:rFonts w:cs="Times New Roman"/>
                <w:color w:val="000000"/>
              </w:rPr>
            </w:pPr>
            <w:r w:rsidRPr="00D74DBB">
              <w:rPr>
                <w:rFonts w:cs="Times New Roman"/>
                <w:color w:val="000000"/>
              </w:rPr>
              <w:t>Subdivision</w:t>
            </w:r>
          </w:p>
        </w:tc>
        <w:tc>
          <w:tcPr>
            <w:tcW w:w="7716" w:type="dxa"/>
          </w:tcPr>
          <w:p w14:paraId="149264C0" w14:textId="0032C805" w:rsidR="00D22CA4" w:rsidRPr="00D74DBB" w:rsidRDefault="00D22CA4" w:rsidP="00AF3E27">
            <w:pPr>
              <w:rPr>
                <w:rFonts w:cs="Times New Roman"/>
                <w:color w:val="000000"/>
              </w:rPr>
            </w:pPr>
            <w:r w:rsidRPr="00D74DBB">
              <w:rPr>
                <w:rFonts w:cs="Times New Roman"/>
                <w:color w:val="000000"/>
              </w:rPr>
              <w:t>Subdividing the property into more than one dwelling unit will not be allowed</w:t>
            </w:r>
            <w:r w:rsidR="0000717D">
              <w:rPr>
                <w:rFonts w:cs="Times New Roman"/>
                <w:color w:val="000000"/>
              </w:rPr>
              <w:t>.</w:t>
            </w:r>
          </w:p>
        </w:tc>
      </w:tr>
      <w:tr w:rsidR="00D22CA4" w:rsidRPr="00D74DBB" w14:paraId="69074A81" w14:textId="77777777" w:rsidTr="002D6835">
        <w:tc>
          <w:tcPr>
            <w:tcW w:w="1384" w:type="dxa"/>
          </w:tcPr>
          <w:p w14:paraId="78961397" w14:textId="77777777" w:rsidR="00D22CA4" w:rsidRPr="00D74DBB" w:rsidRDefault="00D22CA4" w:rsidP="00AF3E27">
            <w:pPr>
              <w:rPr>
                <w:rFonts w:cs="Times New Roman"/>
                <w:color w:val="000000"/>
              </w:rPr>
            </w:pPr>
            <w:r>
              <w:rPr>
                <w:rFonts w:cs="Times New Roman"/>
                <w:color w:val="000000"/>
              </w:rPr>
              <w:t xml:space="preserve">Inner bedroom </w:t>
            </w:r>
          </w:p>
        </w:tc>
        <w:tc>
          <w:tcPr>
            <w:tcW w:w="7716" w:type="dxa"/>
          </w:tcPr>
          <w:p w14:paraId="307A9087" w14:textId="373008DC" w:rsidR="00D22CA4" w:rsidRPr="00D74DBB" w:rsidRDefault="00D22CA4" w:rsidP="00AF3E27">
            <w:pPr>
              <w:rPr>
                <w:rFonts w:cs="Times New Roman"/>
                <w:color w:val="000000"/>
              </w:rPr>
            </w:pPr>
            <w:r>
              <w:rPr>
                <w:rFonts w:cs="Times New Roman"/>
                <w:color w:val="000000"/>
              </w:rPr>
              <w:t>C</w:t>
            </w:r>
            <w:r w:rsidRPr="00B655B7">
              <w:rPr>
                <w:rFonts w:cs="Times New Roman"/>
                <w:color w:val="000000"/>
              </w:rPr>
              <w:t xml:space="preserve">onsent will not be granted for the creation of an inner bedroom </w:t>
            </w:r>
            <w:r>
              <w:rPr>
                <w:rFonts w:cs="Times New Roman"/>
                <w:color w:val="000000"/>
              </w:rPr>
              <w:t xml:space="preserve">as they </w:t>
            </w:r>
            <w:r w:rsidRPr="00B655B7">
              <w:rPr>
                <w:rFonts w:cs="Times New Roman"/>
                <w:color w:val="000000"/>
              </w:rPr>
              <w:t>pose a significant fire risk</w:t>
            </w:r>
            <w:r>
              <w:rPr>
                <w:rFonts w:cs="Times New Roman"/>
                <w:color w:val="000000"/>
              </w:rPr>
              <w:t xml:space="preserve"> and </w:t>
            </w:r>
            <w:r w:rsidRPr="00B655B7">
              <w:rPr>
                <w:rFonts w:cs="Times New Roman"/>
                <w:color w:val="000000"/>
              </w:rPr>
              <w:t>breaches building regulations and fire safety standards</w:t>
            </w:r>
            <w:r w:rsidR="0000717D">
              <w:rPr>
                <w:rFonts w:cs="Times New Roman"/>
                <w:color w:val="000000"/>
              </w:rPr>
              <w:t>.</w:t>
            </w:r>
          </w:p>
        </w:tc>
      </w:tr>
      <w:tr w:rsidR="00D22CA4" w:rsidRPr="00D74DBB" w14:paraId="3F2B9B2D" w14:textId="77777777" w:rsidTr="002D6835">
        <w:tc>
          <w:tcPr>
            <w:tcW w:w="1384" w:type="dxa"/>
          </w:tcPr>
          <w:p w14:paraId="57C2314C" w14:textId="77777777" w:rsidR="00D22CA4" w:rsidRDefault="00D22CA4" w:rsidP="00AF3E27">
            <w:pPr>
              <w:rPr>
                <w:rFonts w:cs="Times New Roman"/>
                <w:color w:val="000000"/>
              </w:rPr>
            </w:pPr>
            <w:r w:rsidRPr="00D74DBB">
              <w:rPr>
                <w:rFonts w:cs="Times New Roman"/>
                <w:color w:val="000000"/>
              </w:rPr>
              <w:t>Structural alterations</w:t>
            </w:r>
          </w:p>
          <w:p w14:paraId="4FEA02CE" w14:textId="77777777" w:rsidR="00D22CA4" w:rsidRDefault="00D22CA4" w:rsidP="00AF3E27">
            <w:pPr>
              <w:rPr>
                <w:rFonts w:cs="Times New Roman"/>
                <w:color w:val="000000"/>
              </w:rPr>
            </w:pPr>
          </w:p>
          <w:p w14:paraId="5F7A7CA4" w14:textId="77777777" w:rsidR="00D22CA4" w:rsidRDefault="00D22CA4" w:rsidP="00AF3E27">
            <w:pPr>
              <w:rPr>
                <w:rFonts w:cs="Times New Roman"/>
                <w:color w:val="000000"/>
              </w:rPr>
            </w:pPr>
          </w:p>
          <w:p w14:paraId="0635A161" w14:textId="77777777" w:rsidR="00D22CA4" w:rsidRDefault="00D22CA4" w:rsidP="00AF3E27">
            <w:pPr>
              <w:rPr>
                <w:rFonts w:cs="Times New Roman"/>
                <w:color w:val="000000"/>
              </w:rPr>
            </w:pPr>
          </w:p>
          <w:p w14:paraId="527CA9FA" w14:textId="77777777" w:rsidR="00D22CA4" w:rsidRDefault="00D22CA4" w:rsidP="00AF3E27">
            <w:pPr>
              <w:rPr>
                <w:rFonts w:cs="Times New Roman"/>
                <w:color w:val="000000"/>
              </w:rPr>
            </w:pPr>
          </w:p>
          <w:p w14:paraId="1391CE50" w14:textId="77777777" w:rsidR="00D22CA4" w:rsidRDefault="00D22CA4" w:rsidP="00AF3E27">
            <w:pPr>
              <w:rPr>
                <w:rFonts w:cs="Times New Roman"/>
                <w:color w:val="000000"/>
              </w:rPr>
            </w:pPr>
          </w:p>
          <w:p w14:paraId="5BA49B84" w14:textId="77777777" w:rsidR="00D22CA4" w:rsidRDefault="00D22CA4" w:rsidP="00AF3E27">
            <w:pPr>
              <w:rPr>
                <w:rFonts w:cs="Times New Roman"/>
                <w:color w:val="000000"/>
              </w:rPr>
            </w:pPr>
          </w:p>
          <w:p w14:paraId="54EF0998" w14:textId="77777777" w:rsidR="00D22CA4" w:rsidRDefault="00D22CA4" w:rsidP="00AF3E27">
            <w:pPr>
              <w:rPr>
                <w:rFonts w:cs="Times New Roman"/>
                <w:color w:val="000000"/>
              </w:rPr>
            </w:pPr>
          </w:p>
          <w:p w14:paraId="714FE29C" w14:textId="77777777" w:rsidR="00D22CA4" w:rsidRDefault="00D22CA4" w:rsidP="00AF3E27">
            <w:pPr>
              <w:rPr>
                <w:rFonts w:cs="Times New Roman"/>
                <w:color w:val="000000"/>
              </w:rPr>
            </w:pPr>
          </w:p>
          <w:p w14:paraId="20B56513" w14:textId="77777777" w:rsidR="00D22CA4" w:rsidRPr="00D74DBB" w:rsidRDefault="00D22CA4" w:rsidP="00AF3E27">
            <w:pPr>
              <w:rPr>
                <w:rFonts w:cs="Times New Roman"/>
                <w:color w:val="000000"/>
              </w:rPr>
            </w:pPr>
          </w:p>
        </w:tc>
        <w:tc>
          <w:tcPr>
            <w:tcW w:w="7716" w:type="dxa"/>
          </w:tcPr>
          <w:p w14:paraId="331F0891" w14:textId="6320C71D" w:rsidR="00D22CA4" w:rsidRPr="00D74DBB" w:rsidRDefault="00D22CA4" w:rsidP="007B3CD8">
            <w:pPr>
              <w:pStyle w:val="ListBullet"/>
            </w:pPr>
            <w:r w:rsidRPr="00D74DBB">
              <w:t>Except for windows or doors in approved extensions. The creation of a new window or doorway in the outside wall will not be allowed</w:t>
            </w:r>
            <w:r w:rsidR="007B3CD8">
              <w:t>.</w:t>
            </w:r>
          </w:p>
          <w:p w14:paraId="1C18EF33" w14:textId="3496BEC8" w:rsidR="00D22CA4" w:rsidRPr="007B3CD8" w:rsidRDefault="00D22CA4" w:rsidP="007B3CD8">
            <w:pPr>
              <w:pStyle w:val="ListBullet"/>
            </w:pPr>
            <w:r w:rsidRPr="00D74DBB">
              <w:t>Building a new fireplace or the opening up of one that has been sealed will not normally be permitted in view of the burden of the additional maintenance for the landlord in relation to the flue and chimney in the building.</w:t>
            </w:r>
          </w:p>
          <w:p w14:paraId="039D289C" w14:textId="77777777" w:rsidR="00D22CA4" w:rsidRPr="00D74DBB" w:rsidRDefault="00D22CA4" w:rsidP="007B3CD8">
            <w:pPr>
              <w:pStyle w:val="ListBullet"/>
            </w:pPr>
            <w:r w:rsidRPr="00D74DBB">
              <w:t>If an alteration is agreed which significantly affects the exterior or the structure of the building, this would be on the condition that the current and future leaseholders accept all liability for the cost of any maintenance work relating to this.</w:t>
            </w:r>
          </w:p>
        </w:tc>
      </w:tr>
      <w:tr w:rsidR="00D22CA4" w:rsidRPr="00D74DBB" w14:paraId="3374C274" w14:textId="77777777" w:rsidTr="002D6835">
        <w:trPr>
          <w:trHeight w:val="1165"/>
        </w:trPr>
        <w:tc>
          <w:tcPr>
            <w:tcW w:w="1384" w:type="dxa"/>
          </w:tcPr>
          <w:p w14:paraId="06ECD129" w14:textId="77777777" w:rsidR="00D22CA4" w:rsidRDefault="00D22CA4" w:rsidP="00AF3E27">
            <w:pPr>
              <w:rPr>
                <w:rFonts w:cs="Times New Roman"/>
                <w:color w:val="000000"/>
              </w:rPr>
            </w:pPr>
            <w:r w:rsidRPr="00D74DBB">
              <w:rPr>
                <w:rFonts w:cs="Times New Roman"/>
                <w:color w:val="000000"/>
              </w:rPr>
              <w:t>Bedroom size</w:t>
            </w:r>
          </w:p>
          <w:p w14:paraId="4620D422" w14:textId="77777777" w:rsidR="00D22CA4" w:rsidRDefault="00D22CA4" w:rsidP="00AF3E27">
            <w:pPr>
              <w:rPr>
                <w:rFonts w:cs="Times New Roman"/>
                <w:color w:val="000000"/>
              </w:rPr>
            </w:pPr>
          </w:p>
          <w:p w14:paraId="105723ED" w14:textId="77777777" w:rsidR="00D22CA4" w:rsidRDefault="00D22CA4" w:rsidP="00AF3E27">
            <w:pPr>
              <w:rPr>
                <w:rFonts w:cs="Times New Roman"/>
                <w:color w:val="000000"/>
              </w:rPr>
            </w:pPr>
          </w:p>
          <w:p w14:paraId="7A0A068C" w14:textId="77777777" w:rsidR="00D22CA4" w:rsidRPr="00D74DBB" w:rsidRDefault="00D22CA4" w:rsidP="00AF3E27">
            <w:pPr>
              <w:rPr>
                <w:rFonts w:cs="Times New Roman"/>
                <w:color w:val="000000"/>
              </w:rPr>
            </w:pPr>
          </w:p>
        </w:tc>
        <w:tc>
          <w:tcPr>
            <w:tcW w:w="7716" w:type="dxa"/>
          </w:tcPr>
          <w:p w14:paraId="6DAA25B0" w14:textId="77777777" w:rsidR="00D22CA4" w:rsidRPr="00D74DBB" w:rsidRDefault="00D22CA4" w:rsidP="00AF3E27">
            <w:pPr>
              <w:rPr>
                <w:rFonts w:cs="Times New Roman"/>
                <w:color w:val="000000"/>
              </w:rPr>
            </w:pPr>
            <w:r w:rsidRPr="00D74DBB">
              <w:rPr>
                <w:rFonts w:cs="Times New Roman"/>
                <w:color w:val="000000"/>
              </w:rPr>
              <w:t>Must not fall below the minimum reasonable and acceptable standard. See the Governments ‘Nationally Described Space Standard’ the minimum single bedroom size is 7.5m2 and for a minimum double bedroom size, 11.5m2.</w:t>
            </w:r>
          </w:p>
        </w:tc>
      </w:tr>
      <w:tr w:rsidR="00D22CA4" w:rsidRPr="00D74DBB" w14:paraId="135E7374" w14:textId="77777777" w:rsidTr="002D6835">
        <w:tc>
          <w:tcPr>
            <w:tcW w:w="1384" w:type="dxa"/>
          </w:tcPr>
          <w:p w14:paraId="2154BD2D" w14:textId="77777777" w:rsidR="00D22CA4" w:rsidRPr="00D74DBB" w:rsidRDefault="00D22CA4" w:rsidP="00AF3E27">
            <w:pPr>
              <w:rPr>
                <w:rFonts w:cs="Times New Roman"/>
                <w:color w:val="000000"/>
              </w:rPr>
            </w:pPr>
            <w:r>
              <w:rPr>
                <w:rFonts w:cs="Times New Roman"/>
                <w:color w:val="000000"/>
              </w:rPr>
              <w:t xml:space="preserve">Living room position </w:t>
            </w:r>
          </w:p>
        </w:tc>
        <w:tc>
          <w:tcPr>
            <w:tcW w:w="7716" w:type="dxa"/>
          </w:tcPr>
          <w:p w14:paraId="4AEA2371" w14:textId="4E1527C9" w:rsidR="00D22CA4" w:rsidRPr="00D74DBB" w:rsidRDefault="00D22CA4" w:rsidP="00AF3E27">
            <w:pPr>
              <w:rPr>
                <w:rFonts w:cs="Times New Roman"/>
                <w:color w:val="000000"/>
              </w:rPr>
            </w:pPr>
            <w:r>
              <w:rPr>
                <w:rFonts w:cs="Times New Roman"/>
                <w:color w:val="000000"/>
              </w:rPr>
              <w:t xml:space="preserve">A living room or kitchen </w:t>
            </w:r>
            <w:r w:rsidRPr="00D74DBB">
              <w:rPr>
                <w:rFonts w:cs="Times New Roman"/>
                <w:color w:val="000000"/>
              </w:rPr>
              <w:t>must not be situated above</w:t>
            </w:r>
            <w:r>
              <w:rPr>
                <w:rFonts w:cs="Times New Roman"/>
                <w:color w:val="000000"/>
              </w:rPr>
              <w:t xml:space="preserve"> or</w:t>
            </w:r>
            <w:r w:rsidR="00072D9A">
              <w:rPr>
                <w:rFonts w:cs="Times New Roman"/>
                <w:color w:val="000000"/>
              </w:rPr>
              <w:t xml:space="preserve"> </w:t>
            </w:r>
            <w:r>
              <w:rPr>
                <w:rFonts w:cs="Times New Roman"/>
                <w:color w:val="000000"/>
              </w:rPr>
              <w:t>alongside a bedroom</w:t>
            </w:r>
            <w:r w:rsidRPr="00D74DBB">
              <w:rPr>
                <w:rFonts w:cs="Times New Roman"/>
                <w:color w:val="000000"/>
              </w:rPr>
              <w:t xml:space="preserve"> of another flat</w:t>
            </w:r>
            <w:r w:rsidR="00072D9A">
              <w:rPr>
                <w:rFonts w:cs="Times New Roman"/>
                <w:color w:val="000000"/>
              </w:rPr>
              <w:t>.</w:t>
            </w:r>
          </w:p>
        </w:tc>
      </w:tr>
      <w:tr w:rsidR="00D22CA4" w:rsidRPr="00D74DBB" w14:paraId="6625CD0B" w14:textId="77777777" w:rsidTr="002D6835">
        <w:tc>
          <w:tcPr>
            <w:tcW w:w="1384" w:type="dxa"/>
          </w:tcPr>
          <w:p w14:paraId="297FF4F8" w14:textId="77777777" w:rsidR="00D22CA4" w:rsidRDefault="00D22CA4" w:rsidP="00AF3E27">
            <w:pPr>
              <w:rPr>
                <w:rFonts w:cs="Times New Roman"/>
                <w:color w:val="000000"/>
              </w:rPr>
            </w:pPr>
            <w:r w:rsidRPr="00D74DBB">
              <w:rPr>
                <w:rFonts w:cs="Times New Roman"/>
                <w:color w:val="000000"/>
              </w:rPr>
              <w:t>Overcrowding</w:t>
            </w:r>
          </w:p>
          <w:p w14:paraId="2CE5A10A" w14:textId="77777777" w:rsidR="00D22CA4" w:rsidRDefault="00D22CA4" w:rsidP="00AF3E27">
            <w:pPr>
              <w:rPr>
                <w:rFonts w:cs="Times New Roman"/>
                <w:color w:val="000000"/>
              </w:rPr>
            </w:pPr>
          </w:p>
          <w:p w14:paraId="005FD966" w14:textId="77777777" w:rsidR="00D22CA4" w:rsidRDefault="00D22CA4" w:rsidP="00AF3E27">
            <w:pPr>
              <w:rPr>
                <w:rFonts w:cs="Times New Roman"/>
                <w:color w:val="000000"/>
              </w:rPr>
            </w:pPr>
          </w:p>
          <w:p w14:paraId="7823CC95" w14:textId="77777777" w:rsidR="00D22CA4" w:rsidRPr="00D74DBB" w:rsidRDefault="00D22CA4" w:rsidP="00AF3E27">
            <w:pPr>
              <w:rPr>
                <w:rFonts w:cs="Times New Roman"/>
                <w:color w:val="000000"/>
              </w:rPr>
            </w:pPr>
          </w:p>
        </w:tc>
        <w:tc>
          <w:tcPr>
            <w:tcW w:w="7716" w:type="dxa"/>
          </w:tcPr>
          <w:p w14:paraId="106C689E" w14:textId="77777777" w:rsidR="00D22CA4" w:rsidRDefault="00D22CA4" w:rsidP="00AF3E27">
            <w:pPr>
              <w:rPr>
                <w:rFonts w:cs="Times New Roman"/>
                <w:color w:val="000000"/>
              </w:rPr>
            </w:pPr>
            <w:r w:rsidRPr="00D74DBB">
              <w:rPr>
                <w:rFonts w:cs="Times New Roman"/>
                <w:color w:val="000000"/>
              </w:rPr>
              <w:t>Not make the property likely to become overcrowded, as defined by the Housing Act 1985 c. 68 Part X</w:t>
            </w:r>
          </w:p>
          <w:p w14:paraId="29F63A42" w14:textId="77777777" w:rsidR="00D22CA4" w:rsidRPr="00D74DBB" w:rsidRDefault="00D22CA4" w:rsidP="00AF3E27">
            <w:pPr>
              <w:rPr>
                <w:rFonts w:cs="Times New Roman"/>
                <w:color w:val="000000"/>
              </w:rPr>
            </w:pPr>
            <w:r>
              <w:rPr>
                <w:rFonts w:eastAsia="Arial" w:cs="Times New Roman"/>
                <w:color w:val="000000"/>
              </w:rPr>
              <w:t xml:space="preserve">It must not pose a </w:t>
            </w:r>
            <w:r w:rsidRPr="003344F9">
              <w:rPr>
                <w:rFonts w:eastAsia="Arial" w:cs="Times New Roman"/>
                <w:color w:val="000000"/>
              </w:rPr>
              <w:t xml:space="preserve">Health and Safety risk and </w:t>
            </w:r>
            <w:r>
              <w:rPr>
                <w:rFonts w:eastAsia="Arial" w:cs="Times New Roman"/>
                <w:color w:val="000000"/>
              </w:rPr>
              <w:t xml:space="preserve">or </w:t>
            </w:r>
            <w:r w:rsidRPr="003344F9">
              <w:rPr>
                <w:rFonts w:eastAsia="Arial" w:cs="Times New Roman"/>
                <w:color w:val="000000"/>
              </w:rPr>
              <w:t>put a drain on the communal services</w:t>
            </w:r>
            <w:r>
              <w:rPr>
                <w:rFonts w:eastAsia="Arial" w:cs="Times New Roman"/>
                <w:color w:val="000000"/>
              </w:rPr>
              <w:t>.</w:t>
            </w:r>
          </w:p>
        </w:tc>
      </w:tr>
      <w:tr w:rsidR="00D22CA4" w:rsidRPr="00D74DBB" w14:paraId="4130EEAD" w14:textId="77777777" w:rsidTr="002D6835">
        <w:tc>
          <w:tcPr>
            <w:tcW w:w="1384" w:type="dxa"/>
          </w:tcPr>
          <w:p w14:paraId="5337FB62" w14:textId="77777777" w:rsidR="00D22CA4" w:rsidRPr="00D74DBB" w:rsidRDefault="00D22CA4" w:rsidP="00AF3E27">
            <w:pPr>
              <w:rPr>
                <w:rFonts w:cs="Times New Roman"/>
                <w:color w:val="000000"/>
              </w:rPr>
            </w:pPr>
            <w:r w:rsidRPr="00D74DBB">
              <w:rPr>
                <w:rFonts w:cs="Times New Roman"/>
                <w:color w:val="000000"/>
              </w:rPr>
              <w:lastRenderedPageBreak/>
              <w:t>New window or door openings</w:t>
            </w:r>
          </w:p>
        </w:tc>
        <w:tc>
          <w:tcPr>
            <w:tcW w:w="7716" w:type="dxa"/>
          </w:tcPr>
          <w:p w14:paraId="7A80FB2D" w14:textId="7BA20E1F" w:rsidR="00D22CA4" w:rsidRPr="00D74DBB" w:rsidRDefault="00D22CA4" w:rsidP="00072D9A">
            <w:pPr>
              <w:rPr>
                <w:rFonts w:cs="Times New Roman"/>
                <w:color w:val="000000"/>
              </w:rPr>
            </w:pPr>
            <w:r w:rsidRPr="00D74DBB">
              <w:rPr>
                <w:rFonts w:cs="Times New Roman"/>
                <w:color w:val="000000"/>
              </w:rPr>
              <w:t>Not normally be permitted</w:t>
            </w:r>
            <w:r>
              <w:rPr>
                <w:rFonts w:cs="Times New Roman"/>
                <w:color w:val="000000"/>
              </w:rPr>
              <w:t>, e</w:t>
            </w:r>
            <w:r w:rsidRPr="00D74DBB">
              <w:rPr>
                <w:rFonts w:cs="Times New Roman"/>
                <w:color w:val="000000"/>
              </w:rPr>
              <w:t>xcept for windows or doors in approved extensions</w:t>
            </w:r>
            <w:r w:rsidR="00072D9A">
              <w:rPr>
                <w:rFonts w:cs="Times New Roman"/>
                <w:color w:val="000000"/>
              </w:rPr>
              <w:t>.</w:t>
            </w:r>
          </w:p>
        </w:tc>
      </w:tr>
      <w:tr w:rsidR="00D22CA4" w:rsidRPr="00D74DBB" w14:paraId="22FF38C1" w14:textId="77777777" w:rsidTr="002D6835">
        <w:tc>
          <w:tcPr>
            <w:tcW w:w="1384" w:type="dxa"/>
            <w:tcBorders>
              <w:bottom w:val="nil"/>
            </w:tcBorders>
          </w:tcPr>
          <w:p w14:paraId="0D412A1C" w14:textId="77777777" w:rsidR="00D22CA4" w:rsidRDefault="00D22CA4" w:rsidP="00AF3E27">
            <w:pPr>
              <w:rPr>
                <w:rFonts w:cs="Times New Roman"/>
                <w:color w:val="000000"/>
              </w:rPr>
            </w:pPr>
            <w:r w:rsidRPr="00D74DBB">
              <w:rPr>
                <w:rFonts w:cs="Times New Roman"/>
                <w:color w:val="000000"/>
              </w:rPr>
              <w:t>Fireplace (New or Opening)</w:t>
            </w:r>
          </w:p>
          <w:p w14:paraId="17F91DAF" w14:textId="77777777" w:rsidR="00D22CA4" w:rsidRPr="00D74DBB" w:rsidRDefault="00D22CA4" w:rsidP="00AF3E27">
            <w:pPr>
              <w:rPr>
                <w:rFonts w:cs="Times New Roman"/>
                <w:color w:val="000000"/>
              </w:rPr>
            </w:pPr>
          </w:p>
        </w:tc>
        <w:tc>
          <w:tcPr>
            <w:tcW w:w="7716" w:type="dxa"/>
            <w:tcBorders>
              <w:bottom w:val="nil"/>
            </w:tcBorders>
          </w:tcPr>
          <w:p w14:paraId="4AF48E2D" w14:textId="77777777" w:rsidR="00D22CA4" w:rsidRPr="00D74DBB" w:rsidRDefault="00D22CA4" w:rsidP="00AF3E27">
            <w:pPr>
              <w:rPr>
                <w:rFonts w:cs="Times New Roman"/>
                <w:color w:val="000000"/>
              </w:rPr>
            </w:pPr>
            <w:r w:rsidRPr="00D74DBB">
              <w:rPr>
                <w:rFonts w:cs="Times New Roman"/>
                <w:color w:val="000000"/>
              </w:rPr>
              <w:t>Not normally be permitted in view of the burden of the additional maintenance for the landlord in relation to the flue and chimney in the building</w:t>
            </w:r>
          </w:p>
        </w:tc>
      </w:tr>
      <w:tr w:rsidR="00D22CA4" w:rsidRPr="00D74DBB" w14:paraId="75A360B5" w14:textId="77777777" w:rsidTr="002D6835">
        <w:tc>
          <w:tcPr>
            <w:tcW w:w="1384" w:type="dxa"/>
            <w:tcBorders>
              <w:top w:val="nil"/>
              <w:bottom w:val="nil"/>
            </w:tcBorders>
          </w:tcPr>
          <w:p w14:paraId="343106E0" w14:textId="77777777" w:rsidR="00D22CA4" w:rsidRPr="00D74DBB" w:rsidRDefault="00D22CA4" w:rsidP="00AF3E27">
            <w:pPr>
              <w:rPr>
                <w:rFonts w:cs="Times New Roman"/>
                <w:color w:val="000000"/>
              </w:rPr>
            </w:pPr>
            <w:r w:rsidRPr="00D74DBB">
              <w:rPr>
                <w:rFonts w:cs="Times New Roman"/>
                <w:color w:val="000000"/>
              </w:rPr>
              <w:t>Loft alterations</w:t>
            </w:r>
          </w:p>
        </w:tc>
        <w:tc>
          <w:tcPr>
            <w:tcW w:w="7716" w:type="dxa"/>
            <w:tcBorders>
              <w:top w:val="nil"/>
              <w:bottom w:val="nil"/>
            </w:tcBorders>
          </w:tcPr>
          <w:p w14:paraId="57E19325" w14:textId="77777777" w:rsidR="00D22CA4" w:rsidRPr="00D74DBB" w:rsidRDefault="00D22CA4" w:rsidP="00AF3E27">
            <w:pPr>
              <w:rPr>
                <w:rFonts w:cs="Times New Roman"/>
                <w:color w:val="000000"/>
              </w:rPr>
            </w:pPr>
            <w:r w:rsidRPr="00D74DBB">
              <w:rPr>
                <w:rFonts w:cs="Times New Roman"/>
                <w:color w:val="000000"/>
              </w:rPr>
              <w:t xml:space="preserve">Unless it is clearly included as part of their property under the terms of their lease, Leaseholders have no right to make any alterations to this area. If included under the terms of the lease: </w:t>
            </w:r>
          </w:p>
          <w:p w14:paraId="03D6CF22" w14:textId="77777777" w:rsidR="00D22CA4" w:rsidRPr="00D74DBB" w:rsidRDefault="00D22CA4" w:rsidP="00AF3E27">
            <w:pPr>
              <w:rPr>
                <w:rFonts w:cs="Times New Roman"/>
                <w:color w:val="000000"/>
              </w:rPr>
            </w:pPr>
          </w:p>
          <w:p w14:paraId="62D4F2E9" w14:textId="113D1247" w:rsidR="00D22CA4" w:rsidRDefault="00D22CA4" w:rsidP="00AF3E27">
            <w:pPr>
              <w:rPr>
                <w:rFonts w:cs="Times New Roman"/>
                <w:color w:val="000000"/>
              </w:rPr>
            </w:pPr>
            <w:r w:rsidRPr="00D74DBB">
              <w:rPr>
                <w:rFonts w:cs="Times New Roman"/>
                <w:color w:val="000000"/>
              </w:rPr>
              <w:t>Alterations will not be allowed where communal services run through a roof. Where there are not, alterations to these areas will only be allowed where they will not adversely affect the roof, be likely to cause noise in adjacent flats or cause potential liabilities for the Council</w:t>
            </w:r>
            <w:r w:rsidR="002D6835">
              <w:rPr>
                <w:rFonts w:cs="Times New Roman"/>
                <w:color w:val="000000"/>
              </w:rPr>
              <w:t>.</w:t>
            </w:r>
          </w:p>
          <w:p w14:paraId="1E77D141" w14:textId="77777777" w:rsidR="00D22CA4" w:rsidRPr="00D74DBB" w:rsidRDefault="00D22CA4" w:rsidP="00AF3E27">
            <w:pPr>
              <w:rPr>
                <w:rFonts w:cs="Times New Roman"/>
                <w:color w:val="000000"/>
              </w:rPr>
            </w:pPr>
          </w:p>
        </w:tc>
      </w:tr>
      <w:tr w:rsidR="00D22CA4" w:rsidRPr="00D74DBB" w14:paraId="0FF663EB" w14:textId="77777777" w:rsidTr="002D6835">
        <w:tc>
          <w:tcPr>
            <w:tcW w:w="1384" w:type="dxa"/>
            <w:tcBorders>
              <w:top w:val="nil"/>
            </w:tcBorders>
          </w:tcPr>
          <w:p w14:paraId="17C20581" w14:textId="77777777" w:rsidR="00D22CA4" w:rsidRDefault="00D22CA4" w:rsidP="00AF3E27">
            <w:pPr>
              <w:rPr>
                <w:rFonts w:cs="Times New Roman"/>
                <w:color w:val="000000"/>
              </w:rPr>
            </w:pPr>
            <w:r w:rsidRPr="00D74DBB">
              <w:rPr>
                <w:rFonts w:cs="Times New Roman"/>
                <w:color w:val="000000"/>
              </w:rPr>
              <w:t xml:space="preserve">Boilers and flues (New or </w:t>
            </w:r>
          </w:p>
          <w:p w14:paraId="0959E22F" w14:textId="77777777" w:rsidR="00D22CA4" w:rsidRDefault="00D22CA4" w:rsidP="00AF3E27">
            <w:pPr>
              <w:rPr>
                <w:rFonts w:cs="Times New Roman"/>
                <w:color w:val="000000"/>
              </w:rPr>
            </w:pPr>
            <w:r w:rsidRPr="00D74DBB">
              <w:rPr>
                <w:rFonts w:cs="Times New Roman"/>
                <w:color w:val="000000"/>
              </w:rPr>
              <w:t>Old)</w:t>
            </w:r>
          </w:p>
          <w:p w14:paraId="5846E104" w14:textId="77777777" w:rsidR="00D22CA4" w:rsidRDefault="00D22CA4" w:rsidP="00AF3E27">
            <w:pPr>
              <w:rPr>
                <w:rFonts w:cs="Times New Roman"/>
                <w:color w:val="000000"/>
              </w:rPr>
            </w:pPr>
          </w:p>
          <w:p w14:paraId="32333C48" w14:textId="77777777" w:rsidR="00D22CA4" w:rsidRDefault="00D22CA4" w:rsidP="00AF3E27">
            <w:pPr>
              <w:rPr>
                <w:rFonts w:cs="Times New Roman"/>
                <w:color w:val="000000"/>
              </w:rPr>
            </w:pPr>
          </w:p>
          <w:p w14:paraId="729C6A39" w14:textId="77777777" w:rsidR="00D22CA4" w:rsidRDefault="00D22CA4" w:rsidP="00AF3E27">
            <w:pPr>
              <w:rPr>
                <w:rFonts w:cs="Times New Roman"/>
                <w:color w:val="000000"/>
              </w:rPr>
            </w:pPr>
          </w:p>
          <w:p w14:paraId="75A40544" w14:textId="77777777" w:rsidR="00D22CA4" w:rsidRPr="00D74DBB" w:rsidRDefault="00D22CA4" w:rsidP="00AF3E27">
            <w:pPr>
              <w:rPr>
                <w:rFonts w:cs="Times New Roman"/>
                <w:color w:val="000000"/>
              </w:rPr>
            </w:pPr>
          </w:p>
        </w:tc>
        <w:tc>
          <w:tcPr>
            <w:tcW w:w="7716" w:type="dxa"/>
            <w:tcBorders>
              <w:top w:val="nil"/>
            </w:tcBorders>
          </w:tcPr>
          <w:p w14:paraId="306AE595" w14:textId="2700702F" w:rsidR="00D22CA4" w:rsidRPr="00D74DBB" w:rsidRDefault="00D22CA4" w:rsidP="00AF3E27">
            <w:pPr>
              <w:rPr>
                <w:rFonts w:cs="Times New Roman"/>
                <w:color w:val="000000"/>
              </w:rPr>
            </w:pPr>
            <w:r w:rsidRPr="00D74DBB">
              <w:rPr>
                <w:rFonts w:cs="Times New Roman"/>
                <w:color w:val="000000"/>
              </w:rPr>
              <w:t xml:space="preserve">Must be agreed beforehand by the Council. Any damage caused to the outside of the building will be repaired by the Council at full cost to the resident concerned. </w:t>
            </w:r>
            <w:r w:rsidRPr="00D74DBB">
              <w:rPr>
                <w:rFonts w:eastAsia="Arial" w:cs="Times New Roman"/>
                <w:color w:val="000000"/>
              </w:rPr>
              <w:t>Landlord consent will not be given for a leaseholder to be disconnected from the communal heating system.</w:t>
            </w:r>
            <w:r>
              <w:rPr>
                <w:rFonts w:eastAsia="Arial" w:cs="Times New Roman"/>
                <w:color w:val="000000"/>
              </w:rPr>
              <w:t xml:space="preserve"> Boiler installation must be carried out by an accredited tradesperson and evidenced with relevant certification post-installation (e.g., with before and after photos).</w:t>
            </w:r>
            <w:r w:rsidRPr="00D74DBB">
              <w:rPr>
                <w:rFonts w:eastAsia="Arial" w:cs="Times New Roman"/>
                <w:color w:val="000000"/>
              </w:rPr>
              <w:t> </w:t>
            </w:r>
            <w:r>
              <w:rPr>
                <w:rFonts w:eastAsia="Arial" w:cs="Times New Roman"/>
                <w:color w:val="000000"/>
              </w:rPr>
              <w:t>We may wish to inspect on a case-by-case basis. There would be a (</w:t>
            </w:r>
            <w:r w:rsidR="001C5C7B">
              <w:rPr>
                <w:rFonts w:eastAsia="Arial" w:cs="Times New Roman"/>
                <w:color w:val="000000"/>
              </w:rPr>
              <w:t>rechargeable</w:t>
            </w:r>
            <w:r>
              <w:rPr>
                <w:rFonts w:eastAsia="Arial" w:cs="Times New Roman"/>
                <w:color w:val="000000"/>
              </w:rPr>
              <w:t>) charge associated with this.</w:t>
            </w:r>
          </w:p>
        </w:tc>
      </w:tr>
      <w:tr w:rsidR="00D22CA4" w:rsidRPr="00D74DBB" w14:paraId="62A6BC85" w14:textId="77777777" w:rsidTr="002D6835">
        <w:trPr>
          <w:trHeight w:val="3717"/>
        </w:trPr>
        <w:tc>
          <w:tcPr>
            <w:tcW w:w="1384" w:type="dxa"/>
          </w:tcPr>
          <w:p w14:paraId="7A63D93A" w14:textId="77777777" w:rsidR="00D22CA4" w:rsidRDefault="00D22CA4" w:rsidP="00AF3E27">
            <w:pPr>
              <w:rPr>
                <w:rFonts w:cs="Times New Roman"/>
                <w:color w:val="000000"/>
              </w:rPr>
            </w:pPr>
            <w:r w:rsidRPr="00D74DBB">
              <w:rPr>
                <w:rFonts w:cs="Times New Roman"/>
                <w:color w:val="000000"/>
              </w:rPr>
              <w:t>Flooring alterations:</w:t>
            </w:r>
          </w:p>
          <w:p w14:paraId="63918260" w14:textId="77777777" w:rsidR="00D22CA4" w:rsidRDefault="00D22CA4" w:rsidP="00AF3E27">
            <w:pPr>
              <w:rPr>
                <w:rFonts w:cs="Times New Roman"/>
                <w:color w:val="000000"/>
              </w:rPr>
            </w:pPr>
          </w:p>
          <w:p w14:paraId="451FEC0B" w14:textId="77777777" w:rsidR="00D22CA4" w:rsidRDefault="00D22CA4" w:rsidP="00AF3E27">
            <w:pPr>
              <w:rPr>
                <w:rFonts w:cs="Times New Roman"/>
                <w:color w:val="000000"/>
              </w:rPr>
            </w:pPr>
          </w:p>
          <w:p w14:paraId="299305AE" w14:textId="77777777" w:rsidR="0095591C" w:rsidRDefault="0095591C" w:rsidP="00AF3E27">
            <w:pPr>
              <w:rPr>
                <w:rFonts w:cs="Times New Roman"/>
                <w:color w:val="000000"/>
              </w:rPr>
            </w:pPr>
          </w:p>
          <w:p w14:paraId="74AF3FF4" w14:textId="77777777" w:rsidR="00D22CA4" w:rsidRDefault="00D22CA4" w:rsidP="00AF3E27">
            <w:pPr>
              <w:rPr>
                <w:rFonts w:cs="Times New Roman"/>
                <w:color w:val="000000"/>
              </w:rPr>
            </w:pPr>
          </w:p>
          <w:p w14:paraId="02356B4E" w14:textId="77777777" w:rsidR="00D22CA4" w:rsidRDefault="00D22CA4" w:rsidP="00AF3E27">
            <w:pPr>
              <w:rPr>
                <w:rFonts w:cs="Times New Roman"/>
                <w:color w:val="000000"/>
              </w:rPr>
            </w:pPr>
          </w:p>
          <w:p w14:paraId="566245F5" w14:textId="77777777" w:rsidR="00D22CA4" w:rsidRDefault="00D22CA4" w:rsidP="00AF3E27">
            <w:pPr>
              <w:rPr>
                <w:rFonts w:cs="Times New Roman"/>
                <w:color w:val="000000"/>
              </w:rPr>
            </w:pPr>
          </w:p>
          <w:p w14:paraId="1DD27385" w14:textId="77777777" w:rsidR="00D22CA4" w:rsidRDefault="00D22CA4" w:rsidP="00AF3E27">
            <w:pPr>
              <w:rPr>
                <w:rFonts w:cs="Times New Roman"/>
                <w:color w:val="000000"/>
              </w:rPr>
            </w:pPr>
          </w:p>
          <w:p w14:paraId="2DA66C2A" w14:textId="77777777" w:rsidR="00D22CA4" w:rsidRDefault="00D22CA4" w:rsidP="00AF3E27">
            <w:pPr>
              <w:rPr>
                <w:rFonts w:cs="Times New Roman"/>
                <w:color w:val="000000"/>
              </w:rPr>
            </w:pPr>
          </w:p>
          <w:p w14:paraId="0A7F6509" w14:textId="77777777" w:rsidR="00D22CA4" w:rsidRDefault="00D22CA4" w:rsidP="00AF3E27">
            <w:pPr>
              <w:rPr>
                <w:rFonts w:cs="Times New Roman"/>
                <w:color w:val="000000"/>
              </w:rPr>
            </w:pPr>
          </w:p>
          <w:p w14:paraId="5453CFBA" w14:textId="77777777" w:rsidR="00D22CA4" w:rsidRDefault="00D22CA4" w:rsidP="00AF3E27">
            <w:pPr>
              <w:rPr>
                <w:rFonts w:cs="Times New Roman"/>
                <w:color w:val="000000"/>
              </w:rPr>
            </w:pPr>
          </w:p>
          <w:p w14:paraId="2E54FB06" w14:textId="77777777" w:rsidR="00D22CA4" w:rsidRPr="00D74DBB" w:rsidRDefault="00D22CA4" w:rsidP="00AF3E27">
            <w:pPr>
              <w:rPr>
                <w:rFonts w:cs="Times New Roman"/>
                <w:color w:val="000000"/>
              </w:rPr>
            </w:pPr>
          </w:p>
        </w:tc>
        <w:tc>
          <w:tcPr>
            <w:tcW w:w="7716" w:type="dxa"/>
          </w:tcPr>
          <w:p w14:paraId="6033F930" w14:textId="36317EDA" w:rsidR="00D22CA4" w:rsidRPr="00072D9A" w:rsidRDefault="00D22CA4" w:rsidP="00AF3E27">
            <w:pPr>
              <w:rPr>
                <w:rFonts w:cs="Times New Roman"/>
                <w:b/>
                <w:bCs/>
                <w:color w:val="000000"/>
              </w:rPr>
            </w:pPr>
            <w:r w:rsidRPr="00072D9A">
              <w:rPr>
                <w:rFonts w:cs="Times New Roman"/>
                <w:b/>
                <w:bCs/>
                <w:color w:val="000000"/>
              </w:rPr>
              <w:t>1. Hard flooring:</w:t>
            </w:r>
          </w:p>
          <w:p w14:paraId="44EB9C60" w14:textId="334501B0" w:rsidR="00D22CA4" w:rsidRPr="00D74DBB" w:rsidRDefault="00D22CA4" w:rsidP="00AF3E27">
            <w:pPr>
              <w:rPr>
                <w:rFonts w:cs="Times New Roman"/>
                <w:color w:val="000000"/>
              </w:rPr>
            </w:pPr>
            <w:r w:rsidRPr="00D74DBB">
              <w:rPr>
                <w:rFonts w:cs="Times New Roman"/>
                <w:color w:val="000000"/>
              </w:rPr>
              <w:t>The leaseholder is required to cover and keep covered the floors of their property with carpet and underlay other “than those of the kitchen and bathrooms”</w:t>
            </w:r>
            <w:r>
              <w:rPr>
                <w:rFonts w:cs="Times New Roman"/>
                <w:color w:val="000000"/>
              </w:rPr>
              <w:t xml:space="preserve"> as set out in their lease due to potential noise nuisance</w:t>
            </w:r>
            <w:r w:rsidRPr="00D74DBB">
              <w:rPr>
                <w:rFonts w:cs="Times New Roman"/>
                <w:color w:val="000000"/>
              </w:rPr>
              <w:t xml:space="preserve">. Consequently, requests to fit </w:t>
            </w:r>
            <w:r>
              <w:rPr>
                <w:rFonts w:cs="Times New Roman"/>
                <w:color w:val="000000"/>
              </w:rPr>
              <w:t>l</w:t>
            </w:r>
            <w:r w:rsidRPr="00D74DBB">
              <w:rPr>
                <w:rFonts w:cs="Times New Roman"/>
                <w:color w:val="000000"/>
              </w:rPr>
              <w:t>aminate</w:t>
            </w:r>
            <w:r>
              <w:rPr>
                <w:rFonts w:cs="Times New Roman"/>
                <w:color w:val="000000"/>
              </w:rPr>
              <w:t>, solid timber, stone, or tile</w:t>
            </w:r>
            <w:r w:rsidRPr="00D74DBB">
              <w:rPr>
                <w:rFonts w:cs="Times New Roman"/>
                <w:color w:val="000000"/>
              </w:rPr>
              <w:t xml:space="preserve"> flooring will be refused.</w:t>
            </w:r>
            <w:r>
              <w:rPr>
                <w:rFonts w:cs="Times New Roman"/>
                <w:color w:val="000000"/>
              </w:rPr>
              <w:t xml:space="preserve"> Where there is existing hard flooring, we will usually not pursue action unless there is a noise nuisance case.</w:t>
            </w:r>
          </w:p>
          <w:p w14:paraId="1DDAE4F8" w14:textId="77777777" w:rsidR="00D22CA4" w:rsidRPr="00D74DBB" w:rsidRDefault="00D22CA4" w:rsidP="00AF3E27">
            <w:pPr>
              <w:rPr>
                <w:rFonts w:cs="Times New Roman"/>
                <w:color w:val="000000"/>
              </w:rPr>
            </w:pPr>
          </w:p>
          <w:p w14:paraId="0E4CB107" w14:textId="77777777" w:rsidR="00D22CA4" w:rsidRPr="0095591C" w:rsidRDefault="00D22CA4" w:rsidP="00AF3E27">
            <w:pPr>
              <w:rPr>
                <w:rFonts w:cs="Times New Roman"/>
                <w:b/>
                <w:bCs/>
                <w:color w:val="000000"/>
              </w:rPr>
            </w:pPr>
            <w:r w:rsidRPr="0095591C">
              <w:rPr>
                <w:rFonts w:cs="Times New Roman"/>
                <w:b/>
                <w:bCs/>
                <w:color w:val="000000"/>
              </w:rPr>
              <w:t>2. Carpet and floor coverings:</w:t>
            </w:r>
          </w:p>
          <w:p w14:paraId="2F30151D" w14:textId="77777777" w:rsidR="00D22CA4" w:rsidRPr="00D74DBB" w:rsidRDefault="00D22CA4" w:rsidP="00AF3E27">
            <w:pPr>
              <w:rPr>
                <w:rFonts w:cs="Times New Roman"/>
                <w:color w:val="000000"/>
              </w:rPr>
            </w:pPr>
            <w:r w:rsidRPr="00D74DBB">
              <w:rPr>
                <w:rFonts w:cs="Times New Roman"/>
                <w:color w:val="000000"/>
              </w:rPr>
              <w:t>Must be used on all floor surfaces wherever necessary to prevent excessive footfall noise from disturbing neighbouring properties.</w:t>
            </w:r>
          </w:p>
        </w:tc>
      </w:tr>
    </w:tbl>
    <w:p w14:paraId="319B22FE" w14:textId="77777777" w:rsidR="00D22CA4" w:rsidRDefault="00D22CA4" w:rsidP="00D22CA4">
      <w:pPr>
        <w:pStyle w:val="ListBullet"/>
        <w:numPr>
          <w:ilvl w:val="0"/>
          <w:numId w:val="0"/>
        </w:numPr>
        <w:ind w:left="360" w:hanging="360"/>
        <w:rPr>
          <w:lang w:eastAsia="en-GB"/>
        </w:rPr>
      </w:pPr>
    </w:p>
    <w:p w14:paraId="279A3A99" w14:textId="77777777" w:rsidR="00D22CA4" w:rsidRPr="002F46FB" w:rsidRDefault="00D22CA4" w:rsidP="00D22CA4">
      <w:pPr>
        <w:rPr>
          <w:rFonts w:eastAsia="Arial" w:cs="Times New Roman"/>
          <w:color w:val="000000"/>
        </w:rPr>
      </w:pPr>
      <w:r w:rsidRPr="002F46FB">
        <w:rPr>
          <w:rFonts w:eastAsia="Arial" w:cs="Times New Roman"/>
          <w:color w:val="000000"/>
        </w:rPr>
        <w:t>External: When reaching its decision on whether to grant or withhold consent, the Council as landlord will have regard to the following:</w:t>
      </w:r>
    </w:p>
    <w:p w14:paraId="7E726E69" w14:textId="77777777" w:rsidR="00D22CA4" w:rsidRDefault="00D22CA4" w:rsidP="00D22CA4">
      <w:pPr>
        <w:rPr>
          <w:rFonts w:eastAsia="Arial" w:cs="Times New Roman"/>
          <w:b/>
          <w:bCs/>
          <w:color w:val="000000"/>
        </w:rPr>
      </w:pPr>
      <w:r w:rsidRPr="00F750E6">
        <w:rPr>
          <w:rFonts w:eastAsia="Arial" w:cs="Times New Roman"/>
          <w:b/>
          <w:bCs/>
          <w:color w:val="000000"/>
        </w:rPr>
        <w:t>Appendix 3</w:t>
      </w:r>
    </w:p>
    <w:p w14:paraId="604610C9" w14:textId="77777777" w:rsidR="00CF19EE" w:rsidRPr="00F750E6" w:rsidRDefault="00CF19EE" w:rsidP="00D22CA4">
      <w:pPr>
        <w:rPr>
          <w:rFonts w:eastAsia="Arial" w:cs="Times New Roman"/>
          <w:b/>
          <w:bCs/>
          <w:color w:val="000000"/>
          <w:lang w:eastAsia="en-GB"/>
        </w:rPr>
      </w:pPr>
    </w:p>
    <w:tbl>
      <w:tblPr>
        <w:tblStyle w:val="TableGrid"/>
        <w:tblW w:w="9100" w:type="dxa"/>
        <w:tblInd w:w="29" w:type="dxa"/>
        <w:tblLook w:val="04A0" w:firstRow="1" w:lastRow="0" w:firstColumn="1" w:lastColumn="0" w:noHBand="0" w:noVBand="1"/>
      </w:tblPr>
      <w:tblGrid>
        <w:gridCol w:w="2801"/>
        <w:gridCol w:w="6299"/>
      </w:tblGrid>
      <w:tr w:rsidR="00D22CA4" w:rsidRPr="002F46FB" w14:paraId="3F4A3539" w14:textId="77777777" w:rsidTr="007C3319">
        <w:tc>
          <w:tcPr>
            <w:tcW w:w="2801" w:type="dxa"/>
          </w:tcPr>
          <w:p w14:paraId="0702BD97" w14:textId="77777777" w:rsidR="00D22CA4" w:rsidRPr="00293DEE" w:rsidRDefault="00D22CA4" w:rsidP="00AF3E27">
            <w:pPr>
              <w:rPr>
                <w:rFonts w:cs="Times New Roman"/>
                <w:b/>
                <w:bCs/>
                <w:color w:val="000000"/>
              </w:rPr>
            </w:pPr>
            <w:r w:rsidRPr="00293DEE">
              <w:rPr>
                <w:rFonts w:cs="Times New Roman"/>
                <w:b/>
                <w:bCs/>
                <w:color w:val="000000"/>
              </w:rPr>
              <w:t>Issue</w:t>
            </w:r>
          </w:p>
        </w:tc>
        <w:tc>
          <w:tcPr>
            <w:tcW w:w="6299" w:type="dxa"/>
          </w:tcPr>
          <w:p w14:paraId="0F2FFEAF" w14:textId="77777777" w:rsidR="00D22CA4" w:rsidRPr="00293DEE" w:rsidRDefault="00D22CA4" w:rsidP="00AF3E27">
            <w:pPr>
              <w:rPr>
                <w:rFonts w:cs="Times New Roman"/>
                <w:b/>
                <w:bCs/>
                <w:color w:val="000000"/>
              </w:rPr>
            </w:pPr>
            <w:r w:rsidRPr="00293DEE">
              <w:rPr>
                <w:rFonts w:cs="Times New Roman"/>
                <w:b/>
                <w:bCs/>
                <w:color w:val="000000"/>
              </w:rPr>
              <w:t>Consideration/Evaluation</w:t>
            </w:r>
          </w:p>
        </w:tc>
      </w:tr>
      <w:tr w:rsidR="00D22CA4" w:rsidRPr="002F46FB" w14:paraId="19DE78BD" w14:textId="77777777" w:rsidTr="007C3319">
        <w:tc>
          <w:tcPr>
            <w:tcW w:w="2801" w:type="dxa"/>
          </w:tcPr>
          <w:p w14:paraId="1CE8A7A6" w14:textId="77777777" w:rsidR="00D22CA4" w:rsidRPr="002F46FB" w:rsidRDefault="00D22CA4" w:rsidP="00AF3E27">
            <w:pPr>
              <w:rPr>
                <w:rFonts w:cs="Times New Roman"/>
                <w:color w:val="000000"/>
              </w:rPr>
            </w:pPr>
            <w:r w:rsidRPr="002F46FB">
              <w:rPr>
                <w:rFonts w:cs="Times New Roman"/>
                <w:color w:val="000000"/>
              </w:rPr>
              <w:t>Making the property structurally dangerous or unstable</w:t>
            </w:r>
          </w:p>
        </w:tc>
        <w:tc>
          <w:tcPr>
            <w:tcW w:w="6299" w:type="dxa"/>
          </w:tcPr>
          <w:p w14:paraId="247439E9" w14:textId="49F19781" w:rsidR="00D22CA4" w:rsidRPr="002F46FB" w:rsidRDefault="00D22CA4" w:rsidP="00AF3E27">
            <w:pPr>
              <w:rPr>
                <w:rFonts w:cs="Times New Roman"/>
                <w:color w:val="000000"/>
              </w:rPr>
            </w:pPr>
            <w:r w:rsidRPr="002F46FB">
              <w:rPr>
                <w:rFonts w:cs="Times New Roman"/>
                <w:color w:val="000000"/>
              </w:rPr>
              <w:t xml:space="preserve">Normally includes proposals such as removing a supporting wall or where the foundations could be weakened by the alterations. </w:t>
            </w:r>
            <w:r>
              <w:rPr>
                <w:rFonts w:cs="Times New Roman"/>
                <w:color w:val="000000"/>
              </w:rPr>
              <w:t>I</w:t>
            </w:r>
            <w:r w:rsidRPr="002F46FB">
              <w:rPr>
                <w:rFonts w:cs="Times New Roman"/>
                <w:color w:val="000000"/>
              </w:rPr>
              <w:t xml:space="preserve">n such cases, the Council </w:t>
            </w:r>
            <w:r>
              <w:rPr>
                <w:rFonts w:cs="Times New Roman"/>
                <w:color w:val="000000"/>
              </w:rPr>
              <w:t xml:space="preserve">will </w:t>
            </w:r>
            <w:r w:rsidRPr="002F46FB">
              <w:rPr>
                <w:rFonts w:cs="Times New Roman"/>
                <w:color w:val="000000"/>
              </w:rPr>
              <w:t>not grant</w:t>
            </w:r>
            <w:r>
              <w:rPr>
                <w:rFonts w:cs="Times New Roman"/>
                <w:color w:val="000000"/>
              </w:rPr>
              <w:t xml:space="preserve"> landlord </w:t>
            </w:r>
            <w:r w:rsidRPr="002F46FB">
              <w:rPr>
                <w:rFonts w:cs="Times New Roman"/>
                <w:color w:val="000000"/>
              </w:rPr>
              <w:t>consent</w:t>
            </w:r>
            <w:r w:rsidR="00CD20E1">
              <w:rPr>
                <w:rFonts w:cs="Times New Roman"/>
                <w:color w:val="000000"/>
              </w:rPr>
              <w:t>.</w:t>
            </w:r>
          </w:p>
        </w:tc>
      </w:tr>
      <w:tr w:rsidR="00D22CA4" w:rsidRPr="002F46FB" w14:paraId="76A758FE" w14:textId="77777777" w:rsidTr="007C3319">
        <w:tc>
          <w:tcPr>
            <w:tcW w:w="2801" w:type="dxa"/>
          </w:tcPr>
          <w:p w14:paraId="06CA9D04" w14:textId="77777777" w:rsidR="00D22CA4" w:rsidRPr="002F46FB" w:rsidRDefault="00D22CA4" w:rsidP="00AF3E27">
            <w:pPr>
              <w:rPr>
                <w:rFonts w:cs="Times New Roman"/>
                <w:color w:val="000000"/>
              </w:rPr>
            </w:pPr>
            <w:r w:rsidRPr="002F46FB">
              <w:rPr>
                <w:rFonts w:cs="Times New Roman"/>
                <w:color w:val="000000"/>
              </w:rPr>
              <w:lastRenderedPageBreak/>
              <w:t>Causing nuisance or inconvenience to other residents</w:t>
            </w:r>
          </w:p>
        </w:tc>
        <w:tc>
          <w:tcPr>
            <w:tcW w:w="6299" w:type="dxa"/>
          </w:tcPr>
          <w:p w14:paraId="25F65854" w14:textId="045B9F0E" w:rsidR="00D22CA4" w:rsidRPr="002F46FB" w:rsidRDefault="00D22CA4" w:rsidP="00AF3E27">
            <w:pPr>
              <w:rPr>
                <w:rFonts w:cs="Times New Roman"/>
                <w:color w:val="000000"/>
              </w:rPr>
            </w:pPr>
            <w:r w:rsidRPr="002F46FB">
              <w:rPr>
                <w:rFonts w:cs="Times New Roman"/>
                <w:color w:val="000000"/>
              </w:rPr>
              <w:t>Where other residents are required to be consulted, only one objection will be necessary for the council to withhold consent</w:t>
            </w:r>
            <w:r w:rsidR="00CD20E1">
              <w:rPr>
                <w:rFonts w:cs="Times New Roman"/>
                <w:color w:val="000000"/>
              </w:rPr>
              <w:t>.</w:t>
            </w:r>
          </w:p>
        </w:tc>
      </w:tr>
      <w:tr w:rsidR="00D22CA4" w:rsidRPr="002F46FB" w14:paraId="176E9AB3" w14:textId="77777777" w:rsidTr="007C3319">
        <w:tc>
          <w:tcPr>
            <w:tcW w:w="2801" w:type="dxa"/>
          </w:tcPr>
          <w:p w14:paraId="0D0DF73F" w14:textId="77777777" w:rsidR="00D22CA4" w:rsidRDefault="00D22CA4" w:rsidP="00AF3E27">
            <w:pPr>
              <w:rPr>
                <w:rFonts w:cs="Times New Roman"/>
                <w:color w:val="000000"/>
              </w:rPr>
            </w:pPr>
            <w:r w:rsidRPr="002F46FB">
              <w:rPr>
                <w:rFonts w:cs="Times New Roman"/>
                <w:color w:val="000000"/>
              </w:rPr>
              <w:t>Aesthetic considerations</w:t>
            </w:r>
          </w:p>
          <w:p w14:paraId="6BD2DFCF" w14:textId="77777777" w:rsidR="00D22CA4" w:rsidRDefault="00D22CA4" w:rsidP="00AF3E27">
            <w:pPr>
              <w:rPr>
                <w:rFonts w:cs="Times New Roman"/>
                <w:color w:val="000000"/>
              </w:rPr>
            </w:pPr>
          </w:p>
          <w:p w14:paraId="13E103AF" w14:textId="77777777" w:rsidR="00D22CA4" w:rsidRDefault="00D22CA4" w:rsidP="00AF3E27">
            <w:pPr>
              <w:rPr>
                <w:rFonts w:cs="Times New Roman"/>
                <w:color w:val="000000"/>
              </w:rPr>
            </w:pPr>
          </w:p>
          <w:p w14:paraId="3A57113D" w14:textId="77777777" w:rsidR="00D22CA4" w:rsidRDefault="00D22CA4" w:rsidP="00AF3E27">
            <w:pPr>
              <w:rPr>
                <w:rFonts w:cs="Times New Roman"/>
                <w:color w:val="000000"/>
              </w:rPr>
            </w:pPr>
          </w:p>
          <w:p w14:paraId="393D21A2" w14:textId="77777777" w:rsidR="00D22CA4" w:rsidRDefault="00D22CA4" w:rsidP="00AF3E27">
            <w:pPr>
              <w:rPr>
                <w:rFonts w:cs="Times New Roman"/>
                <w:color w:val="000000"/>
              </w:rPr>
            </w:pPr>
          </w:p>
          <w:p w14:paraId="794020D6" w14:textId="77777777" w:rsidR="00D22CA4" w:rsidRDefault="00D22CA4" w:rsidP="00AF3E27">
            <w:pPr>
              <w:rPr>
                <w:rFonts w:cs="Times New Roman"/>
                <w:color w:val="000000"/>
              </w:rPr>
            </w:pPr>
          </w:p>
          <w:p w14:paraId="2C389B8B" w14:textId="77777777" w:rsidR="00D22CA4" w:rsidRDefault="00D22CA4" w:rsidP="00AF3E27">
            <w:pPr>
              <w:rPr>
                <w:rFonts w:cs="Times New Roman"/>
                <w:color w:val="000000"/>
              </w:rPr>
            </w:pPr>
          </w:p>
          <w:p w14:paraId="12B3E942" w14:textId="77777777" w:rsidR="00D22CA4" w:rsidRDefault="00D22CA4" w:rsidP="00AF3E27">
            <w:pPr>
              <w:rPr>
                <w:rFonts w:cs="Times New Roman"/>
                <w:color w:val="000000"/>
              </w:rPr>
            </w:pPr>
          </w:p>
          <w:p w14:paraId="1B084093" w14:textId="77777777" w:rsidR="00D22CA4" w:rsidRDefault="00D22CA4" w:rsidP="00AF3E27">
            <w:pPr>
              <w:rPr>
                <w:rFonts w:cs="Times New Roman"/>
                <w:color w:val="000000"/>
              </w:rPr>
            </w:pPr>
          </w:p>
          <w:p w14:paraId="26A218B4" w14:textId="77777777" w:rsidR="00D22CA4" w:rsidRDefault="00D22CA4" w:rsidP="00AF3E27">
            <w:pPr>
              <w:rPr>
                <w:rFonts w:cs="Times New Roman"/>
                <w:color w:val="000000"/>
              </w:rPr>
            </w:pPr>
          </w:p>
          <w:p w14:paraId="339A67F1" w14:textId="77777777" w:rsidR="00D22CA4" w:rsidRPr="002F46FB" w:rsidRDefault="00D22CA4" w:rsidP="00AF3E27">
            <w:pPr>
              <w:rPr>
                <w:rFonts w:cs="Times New Roman"/>
                <w:color w:val="000000"/>
              </w:rPr>
            </w:pPr>
          </w:p>
        </w:tc>
        <w:tc>
          <w:tcPr>
            <w:tcW w:w="6299" w:type="dxa"/>
          </w:tcPr>
          <w:p w14:paraId="45924505" w14:textId="77777777" w:rsidR="00D22CA4" w:rsidRPr="002F46FB" w:rsidRDefault="00D22CA4" w:rsidP="00AF3E27">
            <w:pPr>
              <w:rPr>
                <w:rFonts w:cs="Times New Roman"/>
                <w:color w:val="000000"/>
              </w:rPr>
            </w:pPr>
            <w:r w:rsidRPr="002F46FB">
              <w:rPr>
                <w:rFonts w:cs="Times New Roman"/>
                <w:color w:val="000000"/>
              </w:rPr>
              <w:t>The Council has the right to withhold consent if it is considered that the proposals are not in keeping with the building or surrounding area. A professional opinion will be provided in this matter. All cases will be considered on their own merits, and the Landlord will not adopt a blanket approach. A decision to grant consent in one area or with regard to a particular type of building will not bind the Council when considering other similar proposals, since different criteria may apply, such as those of a stylistic nature in relation to the building or the neighbourhood.</w:t>
            </w:r>
          </w:p>
        </w:tc>
      </w:tr>
      <w:tr w:rsidR="00D22CA4" w:rsidRPr="002F46FB" w14:paraId="3D3DA777" w14:textId="77777777" w:rsidTr="007C3319">
        <w:tc>
          <w:tcPr>
            <w:tcW w:w="2801" w:type="dxa"/>
          </w:tcPr>
          <w:p w14:paraId="09317C41" w14:textId="77777777" w:rsidR="00D22CA4" w:rsidRDefault="00D22CA4" w:rsidP="00AF3E27">
            <w:pPr>
              <w:rPr>
                <w:rFonts w:cs="Times New Roman"/>
                <w:color w:val="000000"/>
              </w:rPr>
            </w:pPr>
            <w:r w:rsidRPr="002F46FB">
              <w:rPr>
                <w:rFonts w:cs="Times New Roman"/>
                <w:color w:val="000000"/>
              </w:rPr>
              <w:t>Exterior brickwork</w:t>
            </w:r>
          </w:p>
          <w:p w14:paraId="4A787812" w14:textId="77777777" w:rsidR="00D22CA4" w:rsidRDefault="00D22CA4" w:rsidP="00AF3E27">
            <w:pPr>
              <w:rPr>
                <w:rFonts w:cs="Times New Roman"/>
                <w:color w:val="000000"/>
              </w:rPr>
            </w:pPr>
          </w:p>
          <w:p w14:paraId="0AA315B2" w14:textId="77777777" w:rsidR="00D22CA4" w:rsidRPr="002F46FB" w:rsidRDefault="00D22CA4" w:rsidP="00AF3E27">
            <w:pPr>
              <w:rPr>
                <w:rFonts w:cs="Times New Roman"/>
                <w:color w:val="000000"/>
              </w:rPr>
            </w:pPr>
          </w:p>
        </w:tc>
        <w:tc>
          <w:tcPr>
            <w:tcW w:w="6299" w:type="dxa"/>
          </w:tcPr>
          <w:p w14:paraId="2D840842" w14:textId="77777777" w:rsidR="00D22CA4" w:rsidRPr="002F46FB" w:rsidRDefault="00D22CA4" w:rsidP="00AF3E27">
            <w:pPr>
              <w:rPr>
                <w:rFonts w:cs="Times New Roman"/>
                <w:color w:val="000000"/>
              </w:rPr>
            </w:pPr>
            <w:r w:rsidRPr="002F46FB">
              <w:rPr>
                <w:rFonts w:cs="Times New Roman"/>
                <w:color w:val="000000"/>
              </w:rPr>
              <w:t>Any changes to the exterior, such as painting of the brickwork require landlord permission but will not normally be allowed</w:t>
            </w:r>
            <w:r>
              <w:rPr>
                <w:rFonts w:cs="Times New Roman"/>
                <w:color w:val="000000"/>
              </w:rPr>
              <w:t xml:space="preserve"> as the external structural wall belongs to the Council.</w:t>
            </w:r>
          </w:p>
        </w:tc>
      </w:tr>
      <w:tr w:rsidR="00D22CA4" w:rsidRPr="002F46FB" w14:paraId="1AAED8D2" w14:textId="77777777" w:rsidTr="007C3319">
        <w:tc>
          <w:tcPr>
            <w:tcW w:w="2801" w:type="dxa"/>
          </w:tcPr>
          <w:p w14:paraId="014E51C2" w14:textId="77777777" w:rsidR="00D22CA4" w:rsidRDefault="00D22CA4" w:rsidP="00AF3E27">
            <w:pPr>
              <w:rPr>
                <w:rFonts w:cs="Times New Roman"/>
                <w:color w:val="000000"/>
              </w:rPr>
            </w:pPr>
            <w:r w:rsidRPr="002F46FB">
              <w:rPr>
                <w:rFonts w:cs="Times New Roman"/>
                <w:color w:val="000000"/>
              </w:rPr>
              <w:t>Exterior fixtures and fittings</w:t>
            </w:r>
          </w:p>
          <w:p w14:paraId="34A32491" w14:textId="77777777" w:rsidR="00D22CA4" w:rsidRDefault="00D22CA4" w:rsidP="00AF3E27">
            <w:pPr>
              <w:rPr>
                <w:rFonts w:cs="Times New Roman"/>
                <w:color w:val="000000"/>
              </w:rPr>
            </w:pPr>
          </w:p>
          <w:p w14:paraId="71BEA524" w14:textId="77777777" w:rsidR="00D22CA4" w:rsidRDefault="00D22CA4" w:rsidP="00AF3E27">
            <w:pPr>
              <w:rPr>
                <w:rFonts w:cs="Times New Roman"/>
                <w:color w:val="000000"/>
              </w:rPr>
            </w:pPr>
          </w:p>
          <w:p w14:paraId="39D252F2" w14:textId="77777777" w:rsidR="00D22CA4" w:rsidRDefault="00D22CA4" w:rsidP="00AF3E27">
            <w:pPr>
              <w:rPr>
                <w:rFonts w:cs="Times New Roman"/>
                <w:color w:val="000000"/>
              </w:rPr>
            </w:pPr>
          </w:p>
          <w:p w14:paraId="54C4EFB2" w14:textId="77777777" w:rsidR="00D22CA4" w:rsidRPr="002F46FB" w:rsidRDefault="00D22CA4" w:rsidP="00AF3E27">
            <w:pPr>
              <w:rPr>
                <w:rFonts w:cs="Times New Roman"/>
                <w:color w:val="000000"/>
              </w:rPr>
            </w:pPr>
          </w:p>
        </w:tc>
        <w:tc>
          <w:tcPr>
            <w:tcW w:w="6299" w:type="dxa"/>
          </w:tcPr>
          <w:p w14:paraId="222C5B14" w14:textId="77777777" w:rsidR="00D22CA4" w:rsidRPr="002F46FB" w:rsidRDefault="00D22CA4" w:rsidP="00AF3E27">
            <w:pPr>
              <w:rPr>
                <w:rFonts w:cs="Times New Roman"/>
                <w:color w:val="000000"/>
              </w:rPr>
            </w:pPr>
            <w:r w:rsidRPr="002F46FB">
              <w:rPr>
                <w:rFonts w:cs="Times New Roman"/>
                <w:color w:val="000000"/>
              </w:rPr>
              <w:t>The attachment of anything outside the property requires permission from the Council. Examples are security cameras, burglar alarm boxes, external signage</w:t>
            </w:r>
            <w:r>
              <w:rPr>
                <w:rFonts w:cs="Times New Roman"/>
                <w:color w:val="000000"/>
              </w:rPr>
              <w:t>, EV chargers</w:t>
            </w:r>
            <w:r w:rsidRPr="002F46FB">
              <w:rPr>
                <w:rFonts w:cs="Times New Roman"/>
                <w:color w:val="000000"/>
              </w:rPr>
              <w:t xml:space="preserve"> and exterior lighting. This would require liaison with appropriate council services to reach a decision. </w:t>
            </w:r>
          </w:p>
        </w:tc>
      </w:tr>
    </w:tbl>
    <w:p w14:paraId="40C0BFDD" w14:textId="77777777" w:rsidR="00D22CA4" w:rsidRPr="002F46FB" w:rsidRDefault="00D22CA4" w:rsidP="00D22CA4">
      <w:pPr>
        <w:rPr>
          <w:rFonts w:eastAsia="Arial" w:cs="Times New Roman"/>
          <w:color w:val="000000"/>
          <w:lang w:eastAsia="en-GB"/>
        </w:rPr>
      </w:pPr>
    </w:p>
    <w:p w14:paraId="3D8D5761" w14:textId="77777777" w:rsidR="00D22CA4" w:rsidRPr="002F46FB" w:rsidRDefault="00D22CA4" w:rsidP="00D22CA4">
      <w:pPr>
        <w:rPr>
          <w:rFonts w:eastAsia="Arial" w:cs="Times New Roman"/>
          <w:color w:val="000000"/>
          <w:lang w:eastAsia="en-GB"/>
        </w:rPr>
      </w:pPr>
      <w:r w:rsidRPr="002F46FB">
        <w:rPr>
          <w:rFonts w:eastAsia="Arial" w:cs="Times New Roman"/>
          <w:color w:val="000000"/>
        </w:rPr>
        <w:t xml:space="preserve">In addition to the above, the following list below are few examples of large-scale alterations where the Council will assess on a case-by-case basis. The Council will apply the principles of this policy, liaise with other appropriate internal service and in some case, seek external advice before a decision is made. </w:t>
      </w:r>
    </w:p>
    <w:p w14:paraId="725DF2C3" w14:textId="77777777" w:rsidR="00D22CA4" w:rsidRPr="003B5A03" w:rsidRDefault="00D22CA4" w:rsidP="003B5A03">
      <w:pPr>
        <w:pStyle w:val="ListBullet"/>
      </w:pPr>
      <w:r w:rsidRPr="003B5A03">
        <w:t>Conservatories</w:t>
      </w:r>
    </w:p>
    <w:p w14:paraId="19370A78" w14:textId="77777777" w:rsidR="00D22CA4" w:rsidRPr="003B5A03" w:rsidRDefault="00D22CA4" w:rsidP="003B5A03">
      <w:pPr>
        <w:pStyle w:val="ListBullet"/>
      </w:pPr>
      <w:r w:rsidRPr="003B5A03">
        <w:t>Loft conversions</w:t>
      </w:r>
    </w:p>
    <w:p w14:paraId="6F995929" w14:textId="77777777" w:rsidR="00D22CA4" w:rsidRPr="003B5A03" w:rsidRDefault="00D22CA4" w:rsidP="003B5A03">
      <w:pPr>
        <w:pStyle w:val="ListBullet"/>
      </w:pPr>
      <w:r w:rsidRPr="003B5A03">
        <w:t>Gardens (extensions)</w:t>
      </w:r>
    </w:p>
    <w:p w14:paraId="68FE633E" w14:textId="58F5CD55" w:rsidR="00D22CA4" w:rsidRPr="003B5A03" w:rsidRDefault="003B5A03" w:rsidP="003B5A03">
      <w:pPr>
        <w:pStyle w:val="ListBullet"/>
      </w:pPr>
      <w:r>
        <w:t>C</w:t>
      </w:r>
      <w:r w:rsidR="00D22CA4" w:rsidRPr="003B5A03">
        <w:t>ommunal Areas (linked in with extensions)</w:t>
      </w:r>
    </w:p>
    <w:p w14:paraId="02322A5A" w14:textId="77777777" w:rsidR="00D22CA4" w:rsidRPr="003B5A03" w:rsidRDefault="00D22CA4" w:rsidP="003B5A03">
      <w:pPr>
        <w:pStyle w:val="ListBullet"/>
      </w:pPr>
      <w:r w:rsidRPr="003B5A03">
        <w:t>Building on land which is not part of the flat (linked in with extensions)</w:t>
      </w:r>
    </w:p>
    <w:p w14:paraId="3ED07B3D" w14:textId="77777777" w:rsidR="003B5A03" w:rsidRDefault="003B5A03" w:rsidP="00D22CA4"/>
    <w:p w14:paraId="6FC56C07" w14:textId="6D439588" w:rsidR="00D22CA4" w:rsidRDefault="006F19C7" w:rsidP="00D22CA4">
      <w:r>
        <w:t>The applications process is as follows:</w:t>
      </w:r>
    </w:p>
    <w:p w14:paraId="4B4AF8EA" w14:textId="3A04CD62" w:rsidR="006F19C7" w:rsidRDefault="006F19C7" w:rsidP="006F19C7">
      <w:pPr>
        <w:pStyle w:val="ListParagraph"/>
        <w:numPr>
          <w:ilvl w:val="0"/>
          <w:numId w:val="30"/>
        </w:numPr>
      </w:pPr>
      <w:r>
        <w:t>Application to Leasehold Services</w:t>
      </w:r>
    </w:p>
    <w:p w14:paraId="0C89F596" w14:textId="7D15EE44" w:rsidR="006F19C7" w:rsidRDefault="006F19C7" w:rsidP="006F19C7">
      <w:pPr>
        <w:pStyle w:val="ListParagraph"/>
        <w:numPr>
          <w:ilvl w:val="0"/>
          <w:numId w:val="30"/>
        </w:numPr>
      </w:pPr>
      <w:r>
        <w:t>Application review and conditional landlord consent issued</w:t>
      </w:r>
    </w:p>
    <w:p w14:paraId="5A84DCA7" w14:textId="27E26D58" w:rsidR="006F19C7" w:rsidRDefault="006F19C7" w:rsidP="006F19C7">
      <w:pPr>
        <w:pStyle w:val="ListParagraph"/>
        <w:numPr>
          <w:ilvl w:val="0"/>
          <w:numId w:val="30"/>
        </w:numPr>
      </w:pPr>
      <w:r>
        <w:t>LBTH Planning/Building consent sought</w:t>
      </w:r>
    </w:p>
    <w:p w14:paraId="1F40677D" w14:textId="02EA24F6" w:rsidR="006F19C7" w:rsidRDefault="006F19C7" w:rsidP="006F19C7">
      <w:pPr>
        <w:pStyle w:val="ListParagraph"/>
        <w:numPr>
          <w:ilvl w:val="0"/>
          <w:numId w:val="30"/>
        </w:numPr>
      </w:pPr>
      <w:r>
        <w:t>Undergo works, works completed</w:t>
      </w:r>
    </w:p>
    <w:p w14:paraId="5C5D0898" w14:textId="7CCD0850" w:rsidR="006F19C7" w:rsidRDefault="006F19C7" w:rsidP="006F19C7">
      <w:pPr>
        <w:pStyle w:val="ListParagraph"/>
        <w:numPr>
          <w:ilvl w:val="0"/>
          <w:numId w:val="30"/>
        </w:numPr>
      </w:pPr>
      <w:r>
        <w:t>Contact LHS to arrange post inspection prior to full consent</w:t>
      </w:r>
    </w:p>
    <w:p w14:paraId="45B63779" w14:textId="67B60707" w:rsidR="006F19C7" w:rsidRDefault="006F19C7" w:rsidP="006F19C7">
      <w:r>
        <w:t xml:space="preserve">If the application is refused, a letter will be sent to the leasehold after </w:t>
      </w:r>
      <w:r w:rsidR="002D6340">
        <w:t>Step 1.</w:t>
      </w:r>
    </w:p>
    <w:p w14:paraId="1197E9B8" w14:textId="77777777" w:rsidR="00363AA3" w:rsidRPr="00EC038F" w:rsidRDefault="00363AA3" w:rsidP="00EC038F">
      <w:pPr>
        <w:rPr>
          <w:lang w:val="en-US" w:eastAsia="en-GB"/>
        </w:rPr>
      </w:pPr>
    </w:p>
    <w:sectPr w:rsidR="00363AA3" w:rsidRPr="00EC038F" w:rsidSect="006462B8">
      <w:headerReference w:type="even" r:id="rId17"/>
      <w:headerReference w:type="default" r:id="rId18"/>
      <w:footerReference w:type="default" r:id="rId19"/>
      <w:headerReference w:type="first" r:id="rId2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C7E0" w14:textId="77777777" w:rsidR="00B307D6" w:rsidRDefault="00B307D6" w:rsidP="00DC0AA1">
      <w:pPr>
        <w:spacing w:after="0"/>
      </w:pPr>
      <w:r>
        <w:separator/>
      </w:r>
    </w:p>
  </w:endnote>
  <w:endnote w:type="continuationSeparator" w:id="0">
    <w:p w14:paraId="278C9329" w14:textId="77777777" w:rsidR="00B307D6" w:rsidRDefault="00B307D6" w:rsidP="00DC0AA1">
      <w:pPr>
        <w:spacing w:after="0"/>
      </w:pPr>
      <w:r>
        <w:continuationSeparator/>
      </w:r>
    </w:p>
  </w:endnote>
  <w:endnote w:type="continuationNotice" w:id="1">
    <w:p w14:paraId="4270B416" w14:textId="77777777" w:rsidR="00B307D6" w:rsidRDefault="00B307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3DD978FF" w:rsidR="00316ED1" w:rsidRPr="00931C93" w:rsidRDefault="001621EC" w:rsidP="007C32E3">
    <w:pPr>
      <w:pStyle w:val="Footer"/>
    </w:pPr>
    <w:r>
      <w:t>Leasehold Alterations Policy</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3AD5" w14:textId="77777777" w:rsidR="00B307D6" w:rsidRDefault="00B307D6" w:rsidP="00DC0AA1">
      <w:pPr>
        <w:spacing w:after="0"/>
      </w:pPr>
      <w:r>
        <w:separator/>
      </w:r>
    </w:p>
  </w:footnote>
  <w:footnote w:type="continuationSeparator" w:id="0">
    <w:p w14:paraId="07974077" w14:textId="77777777" w:rsidR="00B307D6" w:rsidRDefault="00B307D6" w:rsidP="00DC0AA1">
      <w:pPr>
        <w:spacing w:after="0"/>
      </w:pPr>
      <w:r>
        <w:continuationSeparator/>
      </w:r>
    </w:p>
  </w:footnote>
  <w:footnote w:type="continuationNotice" w:id="1">
    <w:p w14:paraId="5ECF49A5" w14:textId="77777777" w:rsidR="00B307D6" w:rsidRDefault="00B307D6">
      <w:pPr>
        <w:spacing w:after="0"/>
      </w:pPr>
    </w:p>
  </w:footnote>
  <w:footnote w:id="2">
    <w:p w14:paraId="61A7D76A" w14:textId="77777777" w:rsidR="00A61FC7" w:rsidRDefault="00A61FC7" w:rsidP="00A61FC7">
      <w:pPr>
        <w:pStyle w:val="FootnoteText"/>
      </w:pPr>
      <w:r>
        <w:rPr>
          <w:rStyle w:val="FootnoteReference"/>
        </w:rPr>
        <w:footnoteRef/>
      </w:r>
      <w:r>
        <w:t xml:space="preserve"> Alterations application form, before and after plans, structural engineer’s report (if applicable), contractor’s public liability insurance (up to £2 million), gas/electrical engineer’s name and registration numbers (if applicable). In the event of retrospective application, then photographs of areas where works have been completed and all requisite certificates should also be included (including but not limited to: Building Control Certificate or BSR, gas safety certificate, electrical NICEIC or Certass)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850" w14:textId="77777777" w:rsidR="00316ED1" w:rsidRPr="00777D19" w:rsidRDefault="00316ED1" w:rsidP="00777D19"/>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647A9"/>
    <w:multiLevelType w:val="hybridMultilevel"/>
    <w:tmpl w:val="DCAC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F98"/>
    <w:multiLevelType w:val="multilevel"/>
    <w:tmpl w:val="2826A87E"/>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8124C9B"/>
    <w:multiLevelType w:val="hybridMultilevel"/>
    <w:tmpl w:val="1CD8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35F49"/>
    <w:multiLevelType w:val="hybridMultilevel"/>
    <w:tmpl w:val="A6326D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10337"/>
    <w:multiLevelType w:val="hybridMultilevel"/>
    <w:tmpl w:val="AB08BC18"/>
    <w:lvl w:ilvl="0" w:tplc="E492710E">
      <w:start w:val="1"/>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B145A"/>
    <w:multiLevelType w:val="multilevel"/>
    <w:tmpl w:val="ADEE2140"/>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7" w15:restartNumberingAfterBreak="0">
    <w:nsid w:val="1E7B1707"/>
    <w:multiLevelType w:val="hybridMultilevel"/>
    <w:tmpl w:val="9F562568"/>
    <w:lvl w:ilvl="0" w:tplc="A88A2A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21F43"/>
    <w:multiLevelType w:val="hybridMultilevel"/>
    <w:tmpl w:val="5F1A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F06F8"/>
    <w:multiLevelType w:val="hybridMultilevel"/>
    <w:tmpl w:val="DFB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A61D0"/>
    <w:multiLevelType w:val="multilevel"/>
    <w:tmpl w:val="83A6F32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D056A"/>
    <w:multiLevelType w:val="hybridMultilevel"/>
    <w:tmpl w:val="A0F6A25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9B4AFA"/>
    <w:multiLevelType w:val="hybridMultilevel"/>
    <w:tmpl w:val="3A2E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90813"/>
    <w:multiLevelType w:val="multilevel"/>
    <w:tmpl w:val="F2E00F1A"/>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664835DC"/>
    <w:multiLevelType w:val="hybridMultilevel"/>
    <w:tmpl w:val="E1284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77D02"/>
    <w:multiLevelType w:val="hybridMultilevel"/>
    <w:tmpl w:val="2B18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A16B4E"/>
    <w:multiLevelType w:val="hybridMultilevel"/>
    <w:tmpl w:val="DE04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085249"/>
    <w:multiLevelType w:val="hybridMultilevel"/>
    <w:tmpl w:val="FDDC8CD4"/>
    <w:lvl w:ilvl="0" w:tplc="EB1C45D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212D3"/>
    <w:multiLevelType w:val="hybridMultilevel"/>
    <w:tmpl w:val="C19AC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260EE"/>
    <w:multiLevelType w:val="multilevel"/>
    <w:tmpl w:val="973434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730E314C"/>
    <w:multiLevelType w:val="hybridMultilevel"/>
    <w:tmpl w:val="C302C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66EF8"/>
    <w:multiLevelType w:val="hybridMultilevel"/>
    <w:tmpl w:val="DD4C3218"/>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C2A2E"/>
    <w:multiLevelType w:val="hybridMultilevel"/>
    <w:tmpl w:val="D128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960777">
    <w:abstractNumId w:val="6"/>
  </w:num>
  <w:num w:numId="2" w16cid:durableId="1705208553">
    <w:abstractNumId w:val="0"/>
  </w:num>
  <w:num w:numId="3" w16cid:durableId="748619934">
    <w:abstractNumId w:val="9"/>
  </w:num>
  <w:num w:numId="4" w16cid:durableId="1175612746">
    <w:abstractNumId w:val="15"/>
  </w:num>
  <w:num w:numId="5" w16cid:durableId="150758067">
    <w:abstractNumId w:val="12"/>
  </w:num>
  <w:num w:numId="6" w16cid:durableId="1335104762">
    <w:abstractNumId w:val="5"/>
  </w:num>
  <w:num w:numId="7" w16cid:durableId="1681195345">
    <w:abstractNumId w:val="20"/>
  </w:num>
  <w:num w:numId="8" w16cid:durableId="1829320817">
    <w:abstractNumId w:val="23"/>
  </w:num>
  <w:num w:numId="9" w16cid:durableId="1277370078">
    <w:abstractNumId w:val="17"/>
  </w:num>
  <w:num w:numId="10" w16cid:durableId="52582525">
    <w:abstractNumId w:val="24"/>
  </w:num>
  <w:num w:numId="11" w16cid:durableId="404567286">
    <w:abstractNumId w:val="10"/>
  </w:num>
  <w:num w:numId="12" w16cid:durableId="266234446">
    <w:abstractNumId w:val="2"/>
  </w:num>
  <w:num w:numId="13" w16cid:durableId="1039477582">
    <w:abstractNumId w:val="21"/>
  </w:num>
  <w:num w:numId="14" w16cid:durableId="2062629888">
    <w:abstractNumId w:val="8"/>
  </w:num>
  <w:num w:numId="15" w16cid:durableId="1757289560">
    <w:abstractNumId w:val="18"/>
  </w:num>
  <w:num w:numId="16" w16cid:durableId="867764011">
    <w:abstractNumId w:val="19"/>
  </w:num>
  <w:num w:numId="17" w16cid:durableId="84158987">
    <w:abstractNumId w:val="7"/>
  </w:num>
  <w:num w:numId="18" w16cid:durableId="884291539">
    <w:abstractNumId w:val="13"/>
  </w:num>
  <w:num w:numId="19" w16cid:durableId="632251757">
    <w:abstractNumId w:val="16"/>
  </w:num>
  <w:num w:numId="20" w16cid:durableId="1258633885">
    <w:abstractNumId w:val="22"/>
  </w:num>
  <w:num w:numId="21" w16cid:durableId="1844856377">
    <w:abstractNumId w:val="11"/>
  </w:num>
  <w:num w:numId="22" w16cid:durableId="2038113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53580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009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8433892">
    <w:abstractNumId w:val="1"/>
  </w:num>
  <w:num w:numId="26" w16cid:durableId="1844196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2503800">
    <w:abstractNumId w:val="25"/>
  </w:num>
  <w:num w:numId="28" w16cid:durableId="1745638502">
    <w:abstractNumId w:val="3"/>
  </w:num>
  <w:num w:numId="29" w16cid:durableId="1505391625">
    <w:abstractNumId w:val="14"/>
  </w:num>
  <w:num w:numId="30" w16cid:durableId="356390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01B73"/>
    <w:rsid w:val="0000717D"/>
    <w:rsid w:val="000149FC"/>
    <w:rsid w:val="000170A7"/>
    <w:rsid w:val="00017B13"/>
    <w:rsid w:val="00036315"/>
    <w:rsid w:val="00042CE3"/>
    <w:rsid w:val="00045607"/>
    <w:rsid w:val="00050AF7"/>
    <w:rsid w:val="00050E1F"/>
    <w:rsid w:val="00061541"/>
    <w:rsid w:val="00062AAD"/>
    <w:rsid w:val="0006671A"/>
    <w:rsid w:val="00072D9A"/>
    <w:rsid w:val="00076C28"/>
    <w:rsid w:val="0008185E"/>
    <w:rsid w:val="0008384C"/>
    <w:rsid w:val="00097F1E"/>
    <w:rsid w:val="000A1BA3"/>
    <w:rsid w:val="000B43FF"/>
    <w:rsid w:val="000C7F53"/>
    <w:rsid w:val="000D62B1"/>
    <w:rsid w:val="000E2B91"/>
    <w:rsid w:val="000F027E"/>
    <w:rsid w:val="000F4D8B"/>
    <w:rsid w:val="000F563A"/>
    <w:rsid w:val="000F7FF2"/>
    <w:rsid w:val="00111DF4"/>
    <w:rsid w:val="00132DDD"/>
    <w:rsid w:val="0013455F"/>
    <w:rsid w:val="0013514C"/>
    <w:rsid w:val="001377B7"/>
    <w:rsid w:val="00142076"/>
    <w:rsid w:val="00144E77"/>
    <w:rsid w:val="00154C29"/>
    <w:rsid w:val="001621EC"/>
    <w:rsid w:val="001743E6"/>
    <w:rsid w:val="00184E25"/>
    <w:rsid w:val="00186354"/>
    <w:rsid w:val="00186A92"/>
    <w:rsid w:val="00186D6B"/>
    <w:rsid w:val="001922E4"/>
    <w:rsid w:val="00195072"/>
    <w:rsid w:val="001A5CEA"/>
    <w:rsid w:val="001C29F6"/>
    <w:rsid w:val="001C5C7B"/>
    <w:rsid w:val="001D06DC"/>
    <w:rsid w:val="001D1BFD"/>
    <w:rsid w:val="001D66A2"/>
    <w:rsid w:val="001E4CC6"/>
    <w:rsid w:val="001F118C"/>
    <w:rsid w:val="00210082"/>
    <w:rsid w:val="002144E5"/>
    <w:rsid w:val="0021651B"/>
    <w:rsid w:val="00216994"/>
    <w:rsid w:val="00222E6A"/>
    <w:rsid w:val="00224595"/>
    <w:rsid w:val="00235529"/>
    <w:rsid w:val="00266F71"/>
    <w:rsid w:val="00271495"/>
    <w:rsid w:val="00293DEE"/>
    <w:rsid w:val="00296F84"/>
    <w:rsid w:val="002A1B21"/>
    <w:rsid w:val="002B0D22"/>
    <w:rsid w:val="002D2535"/>
    <w:rsid w:val="002D2F0B"/>
    <w:rsid w:val="002D6340"/>
    <w:rsid w:val="002D6835"/>
    <w:rsid w:val="002E5F89"/>
    <w:rsid w:val="002F2B09"/>
    <w:rsid w:val="002F4369"/>
    <w:rsid w:val="00301853"/>
    <w:rsid w:val="00302DBC"/>
    <w:rsid w:val="00316ED1"/>
    <w:rsid w:val="0032442E"/>
    <w:rsid w:val="00324E1D"/>
    <w:rsid w:val="00340A5E"/>
    <w:rsid w:val="00354C28"/>
    <w:rsid w:val="00362FF2"/>
    <w:rsid w:val="00363AA3"/>
    <w:rsid w:val="00380ED9"/>
    <w:rsid w:val="00384846"/>
    <w:rsid w:val="00387221"/>
    <w:rsid w:val="00390FFD"/>
    <w:rsid w:val="00396D43"/>
    <w:rsid w:val="003A1621"/>
    <w:rsid w:val="003A5CE0"/>
    <w:rsid w:val="003B1DF5"/>
    <w:rsid w:val="003B294A"/>
    <w:rsid w:val="003B2BE9"/>
    <w:rsid w:val="003B5A03"/>
    <w:rsid w:val="003B5BD1"/>
    <w:rsid w:val="003C7E3F"/>
    <w:rsid w:val="003E2238"/>
    <w:rsid w:val="003E64B4"/>
    <w:rsid w:val="003E75E8"/>
    <w:rsid w:val="003F0F5D"/>
    <w:rsid w:val="003F373D"/>
    <w:rsid w:val="0042294C"/>
    <w:rsid w:val="00441F3A"/>
    <w:rsid w:val="00447908"/>
    <w:rsid w:val="00467183"/>
    <w:rsid w:val="00485688"/>
    <w:rsid w:val="004867BE"/>
    <w:rsid w:val="004939D1"/>
    <w:rsid w:val="00494DE9"/>
    <w:rsid w:val="00495E66"/>
    <w:rsid w:val="004A70E1"/>
    <w:rsid w:val="004B3946"/>
    <w:rsid w:val="004B4E78"/>
    <w:rsid w:val="004C259A"/>
    <w:rsid w:val="004D4726"/>
    <w:rsid w:val="004D4A64"/>
    <w:rsid w:val="004D5B88"/>
    <w:rsid w:val="004D7FB8"/>
    <w:rsid w:val="004E5BDE"/>
    <w:rsid w:val="004F0C53"/>
    <w:rsid w:val="004F18D6"/>
    <w:rsid w:val="004F725B"/>
    <w:rsid w:val="00520441"/>
    <w:rsid w:val="0054289E"/>
    <w:rsid w:val="005443D5"/>
    <w:rsid w:val="005450EF"/>
    <w:rsid w:val="005518B5"/>
    <w:rsid w:val="005612C0"/>
    <w:rsid w:val="00564CE8"/>
    <w:rsid w:val="00570FA0"/>
    <w:rsid w:val="00581AD7"/>
    <w:rsid w:val="00587C83"/>
    <w:rsid w:val="005B2079"/>
    <w:rsid w:val="005B7EE3"/>
    <w:rsid w:val="005C3233"/>
    <w:rsid w:val="005C4F58"/>
    <w:rsid w:val="005D25D4"/>
    <w:rsid w:val="005D398A"/>
    <w:rsid w:val="005E3E2F"/>
    <w:rsid w:val="005F2361"/>
    <w:rsid w:val="005F4AF3"/>
    <w:rsid w:val="0061619B"/>
    <w:rsid w:val="00632118"/>
    <w:rsid w:val="00641A05"/>
    <w:rsid w:val="006462B8"/>
    <w:rsid w:val="006605C0"/>
    <w:rsid w:val="006616D1"/>
    <w:rsid w:val="0066664D"/>
    <w:rsid w:val="00672420"/>
    <w:rsid w:val="00677E5C"/>
    <w:rsid w:val="00677F1F"/>
    <w:rsid w:val="0068195D"/>
    <w:rsid w:val="006B30DA"/>
    <w:rsid w:val="006B7A44"/>
    <w:rsid w:val="006B7A79"/>
    <w:rsid w:val="006C0A0D"/>
    <w:rsid w:val="006C16DD"/>
    <w:rsid w:val="006D08F5"/>
    <w:rsid w:val="006D21A3"/>
    <w:rsid w:val="006D312C"/>
    <w:rsid w:val="006E1C8C"/>
    <w:rsid w:val="006F19C7"/>
    <w:rsid w:val="0070334B"/>
    <w:rsid w:val="00715FF3"/>
    <w:rsid w:val="0072337E"/>
    <w:rsid w:val="007235F3"/>
    <w:rsid w:val="00724FEC"/>
    <w:rsid w:val="00733F4D"/>
    <w:rsid w:val="007341DF"/>
    <w:rsid w:val="00744284"/>
    <w:rsid w:val="007505F1"/>
    <w:rsid w:val="007632B7"/>
    <w:rsid w:val="00767455"/>
    <w:rsid w:val="0078255B"/>
    <w:rsid w:val="007914A8"/>
    <w:rsid w:val="007B3CD8"/>
    <w:rsid w:val="007C3319"/>
    <w:rsid w:val="007C65BC"/>
    <w:rsid w:val="007D2518"/>
    <w:rsid w:val="00803E0D"/>
    <w:rsid w:val="0081073A"/>
    <w:rsid w:val="00823B9E"/>
    <w:rsid w:val="0084760F"/>
    <w:rsid w:val="0084766C"/>
    <w:rsid w:val="0085234F"/>
    <w:rsid w:val="008572FF"/>
    <w:rsid w:val="00891D20"/>
    <w:rsid w:val="00896FCB"/>
    <w:rsid w:val="008C2000"/>
    <w:rsid w:val="008C5F69"/>
    <w:rsid w:val="008F693C"/>
    <w:rsid w:val="00900578"/>
    <w:rsid w:val="009008FA"/>
    <w:rsid w:val="009051A4"/>
    <w:rsid w:val="0091322E"/>
    <w:rsid w:val="00924E3F"/>
    <w:rsid w:val="00925EC8"/>
    <w:rsid w:val="00925F9A"/>
    <w:rsid w:val="00932119"/>
    <w:rsid w:val="00932F8A"/>
    <w:rsid w:val="0095591C"/>
    <w:rsid w:val="00957084"/>
    <w:rsid w:val="00973C9D"/>
    <w:rsid w:val="009752A3"/>
    <w:rsid w:val="009874B2"/>
    <w:rsid w:val="00992771"/>
    <w:rsid w:val="009A52F6"/>
    <w:rsid w:val="009A6DB3"/>
    <w:rsid w:val="009C2383"/>
    <w:rsid w:val="009C32D3"/>
    <w:rsid w:val="009E3268"/>
    <w:rsid w:val="009F43CD"/>
    <w:rsid w:val="009F5197"/>
    <w:rsid w:val="009F74E3"/>
    <w:rsid w:val="00A0040F"/>
    <w:rsid w:val="00A03AC5"/>
    <w:rsid w:val="00A2173A"/>
    <w:rsid w:val="00A254F4"/>
    <w:rsid w:val="00A36B5E"/>
    <w:rsid w:val="00A37112"/>
    <w:rsid w:val="00A37161"/>
    <w:rsid w:val="00A42952"/>
    <w:rsid w:val="00A519C1"/>
    <w:rsid w:val="00A61189"/>
    <w:rsid w:val="00A611F2"/>
    <w:rsid w:val="00A61FC7"/>
    <w:rsid w:val="00A62058"/>
    <w:rsid w:val="00A63781"/>
    <w:rsid w:val="00A6401D"/>
    <w:rsid w:val="00A87133"/>
    <w:rsid w:val="00A9345F"/>
    <w:rsid w:val="00AB2F0B"/>
    <w:rsid w:val="00AB5E2A"/>
    <w:rsid w:val="00AC6E58"/>
    <w:rsid w:val="00AD353B"/>
    <w:rsid w:val="00AE3D55"/>
    <w:rsid w:val="00AF45F0"/>
    <w:rsid w:val="00B20C10"/>
    <w:rsid w:val="00B2645F"/>
    <w:rsid w:val="00B267ED"/>
    <w:rsid w:val="00B26BD5"/>
    <w:rsid w:val="00B30334"/>
    <w:rsid w:val="00B307D6"/>
    <w:rsid w:val="00B37C25"/>
    <w:rsid w:val="00B41DA4"/>
    <w:rsid w:val="00B4613D"/>
    <w:rsid w:val="00B511F2"/>
    <w:rsid w:val="00B53C10"/>
    <w:rsid w:val="00B54A28"/>
    <w:rsid w:val="00B551A1"/>
    <w:rsid w:val="00B57CEC"/>
    <w:rsid w:val="00B819D7"/>
    <w:rsid w:val="00B81CAE"/>
    <w:rsid w:val="00B846CB"/>
    <w:rsid w:val="00B93946"/>
    <w:rsid w:val="00B9401F"/>
    <w:rsid w:val="00BA26D0"/>
    <w:rsid w:val="00BA4EDA"/>
    <w:rsid w:val="00BC5A8F"/>
    <w:rsid w:val="00C10561"/>
    <w:rsid w:val="00C128C8"/>
    <w:rsid w:val="00C14F50"/>
    <w:rsid w:val="00C31CA7"/>
    <w:rsid w:val="00C34B4F"/>
    <w:rsid w:val="00C516E6"/>
    <w:rsid w:val="00C66F34"/>
    <w:rsid w:val="00C716B1"/>
    <w:rsid w:val="00C74331"/>
    <w:rsid w:val="00C83793"/>
    <w:rsid w:val="00C906BB"/>
    <w:rsid w:val="00C96A26"/>
    <w:rsid w:val="00CA10D9"/>
    <w:rsid w:val="00CC1D7B"/>
    <w:rsid w:val="00CC5EF9"/>
    <w:rsid w:val="00CC7A4F"/>
    <w:rsid w:val="00CD20E1"/>
    <w:rsid w:val="00CD6288"/>
    <w:rsid w:val="00CE2040"/>
    <w:rsid w:val="00CF19EE"/>
    <w:rsid w:val="00CF2687"/>
    <w:rsid w:val="00CF4ADE"/>
    <w:rsid w:val="00CF7D3C"/>
    <w:rsid w:val="00D135E3"/>
    <w:rsid w:val="00D201FE"/>
    <w:rsid w:val="00D22C4A"/>
    <w:rsid w:val="00D22CA4"/>
    <w:rsid w:val="00D25E12"/>
    <w:rsid w:val="00D42166"/>
    <w:rsid w:val="00D454CA"/>
    <w:rsid w:val="00D46BF2"/>
    <w:rsid w:val="00D52438"/>
    <w:rsid w:val="00D731F4"/>
    <w:rsid w:val="00D76D9B"/>
    <w:rsid w:val="00D87962"/>
    <w:rsid w:val="00DA51BD"/>
    <w:rsid w:val="00DB0198"/>
    <w:rsid w:val="00DB3315"/>
    <w:rsid w:val="00DC0AA1"/>
    <w:rsid w:val="00DC1BF1"/>
    <w:rsid w:val="00DC2350"/>
    <w:rsid w:val="00DD705B"/>
    <w:rsid w:val="00DE2E0C"/>
    <w:rsid w:val="00E02115"/>
    <w:rsid w:val="00E2160C"/>
    <w:rsid w:val="00E21806"/>
    <w:rsid w:val="00E27357"/>
    <w:rsid w:val="00E3313B"/>
    <w:rsid w:val="00E4412C"/>
    <w:rsid w:val="00E532BF"/>
    <w:rsid w:val="00E62B29"/>
    <w:rsid w:val="00E635EA"/>
    <w:rsid w:val="00E65B85"/>
    <w:rsid w:val="00E84D67"/>
    <w:rsid w:val="00E867A0"/>
    <w:rsid w:val="00E92F42"/>
    <w:rsid w:val="00E93EDE"/>
    <w:rsid w:val="00EA3594"/>
    <w:rsid w:val="00EB198D"/>
    <w:rsid w:val="00EB5F76"/>
    <w:rsid w:val="00EC038F"/>
    <w:rsid w:val="00EC585B"/>
    <w:rsid w:val="00EC65DE"/>
    <w:rsid w:val="00EE2B0F"/>
    <w:rsid w:val="00EE6215"/>
    <w:rsid w:val="00EF0DE6"/>
    <w:rsid w:val="00F03DDC"/>
    <w:rsid w:val="00F06894"/>
    <w:rsid w:val="00F11F0F"/>
    <w:rsid w:val="00F32B31"/>
    <w:rsid w:val="00F431ED"/>
    <w:rsid w:val="00F470C4"/>
    <w:rsid w:val="00F60638"/>
    <w:rsid w:val="00F63036"/>
    <w:rsid w:val="00F74AB4"/>
    <w:rsid w:val="00F97417"/>
    <w:rsid w:val="00FA4E6B"/>
    <w:rsid w:val="00FC5607"/>
    <w:rsid w:val="00FD5FC1"/>
    <w:rsid w:val="00FE2B91"/>
    <w:rsid w:val="00FE6667"/>
    <w:rsid w:val="00FF2B51"/>
    <w:rsid w:val="00FF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900578"/>
    <w:pPr>
      <w:keepNext/>
      <w:keepLines/>
      <w:numPr>
        <w:ilvl w:val="1"/>
        <w:numId w:val="1"/>
      </w:numPr>
      <w:tabs>
        <w:tab w:val="left" w:pos="567"/>
      </w:tabs>
      <w:spacing w:after="120"/>
      <w:ind w:left="113" w:firstLine="0"/>
      <w:outlineLvl w:val="1"/>
    </w:pPr>
    <w:rPr>
      <w:rFonts w:eastAsia="Times New Roman" w:cs="Times New Roman"/>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900578"/>
    <w:rPr>
      <w:rFonts w:ascii="Arial" w:eastAsia="Times New Roman" w:hAnsi="Arial" w:cs="Times New Roman"/>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uiPriority w:val="59"/>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 w:type="paragraph" w:styleId="FootnoteText">
    <w:name w:val="footnote text"/>
    <w:basedOn w:val="Normal"/>
    <w:link w:val="FootnoteTextChar"/>
    <w:uiPriority w:val="99"/>
    <w:semiHidden/>
    <w:unhideWhenUsed/>
    <w:locked/>
    <w:rsid w:val="00A61FC7"/>
    <w:pPr>
      <w:spacing w:after="0"/>
    </w:pPr>
    <w:rPr>
      <w:sz w:val="20"/>
      <w:szCs w:val="20"/>
    </w:rPr>
  </w:style>
  <w:style w:type="character" w:customStyle="1" w:styleId="FootnoteTextChar">
    <w:name w:val="Footnote Text Char"/>
    <w:basedOn w:val="DefaultParagraphFont"/>
    <w:link w:val="FootnoteText"/>
    <w:uiPriority w:val="99"/>
    <w:semiHidden/>
    <w:rsid w:val="00A61FC7"/>
    <w:rPr>
      <w:rFonts w:ascii="Arial" w:hAnsi="Arial" w:cstheme="majorBidi"/>
      <w:color w:val="000000" w:themeColor="text1"/>
      <w:kern w:val="0"/>
      <w:sz w:val="20"/>
      <w:szCs w:val="20"/>
      <w14:ligatures w14:val="none"/>
    </w:rPr>
  </w:style>
  <w:style w:type="character" w:styleId="FootnoteReference">
    <w:name w:val="footnote reference"/>
    <w:basedOn w:val="DefaultParagraphFont"/>
    <w:uiPriority w:val="99"/>
    <w:semiHidden/>
    <w:unhideWhenUsed/>
    <w:locked/>
    <w:rsid w:val="00A61FC7"/>
    <w:rPr>
      <w:vertAlign w:val="superscript"/>
    </w:rPr>
  </w:style>
  <w:style w:type="paragraph" w:styleId="ListParagraph">
    <w:name w:val="List Paragraph"/>
    <w:basedOn w:val="Normal"/>
    <w:uiPriority w:val="34"/>
    <w:qFormat/>
    <w:locked/>
    <w:rsid w:val="0008185E"/>
    <w:pPr>
      <w:ind w:left="720"/>
      <w:contextualSpacing/>
    </w:pPr>
  </w:style>
  <w:style w:type="paragraph" w:styleId="NormalWeb">
    <w:name w:val="Normal (Web)"/>
    <w:basedOn w:val="Normal"/>
    <w:uiPriority w:val="99"/>
    <w:unhideWhenUsed/>
    <w:locked/>
    <w:rsid w:val="00D22CA4"/>
    <w:pPr>
      <w:spacing w:before="100" w:beforeAutospacing="1" w:after="100" w:afterAutospacing="1"/>
    </w:pPr>
    <w:rPr>
      <w:rFonts w:ascii="Calibri" w:hAnsi="Calibri" w:cs="Calibr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gov.uk%2Fguidance%2Fmanage-a-building-control-application-for-a-higher-risk-building&amp;data=05%7C02%7CBobbette.Newell-Bent%40towerhamlets.gov.uk%7C4802f670450847c4849f08dd30cc2d9d%7C3c0aec87f983418fb3dcd35db83fb5d2%7C0%7C0%7C638720375712575109%7CUnknown%7CTWFpbGZsb3d8eyJFbXB0eU1hcGkiOnRydWUsIlYiOiIwLjAuMDAwMCIsIlAiOiJXaW4zMiIsIkFOIjoiTWFpbCIsIldUIjoyfQ%3D%3D%7C0%7C%7C%7C&amp;sdata=g3LN2XOrXCEDH4bS54ho2CfMpx56xUKeCCkgq1uRsn8%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uildingcontrol@towerhamlet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usinglicensing@towerhamlets.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andbuilding@towerhamlets.gov.uk" TargetMode="External"/><Relationship Id="rId5" Type="http://schemas.openxmlformats.org/officeDocument/2006/relationships/styles" Target="styles.xml"/><Relationship Id="rId15" Type="http://schemas.openxmlformats.org/officeDocument/2006/relationships/hyperlink" Target="mailto:housinglicensing@towerhamlets.gov.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vironmental.health@towerhamlets.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F96B12EC9E277847A9068EEFAA42A88A" ma:contentTypeVersion="17" ma:contentTypeDescription="Template for creating both new Policies &amp; Procedures Documents." ma:contentTypeScope="" ma:versionID="ad8b60af3e955597d50faac360a22d68">
  <xsd:schema xmlns:xsd="http://www.w3.org/2001/XMLSchema" xmlns:xs="http://www.w3.org/2001/XMLSchema" xmlns:p="http://schemas.microsoft.com/office/2006/metadata/properties" xmlns:ns1="http://schemas.microsoft.com/sharepoint/v3" xmlns:ns2="beb44f32-11e0-4c3f-a51c-b161ad23a77b" xmlns:ns3="63a41b16-6feb-49be-a44c-c1e291ffd80a" xmlns:ns4="http://schemas.microsoft.com/sharepoint/v3/fields" targetNamespace="http://schemas.microsoft.com/office/2006/metadata/properties" ma:root="true" ma:fieldsID="ab556cc0c9771c94ab075740b827a769" ns1:_="" ns2:_="" ns3:_="" ns4:_="">
    <xsd:import namespace="http://schemas.microsoft.com/sharepoint/v3"/>
    <xsd:import namespace="beb44f32-11e0-4c3f-a51c-b161ad23a77b"/>
    <xsd:import namespace="63a41b16-6feb-49be-a44c-c1e291ffd80a"/>
    <xsd:import namespace="http://schemas.microsoft.com/sharepoint/v3/fields"/>
    <xsd:element name="properties">
      <xsd:complexType>
        <xsd:sequence>
          <xsd:element name="documentManagement">
            <xsd:complexType>
              <xsd:all>
                <xsd:element ref="ns2:Function"/>
                <xsd:element ref="ns1:_ExtendedDescription" minOccurs="0"/>
                <xsd:element ref="ns3:Document_x0020_Type"/>
                <xsd:element ref="ns4:_Status"/>
                <xsd:element ref="ns3:Owner"/>
                <xsd:element ref="ns3:Approval_x0020_Level" minOccurs="0"/>
                <xsd:element ref="ns3:Audience"/>
                <xsd:element ref="ns3:EQIA"/>
                <xsd:element ref="ns3:Resident_x0020_Consultation"/>
                <xsd:element ref="ns3:Planned_x0020_Review_x0020_Date"/>
                <xsd:element ref="ns3:Review_x0020_Cycl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3"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44f32-11e0-4c3f-a51c-b161ad23a77b"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Community Partnerships"/>
          <xsd:enumeration value="Environmental Services"/>
          <xsd:enumeration value="Leasehold Services"/>
          <xsd:enumeration value="Neighbourhoods"/>
          <xsd:enumeration value="Rents"/>
          <xsd:enumeration value="HSC"/>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4"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6"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7"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8" ma:displayName="Audience" ma:format="Dropdown" ma:internalName="Audience">
      <xsd:simpleType>
        <xsd:restriction base="dms:Choice">
          <xsd:enumeration value="Internal"/>
          <xsd:enumeration value="External"/>
          <xsd:enumeration value="Internal &amp; External"/>
        </xsd:restriction>
      </xsd:simpleType>
    </xsd:element>
    <xsd:element name="EQIA" ma:index="9"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10"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1" ma:displayName="Planned Review Date" ma:format="DateOnly" ma:internalName="Planned_x0020_Review_x0020_Date">
      <xsd:simpleType>
        <xsd:restriction base="dms:DateTime"/>
      </xsd:simpleType>
    </xsd:element>
    <xsd:element name="Review_x0020_Cycle" ma:index="12"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QIA xmlns="63a41b16-6feb-49be-a44c-c1e291ffd80a">N/A</EQIA>
    <Document_x0020_Type xmlns="63a41b16-6feb-49be-a44c-c1e291ffd80a">Policy</Document_x0020_Type>
    <Review_x0020_Cycle xmlns="63a41b16-6feb-49be-a44c-c1e291ffd80a">3 Years</Review_x0020_Cycle>
    <Audience xmlns="63a41b16-6feb-49be-a44c-c1e291ffd80a">Internal</Audience>
    <Approval_x0020_Level xmlns="63a41b16-6feb-49be-a44c-c1e291ffd80a">
      <Value>Cabinet</Value>
    </Approval_x0020_Level>
    <_Status xmlns="http://schemas.microsoft.com/sharepoint/v3/fields">Published</_Status>
    <_ExtendedDescription xmlns="http://schemas.microsoft.com/sharepoint/v3" xsi:nil="true"/>
    <Owner xmlns="63a41b16-6feb-49be-a44c-c1e291ffd80a">
      <UserInfo>
        <DisplayName>Gulam Hussain</DisplayName>
        <AccountId>39</AccountId>
        <AccountType/>
      </UserInfo>
    </Owner>
    <Function xmlns="beb44f32-11e0-4c3f-a51c-b161ad23a77b">Leasehold Services</Function>
    <Planned_x0020_Review_x0020_Date xmlns="63a41b16-6feb-49be-a44c-c1e291ffd80a">2031-01-10T00:00:00+00:00</Planned_x0020_Review_x0020_Date>
    <Resident_x0020_Consultation xmlns="63a41b16-6feb-49be-a44c-c1e291ffd80a">N/A</Resident_x0020_Consultation>
  </documentManagement>
</p:properties>
</file>

<file path=customXml/itemProps1.xml><?xml version="1.0" encoding="utf-8"?>
<ds:datastoreItem xmlns:ds="http://schemas.openxmlformats.org/officeDocument/2006/customXml" ds:itemID="{FB0F3617-1AD0-4C3D-975E-C2287995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b44f32-11e0-4c3f-a51c-b161ad23a77b"/>
    <ds:schemaRef ds:uri="63a41b16-6feb-49be-a44c-c1e291ffd80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3.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http://schemas.microsoft.com/sharepoint/v3/fields"/>
    <ds:schemaRef ds:uri="http://schemas.microsoft.com/sharepoint/v3"/>
    <ds:schemaRef ds:uri="beb44f32-11e0-4c3f-a51c-b161ad23a77b"/>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6261</Words>
  <Characters>35691</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Death of a Tenant Procedure</vt:lpstr>
    </vt:vector>
  </TitlesOfParts>
  <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Leasehold Alterations Policy</dc:title>
  <dc:subject/>
  <dc:creator>Tyran Pierre</dc:creator>
  <cp:keywords/>
  <dc:description/>
  <cp:lastModifiedBy>Shamima Khatun</cp:lastModifiedBy>
  <cp:revision>2</cp:revision>
  <dcterms:created xsi:type="dcterms:W3CDTF">2026-07-06T08:10:00Z</dcterms:created>
  <dcterms:modified xsi:type="dcterms:W3CDTF">2026-07-06T08:10:00Z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0x0101001C71EB6EB42EF242ADEEEF0D01C9D84600F96B12EC9E277847A9068EEFAA42A88A</vt:lpwstr>
  </property>
</Properties>
</file>