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F4ECB" w14:textId="77777777" w:rsidR="00D52438" w:rsidRDefault="00724737" w:rsidP="00DC0AA1">
      <w:pPr>
        <w:pStyle w:val="Title"/>
      </w:pPr>
      <w:r>
        <w:rPr>
          <w:noProof/>
        </w:rPr>
        <w:drawing>
          <wp:anchor distT="0" distB="0" distL="114300" distR="114300" simplePos="0" relativeHeight="251658240" behindDoc="1" locked="0" layoutInCell="1" allowOverlap="1" wp14:anchorId="142D2A1A" wp14:editId="23B4E4D0">
            <wp:simplePos x="0" y="0"/>
            <wp:positionH relativeFrom="page">
              <wp:align>left</wp:align>
            </wp:positionH>
            <wp:positionV relativeFrom="paragraph">
              <wp:posOffset>-999548</wp:posOffset>
            </wp:positionV>
            <wp:extent cx="7553325" cy="10681335"/>
            <wp:effectExtent l="0" t="0" r="9525"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553325" cy="10681335"/>
                    </a:xfrm>
                    <a:prstGeom prst="rect">
                      <a:avLst/>
                    </a:prstGeom>
                    <a:noFill/>
                  </pic:spPr>
                </pic:pic>
              </a:graphicData>
            </a:graphic>
          </wp:anchor>
        </w:drawing>
      </w:r>
    </w:p>
    <w:p w14:paraId="259E7E84" w14:textId="77777777" w:rsidR="00D52438" w:rsidRDefault="00D52438" w:rsidP="00DC0AA1">
      <w:pPr>
        <w:pStyle w:val="Title"/>
      </w:pPr>
    </w:p>
    <w:p w14:paraId="586BF612" w14:textId="77777777" w:rsidR="00DC0AA1" w:rsidRPr="00BD0219" w:rsidRDefault="00724737" w:rsidP="00DC0AA1">
      <w:pPr>
        <w:pStyle w:val="Title"/>
      </w:pPr>
      <w:r>
        <w:t>London Borough of Tower Hamlets</w:t>
      </w:r>
    </w:p>
    <w:p w14:paraId="40CBE6DB" w14:textId="77777777" w:rsidR="00DC0AA1" w:rsidRPr="00552F80" w:rsidRDefault="00DC0AA1" w:rsidP="00DC0AA1"/>
    <w:p w14:paraId="696442FC" w14:textId="3EC68FEB" w:rsidR="00DC0AA1" w:rsidRPr="00BD0219" w:rsidRDefault="00724737" w:rsidP="00DC0AA1">
      <w:pPr>
        <w:pStyle w:val="DocTitle"/>
      </w:pPr>
      <w:r>
        <w:t>Lift Safety Policy</w:t>
      </w:r>
    </w:p>
    <w:p w14:paraId="466ABF2C" w14:textId="77777777" w:rsidR="00DC0AA1" w:rsidRDefault="00DC0AA1" w:rsidP="00DC0AA1"/>
    <w:tbl>
      <w:tblPr>
        <w:tblStyle w:val="TableGrid"/>
        <w:tblW w:w="0" w:type="auto"/>
        <w:tblLook w:val="04A0" w:firstRow="1" w:lastRow="0" w:firstColumn="1" w:lastColumn="0" w:noHBand="0" w:noVBand="1"/>
      </w:tblPr>
      <w:tblGrid>
        <w:gridCol w:w="8296"/>
      </w:tblGrid>
      <w:tr w:rsidR="00E30C72" w14:paraId="3E6AE434" w14:textId="77777777" w:rsidTr="00B65CD1">
        <w:tc>
          <w:tcPr>
            <w:tcW w:w="8296" w:type="dxa"/>
          </w:tcPr>
          <w:p w14:paraId="3D2B7A2B" w14:textId="77777777" w:rsidR="00DC0AA1" w:rsidRDefault="00724737" w:rsidP="00DC0ADE">
            <w:bookmarkStart w:id="0" w:name="_Hlk103025915"/>
            <w:r w:rsidRPr="00EC2D1B">
              <w:t>Policy</w:t>
            </w:r>
          </w:p>
          <w:p w14:paraId="6F34248B" w14:textId="3B3DB98B" w:rsidR="00DC0ADE" w:rsidRPr="00EC2D1B" w:rsidRDefault="00DC0ADE" w:rsidP="00DC0ADE"/>
        </w:tc>
      </w:tr>
      <w:tr w:rsidR="00E30C72" w14:paraId="6BFC3CD2" w14:textId="77777777" w:rsidTr="00B65CD1">
        <w:tc>
          <w:tcPr>
            <w:tcW w:w="8296" w:type="dxa"/>
          </w:tcPr>
          <w:p w14:paraId="09A076DA" w14:textId="74C5E883" w:rsidR="00DC0AA1" w:rsidRPr="00EC2D1B" w:rsidRDefault="00724737" w:rsidP="002373E1">
            <w:r w:rsidRPr="001C081B">
              <w:t>This policy provides the framework our staff and partners will operate within to meet our legal and regulatory lift safety obligations.</w:t>
            </w:r>
          </w:p>
        </w:tc>
      </w:tr>
      <w:tr w:rsidR="00E30C72" w14:paraId="19DD6B5E" w14:textId="77777777" w:rsidTr="0041799C">
        <w:trPr>
          <w:trHeight w:val="567"/>
        </w:trPr>
        <w:tc>
          <w:tcPr>
            <w:tcW w:w="8296" w:type="dxa"/>
            <w:shd w:val="clear" w:color="auto" w:fill="D9D9D9" w:themeFill="background1" w:themeFillShade="D9"/>
          </w:tcPr>
          <w:p w14:paraId="548BFFB3" w14:textId="260DBA45" w:rsidR="00D5749F" w:rsidRPr="00FE574E" w:rsidRDefault="00724737" w:rsidP="00D5749F">
            <w:pPr>
              <w:pStyle w:val="BoldNormal"/>
            </w:pPr>
            <w:r>
              <w:t xml:space="preserve">Date edited: </w:t>
            </w:r>
            <w:r w:rsidR="00AB126D">
              <w:t>22</w:t>
            </w:r>
            <w:r w:rsidR="007A63E8">
              <w:t>.</w:t>
            </w:r>
            <w:r w:rsidR="00AB126D">
              <w:t>04</w:t>
            </w:r>
            <w:r w:rsidR="007A63E8">
              <w:t>.</w:t>
            </w:r>
            <w:r w:rsidR="00AB126D">
              <w:t>2025</w:t>
            </w:r>
          </w:p>
        </w:tc>
      </w:tr>
      <w:tr w:rsidR="00E30C72" w14:paraId="3446355A" w14:textId="77777777" w:rsidTr="00BE4EA4">
        <w:trPr>
          <w:trHeight w:val="567"/>
        </w:trPr>
        <w:tc>
          <w:tcPr>
            <w:tcW w:w="8296" w:type="dxa"/>
            <w:shd w:val="clear" w:color="auto" w:fill="D9D9D9" w:themeFill="background1" w:themeFillShade="D9"/>
          </w:tcPr>
          <w:p w14:paraId="0C22F60E" w14:textId="407F3725" w:rsidR="00D5749F" w:rsidRPr="00FE574E" w:rsidRDefault="00724737" w:rsidP="00D5749F">
            <w:pPr>
              <w:pStyle w:val="BoldNormal"/>
            </w:pPr>
            <w:r w:rsidRPr="00777D19">
              <w:t>Author:</w:t>
            </w:r>
            <w:r>
              <w:t xml:space="preserve"> Darren Cruice</w:t>
            </w:r>
            <w:r w:rsidR="007A63E8">
              <w:t xml:space="preserve"> - </w:t>
            </w:r>
            <w:r>
              <w:t>Head of Asset Management</w:t>
            </w:r>
          </w:p>
        </w:tc>
      </w:tr>
      <w:tr w:rsidR="00E30C72" w14:paraId="5C69AD9C" w14:textId="77777777" w:rsidTr="00D424FE">
        <w:trPr>
          <w:trHeight w:val="567"/>
        </w:trPr>
        <w:tc>
          <w:tcPr>
            <w:tcW w:w="8296" w:type="dxa"/>
            <w:shd w:val="clear" w:color="auto" w:fill="D9D9D9" w:themeFill="background1" w:themeFillShade="D9"/>
          </w:tcPr>
          <w:p w14:paraId="4763D831" w14:textId="7451AF9F" w:rsidR="00D5749F" w:rsidRPr="00FE574E" w:rsidRDefault="00724737" w:rsidP="00D5749F">
            <w:pPr>
              <w:pStyle w:val="BoldNormal"/>
            </w:pPr>
            <w:r w:rsidRPr="00777D19">
              <w:t>Owner:</w:t>
            </w:r>
            <w:r>
              <w:t xml:space="preserve"> Darren Cruice</w:t>
            </w:r>
            <w:r w:rsidR="007A63E8">
              <w:t xml:space="preserve"> - </w:t>
            </w:r>
            <w:r>
              <w:t>Head of Asset Management</w:t>
            </w:r>
            <w:r w:rsidRPr="009C37E9">
              <w:t xml:space="preserve"> </w:t>
            </w:r>
          </w:p>
        </w:tc>
      </w:tr>
      <w:tr w:rsidR="00E30C72" w14:paraId="5BA56025" w14:textId="77777777" w:rsidTr="0067597D">
        <w:trPr>
          <w:trHeight w:val="567"/>
        </w:trPr>
        <w:tc>
          <w:tcPr>
            <w:tcW w:w="8296" w:type="dxa"/>
            <w:shd w:val="clear" w:color="auto" w:fill="D9D9D9" w:themeFill="background1" w:themeFillShade="D9"/>
          </w:tcPr>
          <w:p w14:paraId="386D4956" w14:textId="1E4230D2" w:rsidR="00D5749F" w:rsidRPr="00FE574E" w:rsidRDefault="00724737" w:rsidP="00D5749F">
            <w:pPr>
              <w:pStyle w:val="BoldNormal"/>
            </w:pPr>
            <w:r w:rsidRPr="00777D19">
              <w:t>Approved by:</w:t>
            </w:r>
            <w:r>
              <w:t xml:space="preserve"> Housing </w:t>
            </w:r>
            <w:r w:rsidR="00644125">
              <w:t>Management</w:t>
            </w:r>
            <w:r>
              <w:t xml:space="preserve"> Cabinet </w:t>
            </w:r>
            <w:r w:rsidR="00644125">
              <w:t>Sub Committee</w:t>
            </w:r>
          </w:p>
          <w:p w14:paraId="61BE468C" w14:textId="2DDDFE30" w:rsidR="00D5749F" w:rsidRPr="00FE574E" w:rsidRDefault="00724737" w:rsidP="00B65CD1">
            <w:r w:rsidRPr="00FB7D3F">
              <w:t>Insert date in format dd/mm/yyyy</w:t>
            </w:r>
          </w:p>
        </w:tc>
      </w:tr>
      <w:tr w:rsidR="00E30C72" w14:paraId="0D7F36BF" w14:textId="77777777" w:rsidTr="002169B3">
        <w:trPr>
          <w:trHeight w:val="567"/>
        </w:trPr>
        <w:tc>
          <w:tcPr>
            <w:tcW w:w="8296" w:type="dxa"/>
            <w:shd w:val="clear" w:color="auto" w:fill="D9D9D9" w:themeFill="background1" w:themeFillShade="D9"/>
          </w:tcPr>
          <w:p w14:paraId="3A09E735" w14:textId="32C6A5AC" w:rsidR="00D5749F" w:rsidRPr="00FE574E" w:rsidRDefault="00724737" w:rsidP="005C593B">
            <w:pPr>
              <w:pStyle w:val="BoldNormal"/>
              <w:spacing w:line="276" w:lineRule="auto"/>
            </w:pPr>
            <w:r w:rsidRPr="00777D19">
              <w:t>Review cycle:</w:t>
            </w:r>
            <w:r>
              <w:t xml:space="preserve"> 3 </w:t>
            </w:r>
            <w:r w:rsidRPr="00777D19">
              <w:t>years</w:t>
            </w:r>
          </w:p>
          <w:p w14:paraId="1248CA22" w14:textId="5416BDE6" w:rsidR="00797FEC" w:rsidRPr="00FE574E" w:rsidRDefault="00797FEC" w:rsidP="00D5749F"/>
        </w:tc>
      </w:tr>
      <w:tr w:rsidR="00E30C72" w14:paraId="33AC08DF" w14:textId="77777777" w:rsidTr="00371A1F">
        <w:trPr>
          <w:trHeight w:val="567"/>
        </w:trPr>
        <w:tc>
          <w:tcPr>
            <w:tcW w:w="8296" w:type="dxa"/>
            <w:shd w:val="clear" w:color="auto" w:fill="D9D9D9" w:themeFill="background1" w:themeFillShade="D9"/>
          </w:tcPr>
          <w:p w14:paraId="6B6C4550" w14:textId="1DCFC047" w:rsidR="00D5749F" w:rsidRPr="00FE574E" w:rsidRDefault="00724737" w:rsidP="00D5749F">
            <w:pPr>
              <w:pStyle w:val="BoldNormal"/>
            </w:pPr>
            <w:r w:rsidRPr="00777D19">
              <w:t>Next review date:</w:t>
            </w:r>
            <w:r>
              <w:t xml:space="preserve"> 2028</w:t>
            </w:r>
          </w:p>
        </w:tc>
      </w:tr>
      <w:bookmarkEnd w:id="0"/>
    </w:tbl>
    <w:p w14:paraId="69DD21C2" w14:textId="77777777" w:rsidR="00DC0AA1" w:rsidRDefault="00DC0AA1" w:rsidP="00DC0AA1"/>
    <w:p w14:paraId="63650C01" w14:textId="77777777" w:rsidR="00DC0AA1" w:rsidRPr="00DC0AA1" w:rsidRDefault="00724737" w:rsidP="00DC0AA1">
      <w:pPr>
        <w:rPr>
          <w:rStyle w:val="Emphasiseitalic"/>
        </w:rPr>
      </w:pPr>
      <w:r>
        <w:br w:type="page"/>
      </w:r>
    </w:p>
    <w:p w14:paraId="7A190DD8" w14:textId="77777777" w:rsidR="00DC0AA1" w:rsidRDefault="00724737" w:rsidP="00DC0AA1">
      <w:pPr>
        <w:pStyle w:val="BoldNormal"/>
      </w:pPr>
      <w:r w:rsidRPr="00536639">
        <w:lastRenderedPageBreak/>
        <w:t>Regulatory Standards, Legislation and Codes of practice</w:t>
      </w:r>
    </w:p>
    <w:tbl>
      <w:tblPr>
        <w:tblStyle w:val="Table-SideShade"/>
        <w:tblpPr w:leftFromText="180" w:rightFromText="180" w:vertAnchor="text" w:horzAnchor="margin" w:tblpY="314"/>
        <w:tblW w:w="8657" w:type="dxa"/>
        <w:tblLook w:val="04A0" w:firstRow="1" w:lastRow="0" w:firstColumn="1" w:lastColumn="0" w:noHBand="0" w:noVBand="1"/>
      </w:tblPr>
      <w:tblGrid>
        <w:gridCol w:w="2978"/>
        <w:gridCol w:w="5679"/>
      </w:tblGrid>
      <w:tr w:rsidR="00E30C72" w14:paraId="1423528C" w14:textId="77777777" w:rsidTr="00E30C72">
        <w:trPr>
          <w:trHeight w:val="413"/>
        </w:trPr>
        <w:tc>
          <w:tcPr>
            <w:cnfStyle w:val="001000000000" w:firstRow="0" w:lastRow="0" w:firstColumn="1" w:lastColumn="0" w:oddVBand="0" w:evenVBand="0" w:oddHBand="0" w:evenHBand="0" w:firstRowFirstColumn="0" w:firstRowLastColumn="0" w:lastRowFirstColumn="0" w:lastRowLastColumn="0"/>
            <w:tcW w:w="2978" w:type="dxa"/>
          </w:tcPr>
          <w:p w14:paraId="2E352010" w14:textId="77777777" w:rsidR="00DC0AA1" w:rsidRPr="00FE574E" w:rsidRDefault="00724737" w:rsidP="00B65CD1">
            <w:pPr>
              <w:pStyle w:val="BoldNormal"/>
            </w:pPr>
            <w:r w:rsidRPr="00777D19">
              <w:t>Regulator:</w:t>
            </w:r>
          </w:p>
        </w:tc>
        <w:tc>
          <w:tcPr>
            <w:tcW w:w="5679" w:type="dxa"/>
          </w:tcPr>
          <w:p w14:paraId="34D3A3C0" w14:textId="2DFD2E4E" w:rsidR="00DC0AA1" w:rsidRDefault="00724737" w:rsidP="00DB3315">
            <w:pPr>
              <w:cnfStyle w:val="000000000000" w:firstRow="0" w:lastRow="0" w:firstColumn="0" w:lastColumn="0" w:oddVBand="0" w:evenVBand="0" w:oddHBand="0" w:evenHBand="0" w:firstRowFirstColumn="0" w:firstRowLastColumn="0" w:lastRowFirstColumn="0" w:lastRowLastColumn="0"/>
            </w:pPr>
            <w:r>
              <w:t>Regulator of Social Housing</w:t>
            </w:r>
            <w:r w:rsidR="003B5153">
              <w:t>'s Consumer Standards</w:t>
            </w:r>
            <w:r>
              <w:t>:</w:t>
            </w:r>
          </w:p>
          <w:p w14:paraId="471BE4BF" w14:textId="48DD5020" w:rsidR="00205C20" w:rsidRPr="00777D19" w:rsidRDefault="00724737" w:rsidP="00DB3315">
            <w:pPr>
              <w:cnfStyle w:val="000000000000" w:firstRow="0" w:lastRow="0" w:firstColumn="0" w:lastColumn="0" w:oddVBand="0" w:evenVBand="0" w:oddHBand="0" w:evenHBand="0" w:firstRowFirstColumn="0" w:firstRowLastColumn="0" w:lastRowFirstColumn="0" w:lastRowLastColumn="0"/>
            </w:pPr>
            <w:r>
              <w:t>Safety &amp; Quality Standard</w:t>
            </w:r>
          </w:p>
        </w:tc>
      </w:tr>
      <w:tr w:rsidR="00E30C72" w14:paraId="182B4C22" w14:textId="77777777" w:rsidTr="00E30C72">
        <w:trPr>
          <w:trHeight w:val="565"/>
        </w:trPr>
        <w:tc>
          <w:tcPr>
            <w:cnfStyle w:val="001000000000" w:firstRow="0" w:lastRow="0" w:firstColumn="1" w:lastColumn="0" w:oddVBand="0" w:evenVBand="0" w:oddHBand="0" w:evenHBand="0" w:firstRowFirstColumn="0" w:firstRowLastColumn="0" w:lastRowFirstColumn="0" w:lastRowLastColumn="0"/>
            <w:tcW w:w="2978" w:type="dxa"/>
          </w:tcPr>
          <w:p w14:paraId="2A229290" w14:textId="77777777" w:rsidR="00DC0AA1" w:rsidRPr="00FE574E" w:rsidRDefault="00724737" w:rsidP="00B65CD1">
            <w:pPr>
              <w:pStyle w:val="BoldNormal"/>
            </w:pPr>
            <w:r w:rsidRPr="00777D19">
              <w:t>Legislation:</w:t>
            </w:r>
          </w:p>
        </w:tc>
        <w:tc>
          <w:tcPr>
            <w:tcW w:w="5679" w:type="dxa"/>
          </w:tcPr>
          <w:p w14:paraId="68D86EAD" w14:textId="77777777" w:rsidR="00092D71" w:rsidRPr="00092D71" w:rsidRDefault="00724737" w:rsidP="00092D71">
            <w:pPr>
              <w:pStyle w:val="ListBullet"/>
              <w:cnfStyle w:val="000000000000" w:firstRow="0" w:lastRow="0" w:firstColumn="0" w:lastColumn="0" w:oddVBand="0" w:evenVBand="0" w:oddHBand="0" w:evenHBand="0" w:firstRowFirstColumn="0" w:firstRowLastColumn="0" w:lastRowFirstColumn="0" w:lastRowLastColumn="0"/>
            </w:pPr>
            <w:r w:rsidRPr="001C081B">
              <w:t>The Health and Safety at Work Act 1974.</w:t>
            </w:r>
          </w:p>
          <w:p w14:paraId="521AE153" w14:textId="77777777" w:rsidR="00092D71" w:rsidRPr="00092D71" w:rsidRDefault="00724737" w:rsidP="00092D71">
            <w:pPr>
              <w:pStyle w:val="ListBullet"/>
              <w:cnfStyle w:val="000000000000" w:firstRow="0" w:lastRow="0" w:firstColumn="0" w:lastColumn="0" w:oddVBand="0" w:evenVBand="0" w:oddHBand="0" w:evenHBand="0" w:firstRowFirstColumn="0" w:firstRowLastColumn="0" w:lastRowFirstColumn="0" w:lastRowLastColumn="0"/>
            </w:pPr>
            <w:r w:rsidRPr="001C081B">
              <w:t>The Lifting Operation and Lifting Equipment Regulations 1998 (LOLER).</w:t>
            </w:r>
          </w:p>
          <w:p w14:paraId="6C431E5E" w14:textId="77777777" w:rsidR="00092D71" w:rsidRPr="00092D71" w:rsidRDefault="00724737" w:rsidP="00092D71">
            <w:pPr>
              <w:pStyle w:val="ListBullet"/>
              <w:cnfStyle w:val="000000000000" w:firstRow="0" w:lastRow="0" w:firstColumn="0" w:lastColumn="0" w:oddVBand="0" w:evenVBand="0" w:oddHBand="0" w:evenHBand="0" w:firstRowFirstColumn="0" w:firstRowLastColumn="0" w:lastRowFirstColumn="0" w:lastRowLastColumn="0"/>
            </w:pPr>
            <w:r w:rsidRPr="001C081B">
              <w:t>The Provision and Use of Work Equipment Regulations 1998 (PUWER).</w:t>
            </w:r>
          </w:p>
          <w:p w14:paraId="44B56464" w14:textId="77777777" w:rsidR="00092D71" w:rsidRPr="00092D71" w:rsidRDefault="00724737" w:rsidP="00092D71">
            <w:pPr>
              <w:pStyle w:val="ListBullet"/>
              <w:cnfStyle w:val="000000000000" w:firstRow="0" w:lastRow="0" w:firstColumn="0" w:lastColumn="0" w:oddVBand="0" w:evenVBand="0" w:oddHBand="0" w:evenHBand="0" w:firstRowFirstColumn="0" w:firstRowLastColumn="0" w:lastRowFirstColumn="0" w:lastRowLastColumn="0"/>
            </w:pPr>
            <w:r w:rsidRPr="001C081B">
              <w:t>The Defective Premises Act 1972</w:t>
            </w:r>
          </w:p>
          <w:p w14:paraId="7DD931F5" w14:textId="77777777" w:rsidR="00092D71" w:rsidRPr="00092D71" w:rsidRDefault="00724737" w:rsidP="00092D71">
            <w:pPr>
              <w:pStyle w:val="ListBullet"/>
              <w:cnfStyle w:val="000000000000" w:firstRow="0" w:lastRow="0" w:firstColumn="0" w:lastColumn="0" w:oddVBand="0" w:evenVBand="0" w:oddHBand="0" w:evenHBand="0" w:firstRowFirstColumn="0" w:firstRowLastColumn="0" w:lastRowFirstColumn="0" w:lastRowLastColumn="0"/>
            </w:pPr>
            <w:r w:rsidRPr="001C081B">
              <w:t>Landlord and Tenant Act 1985</w:t>
            </w:r>
          </w:p>
          <w:p w14:paraId="105E77D9" w14:textId="77777777" w:rsidR="00092D71" w:rsidRPr="00092D71" w:rsidRDefault="00724737" w:rsidP="00092D71">
            <w:pPr>
              <w:pStyle w:val="ListBullet"/>
              <w:cnfStyle w:val="000000000000" w:firstRow="0" w:lastRow="0" w:firstColumn="0" w:lastColumn="0" w:oddVBand="0" w:evenVBand="0" w:oddHBand="0" w:evenHBand="0" w:firstRowFirstColumn="0" w:firstRowLastColumn="0" w:lastRowFirstColumn="0" w:lastRowLastColumn="0"/>
            </w:pPr>
            <w:r w:rsidRPr="001C081B">
              <w:t xml:space="preserve">Homes (Fitness for Human Habitation) Act 2018 </w:t>
            </w:r>
          </w:p>
          <w:p w14:paraId="13286C6B" w14:textId="77777777" w:rsidR="00092D71" w:rsidRPr="00092D71" w:rsidRDefault="00724737" w:rsidP="00092D71">
            <w:pPr>
              <w:pStyle w:val="ListBullet"/>
              <w:cnfStyle w:val="000000000000" w:firstRow="0" w:lastRow="0" w:firstColumn="0" w:lastColumn="0" w:oddVBand="0" w:evenVBand="0" w:oddHBand="0" w:evenHBand="0" w:firstRowFirstColumn="0" w:firstRowLastColumn="0" w:lastRowFirstColumn="0" w:lastRowLastColumn="0"/>
            </w:pPr>
            <w:r w:rsidRPr="001C081B">
              <w:t>Workplace (Health Safety and Welfare) Regulations 1992</w:t>
            </w:r>
          </w:p>
          <w:p w14:paraId="10D3FB46" w14:textId="77777777" w:rsidR="00092D71" w:rsidRPr="00092D71" w:rsidRDefault="00724737" w:rsidP="00092D71">
            <w:pPr>
              <w:pStyle w:val="ListBullet"/>
              <w:cnfStyle w:val="000000000000" w:firstRow="0" w:lastRow="0" w:firstColumn="0" w:lastColumn="0" w:oddVBand="0" w:evenVBand="0" w:oddHBand="0" w:evenHBand="0" w:firstRowFirstColumn="0" w:firstRowLastColumn="0" w:lastRowFirstColumn="0" w:lastRowLastColumn="0"/>
            </w:pPr>
            <w:r w:rsidRPr="001C081B">
              <w:t>Provision and Use of Work Equipment Regulations 1998 (PUWER)</w:t>
            </w:r>
          </w:p>
          <w:p w14:paraId="2F5B5AF6" w14:textId="77777777" w:rsidR="00092D71" w:rsidRPr="00092D71" w:rsidRDefault="00724737" w:rsidP="00092D71">
            <w:pPr>
              <w:pStyle w:val="ListBullet"/>
              <w:cnfStyle w:val="000000000000" w:firstRow="0" w:lastRow="0" w:firstColumn="0" w:lastColumn="0" w:oddVBand="0" w:evenVBand="0" w:oddHBand="0" w:evenHBand="0" w:firstRowFirstColumn="0" w:firstRowLastColumn="0" w:lastRowFirstColumn="0" w:lastRowLastColumn="0"/>
            </w:pPr>
            <w:r w:rsidRPr="001C081B">
              <w:t>Management of Health and Safety at Work Regulations 1999</w:t>
            </w:r>
          </w:p>
          <w:p w14:paraId="5EBD617D" w14:textId="77777777" w:rsidR="00092D71" w:rsidRPr="00092D71" w:rsidRDefault="00724737" w:rsidP="00092D71">
            <w:pPr>
              <w:pStyle w:val="ListBullet"/>
              <w:cnfStyle w:val="000000000000" w:firstRow="0" w:lastRow="0" w:firstColumn="0" w:lastColumn="0" w:oddVBand="0" w:evenVBand="0" w:oddHBand="0" w:evenHBand="0" w:firstRowFirstColumn="0" w:firstRowLastColumn="0" w:lastRowFirstColumn="0" w:lastRowLastColumn="0"/>
            </w:pPr>
            <w:r w:rsidRPr="001C081B">
              <w:t>Housing Act 2004</w:t>
            </w:r>
          </w:p>
          <w:p w14:paraId="2251D540" w14:textId="77777777" w:rsidR="00092D71" w:rsidRPr="00092D71" w:rsidRDefault="00724737" w:rsidP="00092D71">
            <w:pPr>
              <w:pStyle w:val="ListBullet"/>
              <w:cnfStyle w:val="000000000000" w:firstRow="0" w:lastRow="0" w:firstColumn="0" w:lastColumn="0" w:oddVBand="0" w:evenVBand="0" w:oddHBand="0" w:evenHBand="0" w:firstRowFirstColumn="0" w:firstRowLastColumn="0" w:lastRowFirstColumn="0" w:lastRowLastColumn="0"/>
            </w:pPr>
            <w:r w:rsidRPr="001C081B">
              <w:t>The Occupiers’ Liability Act 1984</w:t>
            </w:r>
          </w:p>
          <w:p w14:paraId="386EADC0" w14:textId="77777777" w:rsidR="00092D71" w:rsidRPr="00092D71" w:rsidRDefault="00724737" w:rsidP="00092D71">
            <w:pPr>
              <w:pStyle w:val="ListBullet"/>
              <w:cnfStyle w:val="000000000000" w:firstRow="0" w:lastRow="0" w:firstColumn="0" w:lastColumn="0" w:oddVBand="0" w:evenVBand="0" w:oddHBand="0" w:evenHBand="0" w:firstRowFirstColumn="0" w:firstRowLastColumn="0" w:lastRowFirstColumn="0" w:lastRowLastColumn="0"/>
            </w:pPr>
            <w:r w:rsidRPr="001C081B">
              <w:t>Equality Act 2010</w:t>
            </w:r>
          </w:p>
          <w:p w14:paraId="090C6CC1" w14:textId="77777777" w:rsidR="00092D71" w:rsidRPr="00092D71" w:rsidRDefault="00724737" w:rsidP="00092D71">
            <w:pPr>
              <w:pStyle w:val="ListBullet"/>
              <w:cnfStyle w:val="000000000000" w:firstRow="0" w:lastRow="0" w:firstColumn="0" w:lastColumn="0" w:oddVBand="0" w:evenVBand="0" w:oddHBand="0" w:evenHBand="0" w:firstRowFirstColumn="0" w:firstRowLastColumn="0" w:lastRowFirstColumn="0" w:lastRowLastColumn="0"/>
            </w:pPr>
            <w:r w:rsidRPr="001C081B">
              <w:t>Building Regulations 2010 – Part M</w:t>
            </w:r>
          </w:p>
          <w:p w14:paraId="3CB4DEF6" w14:textId="77777777" w:rsidR="00092D71" w:rsidRPr="00092D71" w:rsidRDefault="00724737" w:rsidP="00092D71">
            <w:pPr>
              <w:pStyle w:val="ListBullet"/>
              <w:cnfStyle w:val="000000000000" w:firstRow="0" w:lastRow="0" w:firstColumn="0" w:lastColumn="0" w:oddVBand="0" w:evenVBand="0" w:oddHBand="0" w:evenHBand="0" w:firstRowFirstColumn="0" w:firstRowLastColumn="0" w:lastRowFirstColumn="0" w:lastRowLastColumn="0"/>
            </w:pPr>
            <w:r w:rsidRPr="001C081B">
              <w:t>Reporting of Injuries, Diseases and Dangerous Occurrences Regulations 2013 (RIDDOR)</w:t>
            </w:r>
          </w:p>
          <w:p w14:paraId="01DA5BB6" w14:textId="77777777" w:rsidR="00092D71" w:rsidRPr="00092D71" w:rsidRDefault="00724737" w:rsidP="00092D71">
            <w:pPr>
              <w:pStyle w:val="ListBullet"/>
              <w:cnfStyle w:val="000000000000" w:firstRow="0" w:lastRow="0" w:firstColumn="0" w:lastColumn="0" w:oddVBand="0" w:evenVBand="0" w:oddHBand="0" w:evenHBand="0" w:firstRowFirstColumn="0" w:firstRowLastColumn="0" w:lastRowFirstColumn="0" w:lastRowLastColumn="0"/>
            </w:pPr>
            <w:r w:rsidRPr="001C081B">
              <w:t>Construction (Design and Management) Regulations 2015</w:t>
            </w:r>
          </w:p>
          <w:p w14:paraId="30FD0E83" w14:textId="77777777" w:rsidR="00092D71" w:rsidRPr="00092D71" w:rsidRDefault="00724737" w:rsidP="00092D71">
            <w:pPr>
              <w:pStyle w:val="ListBullet"/>
              <w:cnfStyle w:val="000000000000" w:firstRow="0" w:lastRow="0" w:firstColumn="0" w:lastColumn="0" w:oddVBand="0" w:evenVBand="0" w:oddHBand="0" w:evenHBand="0" w:firstRowFirstColumn="0" w:firstRowLastColumn="0" w:lastRowFirstColumn="0" w:lastRowLastColumn="0"/>
            </w:pPr>
            <w:r w:rsidRPr="001C081B">
              <w:t>Data Protection Act 2018</w:t>
            </w:r>
          </w:p>
          <w:p w14:paraId="772296AC" w14:textId="77777777" w:rsidR="00092D71" w:rsidRPr="00092D71" w:rsidRDefault="00724737" w:rsidP="00092D71">
            <w:pPr>
              <w:pStyle w:val="ListBullet"/>
              <w:cnfStyle w:val="000000000000" w:firstRow="0" w:lastRow="0" w:firstColumn="0" w:lastColumn="0" w:oddVBand="0" w:evenVBand="0" w:oddHBand="0" w:evenHBand="0" w:firstRowFirstColumn="0" w:firstRowLastColumn="0" w:lastRowFirstColumn="0" w:lastRowLastColumn="0"/>
            </w:pPr>
            <w:r w:rsidRPr="001C081B">
              <w:t>Social Housing (Regulation) Act 2023</w:t>
            </w:r>
          </w:p>
          <w:p w14:paraId="0B5D5FA7" w14:textId="77777777" w:rsidR="00DC0AA1" w:rsidRPr="00777D19" w:rsidRDefault="00DC0AA1" w:rsidP="00B65CD1">
            <w:pPr>
              <w:cnfStyle w:val="000000000000" w:firstRow="0" w:lastRow="0" w:firstColumn="0" w:lastColumn="0" w:oddVBand="0" w:evenVBand="0" w:oddHBand="0" w:evenHBand="0" w:firstRowFirstColumn="0" w:firstRowLastColumn="0" w:lastRowFirstColumn="0" w:lastRowLastColumn="0"/>
            </w:pPr>
          </w:p>
        </w:tc>
      </w:tr>
      <w:tr w:rsidR="00E30C72" w14:paraId="4BE7FDE0" w14:textId="77777777" w:rsidTr="00E30C72">
        <w:trPr>
          <w:trHeight w:val="565"/>
        </w:trPr>
        <w:tc>
          <w:tcPr>
            <w:cnfStyle w:val="001000000000" w:firstRow="0" w:lastRow="0" w:firstColumn="1" w:lastColumn="0" w:oddVBand="0" w:evenVBand="0" w:oddHBand="0" w:evenHBand="0" w:firstRowFirstColumn="0" w:firstRowLastColumn="0" w:lastRowFirstColumn="0" w:lastRowLastColumn="0"/>
            <w:tcW w:w="2978" w:type="dxa"/>
          </w:tcPr>
          <w:p w14:paraId="50146C3F" w14:textId="77777777" w:rsidR="00DC0AA1" w:rsidRPr="00FE574E" w:rsidRDefault="00724737" w:rsidP="00B65CD1">
            <w:pPr>
              <w:pStyle w:val="BoldNormal"/>
            </w:pPr>
            <w:r w:rsidRPr="00777D19">
              <w:t>Codes of practice:</w:t>
            </w:r>
          </w:p>
        </w:tc>
        <w:tc>
          <w:tcPr>
            <w:tcW w:w="5679" w:type="dxa"/>
          </w:tcPr>
          <w:p w14:paraId="0901F98E" w14:textId="653732B8" w:rsidR="00092D71" w:rsidRPr="00092D71" w:rsidRDefault="00724737" w:rsidP="00092D71">
            <w:pPr>
              <w:pStyle w:val="ListBullet"/>
              <w:cnfStyle w:val="000000000000" w:firstRow="0" w:lastRow="0" w:firstColumn="0" w:lastColumn="0" w:oddVBand="0" w:evenVBand="0" w:oddHBand="0" w:evenHBand="0" w:firstRowFirstColumn="0" w:firstRowLastColumn="0" w:lastRowFirstColumn="0" w:lastRowLastColumn="0"/>
            </w:pPr>
            <w:r w:rsidRPr="001C081B">
              <w:t>ACoP L113 - Safe use of lifting equipment: Lifting Operations and Lifting Equipment Regulations 1998 (2nd edition 2014)</w:t>
            </w:r>
          </w:p>
          <w:p w14:paraId="2BCF68F2" w14:textId="77777777" w:rsidR="00092D71" w:rsidRPr="00092D71" w:rsidRDefault="00724737" w:rsidP="00092D71">
            <w:pPr>
              <w:pStyle w:val="ListBullet"/>
              <w:cnfStyle w:val="000000000000" w:firstRow="0" w:lastRow="0" w:firstColumn="0" w:lastColumn="0" w:oddVBand="0" w:evenVBand="0" w:oddHBand="0" w:evenHBand="0" w:firstRowFirstColumn="0" w:firstRowLastColumn="0" w:lastRowFirstColumn="0" w:lastRowLastColumn="0"/>
            </w:pPr>
            <w:r w:rsidRPr="001C081B">
              <w:t>ACoP L22 – Safe use of work equipment: Provision and Use of Work Equipment Regulations 1998 (4th edition 2014).</w:t>
            </w:r>
          </w:p>
          <w:p w14:paraId="3A899A0F" w14:textId="77777777" w:rsidR="00DC0AA1" w:rsidRPr="00777D19" w:rsidRDefault="00DC0AA1" w:rsidP="00B65CD1">
            <w:pPr>
              <w:cnfStyle w:val="000000000000" w:firstRow="0" w:lastRow="0" w:firstColumn="0" w:lastColumn="0" w:oddVBand="0" w:evenVBand="0" w:oddHBand="0" w:evenHBand="0" w:firstRowFirstColumn="0" w:firstRowLastColumn="0" w:lastRowFirstColumn="0" w:lastRowLastColumn="0"/>
            </w:pPr>
          </w:p>
        </w:tc>
      </w:tr>
    </w:tbl>
    <w:p w14:paraId="5119B510" w14:textId="77777777" w:rsidR="00DC0AA1" w:rsidRDefault="00DC0AA1" w:rsidP="00DC0AA1"/>
    <w:p w14:paraId="62440F43" w14:textId="77777777" w:rsidR="00DC0AA1" w:rsidRDefault="00724737" w:rsidP="00387221">
      <w:pPr>
        <w:tabs>
          <w:tab w:val="left" w:pos="1545"/>
        </w:tabs>
      </w:pPr>
      <w:r>
        <w:tab/>
      </w:r>
    </w:p>
    <w:p w14:paraId="680A5F1F" w14:textId="77777777" w:rsidR="00DC0AA1" w:rsidRDefault="00724737" w:rsidP="00DC0AA1">
      <w:pPr>
        <w:pStyle w:val="CentreNormal"/>
        <w:jc w:val="left"/>
      </w:pPr>
      <w:r>
        <w:br w:type="page"/>
      </w:r>
    </w:p>
    <w:sdt>
      <w:sdtPr>
        <w:rPr>
          <w:rFonts w:eastAsiaTheme="minorHAnsi"/>
          <w:b w:val="0"/>
          <w:color w:val="000000" w:themeColor="text1"/>
          <w:sz w:val="24"/>
          <w:lang w:val="en-GB"/>
        </w:rPr>
        <w:id w:val="730502372"/>
        <w:docPartObj>
          <w:docPartGallery w:val="Table of Contents"/>
          <w:docPartUnique/>
        </w:docPartObj>
      </w:sdtPr>
      <w:sdtEndPr>
        <w:rPr>
          <w:bCs/>
          <w:noProof/>
        </w:rPr>
      </w:sdtEndPr>
      <w:sdtContent>
        <w:p w14:paraId="70F003AC" w14:textId="77777777" w:rsidR="00DC0AA1" w:rsidRDefault="00724737" w:rsidP="00DC0AA1">
          <w:pPr>
            <w:pStyle w:val="TOCHeading"/>
          </w:pPr>
          <w:r>
            <w:t>Contents</w:t>
          </w:r>
        </w:p>
        <w:p w14:paraId="13BEF1B9" w14:textId="65E7B9CE" w:rsidR="004E430D" w:rsidRDefault="00724737">
          <w:pPr>
            <w:pStyle w:val="TOC1"/>
            <w:rPr>
              <w:rFonts w:asciiTheme="minorHAnsi" w:eastAsiaTheme="minorEastAsia" w:hAnsiTheme="minorHAnsi" w:cstheme="minorBidi"/>
              <w:color w:val="auto"/>
              <w:kern w:val="2"/>
              <w:szCs w:val="24"/>
              <w:lang w:eastAsia="en-GB"/>
              <w14:ligatures w14:val="standardContextual"/>
            </w:rPr>
          </w:pPr>
          <w:r>
            <w:fldChar w:fldCharType="begin"/>
          </w:r>
          <w:r>
            <w:instrText xml:space="preserve"> TOC \o "1-3" \h \z \u </w:instrText>
          </w:r>
          <w:r>
            <w:fldChar w:fldCharType="separate"/>
          </w:r>
          <w:hyperlink w:anchor="_Toc220580337" w:history="1">
            <w:r w:rsidR="004E430D" w:rsidRPr="00051059">
              <w:rPr>
                <w:rStyle w:val="Hyperlink"/>
              </w:rPr>
              <w:t>1.</w:t>
            </w:r>
            <w:r w:rsidR="004E430D">
              <w:rPr>
                <w:rFonts w:asciiTheme="minorHAnsi" w:eastAsiaTheme="minorEastAsia" w:hAnsiTheme="minorHAnsi" w:cstheme="minorBidi"/>
                <w:color w:val="auto"/>
                <w:kern w:val="2"/>
                <w:szCs w:val="24"/>
                <w:lang w:eastAsia="en-GB"/>
                <w14:ligatures w14:val="standardContextual"/>
              </w:rPr>
              <w:tab/>
            </w:r>
            <w:r w:rsidR="004E430D" w:rsidRPr="00051059">
              <w:rPr>
                <w:rStyle w:val="Hyperlink"/>
              </w:rPr>
              <w:t>Introduction and Objectives</w:t>
            </w:r>
            <w:r w:rsidR="004E430D">
              <w:rPr>
                <w:webHidden/>
              </w:rPr>
              <w:tab/>
            </w:r>
            <w:r w:rsidR="004E430D">
              <w:rPr>
                <w:webHidden/>
              </w:rPr>
              <w:fldChar w:fldCharType="begin"/>
            </w:r>
            <w:r w:rsidR="004E430D">
              <w:rPr>
                <w:webHidden/>
              </w:rPr>
              <w:instrText xml:space="preserve"> PAGEREF _Toc220580337 \h </w:instrText>
            </w:r>
            <w:r w:rsidR="004E430D">
              <w:rPr>
                <w:webHidden/>
              </w:rPr>
            </w:r>
            <w:r w:rsidR="004E430D">
              <w:rPr>
                <w:webHidden/>
              </w:rPr>
              <w:fldChar w:fldCharType="separate"/>
            </w:r>
            <w:r w:rsidR="004E430D">
              <w:rPr>
                <w:webHidden/>
              </w:rPr>
              <w:t>4</w:t>
            </w:r>
            <w:r w:rsidR="004E430D">
              <w:rPr>
                <w:webHidden/>
              </w:rPr>
              <w:fldChar w:fldCharType="end"/>
            </w:r>
          </w:hyperlink>
        </w:p>
        <w:p w14:paraId="1F4BF0EB" w14:textId="1678E507" w:rsidR="004E430D" w:rsidRDefault="004E430D">
          <w:pPr>
            <w:pStyle w:val="TOC1"/>
            <w:rPr>
              <w:rFonts w:asciiTheme="minorHAnsi" w:eastAsiaTheme="minorEastAsia" w:hAnsiTheme="minorHAnsi" w:cstheme="minorBidi"/>
              <w:color w:val="auto"/>
              <w:kern w:val="2"/>
              <w:szCs w:val="24"/>
              <w:lang w:eastAsia="en-GB"/>
              <w14:ligatures w14:val="standardContextual"/>
            </w:rPr>
          </w:pPr>
          <w:hyperlink w:anchor="_Toc220580338" w:history="1">
            <w:r w:rsidRPr="00051059">
              <w:rPr>
                <w:rStyle w:val="Hyperlink"/>
              </w:rPr>
              <w:t>2.</w:t>
            </w:r>
            <w:r>
              <w:rPr>
                <w:rFonts w:asciiTheme="minorHAnsi" w:eastAsiaTheme="minorEastAsia" w:hAnsiTheme="minorHAnsi" w:cstheme="minorBidi"/>
                <w:color w:val="auto"/>
                <w:kern w:val="2"/>
                <w:szCs w:val="24"/>
                <w:lang w:eastAsia="en-GB"/>
                <w14:ligatures w14:val="standardContextual"/>
              </w:rPr>
              <w:tab/>
            </w:r>
            <w:r w:rsidRPr="00051059">
              <w:rPr>
                <w:rStyle w:val="Hyperlink"/>
              </w:rPr>
              <w:t>Scope</w:t>
            </w:r>
            <w:r>
              <w:rPr>
                <w:webHidden/>
              </w:rPr>
              <w:tab/>
            </w:r>
            <w:r>
              <w:rPr>
                <w:webHidden/>
              </w:rPr>
              <w:fldChar w:fldCharType="begin"/>
            </w:r>
            <w:r>
              <w:rPr>
                <w:webHidden/>
              </w:rPr>
              <w:instrText xml:space="preserve"> PAGEREF _Toc220580338 \h </w:instrText>
            </w:r>
            <w:r>
              <w:rPr>
                <w:webHidden/>
              </w:rPr>
            </w:r>
            <w:r>
              <w:rPr>
                <w:webHidden/>
              </w:rPr>
              <w:fldChar w:fldCharType="separate"/>
            </w:r>
            <w:r>
              <w:rPr>
                <w:webHidden/>
              </w:rPr>
              <w:t>4</w:t>
            </w:r>
            <w:r>
              <w:rPr>
                <w:webHidden/>
              </w:rPr>
              <w:fldChar w:fldCharType="end"/>
            </w:r>
          </w:hyperlink>
        </w:p>
        <w:p w14:paraId="3F662F61" w14:textId="3E23D4FA" w:rsidR="004E430D" w:rsidRDefault="004E430D">
          <w:pPr>
            <w:pStyle w:val="TOC1"/>
            <w:rPr>
              <w:rFonts w:asciiTheme="minorHAnsi" w:eastAsiaTheme="minorEastAsia" w:hAnsiTheme="minorHAnsi" w:cstheme="minorBidi"/>
              <w:color w:val="auto"/>
              <w:kern w:val="2"/>
              <w:szCs w:val="24"/>
              <w:lang w:eastAsia="en-GB"/>
              <w14:ligatures w14:val="standardContextual"/>
            </w:rPr>
          </w:pPr>
          <w:hyperlink w:anchor="_Toc220580339" w:history="1">
            <w:r w:rsidRPr="00051059">
              <w:rPr>
                <w:rStyle w:val="Hyperlink"/>
              </w:rPr>
              <w:t>3.</w:t>
            </w:r>
            <w:r>
              <w:rPr>
                <w:rFonts w:asciiTheme="minorHAnsi" w:eastAsiaTheme="minorEastAsia" w:hAnsiTheme="minorHAnsi" w:cstheme="minorBidi"/>
                <w:color w:val="auto"/>
                <w:kern w:val="2"/>
                <w:szCs w:val="24"/>
                <w:lang w:eastAsia="en-GB"/>
                <w14:ligatures w14:val="standardContextual"/>
              </w:rPr>
              <w:tab/>
            </w:r>
            <w:r w:rsidRPr="00051059">
              <w:rPr>
                <w:rStyle w:val="Hyperlink"/>
              </w:rPr>
              <w:t>Roles and Responsibilities</w:t>
            </w:r>
            <w:r>
              <w:rPr>
                <w:webHidden/>
              </w:rPr>
              <w:tab/>
            </w:r>
            <w:r>
              <w:rPr>
                <w:webHidden/>
              </w:rPr>
              <w:fldChar w:fldCharType="begin"/>
            </w:r>
            <w:r>
              <w:rPr>
                <w:webHidden/>
              </w:rPr>
              <w:instrText xml:space="preserve"> PAGEREF _Toc220580339 \h </w:instrText>
            </w:r>
            <w:r>
              <w:rPr>
                <w:webHidden/>
              </w:rPr>
            </w:r>
            <w:r>
              <w:rPr>
                <w:webHidden/>
              </w:rPr>
              <w:fldChar w:fldCharType="separate"/>
            </w:r>
            <w:r>
              <w:rPr>
                <w:webHidden/>
              </w:rPr>
              <w:t>4</w:t>
            </w:r>
            <w:r>
              <w:rPr>
                <w:webHidden/>
              </w:rPr>
              <w:fldChar w:fldCharType="end"/>
            </w:r>
          </w:hyperlink>
        </w:p>
        <w:p w14:paraId="4E346511" w14:textId="5B1B69C9" w:rsidR="004E430D" w:rsidRDefault="004E430D">
          <w:pPr>
            <w:pStyle w:val="TOC1"/>
            <w:rPr>
              <w:rFonts w:asciiTheme="minorHAnsi" w:eastAsiaTheme="minorEastAsia" w:hAnsiTheme="minorHAnsi" w:cstheme="minorBidi"/>
              <w:color w:val="auto"/>
              <w:kern w:val="2"/>
              <w:szCs w:val="24"/>
              <w:lang w:eastAsia="en-GB"/>
              <w14:ligatures w14:val="standardContextual"/>
            </w:rPr>
          </w:pPr>
          <w:hyperlink w:anchor="_Toc220580340" w:history="1">
            <w:r w:rsidRPr="00051059">
              <w:rPr>
                <w:rStyle w:val="Hyperlink"/>
              </w:rPr>
              <w:t>4.</w:t>
            </w:r>
            <w:r>
              <w:rPr>
                <w:rFonts w:asciiTheme="minorHAnsi" w:eastAsiaTheme="minorEastAsia" w:hAnsiTheme="minorHAnsi" w:cstheme="minorBidi"/>
                <w:color w:val="auto"/>
                <w:kern w:val="2"/>
                <w:szCs w:val="24"/>
                <w:lang w:eastAsia="en-GB"/>
                <w14:ligatures w14:val="standardContextual"/>
              </w:rPr>
              <w:tab/>
            </w:r>
            <w:r w:rsidRPr="00051059">
              <w:rPr>
                <w:rStyle w:val="Hyperlink"/>
              </w:rPr>
              <w:t>Legislation, Guidance and Regulatory Standards</w:t>
            </w:r>
            <w:r>
              <w:rPr>
                <w:webHidden/>
              </w:rPr>
              <w:tab/>
            </w:r>
            <w:r>
              <w:rPr>
                <w:webHidden/>
              </w:rPr>
              <w:fldChar w:fldCharType="begin"/>
            </w:r>
            <w:r>
              <w:rPr>
                <w:webHidden/>
              </w:rPr>
              <w:instrText xml:space="preserve"> PAGEREF _Toc220580340 \h </w:instrText>
            </w:r>
            <w:r>
              <w:rPr>
                <w:webHidden/>
              </w:rPr>
            </w:r>
            <w:r>
              <w:rPr>
                <w:webHidden/>
              </w:rPr>
              <w:fldChar w:fldCharType="separate"/>
            </w:r>
            <w:r>
              <w:rPr>
                <w:webHidden/>
              </w:rPr>
              <w:t>5</w:t>
            </w:r>
            <w:r>
              <w:rPr>
                <w:webHidden/>
              </w:rPr>
              <w:fldChar w:fldCharType="end"/>
            </w:r>
          </w:hyperlink>
        </w:p>
        <w:p w14:paraId="4B162C4B" w14:textId="779B8778" w:rsidR="004E430D" w:rsidRDefault="004E430D">
          <w:pPr>
            <w:pStyle w:val="TOC2"/>
            <w:rPr>
              <w:rFonts w:asciiTheme="minorHAnsi" w:eastAsiaTheme="minorEastAsia" w:hAnsiTheme="minorHAnsi" w:cstheme="minorBidi"/>
              <w:color w:val="auto"/>
              <w:kern w:val="2"/>
              <w:szCs w:val="24"/>
              <w:lang w:eastAsia="en-GB"/>
              <w14:ligatures w14:val="standardContextual"/>
            </w:rPr>
          </w:pPr>
          <w:hyperlink w:anchor="_Toc220580341" w:history="1">
            <w:r w:rsidRPr="00051059">
              <w:rPr>
                <w:rStyle w:val="Hyperlink"/>
              </w:rPr>
              <w:t>4.1</w:t>
            </w:r>
            <w:r>
              <w:rPr>
                <w:rFonts w:asciiTheme="minorHAnsi" w:eastAsiaTheme="minorEastAsia" w:hAnsiTheme="minorHAnsi" w:cstheme="minorBidi"/>
                <w:color w:val="auto"/>
                <w:kern w:val="2"/>
                <w:szCs w:val="24"/>
                <w:lang w:eastAsia="en-GB"/>
                <w14:ligatures w14:val="standardContextual"/>
              </w:rPr>
              <w:tab/>
            </w:r>
            <w:r w:rsidRPr="00051059">
              <w:rPr>
                <w:rStyle w:val="Hyperlink"/>
              </w:rPr>
              <w:t>Legislation</w:t>
            </w:r>
            <w:r>
              <w:rPr>
                <w:webHidden/>
              </w:rPr>
              <w:tab/>
            </w:r>
            <w:r>
              <w:rPr>
                <w:webHidden/>
              </w:rPr>
              <w:fldChar w:fldCharType="begin"/>
            </w:r>
            <w:r>
              <w:rPr>
                <w:webHidden/>
              </w:rPr>
              <w:instrText xml:space="preserve"> PAGEREF _Toc220580341 \h </w:instrText>
            </w:r>
            <w:r>
              <w:rPr>
                <w:webHidden/>
              </w:rPr>
            </w:r>
            <w:r>
              <w:rPr>
                <w:webHidden/>
              </w:rPr>
              <w:fldChar w:fldCharType="separate"/>
            </w:r>
            <w:r>
              <w:rPr>
                <w:webHidden/>
              </w:rPr>
              <w:t>5</w:t>
            </w:r>
            <w:r>
              <w:rPr>
                <w:webHidden/>
              </w:rPr>
              <w:fldChar w:fldCharType="end"/>
            </w:r>
          </w:hyperlink>
        </w:p>
        <w:p w14:paraId="2CAE2166" w14:textId="0206A26A" w:rsidR="004E430D" w:rsidRDefault="004E430D">
          <w:pPr>
            <w:pStyle w:val="TOC2"/>
            <w:rPr>
              <w:rFonts w:asciiTheme="minorHAnsi" w:eastAsiaTheme="minorEastAsia" w:hAnsiTheme="minorHAnsi" w:cstheme="minorBidi"/>
              <w:color w:val="auto"/>
              <w:kern w:val="2"/>
              <w:szCs w:val="24"/>
              <w:lang w:eastAsia="en-GB"/>
              <w14:ligatures w14:val="standardContextual"/>
            </w:rPr>
          </w:pPr>
          <w:hyperlink w:anchor="_Toc220580342" w:history="1">
            <w:r w:rsidRPr="00051059">
              <w:rPr>
                <w:rStyle w:val="Hyperlink"/>
              </w:rPr>
              <w:t>4.2</w:t>
            </w:r>
            <w:r>
              <w:rPr>
                <w:rFonts w:asciiTheme="minorHAnsi" w:eastAsiaTheme="minorEastAsia" w:hAnsiTheme="minorHAnsi" w:cstheme="minorBidi"/>
                <w:color w:val="auto"/>
                <w:kern w:val="2"/>
                <w:szCs w:val="24"/>
                <w:lang w:eastAsia="en-GB"/>
                <w14:ligatures w14:val="standardContextual"/>
              </w:rPr>
              <w:tab/>
            </w:r>
            <w:r w:rsidRPr="00051059">
              <w:rPr>
                <w:rStyle w:val="Hyperlink"/>
              </w:rPr>
              <w:t>Approved Code of Practice (ACoP)</w:t>
            </w:r>
            <w:r>
              <w:rPr>
                <w:webHidden/>
              </w:rPr>
              <w:tab/>
            </w:r>
            <w:r>
              <w:rPr>
                <w:webHidden/>
              </w:rPr>
              <w:fldChar w:fldCharType="begin"/>
            </w:r>
            <w:r>
              <w:rPr>
                <w:webHidden/>
              </w:rPr>
              <w:instrText xml:space="preserve"> PAGEREF _Toc220580342 \h </w:instrText>
            </w:r>
            <w:r>
              <w:rPr>
                <w:webHidden/>
              </w:rPr>
            </w:r>
            <w:r>
              <w:rPr>
                <w:webHidden/>
              </w:rPr>
              <w:fldChar w:fldCharType="separate"/>
            </w:r>
            <w:r>
              <w:rPr>
                <w:webHidden/>
              </w:rPr>
              <w:t>5</w:t>
            </w:r>
            <w:r>
              <w:rPr>
                <w:webHidden/>
              </w:rPr>
              <w:fldChar w:fldCharType="end"/>
            </w:r>
          </w:hyperlink>
        </w:p>
        <w:p w14:paraId="2F440BF7" w14:textId="0D0C0D87" w:rsidR="004E430D" w:rsidRDefault="004E430D">
          <w:pPr>
            <w:pStyle w:val="TOC2"/>
            <w:rPr>
              <w:rFonts w:asciiTheme="minorHAnsi" w:eastAsiaTheme="minorEastAsia" w:hAnsiTheme="minorHAnsi" w:cstheme="minorBidi"/>
              <w:color w:val="auto"/>
              <w:kern w:val="2"/>
              <w:szCs w:val="24"/>
              <w:lang w:eastAsia="en-GB"/>
              <w14:ligatures w14:val="standardContextual"/>
            </w:rPr>
          </w:pPr>
          <w:hyperlink w:anchor="_Toc220580343" w:history="1">
            <w:r w:rsidRPr="00051059">
              <w:rPr>
                <w:rStyle w:val="Hyperlink"/>
              </w:rPr>
              <w:t>4.3</w:t>
            </w:r>
            <w:r>
              <w:rPr>
                <w:rFonts w:asciiTheme="minorHAnsi" w:eastAsiaTheme="minorEastAsia" w:hAnsiTheme="minorHAnsi" w:cstheme="minorBidi"/>
                <w:color w:val="auto"/>
                <w:kern w:val="2"/>
                <w:szCs w:val="24"/>
                <w:lang w:eastAsia="en-GB"/>
                <w14:ligatures w14:val="standardContextual"/>
              </w:rPr>
              <w:tab/>
            </w:r>
            <w:r w:rsidRPr="00051059">
              <w:rPr>
                <w:rStyle w:val="Hyperlink"/>
              </w:rPr>
              <w:t>Guidance</w:t>
            </w:r>
            <w:r>
              <w:rPr>
                <w:webHidden/>
              </w:rPr>
              <w:tab/>
            </w:r>
            <w:r>
              <w:rPr>
                <w:webHidden/>
              </w:rPr>
              <w:fldChar w:fldCharType="begin"/>
            </w:r>
            <w:r>
              <w:rPr>
                <w:webHidden/>
              </w:rPr>
              <w:instrText xml:space="preserve"> PAGEREF _Toc220580343 \h </w:instrText>
            </w:r>
            <w:r>
              <w:rPr>
                <w:webHidden/>
              </w:rPr>
            </w:r>
            <w:r>
              <w:rPr>
                <w:webHidden/>
              </w:rPr>
              <w:fldChar w:fldCharType="separate"/>
            </w:r>
            <w:r>
              <w:rPr>
                <w:webHidden/>
              </w:rPr>
              <w:t>5</w:t>
            </w:r>
            <w:r>
              <w:rPr>
                <w:webHidden/>
              </w:rPr>
              <w:fldChar w:fldCharType="end"/>
            </w:r>
          </w:hyperlink>
        </w:p>
        <w:p w14:paraId="608BC843" w14:textId="306EEB82" w:rsidR="004E430D" w:rsidRDefault="004E430D">
          <w:pPr>
            <w:pStyle w:val="TOC2"/>
            <w:rPr>
              <w:rFonts w:asciiTheme="minorHAnsi" w:eastAsiaTheme="minorEastAsia" w:hAnsiTheme="minorHAnsi" w:cstheme="minorBidi"/>
              <w:color w:val="auto"/>
              <w:kern w:val="2"/>
              <w:szCs w:val="24"/>
              <w:lang w:eastAsia="en-GB"/>
              <w14:ligatures w14:val="standardContextual"/>
            </w:rPr>
          </w:pPr>
          <w:hyperlink w:anchor="_Toc220580344" w:history="1">
            <w:r w:rsidRPr="00051059">
              <w:rPr>
                <w:rStyle w:val="Hyperlink"/>
              </w:rPr>
              <w:t>4.4</w:t>
            </w:r>
            <w:r>
              <w:rPr>
                <w:rFonts w:asciiTheme="minorHAnsi" w:eastAsiaTheme="minorEastAsia" w:hAnsiTheme="minorHAnsi" w:cstheme="minorBidi"/>
                <w:color w:val="auto"/>
                <w:kern w:val="2"/>
                <w:szCs w:val="24"/>
                <w:lang w:eastAsia="en-GB"/>
                <w14:ligatures w14:val="standardContextual"/>
              </w:rPr>
              <w:tab/>
            </w:r>
            <w:r w:rsidRPr="00051059">
              <w:rPr>
                <w:rStyle w:val="Hyperlink"/>
              </w:rPr>
              <w:t>Sanctions</w:t>
            </w:r>
            <w:r>
              <w:rPr>
                <w:webHidden/>
              </w:rPr>
              <w:tab/>
            </w:r>
            <w:r>
              <w:rPr>
                <w:webHidden/>
              </w:rPr>
              <w:fldChar w:fldCharType="begin"/>
            </w:r>
            <w:r>
              <w:rPr>
                <w:webHidden/>
              </w:rPr>
              <w:instrText xml:space="preserve"> PAGEREF _Toc220580344 \h </w:instrText>
            </w:r>
            <w:r>
              <w:rPr>
                <w:webHidden/>
              </w:rPr>
            </w:r>
            <w:r>
              <w:rPr>
                <w:webHidden/>
              </w:rPr>
              <w:fldChar w:fldCharType="separate"/>
            </w:r>
            <w:r>
              <w:rPr>
                <w:webHidden/>
              </w:rPr>
              <w:t>5</w:t>
            </w:r>
            <w:r>
              <w:rPr>
                <w:webHidden/>
              </w:rPr>
              <w:fldChar w:fldCharType="end"/>
            </w:r>
          </w:hyperlink>
        </w:p>
        <w:p w14:paraId="6D8EA1C1" w14:textId="7EA92862" w:rsidR="004E430D" w:rsidRDefault="004E430D">
          <w:pPr>
            <w:pStyle w:val="TOC1"/>
            <w:rPr>
              <w:rFonts w:asciiTheme="minorHAnsi" w:eastAsiaTheme="minorEastAsia" w:hAnsiTheme="minorHAnsi" w:cstheme="minorBidi"/>
              <w:color w:val="auto"/>
              <w:kern w:val="2"/>
              <w:szCs w:val="24"/>
              <w:lang w:eastAsia="en-GB"/>
              <w14:ligatures w14:val="standardContextual"/>
            </w:rPr>
          </w:pPr>
          <w:hyperlink w:anchor="_Toc220580345" w:history="1">
            <w:r w:rsidRPr="00051059">
              <w:rPr>
                <w:rStyle w:val="Hyperlink"/>
              </w:rPr>
              <w:t>5.</w:t>
            </w:r>
            <w:r>
              <w:rPr>
                <w:rFonts w:asciiTheme="minorHAnsi" w:eastAsiaTheme="minorEastAsia" w:hAnsiTheme="minorHAnsi" w:cstheme="minorBidi"/>
                <w:color w:val="auto"/>
                <w:kern w:val="2"/>
                <w:szCs w:val="24"/>
                <w:lang w:eastAsia="en-GB"/>
                <w14:ligatures w14:val="standardContextual"/>
              </w:rPr>
              <w:tab/>
            </w:r>
            <w:r w:rsidRPr="00051059">
              <w:rPr>
                <w:rStyle w:val="Hyperlink"/>
              </w:rPr>
              <w:t>Obligations</w:t>
            </w:r>
            <w:r>
              <w:rPr>
                <w:webHidden/>
              </w:rPr>
              <w:tab/>
            </w:r>
            <w:r>
              <w:rPr>
                <w:webHidden/>
              </w:rPr>
              <w:fldChar w:fldCharType="begin"/>
            </w:r>
            <w:r>
              <w:rPr>
                <w:webHidden/>
              </w:rPr>
              <w:instrText xml:space="preserve"> PAGEREF _Toc220580345 \h </w:instrText>
            </w:r>
            <w:r>
              <w:rPr>
                <w:webHidden/>
              </w:rPr>
            </w:r>
            <w:r>
              <w:rPr>
                <w:webHidden/>
              </w:rPr>
              <w:fldChar w:fldCharType="separate"/>
            </w:r>
            <w:r>
              <w:rPr>
                <w:webHidden/>
              </w:rPr>
              <w:t>6</w:t>
            </w:r>
            <w:r>
              <w:rPr>
                <w:webHidden/>
              </w:rPr>
              <w:fldChar w:fldCharType="end"/>
            </w:r>
          </w:hyperlink>
        </w:p>
        <w:p w14:paraId="13E06D24" w14:textId="3D8CAB95" w:rsidR="004E430D" w:rsidRDefault="004E430D">
          <w:pPr>
            <w:pStyle w:val="TOC2"/>
            <w:rPr>
              <w:rFonts w:asciiTheme="minorHAnsi" w:eastAsiaTheme="minorEastAsia" w:hAnsiTheme="minorHAnsi" w:cstheme="minorBidi"/>
              <w:color w:val="auto"/>
              <w:kern w:val="2"/>
              <w:szCs w:val="24"/>
              <w:lang w:eastAsia="en-GB"/>
              <w14:ligatures w14:val="standardContextual"/>
            </w:rPr>
          </w:pPr>
          <w:hyperlink w:anchor="_Toc220580346" w:history="1">
            <w:r w:rsidRPr="00051059">
              <w:rPr>
                <w:rStyle w:val="Hyperlink"/>
              </w:rPr>
              <w:t>5.1</w:t>
            </w:r>
            <w:r>
              <w:rPr>
                <w:rFonts w:asciiTheme="minorHAnsi" w:eastAsiaTheme="minorEastAsia" w:hAnsiTheme="minorHAnsi" w:cstheme="minorBidi"/>
                <w:color w:val="auto"/>
                <w:kern w:val="2"/>
                <w:szCs w:val="24"/>
                <w:lang w:eastAsia="en-GB"/>
                <w14:ligatures w14:val="standardContextual"/>
              </w:rPr>
              <w:tab/>
            </w:r>
            <w:r w:rsidRPr="00051059">
              <w:rPr>
                <w:rStyle w:val="Hyperlink"/>
              </w:rPr>
              <w:t>LOLER</w:t>
            </w:r>
            <w:r>
              <w:rPr>
                <w:webHidden/>
              </w:rPr>
              <w:tab/>
            </w:r>
            <w:r>
              <w:rPr>
                <w:webHidden/>
              </w:rPr>
              <w:fldChar w:fldCharType="begin"/>
            </w:r>
            <w:r>
              <w:rPr>
                <w:webHidden/>
              </w:rPr>
              <w:instrText xml:space="preserve"> PAGEREF _Toc220580346 \h </w:instrText>
            </w:r>
            <w:r>
              <w:rPr>
                <w:webHidden/>
              </w:rPr>
            </w:r>
            <w:r>
              <w:rPr>
                <w:webHidden/>
              </w:rPr>
              <w:fldChar w:fldCharType="separate"/>
            </w:r>
            <w:r>
              <w:rPr>
                <w:webHidden/>
              </w:rPr>
              <w:t>6</w:t>
            </w:r>
            <w:r>
              <w:rPr>
                <w:webHidden/>
              </w:rPr>
              <w:fldChar w:fldCharType="end"/>
            </w:r>
          </w:hyperlink>
        </w:p>
        <w:p w14:paraId="23C7B3A7" w14:textId="7352AC83" w:rsidR="004E430D" w:rsidRDefault="004E430D">
          <w:pPr>
            <w:pStyle w:val="TOC2"/>
            <w:rPr>
              <w:rFonts w:asciiTheme="minorHAnsi" w:eastAsiaTheme="minorEastAsia" w:hAnsiTheme="minorHAnsi" w:cstheme="minorBidi"/>
              <w:color w:val="auto"/>
              <w:kern w:val="2"/>
              <w:szCs w:val="24"/>
              <w:lang w:eastAsia="en-GB"/>
              <w14:ligatures w14:val="standardContextual"/>
            </w:rPr>
          </w:pPr>
          <w:hyperlink w:anchor="_Toc220580347" w:history="1">
            <w:r w:rsidRPr="00051059">
              <w:rPr>
                <w:rStyle w:val="Hyperlink"/>
              </w:rPr>
              <w:t>5.2</w:t>
            </w:r>
            <w:r>
              <w:rPr>
                <w:rFonts w:asciiTheme="minorHAnsi" w:eastAsiaTheme="minorEastAsia" w:hAnsiTheme="minorHAnsi" w:cstheme="minorBidi"/>
                <w:color w:val="auto"/>
                <w:kern w:val="2"/>
                <w:szCs w:val="24"/>
                <w:lang w:eastAsia="en-GB"/>
                <w14:ligatures w14:val="standardContextual"/>
              </w:rPr>
              <w:tab/>
            </w:r>
            <w:r w:rsidRPr="00051059">
              <w:rPr>
                <w:rStyle w:val="Hyperlink"/>
              </w:rPr>
              <w:t>Health and Safety at Work Act 1974</w:t>
            </w:r>
            <w:r>
              <w:rPr>
                <w:webHidden/>
              </w:rPr>
              <w:tab/>
            </w:r>
            <w:r>
              <w:rPr>
                <w:webHidden/>
              </w:rPr>
              <w:fldChar w:fldCharType="begin"/>
            </w:r>
            <w:r>
              <w:rPr>
                <w:webHidden/>
              </w:rPr>
              <w:instrText xml:space="preserve"> PAGEREF _Toc220580347 \h </w:instrText>
            </w:r>
            <w:r>
              <w:rPr>
                <w:webHidden/>
              </w:rPr>
            </w:r>
            <w:r>
              <w:rPr>
                <w:webHidden/>
              </w:rPr>
              <w:fldChar w:fldCharType="separate"/>
            </w:r>
            <w:r>
              <w:rPr>
                <w:webHidden/>
              </w:rPr>
              <w:t>6</w:t>
            </w:r>
            <w:r>
              <w:rPr>
                <w:webHidden/>
              </w:rPr>
              <w:fldChar w:fldCharType="end"/>
            </w:r>
          </w:hyperlink>
        </w:p>
        <w:p w14:paraId="3F43E2A3" w14:textId="34C2BE16" w:rsidR="004E430D" w:rsidRDefault="004E430D">
          <w:pPr>
            <w:pStyle w:val="TOC2"/>
            <w:rPr>
              <w:rFonts w:asciiTheme="minorHAnsi" w:eastAsiaTheme="minorEastAsia" w:hAnsiTheme="minorHAnsi" w:cstheme="minorBidi"/>
              <w:color w:val="auto"/>
              <w:kern w:val="2"/>
              <w:szCs w:val="24"/>
              <w:lang w:eastAsia="en-GB"/>
              <w14:ligatures w14:val="standardContextual"/>
            </w:rPr>
          </w:pPr>
          <w:hyperlink w:anchor="_Toc220580348" w:history="1">
            <w:r w:rsidRPr="00051059">
              <w:rPr>
                <w:rStyle w:val="Hyperlink"/>
              </w:rPr>
              <w:t>5.3</w:t>
            </w:r>
            <w:r>
              <w:rPr>
                <w:rFonts w:asciiTheme="minorHAnsi" w:eastAsiaTheme="minorEastAsia" w:hAnsiTheme="minorHAnsi" w:cstheme="minorBidi"/>
                <w:color w:val="auto"/>
                <w:kern w:val="2"/>
                <w:szCs w:val="24"/>
                <w:lang w:eastAsia="en-GB"/>
                <w14:ligatures w14:val="standardContextual"/>
              </w:rPr>
              <w:tab/>
            </w:r>
            <w:r w:rsidRPr="00051059">
              <w:rPr>
                <w:rStyle w:val="Hyperlink"/>
              </w:rPr>
              <w:t>Provision and Use of Work Equipment Regulations 1998 (PUWER)</w:t>
            </w:r>
            <w:r>
              <w:rPr>
                <w:webHidden/>
              </w:rPr>
              <w:tab/>
            </w:r>
            <w:r>
              <w:rPr>
                <w:webHidden/>
              </w:rPr>
              <w:fldChar w:fldCharType="begin"/>
            </w:r>
            <w:r>
              <w:rPr>
                <w:webHidden/>
              </w:rPr>
              <w:instrText xml:space="preserve"> PAGEREF _Toc220580348 \h </w:instrText>
            </w:r>
            <w:r>
              <w:rPr>
                <w:webHidden/>
              </w:rPr>
            </w:r>
            <w:r>
              <w:rPr>
                <w:webHidden/>
              </w:rPr>
              <w:fldChar w:fldCharType="separate"/>
            </w:r>
            <w:r>
              <w:rPr>
                <w:webHidden/>
              </w:rPr>
              <w:t>6</w:t>
            </w:r>
            <w:r>
              <w:rPr>
                <w:webHidden/>
              </w:rPr>
              <w:fldChar w:fldCharType="end"/>
            </w:r>
          </w:hyperlink>
        </w:p>
        <w:p w14:paraId="2A5A604E" w14:textId="48AD1375" w:rsidR="004E430D" w:rsidRDefault="004E430D">
          <w:pPr>
            <w:pStyle w:val="TOC2"/>
            <w:rPr>
              <w:rFonts w:asciiTheme="minorHAnsi" w:eastAsiaTheme="minorEastAsia" w:hAnsiTheme="minorHAnsi" w:cstheme="minorBidi"/>
              <w:color w:val="auto"/>
              <w:kern w:val="2"/>
              <w:szCs w:val="24"/>
              <w:lang w:eastAsia="en-GB"/>
              <w14:ligatures w14:val="standardContextual"/>
            </w:rPr>
          </w:pPr>
          <w:hyperlink w:anchor="_Toc220580349" w:history="1">
            <w:r w:rsidRPr="00051059">
              <w:rPr>
                <w:rStyle w:val="Hyperlink"/>
              </w:rPr>
              <w:t>5.4</w:t>
            </w:r>
            <w:r>
              <w:rPr>
                <w:rFonts w:asciiTheme="minorHAnsi" w:eastAsiaTheme="minorEastAsia" w:hAnsiTheme="minorHAnsi" w:cstheme="minorBidi"/>
                <w:color w:val="auto"/>
                <w:kern w:val="2"/>
                <w:szCs w:val="24"/>
                <w:lang w:eastAsia="en-GB"/>
                <w14:ligatures w14:val="standardContextual"/>
              </w:rPr>
              <w:tab/>
            </w:r>
            <w:r w:rsidRPr="00051059">
              <w:rPr>
                <w:rStyle w:val="Hyperlink"/>
              </w:rPr>
              <w:t>Insurance</w:t>
            </w:r>
            <w:r>
              <w:rPr>
                <w:webHidden/>
              </w:rPr>
              <w:tab/>
            </w:r>
            <w:r>
              <w:rPr>
                <w:webHidden/>
              </w:rPr>
              <w:fldChar w:fldCharType="begin"/>
            </w:r>
            <w:r>
              <w:rPr>
                <w:webHidden/>
              </w:rPr>
              <w:instrText xml:space="preserve"> PAGEREF _Toc220580349 \h </w:instrText>
            </w:r>
            <w:r>
              <w:rPr>
                <w:webHidden/>
              </w:rPr>
            </w:r>
            <w:r>
              <w:rPr>
                <w:webHidden/>
              </w:rPr>
              <w:fldChar w:fldCharType="separate"/>
            </w:r>
            <w:r>
              <w:rPr>
                <w:webHidden/>
              </w:rPr>
              <w:t>6</w:t>
            </w:r>
            <w:r>
              <w:rPr>
                <w:webHidden/>
              </w:rPr>
              <w:fldChar w:fldCharType="end"/>
            </w:r>
          </w:hyperlink>
        </w:p>
        <w:p w14:paraId="682D690D" w14:textId="7E15CA0E" w:rsidR="004E430D" w:rsidRDefault="004E430D">
          <w:pPr>
            <w:pStyle w:val="TOC1"/>
            <w:rPr>
              <w:rFonts w:asciiTheme="minorHAnsi" w:eastAsiaTheme="minorEastAsia" w:hAnsiTheme="minorHAnsi" w:cstheme="minorBidi"/>
              <w:color w:val="auto"/>
              <w:kern w:val="2"/>
              <w:szCs w:val="24"/>
              <w:lang w:eastAsia="en-GB"/>
              <w14:ligatures w14:val="standardContextual"/>
            </w:rPr>
          </w:pPr>
          <w:hyperlink w:anchor="_Toc220580350" w:history="1">
            <w:r w:rsidRPr="00051059">
              <w:rPr>
                <w:rStyle w:val="Hyperlink"/>
              </w:rPr>
              <w:t>6.</w:t>
            </w:r>
            <w:r>
              <w:rPr>
                <w:rFonts w:asciiTheme="minorHAnsi" w:eastAsiaTheme="minorEastAsia" w:hAnsiTheme="minorHAnsi" w:cstheme="minorBidi"/>
                <w:color w:val="auto"/>
                <w:kern w:val="2"/>
                <w:szCs w:val="24"/>
                <w:lang w:eastAsia="en-GB"/>
                <w14:ligatures w14:val="standardContextual"/>
              </w:rPr>
              <w:tab/>
            </w:r>
            <w:r w:rsidRPr="00051059">
              <w:rPr>
                <w:rStyle w:val="Hyperlink"/>
              </w:rPr>
              <w:t>Statement of Intent</w:t>
            </w:r>
            <w:r>
              <w:rPr>
                <w:webHidden/>
              </w:rPr>
              <w:tab/>
            </w:r>
            <w:r>
              <w:rPr>
                <w:webHidden/>
              </w:rPr>
              <w:fldChar w:fldCharType="begin"/>
            </w:r>
            <w:r>
              <w:rPr>
                <w:webHidden/>
              </w:rPr>
              <w:instrText xml:space="preserve"> PAGEREF _Toc220580350 \h </w:instrText>
            </w:r>
            <w:r>
              <w:rPr>
                <w:webHidden/>
              </w:rPr>
            </w:r>
            <w:r>
              <w:rPr>
                <w:webHidden/>
              </w:rPr>
              <w:fldChar w:fldCharType="separate"/>
            </w:r>
            <w:r>
              <w:rPr>
                <w:webHidden/>
              </w:rPr>
              <w:t>6</w:t>
            </w:r>
            <w:r>
              <w:rPr>
                <w:webHidden/>
              </w:rPr>
              <w:fldChar w:fldCharType="end"/>
            </w:r>
          </w:hyperlink>
        </w:p>
        <w:p w14:paraId="3123F3F6" w14:textId="79F4A747" w:rsidR="004E430D" w:rsidRDefault="004E430D">
          <w:pPr>
            <w:pStyle w:val="TOC1"/>
            <w:rPr>
              <w:rFonts w:asciiTheme="minorHAnsi" w:eastAsiaTheme="minorEastAsia" w:hAnsiTheme="minorHAnsi" w:cstheme="minorBidi"/>
              <w:color w:val="auto"/>
              <w:kern w:val="2"/>
              <w:szCs w:val="24"/>
              <w:lang w:eastAsia="en-GB"/>
              <w14:ligatures w14:val="standardContextual"/>
            </w:rPr>
          </w:pPr>
          <w:hyperlink w:anchor="_Toc220580351" w:history="1">
            <w:r w:rsidRPr="00051059">
              <w:rPr>
                <w:rStyle w:val="Hyperlink"/>
              </w:rPr>
              <w:t>7.</w:t>
            </w:r>
            <w:r>
              <w:rPr>
                <w:rFonts w:asciiTheme="minorHAnsi" w:eastAsiaTheme="minorEastAsia" w:hAnsiTheme="minorHAnsi" w:cstheme="minorBidi"/>
                <w:color w:val="auto"/>
                <w:kern w:val="2"/>
                <w:szCs w:val="24"/>
                <w:lang w:eastAsia="en-GB"/>
                <w14:ligatures w14:val="standardContextual"/>
              </w:rPr>
              <w:tab/>
            </w:r>
            <w:r w:rsidRPr="00051059">
              <w:rPr>
                <w:rStyle w:val="Hyperlink"/>
              </w:rPr>
              <w:t>Programmes</w:t>
            </w:r>
            <w:r>
              <w:rPr>
                <w:webHidden/>
              </w:rPr>
              <w:tab/>
            </w:r>
            <w:r>
              <w:rPr>
                <w:webHidden/>
              </w:rPr>
              <w:fldChar w:fldCharType="begin"/>
            </w:r>
            <w:r>
              <w:rPr>
                <w:webHidden/>
              </w:rPr>
              <w:instrText xml:space="preserve"> PAGEREF _Toc220580351 \h </w:instrText>
            </w:r>
            <w:r>
              <w:rPr>
                <w:webHidden/>
              </w:rPr>
            </w:r>
            <w:r>
              <w:rPr>
                <w:webHidden/>
              </w:rPr>
              <w:fldChar w:fldCharType="separate"/>
            </w:r>
            <w:r>
              <w:rPr>
                <w:webHidden/>
              </w:rPr>
              <w:t>7</w:t>
            </w:r>
            <w:r>
              <w:rPr>
                <w:webHidden/>
              </w:rPr>
              <w:fldChar w:fldCharType="end"/>
            </w:r>
          </w:hyperlink>
        </w:p>
        <w:p w14:paraId="4B52EED8" w14:textId="6CB111BA" w:rsidR="004E430D" w:rsidRDefault="004E430D">
          <w:pPr>
            <w:pStyle w:val="TOC2"/>
            <w:rPr>
              <w:rFonts w:asciiTheme="minorHAnsi" w:eastAsiaTheme="minorEastAsia" w:hAnsiTheme="minorHAnsi" w:cstheme="minorBidi"/>
              <w:color w:val="auto"/>
              <w:kern w:val="2"/>
              <w:szCs w:val="24"/>
              <w:lang w:eastAsia="en-GB"/>
              <w14:ligatures w14:val="standardContextual"/>
            </w:rPr>
          </w:pPr>
          <w:hyperlink w:anchor="_Toc220580352" w:history="1">
            <w:r w:rsidRPr="00051059">
              <w:rPr>
                <w:rStyle w:val="Hyperlink"/>
              </w:rPr>
              <w:t>7.1</w:t>
            </w:r>
            <w:r>
              <w:rPr>
                <w:rFonts w:asciiTheme="minorHAnsi" w:eastAsiaTheme="minorEastAsia" w:hAnsiTheme="minorHAnsi" w:cstheme="minorBidi"/>
                <w:color w:val="auto"/>
                <w:kern w:val="2"/>
                <w:szCs w:val="24"/>
                <w:lang w:eastAsia="en-GB"/>
                <w14:ligatures w14:val="standardContextual"/>
              </w:rPr>
              <w:tab/>
            </w:r>
            <w:r w:rsidRPr="00051059">
              <w:rPr>
                <w:rStyle w:val="Hyperlink"/>
              </w:rPr>
              <w:t>Thorough examinations</w:t>
            </w:r>
            <w:r>
              <w:rPr>
                <w:webHidden/>
              </w:rPr>
              <w:tab/>
            </w:r>
            <w:r>
              <w:rPr>
                <w:webHidden/>
              </w:rPr>
              <w:fldChar w:fldCharType="begin"/>
            </w:r>
            <w:r>
              <w:rPr>
                <w:webHidden/>
              </w:rPr>
              <w:instrText xml:space="preserve"> PAGEREF _Toc220580352 \h </w:instrText>
            </w:r>
            <w:r>
              <w:rPr>
                <w:webHidden/>
              </w:rPr>
            </w:r>
            <w:r>
              <w:rPr>
                <w:webHidden/>
              </w:rPr>
              <w:fldChar w:fldCharType="separate"/>
            </w:r>
            <w:r>
              <w:rPr>
                <w:webHidden/>
              </w:rPr>
              <w:t>7</w:t>
            </w:r>
            <w:r>
              <w:rPr>
                <w:webHidden/>
              </w:rPr>
              <w:fldChar w:fldCharType="end"/>
            </w:r>
          </w:hyperlink>
        </w:p>
        <w:p w14:paraId="47A1C370" w14:textId="45FF244D" w:rsidR="004E430D" w:rsidRDefault="004E430D">
          <w:pPr>
            <w:pStyle w:val="TOC2"/>
            <w:rPr>
              <w:rFonts w:asciiTheme="minorHAnsi" w:eastAsiaTheme="minorEastAsia" w:hAnsiTheme="minorHAnsi" w:cstheme="minorBidi"/>
              <w:color w:val="auto"/>
              <w:kern w:val="2"/>
              <w:szCs w:val="24"/>
              <w:lang w:eastAsia="en-GB"/>
              <w14:ligatures w14:val="standardContextual"/>
            </w:rPr>
          </w:pPr>
          <w:hyperlink w:anchor="_Toc220580353" w:history="1">
            <w:r w:rsidRPr="00051059">
              <w:rPr>
                <w:rStyle w:val="Hyperlink"/>
              </w:rPr>
              <w:t>7.2</w:t>
            </w:r>
            <w:r>
              <w:rPr>
                <w:rFonts w:asciiTheme="minorHAnsi" w:eastAsiaTheme="minorEastAsia" w:hAnsiTheme="minorHAnsi" w:cstheme="minorBidi"/>
                <w:color w:val="auto"/>
                <w:kern w:val="2"/>
                <w:szCs w:val="24"/>
                <w:lang w:eastAsia="en-GB"/>
                <w14:ligatures w14:val="standardContextual"/>
              </w:rPr>
              <w:tab/>
            </w:r>
            <w:r w:rsidRPr="00051059">
              <w:rPr>
                <w:rStyle w:val="Hyperlink"/>
              </w:rPr>
              <w:t>Maintenance</w:t>
            </w:r>
            <w:r>
              <w:rPr>
                <w:webHidden/>
              </w:rPr>
              <w:tab/>
            </w:r>
            <w:r>
              <w:rPr>
                <w:webHidden/>
              </w:rPr>
              <w:fldChar w:fldCharType="begin"/>
            </w:r>
            <w:r>
              <w:rPr>
                <w:webHidden/>
              </w:rPr>
              <w:instrText xml:space="preserve"> PAGEREF _Toc220580353 \h </w:instrText>
            </w:r>
            <w:r>
              <w:rPr>
                <w:webHidden/>
              </w:rPr>
            </w:r>
            <w:r>
              <w:rPr>
                <w:webHidden/>
              </w:rPr>
              <w:fldChar w:fldCharType="separate"/>
            </w:r>
            <w:r>
              <w:rPr>
                <w:webHidden/>
              </w:rPr>
              <w:t>8</w:t>
            </w:r>
            <w:r>
              <w:rPr>
                <w:webHidden/>
              </w:rPr>
              <w:fldChar w:fldCharType="end"/>
            </w:r>
          </w:hyperlink>
        </w:p>
        <w:p w14:paraId="23D379E7" w14:textId="3EDDEC8A" w:rsidR="004E430D" w:rsidRDefault="004E430D">
          <w:pPr>
            <w:pStyle w:val="TOC1"/>
            <w:rPr>
              <w:rFonts w:asciiTheme="minorHAnsi" w:eastAsiaTheme="minorEastAsia" w:hAnsiTheme="minorHAnsi" w:cstheme="minorBidi"/>
              <w:color w:val="auto"/>
              <w:kern w:val="2"/>
              <w:szCs w:val="24"/>
              <w:lang w:eastAsia="en-GB"/>
              <w14:ligatures w14:val="standardContextual"/>
            </w:rPr>
          </w:pPr>
          <w:hyperlink w:anchor="_Toc220580354" w:history="1">
            <w:r w:rsidRPr="00051059">
              <w:rPr>
                <w:rStyle w:val="Hyperlink"/>
              </w:rPr>
              <w:t>8.</w:t>
            </w:r>
            <w:r>
              <w:rPr>
                <w:rFonts w:asciiTheme="minorHAnsi" w:eastAsiaTheme="minorEastAsia" w:hAnsiTheme="minorHAnsi" w:cstheme="minorBidi"/>
                <w:color w:val="auto"/>
                <w:kern w:val="2"/>
                <w:szCs w:val="24"/>
                <w:lang w:eastAsia="en-GB"/>
                <w14:ligatures w14:val="standardContextual"/>
              </w:rPr>
              <w:tab/>
            </w:r>
            <w:r w:rsidRPr="00051059">
              <w:rPr>
                <w:rStyle w:val="Hyperlink"/>
              </w:rPr>
              <w:t>Data and Records</w:t>
            </w:r>
            <w:r>
              <w:rPr>
                <w:webHidden/>
              </w:rPr>
              <w:tab/>
            </w:r>
            <w:r>
              <w:rPr>
                <w:webHidden/>
              </w:rPr>
              <w:fldChar w:fldCharType="begin"/>
            </w:r>
            <w:r>
              <w:rPr>
                <w:webHidden/>
              </w:rPr>
              <w:instrText xml:space="preserve"> PAGEREF _Toc220580354 \h </w:instrText>
            </w:r>
            <w:r>
              <w:rPr>
                <w:webHidden/>
              </w:rPr>
            </w:r>
            <w:r>
              <w:rPr>
                <w:webHidden/>
              </w:rPr>
              <w:fldChar w:fldCharType="separate"/>
            </w:r>
            <w:r>
              <w:rPr>
                <w:webHidden/>
              </w:rPr>
              <w:t>8</w:t>
            </w:r>
            <w:r>
              <w:rPr>
                <w:webHidden/>
              </w:rPr>
              <w:fldChar w:fldCharType="end"/>
            </w:r>
          </w:hyperlink>
        </w:p>
        <w:p w14:paraId="02F86112" w14:textId="370CE2D4" w:rsidR="004E430D" w:rsidRDefault="004E430D">
          <w:pPr>
            <w:pStyle w:val="TOC1"/>
            <w:rPr>
              <w:rFonts w:asciiTheme="minorHAnsi" w:eastAsiaTheme="minorEastAsia" w:hAnsiTheme="minorHAnsi" w:cstheme="minorBidi"/>
              <w:color w:val="auto"/>
              <w:kern w:val="2"/>
              <w:szCs w:val="24"/>
              <w:lang w:eastAsia="en-GB"/>
              <w14:ligatures w14:val="standardContextual"/>
            </w:rPr>
          </w:pPr>
          <w:hyperlink w:anchor="_Toc220580355" w:history="1">
            <w:r w:rsidRPr="00051059">
              <w:rPr>
                <w:rStyle w:val="Hyperlink"/>
              </w:rPr>
              <w:t>9.</w:t>
            </w:r>
            <w:r>
              <w:rPr>
                <w:rFonts w:asciiTheme="minorHAnsi" w:eastAsiaTheme="minorEastAsia" w:hAnsiTheme="minorHAnsi" w:cstheme="minorBidi"/>
                <w:color w:val="auto"/>
                <w:kern w:val="2"/>
                <w:szCs w:val="24"/>
                <w:lang w:eastAsia="en-GB"/>
                <w14:ligatures w14:val="standardContextual"/>
              </w:rPr>
              <w:tab/>
            </w:r>
            <w:r w:rsidRPr="00051059">
              <w:rPr>
                <w:rStyle w:val="Hyperlink"/>
              </w:rPr>
              <w:t>Resident Engagement</w:t>
            </w:r>
            <w:r>
              <w:rPr>
                <w:webHidden/>
              </w:rPr>
              <w:tab/>
            </w:r>
            <w:r>
              <w:rPr>
                <w:webHidden/>
              </w:rPr>
              <w:fldChar w:fldCharType="begin"/>
            </w:r>
            <w:r>
              <w:rPr>
                <w:webHidden/>
              </w:rPr>
              <w:instrText xml:space="preserve"> PAGEREF _Toc220580355 \h </w:instrText>
            </w:r>
            <w:r>
              <w:rPr>
                <w:webHidden/>
              </w:rPr>
            </w:r>
            <w:r>
              <w:rPr>
                <w:webHidden/>
              </w:rPr>
              <w:fldChar w:fldCharType="separate"/>
            </w:r>
            <w:r>
              <w:rPr>
                <w:webHidden/>
              </w:rPr>
              <w:t>8</w:t>
            </w:r>
            <w:r>
              <w:rPr>
                <w:webHidden/>
              </w:rPr>
              <w:fldChar w:fldCharType="end"/>
            </w:r>
          </w:hyperlink>
        </w:p>
        <w:p w14:paraId="0DB0B454" w14:textId="74109841" w:rsidR="004E430D" w:rsidRDefault="004E430D">
          <w:pPr>
            <w:pStyle w:val="TOC1"/>
            <w:rPr>
              <w:rFonts w:asciiTheme="minorHAnsi" w:eastAsiaTheme="minorEastAsia" w:hAnsiTheme="minorHAnsi" w:cstheme="minorBidi"/>
              <w:color w:val="auto"/>
              <w:kern w:val="2"/>
              <w:szCs w:val="24"/>
              <w:lang w:eastAsia="en-GB"/>
              <w14:ligatures w14:val="standardContextual"/>
            </w:rPr>
          </w:pPr>
          <w:hyperlink w:anchor="_Toc220580356" w:history="1">
            <w:r w:rsidRPr="00051059">
              <w:rPr>
                <w:rStyle w:val="Hyperlink"/>
              </w:rPr>
              <w:t>10.</w:t>
            </w:r>
            <w:r>
              <w:rPr>
                <w:rFonts w:asciiTheme="minorHAnsi" w:eastAsiaTheme="minorEastAsia" w:hAnsiTheme="minorHAnsi" w:cstheme="minorBidi"/>
                <w:color w:val="auto"/>
                <w:kern w:val="2"/>
                <w:szCs w:val="24"/>
                <w:lang w:eastAsia="en-GB"/>
                <w14:ligatures w14:val="standardContextual"/>
              </w:rPr>
              <w:tab/>
            </w:r>
            <w:r w:rsidRPr="00051059">
              <w:rPr>
                <w:rStyle w:val="Hyperlink"/>
              </w:rPr>
              <w:t>Competent Persons</w:t>
            </w:r>
            <w:r>
              <w:rPr>
                <w:webHidden/>
              </w:rPr>
              <w:tab/>
            </w:r>
            <w:r>
              <w:rPr>
                <w:webHidden/>
              </w:rPr>
              <w:fldChar w:fldCharType="begin"/>
            </w:r>
            <w:r>
              <w:rPr>
                <w:webHidden/>
              </w:rPr>
              <w:instrText xml:space="preserve"> PAGEREF _Toc220580356 \h </w:instrText>
            </w:r>
            <w:r>
              <w:rPr>
                <w:webHidden/>
              </w:rPr>
            </w:r>
            <w:r>
              <w:rPr>
                <w:webHidden/>
              </w:rPr>
              <w:fldChar w:fldCharType="separate"/>
            </w:r>
            <w:r>
              <w:rPr>
                <w:webHidden/>
              </w:rPr>
              <w:t>9</w:t>
            </w:r>
            <w:r>
              <w:rPr>
                <w:webHidden/>
              </w:rPr>
              <w:fldChar w:fldCharType="end"/>
            </w:r>
          </w:hyperlink>
        </w:p>
        <w:p w14:paraId="4F02A441" w14:textId="18F6248B" w:rsidR="004E430D" w:rsidRDefault="004E430D">
          <w:pPr>
            <w:pStyle w:val="TOC1"/>
            <w:rPr>
              <w:rFonts w:asciiTheme="minorHAnsi" w:eastAsiaTheme="minorEastAsia" w:hAnsiTheme="minorHAnsi" w:cstheme="minorBidi"/>
              <w:color w:val="auto"/>
              <w:kern w:val="2"/>
              <w:szCs w:val="24"/>
              <w:lang w:eastAsia="en-GB"/>
              <w14:ligatures w14:val="standardContextual"/>
            </w:rPr>
          </w:pPr>
          <w:hyperlink w:anchor="_Toc220580357" w:history="1">
            <w:r w:rsidRPr="00051059">
              <w:rPr>
                <w:rStyle w:val="Hyperlink"/>
              </w:rPr>
              <w:t>11.</w:t>
            </w:r>
            <w:r>
              <w:rPr>
                <w:rFonts w:asciiTheme="minorHAnsi" w:eastAsiaTheme="minorEastAsia" w:hAnsiTheme="minorHAnsi" w:cstheme="minorBidi"/>
                <w:color w:val="auto"/>
                <w:kern w:val="2"/>
                <w:szCs w:val="24"/>
                <w:lang w:eastAsia="en-GB"/>
                <w14:ligatures w14:val="standardContextual"/>
              </w:rPr>
              <w:tab/>
            </w:r>
            <w:r w:rsidRPr="00051059">
              <w:rPr>
                <w:rStyle w:val="Hyperlink"/>
              </w:rPr>
              <w:t>Training</w:t>
            </w:r>
            <w:r>
              <w:rPr>
                <w:webHidden/>
              </w:rPr>
              <w:tab/>
            </w:r>
            <w:r>
              <w:rPr>
                <w:webHidden/>
              </w:rPr>
              <w:fldChar w:fldCharType="begin"/>
            </w:r>
            <w:r>
              <w:rPr>
                <w:webHidden/>
              </w:rPr>
              <w:instrText xml:space="preserve"> PAGEREF _Toc220580357 \h </w:instrText>
            </w:r>
            <w:r>
              <w:rPr>
                <w:webHidden/>
              </w:rPr>
            </w:r>
            <w:r>
              <w:rPr>
                <w:webHidden/>
              </w:rPr>
              <w:fldChar w:fldCharType="separate"/>
            </w:r>
            <w:r>
              <w:rPr>
                <w:webHidden/>
              </w:rPr>
              <w:t>9</w:t>
            </w:r>
            <w:r>
              <w:rPr>
                <w:webHidden/>
              </w:rPr>
              <w:fldChar w:fldCharType="end"/>
            </w:r>
          </w:hyperlink>
        </w:p>
        <w:p w14:paraId="336422C3" w14:textId="213FEE9A" w:rsidR="004E430D" w:rsidRDefault="004E430D">
          <w:pPr>
            <w:pStyle w:val="TOC1"/>
            <w:rPr>
              <w:rFonts w:asciiTheme="minorHAnsi" w:eastAsiaTheme="minorEastAsia" w:hAnsiTheme="minorHAnsi" w:cstheme="minorBidi"/>
              <w:color w:val="auto"/>
              <w:kern w:val="2"/>
              <w:szCs w:val="24"/>
              <w:lang w:eastAsia="en-GB"/>
              <w14:ligatures w14:val="standardContextual"/>
            </w:rPr>
          </w:pPr>
          <w:hyperlink w:anchor="_Toc220580358" w:history="1">
            <w:r w:rsidRPr="00051059">
              <w:rPr>
                <w:rStyle w:val="Hyperlink"/>
              </w:rPr>
              <w:t>12.</w:t>
            </w:r>
            <w:r>
              <w:rPr>
                <w:rFonts w:asciiTheme="minorHAnsi" w:eastAsiaTheme="minorEastAsia" w:hAnsiTheme="minorHAnsi" w:cstheme="minorBidi"/>
                <w:color w:val="auto"/>
                <w:kern w:val="2"/>
                <w:szCs w:val="24"/>
                <w:lang w:eastAsia="en-GB"/>
                <w14:ligatures w14:val="standardContextual"/>
              </w:rPr>
              <w:tab/>
            </w:r>
            <w:r w:rsidRPr="00051059">
              <w:rPr>
                <w:rStyle w:val="Hyperlink"/>
              </w:rPr>
              <w:t>Performance Reporting</w:t>
            </w:r>
            <w:r>
              <w:rPr>
                <w:webHidden/>
              </w:rPr>
              <w:tab/>
            </w:r>
            <w:r>
              <w:rPr>
                <w:webHidden/>
              </w:rPr>
              <w:fldChar w:fldCharType="begin"/>
            </w:r>
            <w:r>
              <w:rPr>
                <w:webHidden/>
              </w:rPr>
              <w:instrText xml:space="preserve"> PAGEREF _Toc220580358 \h </w:instrText>
            </w:r>
            <w:r>
              <w:rPr>
                <w:webHidden/>
              </w:rPr>
            </w:r>
            <w:r>
              <w:rPr>
                <w:webHidden/>
              </w:rPr>
              <w:fldChar w:fldCharType="separate"/>
            </w:r>
            <w:r>
              <w:rPr>
                <w:webHidden/>
              </w:rPr>
              <w:t>9</w:t>
            </w:r>
            <w:r>
              <w:rPr>
                <w:webHidden/>
              </w:rPr>
              <w:fldChar w:fldCharType="end"/>
            </w:r>
          </w:hyperlink>
        </w:p>
        <w:p w14:paraId="239661D1" w14:textId="2851759B" w:rsidR="004E430D" w:rsidRDefault="004E430D">
          <w:pPr>
            <w:pStyle w:val="TOC1"/>
            <w:rPr>
              <w:rFonts w:asciiTheme="minorHAnsi" w:eastAsiaTheme="minorEastAsia" w:hAnsiTheme="minorHAnsi" w:cstheme="minorBidi"/>
              <w:color w:val="auto"/>
              <w:kern w:val="2"/>
              <w:szCs w:val="24"/>
              <w:lang w:eastAsia="en-GB"/>
              <w14:ligatures w14:val="standardContextual"/>
            </w:rPr>
          </w:pPr>
          <w:hyperlink w:anchor="_Toc220580359" w:history="1">
            <w:r w:rsidRPr="00051059">
              <w:rPr>
                <w:rStyle w:val="Hyperlink"/>
              </w:rPr>
              <w:t>13.</w:t>
            </w:r>
            <w:r>
              <w:rPr>
                <w:rFonts w:asciiTheme="minorHAnsi" w:eastAsiaTheme="minorEastAsia" w:hAnsiTheme="minorHAnsi" w:cstheme="minorBidi"/>
                <w:color w:val="auto"/>
                <w:kern w:val="2"/>
                <w:szCs w:val="24"/>
                <w:lang w:eastAsia="en-GB"/>
                <w14:ligatures w14:val="standardContextual"/>
              </w:rPr>
              <w:tab/>
            </w:r>
            <w:r w:rsidRPr="00051059">
              <w:rPr>
                <w:rStyle w:val="Hyperlink"/>
              </w:rPr>
              <w:t>Quality Assurance</w:t>
            </w:r>
            <w:r>
              <w:rPr>
                <w:webHidden/>
              </w:rPr>
              <w:tab/>
            </w:r>
            <w:r>
              <w:rPr>
                <w:webHidden/>
              </w:rPr>
              <w:fldChar w:fldCharType="begin"/>
            </w:r>
            <w:r>
              <w:rPr>
                <w:webHidden/>
              </w:rPr>
              <w:instrText xml:space="preserve"> PAGEREF _Toc220580359 \h </w:instrText>
            </w:r>
            <w:r>
              <w:rPr>
                <w:webHidden/>
              </w:rPr>
            </w:r>
            <w:r>
              <w:rPr>
                <w:webHidden/>
              </w:rPr>
              <w:fldChar w:fldCharType="separate"/>
            </w:r>
            <w:r>
              <w:rPr>
                <w:webHidden/>
              </w:rPr>
              <w:t>10</w:t>
            </w:r>
            <w:r>
              <w:rPr>
                <w:webHidden/>
              </w:rPr>
              <w:fldChar w:fldCharType="end"/>
            </w:r>
          </w:hyperlink>
        </w:p>
        <w:p w14:paraId="5B3353A2" w14:textId="6370FE8B" w:rsidR="004E430D" w:rsidRDefault="004E430D">
          <w:pPr>
            <w:pStyle w:val="TOC1"/>
            <w:rPr>
              <w:rFonts w:asciiTheme="minorHAnsi" w:eastAsiaTheme="minorEastAsia" w:hAnsiTheme="minorHAnsi" w:cstheme="minorBidi"/>
              <w:color w:val="auto"/>
              <w:kern w:val="2"/>
              <w:szCs w:val="24"/>
              <w:lang w:eastAsia="en-GB"/>
              <w14:ligatures w14:val="standardContextual"/>
            </w:rPr>
          </w:pPr>
          <w:hyperlink w:anchor="_Toc220580360" w:history="1">
            <w:r w:rsidRPr="00051059">
              <w:rPr>
                <w:rStyle w:val="Hyperlink"/>
              </w:rPr>
              <w:t>14.</w:t>
            </w:r>
            <w:r>
              <w:rPr>
                <w:rFonts w:asciiTheme="minorHAnsi" w:eastAsiaTheme="minorEastAsia" w:hAnsiTheme="minorHAnsi" w:cstheme="minorBidi"/>
                <w:color w:val="auto"/>
                <w:kern w:val="2"/>
                <w:szCs w:val="24"/>
                <w:lang w:eastAsia="en-GB"/>
                <w14:ligatures w14:val="standardContextual"/>
              </w:rPr>
              <w:tab/>
            </w:r>
            <w:r w:rsidRPr="00051059">
              <w:rPr>
                <w:rStyle w:val="Hyperlink"/>
              </w:rPr>
              <w:t>Significant Non-Compliance and Escalation</w:t>
            </w:r>
            <w:r>
              <w:rPr>
                <w:webHidden/>
              </w:rPr>
              <w:tab/>
            </w:r>
            <w:r>
              <w:rPr>
                <w:webHidden/>
              </w:rPr>
              <w:fldChar w:fldCharType="begin"/>
            </w:r>
            <w:r>
              <w:rPr>
                <w:webHidden/>
              </w:rPr>
              <w:instrText xml:space="preserve"> PAGEREF _Toc220580360 \h </w:instrText>
            </w:r>
            <w:r>
              <w:rPr>
                <w:webHidden/>
              </w:rPr>
            </w:r>
            <w:r>
              <w:rPr>
                <w:webHidden/>
              </w:rPr>
              <w:fldChar w:fldCharType="separate"/>
            </w:r>
            <w:r>
              <w:rPr>
                <w:webHidden/>
              </w:rPr>
              <w:t>10</w:t>
            </w:r>
            <w:r>
              <w:rPr>
                <w:webHidden/>
              </w:rPr>
              <w:fldChar w:fldCharType="end"/>
            </w:r>
          </w:hyperlink>
        </w:p>
        <w:p w14:paraId="5B1C5D58" w14:textId="78AC2A4C" w:rsidR="004E430D" w:rsidRDefault="004E430D">
          <w:pPr>
            <w:pStyle w:val="TOC1"/>
            <w:rPr>
              <w:rFonts w:asciiTheme="minorHAnsi" w:eastAsiaTheme="minorEastAsia" w:hAnsiTheme="minorHAnsi" w:cstheme="minorBidi"/>
              <w:color w:val="auto"/>
              <w:kern w:val="2"/>
              <w:szCs w:val="24"/>
              <w:lang w:eastAsia="en-GB"/>
              <w14:ligatures w14:val="standardContextual"/>
            </w:rPr>
          </w:pPr>
          <w:hyperlink w:anchor="_Toc220580361" w:history="1">
            <w:r w:rsidRPr="00051059">
              <w:rPr>
                <w:rStyle w:val="Hyperlink"/>
              </w:rPr>
              <w:t>15.</w:t>
            </w:r>
            <w:r>
              <w:rPr>
                <w:rFonts w:asciiTheme="minorHAnsi" w:eastAsiaTheme="minorEastAsia" w:hAnsiTheme="minorHAnsi" w:cstheme="minorBidi"/>
                <w:color w:val="auto"/>
                <w:kern w:val="2"/>
                <w:szCs w:val="24"/>
                <w:lang w:eastAsia="en-GB"/>
                <w14:ligatures w14:val="standardContextual"/>
              </w:rPr>
              <w:tab/>
            </w:r>
            <w:r w:rsidRPr="00051059">
              <w:rPr>
                <w:rStyle w:val="Hyperlink"/>
              </w:rPr>
              <w:t>Glossary</w:t>
            </w:r>
            <w:r>
              <w:rPr>
                <w:webHidden/>
              </w:rPr>
              <w:tab/>
            </w:r>
            <w:r>
              <w:rPr>
                <w:webHidden/>
              </w:rPr>
              <w:fldChar w:fldCharType="begin"/>
            </w:r>
            <w:r>
              <w:rPr>
                <w:webHidden/>
              </w:rPr>
              <w:instrText xml:space="preserve"> PAGEREF _Toc220580361 \h </w:instrText>
            </w:r>
            <w:r>
              <w:rPr>
                <w:webHidden/>
              </w:rPr>
            </w:r>
            <w:r>
              <w:rPr>
                <w:webHidden/>
              </w:rPr>
              <w:fldChar w:fldCharType="separate"/>
            </w:r>
            <w:r>
              <w:rPr>
                <w:webHidden/>
              </w:rPr>
              <w:t>11</w:t>
            </w:r>
            <w:r>
              <w:rPr>
                <w:webHidden/>
              </w:rPr>
              <w:fldChar w:fldCharType="end"/>
            </w:r>
          </w:hyperlink>
        </w:p>
        <w:p w14:paraId="6A35DD98" w14:textId="410BA3BB" w:rsidR="004E430D" w:rsidRDefault="004E430D">
          <w:pPr>
            <w:pStyle w:val="TOC1"/>
            <w:rPr>
              <w:rFonts w:asciiTheme="minorHAnsi" w:eastAsiaTheme="minorEastAsia" w:hAnsiTheme="minorHAnsi" w:cstheme="minorBidi"/>
              <w:color w:val="auto"/>
              <w:kern w:val="2"/>
              <w:szCs w:val="24"/>
              <w:lang w:eastAsia="en-GB"/>
              <w14:ligatures w14:val="standardContextual"/>
            </w:rPr>
          </w:pPr>
          <w:hyperlink w:anchor="_Toc220580362" w:history="1">
            <w:r w:rsidRPr="00051059">
              <w:rPr>
                <w:rStyle w:val="Hyperlink"/>
              </w:rPr>
              <w:t>16.</w:t>
            </w:r>
            <w:r>
              <w:rPr>
                <w:rFonts w:asciiTheme="minorHAnsi" w:eastAsiaTheme="minorEastAsia" w:hAnsiTheme="minorHAnsi" w:cstheme="minorBidi"/>
                <w:color w:val="auto"/>
                <w:kern w:val="2"/>
                <w:szCs w:val="24"/>
                <w:lang w:eastAsia="en-GB"/>
                <w14:ligatures w14:val="standardContextual"/>
              </w:rPr>
              <w:tab/>
            </w:r>
            <w:r w:rsidRPr="00051059">
              <w:rPr>
                <w:rStyle w:val="Hyperlink"/>
              </w:rPr>
              <w:t>Appendix 1- Additional Legislation</w:t>
            </w:r>
            <w:r>
              <w:rPr>
                <w:webHidden/>
              </w:rPr>
              <w:tab/>
            </w:r>
            <w:r>
              <w:rPr>
                <w:webHidden/>
              </w:rPr>
              <w:fldChar w:fldCharType="begin"/>
            </w:r>
            <w:r>
              <w:rPr>
                <w:webHidden/>
              </w:rPr>
              <w:instrText xml:space="preserve"> PAGEREF _Toc220580362 \h </w:instrText>
            </w:r>
            <w:r>
              <w:rPr>
                <w:webHidden/>
              </w:rPr>
            </w:r>
            <w:r>
              <w:rPr>
                <w:webHidden/>
              </w:rPr>
              <w:fldChar w:fldCharType="separate"/>
            </w:r>
            <w:r>
              <w:rPr>
                <w:webHidden/>
              </w:rPr>
              <w:t>11</w:t>
            </w:r>
            <w:r>
              <w:rPr>
                <w:webHidden/>
              </w:rPr>
              <w:fldChar w:fldCharType="end"/>
            </w:r>
          </w:hyperlink>
        </w:p>
        <w:p w14:paraId="2616086E" w14:textId="2F830E40" w:rsidR="00DC0AA1" w:rsidRDefault="00724737" w:rsidP="00DC0AA1">
          <w:r>
            <w:rPr>
              <w:b/>
              <w:bCs/>
              <w:noProof/>
            </w:rPr>
            <w:fldChar w:fldCharType="end"/>
          </w:r>
        </w:p>
      </w:sdtContent>
    </w:sdt>
    <w:p w14:paraId="364E273F" w14:textId="77777777" w:rsidR="00DC0AA1" w:rsidRPr="002926FB" w:rsidRDefault="00724737" w:rsidP="00DC1BF1">
      <w:r>
        <w:br w:type="page"/>
      </w:r>
    </w:p>
    <w:p w14:paraId="1D8D3290" w14:textId="77777777" w:rsidR="001C081B" w:rsidRPr="001C081B" w:rsidRDefault="00724737" w:rsidP="001C081B">
      <w:pPr>
        <w:pStyle w:val="Heading1"/>
      </w:pPr>
      <w:bookmarkStart w:id="1" w:name="_Toc99393206"/>
      <w:bookmarkStart w:id="2" w:name="_Toc220580337"/>
      <w:r w:rsidRPr="001C081B">
        <w:lastRenderedPageBreak/>
        <w:t>Introduction and Objectives</w:t>
      </w:r>
      <w:bookmarkEnd w:id="1"/>
      <w:bookmarkEnd w:id="2"/>
    </w:p>
    <w:p w14:paraId="4CD98DBC" w14:textId="77777777" w:rsidR="001C081B" w:rsidRPr="001C081B" w:rsidRDefault="00724737" w:rsidP="001C081B">
      <w:r w:rsidRPr="001C081B">
        <w:t>As a landlord, London Borough of Tower Hamlets is responsible for maintenance and repairs to our homes, communal blocks and other properties we own and manage, some of which will contain domestic lifts, passenger lifts and other lifting equipment. We are responsible for maintaining these lifts and carrying out thorough examinations to ensure they continue to operate safely.</w:t>
      </w:r>
    </w:p>
    <w:p w14:paraId="511F53D1" w14:textId="11A74863" w:rsidR="001C081B" w:rsidRPr="001C081B" w:rsidRDefault="00724737" w:rsidP="001C081B">
      <w:r w:rsidRPr="001C081B">
        <w:t xml:space="preserve">The key objective of this policy is to ensure our </w:t>
      </w:r>
      <w:r w:rsidR="00FE59C7">
        <w:t>Housing Management Cabinet Sub Committee</w:t>
      </w:r>
      <w:r w:rsidRPr="001C081B">
        <w:t xml:space="preserve">, </w:t>
      </w:r>
      <w:r w:rsidR="00A01EA2">
        <w:t>the Housing Performance Improvement &amp; Compliance Board (HPIC)</w:t>
      </w:r>
      <w:r w:rsidRPr="001C081B">
        <w:t xml:space="preserve">, employees, partners and residents are clear on our legal and regulatory lift safety obligations. This policy provides the framework our staff and partners will operate within to meet these obligations. </w:t>
      </w:r>
    </w:p>
    <w:p w14:paraId="39DF4FB2" w14:textId="689A2FE7" w:rsidR="001C081B" w:rsidRPr="001C081B" w:rsidRDefault="00724737" w:rsidP="001C081B">
      <w:r w:rsidRPr="001C081B">
        <w:t>This policy forms part of our wider organisational commitment to driving a health and safety culture amongst staff and contractors (as detailed within our Health and Safety Policy</w:t>
      </w:r>
      <w:r w:rsidR="00AB126D">
        <w:t xml:space="preserve"> and Asset Management Strategy</w:t>
      </w:r>
      <w:r w:rsidRPr="001C081B">
        <w:t>). It will be saved on our shared drive and distributed to all relevant members of staff.</w:t>
      </w:r>
    </w:p>
    <w:p w14:paraId="4701202D" w14:textId="77777777" w:rsidR="001C081B" w:rsidRPr="001C081B" w:rsidRDefault="00724737" w:rsidP="001C081B">
      <w:pPr>
        <w:pStyle w:val="Heading1"/>
      </w:pPr>
      <w:bookmarkStart w:id="3" w:name="_Toc99393207"/>
      <w:bookmarkStart w:id="4" w:name="_Toc220580338"/>
      <w:r w:rsidRPr="001C081B">
        <w:t>Scope</w:t>
      </w:r>
      <w:bookmarkEnd w:id="3"/>
      <w:bookmarkEnd w:id="4"/>
    </w:p>
    <w:p w14:paraId="113C4740" w14:textId="77777777" w:rsidR="001C081B" w:rsidRPr="001C081B" w:rsidRDefault="00724737" w:rsidP="001C081B">
      <w:r w:rsidRPr="001C081B">
        <w:t>This policy applies to the following property types:</w:t>
      </w:r>
    </w:p>
    <w:p w14:paraId="5086211D" w14:textId="77777777" w:rsidR="001C081B" w:rsidRPr="001C081B" w:rsidRDefault="00724737" w:rsidP="001C081B">
      <w:pPr>
        <w:pStyle w:val="ListBullet"/>
      </w:pPr>
      <w:r w:rsidRPr="001C081B">
        <w:t>Domestic properties (houses, flats bungalows, and so on).</w:t>
      </w:r>
    </w:p>
    <w:p w14:paraId="44B13E96" w14:textId="77777777" w:rsidR="001C081B" w:rsidRPr="001C081B" w:rsidRDefault="00724737" w:rsidP="001C081B">
      <w:pPr>
        <w:pStyle w:val="ListBullet"/>
      </w:pPr>
      <w:r w:rsidRPr="001C081B">
        <w:t>Communal blocks.</w:t>
      </w:r>
    </w:p>
    <w:p w14:paraId="4836B99A" w14:textId="7736DC53" w:rsidR="001C081B" w:rsidRDefault="00724737" w:rsidP="001C081B">
      <w:pPr>
        <w:pStyle w:val="ListBullet"/>
      </w:pPr>
      <w:r w:rsidRPr="001C081B">
        <w:t>Sheltered</w:t>
      </w:r>
      <w:r w:rsidR="00277B82">
        <w:t xml:space="preserve"> </w:t>
      </w:r>
      <w:r w:rsidRPr="001C081B">
        <w:t>/</w:t>
      </w:r>
      <w:r w:rsidR="00277B82">
        <w:t xml:space="preserve"> </w:t>
      </w:r>
      <w:r w:rsidRPr="001C081B">
        <w:t>independent living schemes.</w:t>
      </w:r>
    </w:p>
    <w:p w14:paraId="36DCD43A" w14:textId="77777777" w:rsidR="001C081B" w:rsidRDefault="00724737" w:rsidP="001C081B">
      <w:r w:rsidRPr="001C081B">
        <w:t>This policy is relevant to all our employees, residents, contractors, stakeholders and other persons who may work on, occupy, visit, or use our premises, or who may be affected by our activities or services. Adherence to this policy is mandatory.</w:t>
      </w:r>
    </w:p>
    <w:p w14:paraId="4105C6D7" w14:textId="77777777" w:rsidR="001C081B" w:rsidRDefault="00724737" w:rsidP="001C081B">
      <w:r w:rsidRPr="001C081B">
        <w:t>We own and manage domestic properties which have been adapted with living aids such as stair lifts, through floor lifts and hoists to enable residents to continue to live independently. We take responsibility for the lifts which have been installed within our domestic properties which we have been made aware of.</w:t>
      </w:r>
      <w:bookmarkStart w:id="5" w:name="_Toc99393208"/>
    </w:p>
    <w:p w14:paraId="5C9663FA" w14:textId="3CB6847F" w:rsidR="001C081B" w:rsidRPr="001C081B" w:rsidRDefault="00724737" w:rsidP="001C081B">
      <w:pPr>
        <w:pStyle w:val="Heading1"/>
      </w:pPr>
      <w:bookmarkStart w:id="6" w:name="_Toc220580339"/>
      <w:r w:rsidRPr="001C081B">
        <w:t>Roles and Responsibilities</w:t>
      </w:r>
      <w:bookmarkEnd w:id="5"/>
      <w:bookmarkEnd w:id="6"/>
    </w:p>
    <w:p w14:paraId="10865EE4" w14:textId="4FDBC6FA" w:rsidR="001C081B" w:rsidRPr="001C081B" w:rsidRDefault="00724737" w:rsidP="001C081B">
      <w:r w:rsidRPr="001C081B">
        <w:t xml:space="preserve">The </w:t>
      </w:r>
      <w:r w:rsidR="00205539">
        <w:t>Housing Management Cabinet Sub Committee</w:t>
      </w:r>
      <w:r w:rsidRPr="001C081B">
        <w:t xml:space="preserve"> has overall governance responsibility for ensuring this policy is fully implemented to ensure full compliance with legislation and regulatory standards. As such, the </w:t>
      </w:r>
      <w:r w:rsidR="00205539">
        <w:t>Housing Management Cabinet Sub Committee</w:t>
      </w:r>
      <w:r w:rsidRPr="001C081B">
        <w:t xml:space="preserve"> will formally approve this policy and review it every t</w:t>
      </w:r>
      <w:r w:rsidR="00AB126D">
        <w:t>hree</w:t>
      </w:r>
      <w:r w:rsidRPr="001C081B">
        <w:t xml:space="preserve"> years (or sooner if there is a change in legislation or regulation).</w:t>
      </w:r>
    </w:p>
    <w:p w14:paraId="0DF307FB" w14:textId="0123AEC1" w:rsidR="001C081B" w:rsidRPr="001C081B" w:rsidRDefault="00724737" w:rsidP="001C081B">
      <w:r w:rsidRPr="001C081B">
        <w:t xml:space="preserve">The </w:t>
      </w:r>
      <w:r w:rsidR="00351C04">
        <w:t xml:space="preserve">Housing Performance Improvement &amp; Compliance Board (HPIC) </w:t>
      </w:r>
      <w:r w:rsidRPr="001C081B">
        <w:t>will receive monthly performance reports in respect of lift safety and ensure compliance is being achieved. They will also be notified of any non-compliance issue identified.</w:t>
      </w:r>
    </w:p>
    <w:p w14:paraId="3F85CFAC" w14:textId="376DF775" w:rsidR="001C081B" w:rsidRPr="001C081B" w:rsidRDefault="00724737" w:rsidP="001C081B">
      <w:r w:rsidRPr="001C081B">
        <w:t>The Head of Asset Management and Compliance has strategic responsibility for the management of lift safety, and ensuring compliance is achieved and maintained. They will oversee the implementation of this policy.</w:t>
      </w:r>
      <w:r w:rsidR="00AB126D">
        <w:t xml:space="preserve"> They will also oversee the contract with our insurers to ensure we meet our LOLER obligations.</w:t>
      </w:r>
    </w:p>
    <w:p w14:paraId="0B7CC8C3" w14:textId="40B2DAA8" w:rsidR="001C081B" w:rsidRPr="001C081B" w:rsidRDefault="00724737" w:rsidP="001C081B">
      <w:r w:rsidRPr="001C081B">
        <w:lastRenderedPageBreak/>
        <w:t xml:space="preserve">The </w:t>
      </w:r>
      <w:r w:rsidR="00AB126D">
        <w:t>Head of Repairs</w:t>
      </w:r>
      <w:r w:rsidRPr="001C081B">
        <w:t xml:space="preserve"> and </w:t>
      </w:r>
      <w:r w:rsidR="00AB126D">
        <w:t>Repairs M&amp;E Manager</w:t>
      </w:r>
      <w:r w:rsidRPr="001C081B">
        <w:t xml:space="preserve"> ha</w:t>
      </w:r>
      <w:r w:rsidR="00AB126D">
        <w:t>ve</w:t>
      </w:r>
      <w:r w:rsidRPr="001C081B">
        <w:t xml:space="preserve"> operational responsibility for the management of lift safety and will be responsible for overseeing the delivery of these programmes.</w:t>
      </w:r>
    </w:p>
    <w:p w14:paraId="4D2E9B0F" w14:textId="16672253" w:rsidR="001C081B" w:rsidRPr="001C081B" w:rsidRDefault="00724737" w:rsidP="001C081B">
      <w:r>
        <w:t>Housing and Leasehold teams</w:t>
      </w:r>
      <w:r w:rsidRPr="001C081B">
        <w:t xml:space="preserve"> will provide support where gaining access to properties is difficult and will assist and facilitate any legal access process as necessary.</w:t>
      </w:r>
    </w:p>
    <w:p w14:paraId="0FFF6D76" w14:textId="3EC3EB74" w:rsidR="001C081B" w:rsidRPr="001C081B" w:rsidRDefault="00724737" w:rsidP="001C081B">
      <w:r w:rsidRPr="001C081B">
        <w:t>Under the requirements of the Social Housing (Regulation) Act 2023 we have appointed the</w:t>
      </w:r>
      <w:r w:rsidR="00AB126D">
        <w:t xml:space="preserve"> Director of Property and Assets</w:t>
      </w:r>
      <w:r w:rsidRPr="001C081B">
        <w:t xml:space="preserve"> as our Health and Safety Lead.</w:t>
      </w:r>
    </w:p>
    <w:p w14:paraId="6F8C9B6E" w14:textId="77777777" w:rsidR="001C081B" w:rsidRPr="001C081B" w:rsidRDefault="00724737" w:rsidP="001C081B">
      <w:pPr>
        <w:pStyle w:val="Heading1"/>
      </w:pPr>
      <w:bookmarkStart w:id="7" w:name="_Toc99393209"/>
      <w:bookmarkStart w:id="8" w:name="_Toc220580340"/>
      <w:r w:rsidRPr="001C081B">
        <w:t>Legislation, Guidance and Regulatory Standards</w:t>
      </w:r>
      <w:bookmarkEnd w:id="7"/>
      <w:bookmarkEnd w:id="8"/>
    </w:p>
    <w:p w14:paraId="73373FA0" w14:textId="77777777" w:rsidR="001C081B" w:rsidRPr="00D5749F" w:rsidRDefault="00724737" w:rsidP="00D5749F">
      <w:pPr>
        <w:pStyle w:val="Heading2"/>
      </w:pPr>
      <w:bookmarkStart w:id="9" w:name="_Toc220580341"/>
      <w:r w:rsidRPr="00D5749F">
        <w:t>Legislation</w:t>
      </w:r>
      <w:bookmarkEnd w:id="9"/>
    </w:p>
    <w:p w14:paraId="0033B30A" w14:textId="01569FA5" w:rsidR="001C081B" w:rsidRPr="001C081B" w:rsidRDefault="00724737" w:rsidP="001C081B">
      <w:r w:rsidRPr="001C081B">
        <w:t>The principal legislation applicable to this policy is as follows:</w:t>
      </w:r>
    </w:p>
    <w:p w14:paraId="5A6845A5" w14:textId="77777777" w:rsidR="001C081B" w:rsidRPr="001C081B" w:rsidRDefault="00724737" w:rsidP="001C081B">
      <w:pPr>
        <w:pStyle w:val="ListBullet"/>
      </w:pPr>
      <w:r w:rsidRPr="001C081B">
        <w:t>The Health and Safety at Work Act 1974.</w:t>
      </w:r>
    </w:p>
    <w:p w14:paraId="6D44C1ED" w14:textId="77777777" w:rsidR="001C081B" w:rsidRPr="001C081B" w:rsidRDefault="00724737" w:rsidP="001C081B">
      <w:pPr>
        <w:pStyle w:val="ListBullet"/>
      </w:pPr>
      <w:r w:rsidRPr="001C081B">
        <w:t>The Lifting Operation and Lifting Equipment Regulations 1998 (LOLER).</w:t>
      </w:r>
    </w:p>
    <w:p w14:paraId="01D09A69" w14:textId="77777777" w:rsidR="001C081B" w:rsidRPr="001C081B" w:rsidRDefault="00724737" w:rsidP="001C081B">
      <w:pPr>
        <w:pStyle w:val="ListBullet"/>
      </w:pPr>
      <w:r w:rsidRPr="001C081B">
        <w:t>The Provision and Use of Work Equipment Regulations 1998 (PUWER).</w:t>
      </w:r>
    </w:p>
    <w:p w14:paraId="4E4B066A" w14:textId="77777777" w:rsidR="001C081B" w:rsidRDefault="00724737" w:rsidP="00D5749F">
      <w:pPr>
        <w:pStyle w:val="Heading2"/>
      </w:pPr>
      <w:bookmarkStart w:id="10" w:name="_Toc220580342"/>
      <w:r w:rsidRPr="001C081B">
        <w:t>Approved Code of Practice (ACoP</w:t>
      </w:r>
      <w:r>
        <w:t>)</w:t>
      </w:r>
      <w:bookmarkEnd w:id="10"/>
    </w:p>
    <w:p w14:paraId="01E0DD44" w14:textId="4C5E074E" w:rsidR="001C081B" w:rsidRPr="001C081B" w:rsidRDefault="00724737" w:rsidP="001C081B">
      <w:r w:rsidRPr="001C081B">
        <w:t>The principal ACoP applicable to this policy is:</w:t>
      </w:r>
    </w:p>
    <w:p w14:paraId="2A953858" w14:textId="77777777" w:rsidR="001C081B" w:rsidRPr="001C081B" w:rsidRDefault="00724737" w:rsidP="001C081B">
      <w:pPr>
        <w:pStyle w:val="ListBullet"/>
      </w:pPr>
      <w:r w:rsidRPr="001C081B">
        <w:t>ACoP L113 - Safe use of lifting equipment: Lifting Operations and Lifting Equipment Regulations 1998 (2nd edition 2014).</w:t>
      </w:r>
    </w:p>
    <w:p w14:paraId="319DB4B4" w14:textId="7B932B50" w:rsidR="001C081B" w:rsidRPr="001E0605" w:rsidRDefault="00724737" w:rsidP="001C081B">
      <w:pPr>
        <w:pStyle w:val="ListBullet"/>
      </w:pPr>
      <w:r w:rsidRPr="001C081B">
        <w:t>ACoP L22 – Safe use of work equipment: Provision and Use of Work Equipment Regulations 1998 (4th edition 2014).</w:t>
      </w:r>
    </w:p>
    <w:p w14:paraId="73A98656" w14:textId="77777777" w:rsidR="001C081B" w:rsidRDefault="00724737" w:rsidP="00D5749F">
      <w:pPr>
        <w:pStyle w:val="Heading2"/>
      </w:pPr>
      <w:bookmarkStart w:id="11" w:name="_Toc220580343"/>
      <w:r w:rsidRPr="001C081B">
        <w:t>Guidance</w:t>
      </w:r>
      <w:bookmarkEnd w:id="11"/>
    </w:p>
    <w:p w14:paraId="0A2A3403" w14:textId="33DB005C" w:rsidR="001C081B" w:rsidRPr="001C081B" w:rsidRDefault="00724737" w:rsidP="001C081B">
      <w:r w:rsidRPr="001C081B">
        <w:t>The principal guidance applicable to this policy is as follows:</w:t>
      </w:r>
    </w:p>
    <w:p w14:paraId="101A09AB" w14:textId="77777777" w:rsidR="001C081B" w:rsidRPr="001C081B" w:rsidRDefault="00724737" w:rsidP="001C081B">
      <w:pPr>
        <w:pStyle w:val="ListBullet"/>
      </w:pPr>
      <w:r w:rsidRPr="001C081B">
        <w:t>INDG422 - Thorough examination of lifting equipment: A simple guide for employers (2008).</w:t>
      </w:r>
    </w:p>
    <w:p w14:paraId="51F1AFE6" w14:textId="77777777" w:rsidR="001C081B" w:rsidRPr="001C081B" w:rsidRDefault="00724737" w:rsidP="001C081B">
      <w:pPr>
        <w:pStyle w:val="ListBullet"/>
      </w:pPr>
      <w:r w:rsidRPr="001C081B">
        <w:t>INDG339 - Thorough examination and testing of lifts: Simple guidance for lift owners (2008).</w:t>
      </w:r>
    </w:p>
    <w:p w14:paraId="3FF5EF09" w14:textId="77777777" w:rsidR="001C081B" w:rsidRPr="001C081B" w:rsidRDefault="00724737" w:rsidP="001C081B">
      <w:pPr>
        <w:pStyle w:val="ListBullet"/>
      </w:pPr>
      <w:r w:rsidRPr="001C081B">
        <w:t xml:space="preserve">Regulatory standards – We must ensure we comply with the Regulator of Social Housing’s regulatory framework and consumer standards for social housing in England; the Safety and Quality Standard is the primary one applicable to this policy. </w:t>
      </w:r>
      <w:bookmarkStart w:id="12" w:name="_Hlk106797192"/>
    </w:p>
    <w:p w14:paraId="20F30FEE" w14:textId="77777777" w:rsidR="001C081B" w:rsidRDefault="001C081B" w:rsidP="001C081B">
      <w:pPr>
        <w:pStyle w:val="ListBullet"/>
        <w:numPr>
          <w:ilvl w:val="0"/>
          <w:numId w:val="0"/>
        </w:numPr>
      </w:pPr>
    </w:p>
    <w:p w14:paraId="58DFF5FF" w14:textId="3B5AAEDC" w:rsidR="001C081B" w:rsidRPr="001C081B" w:rsidRDefault="00724737" w:rsidP="001C081B">
      <w:pPr>
        <w:pStyle w:val="ListBullet"/>
        <w:numPr>
          <w:ilvl w:val="0"/>
          <w:numId w:val="0"/>
        </w:numPr>
      </w:pPr>
      <w:r w:rsidRPr="001C081B">
        <w:t>The Social Housing (Regulation) Act 2023 changes the way social housing is regulated and may result in future changes to this policy.</w:t>
      </w:r>
    </w:p>
    <w:p w14:paraId="74EC7BF2" w14:textId="77777777" w:rsidR="001C081B" w:rsidRDefault="00724737" w:rsidP="00D5749F">
      <w:pPr>
        <w:pStyle w:val="Heading2"/>
      </w:pPr>
      <w:bookmarkStart w:id="13" w:name="_Toc220580344"/>
      <w:bookmarkEnd w:id="12"/>
      <w:r w:rsidRPr="001C081B">
        <w:t>Sanctions</w:t>
      </w:r>
      <w:bookmarkEnd w:id="13"/>
    </w:p>
    <w:p w14:paraId="22ED2DA7" w14:textId="0B9BD950" w:rsidR="001C081B" w:rsidRPr="001C081B" w:rsidRDefault="00724737" w:rsidP="001C081B">
      <w:pPr>
        <w:pStyle w:val="ListBullet"/>
        <w:numPr>
          <w:ilvl w:val="0"/>
          <w:numId w:val="0"/>
        </w:numPr>
      </w:pPr>
      <w:r w:rsidRPr="001C081B">
        <w:t>Failure to discharge our responsibilities and obligations properly could lead to sanctions, including prosecution by the Health and Safety Executive (the HSE) under the Health and Safety at Work Act 1974; prosecution under the Corporate Manslaughter and Corporate Homicide Act 2007; prosecution under LOLER or PUWER; and via a regulatory judgement from the Regulator of Social Housing.</w:t>
      </w:r>
    </w:p>
    <w:p w14:paraId="7FFD165D" w14:textId="77777777" w:rsidR="001C081B" w:rsidRPr="001C081B" w:rsidRDefault="00724737" w:rsidP="001C081B">
      <w:pPr>
        <w:pStyle w:val="Heading1"/>
      </w:pPr>
      <w:bookmarkStart w:id="14" w:name="_Toc99393210"/>
      <w:bookmarkStart w:id="15" w:name="_Toc220580345"/>
      <w:r w:rsidRPr="001C081B">
        <w:lastRenderedPageBreak/>
        <w:t>Obligations</w:t>
      </w:r>
      <w:bookmarkEnd w:id="14"/>
      <w:bookmarkEnd w:id="15"/>
    </w:p>
    <w:p w14:paraId="2B4FDE8E" w14:textId="77777777" w:rsidR="001C081B" w:rsidRPr="001C081B" w:rsidRDefault="00724737" w:rsidP="00D5749F">
      <w:pPr>
        <w:pStyle w:val="Heading2"/>
      </w:pPr>
      <w:bookmarkStart w:id="16" w:name="_Toc220580346"/>
      <w:r w:rsidRPr="001C081B">
        <w:t>LOLER</w:t>
      </w:r>
      <w:bookmarkEnd w:id="16"/>
    </w:p>
    <w:p w14:paraId="3219AF4D" w14:textId="77777777" w:rsidR="001C081B" w:rsidRPr="001C081B" w:rsidRDefault="00724737" w:rsidP="001C081B">
      <w:r w:rsidRPr="001C081B">
        <w:t xml:space="preserve">Passenger lifts in workplaces (for example, offices) which are used by people during their course of work, fall within the scope of LOLER. </w:t>
      </w:r>
    </w:p>
    <w:p w14:paraId="1E66DBEA" w14:textId="77777777" w:rsidR="001C081B" w:rsidRPr="001C081B" w:rsidRDefault="00724737" w:rsidP="001C081B">
      <w:r w:rsidRPr="001C081B">
        <w:t>LOLER requires landlords to maintain lifts and ensure that they have thorough examinations:</w:t>
      </w:r>
    </w:p>
    <w:p w14:paraId="6B0F69A9" w14:textId="77777777" w:rsidR="001C081B" w:rsidRPr="001C081B" w:rsidRDefault="00724737" w:rsidP="001C081B">
      <w:pPr>
        <w:pStyle w:val="ListBullet"/>
      </w:pPr>
      <w:r w:rsidRPr="001C081B">
        <w:t>Before use for the first time.</w:t>
      </w:r>
    </w:p>
    <w:p w14:paraId="49556770" w14:textId="77777777" w:rsidR="001C081B" w:rsidRPr="001C081B" w:rsidRDefault="00724737" w:rsidP="001C081B">
      <w:pPr>
        <w:pStyle w:val="ListBullet"/>
      </w:pPr>
      <w:r w:rsidRPr="001C081B">
        <w:t>After substantial and significant changes have been made.</w:t>
      </w:r>
    </w:p>
    <w:p w14:paraId="6C6E1504" w14:textId="77777777" w:rsidR="001C081B" w:rsidRPr="001C081B" w:rsidRDefault="00724737" w:rsidP="001C081B">
      <w:pPr>
        <w:pStyle w:val="ListBullet"/>
      </w:pPr>
      <w:r w:rsidRPr="001C081B">
        <w:t>At least every six months if the lift is used at any time to carry people or every 12 months if the lift is only carrying loads (or in accordance with an examination scheme).</w:t>
      </w:r>
    </w:p>
    <w:p w14:paraId="562938C8" w14:textId="77777777" w:rsidR="001C081B" w:rsidRPr="001C081B" w:rsidRDefault="00724737" w:rsidP="001C081B">
      <w:pPr>
        <w:pStyle w:val="ListBullet"/>
      </w:pPr>
      <w:r w:rsidRPr="001C081B">
        <w:t>Following exceptional circumstances such as damage to, or failure of, the lift, long periods out of use, or a major change in operating conditions which is likely to affect the integrity of the equipment.</w:t>
      </w:r>
    </w:p>
    <w:p w14:paraId="06743417" w14:textId="77777777" w:rsidR="001C081B" w:rsidRPr="001C081B" w:rsidRDefault="00724737" w:rsidP="001C081B">
      <w:pPr>
        <w:pStyle w:val="ListBullet"/>
      </w:pPr>
      <w:r w:rsidRPr="001C081B">
        <w:t>Thorough examination reports must be kept for at least two years.</w:t>
      </w:r>
    </w:p>
    <w:p w14:paraId="32FF0B42" w14:textId="77777777" w:rsidR="001C081B" w:rsidRPr="001C081B" w:rsidRDefault="00724737" w:rsidP="00D5749F">
      <w:pPr>
        <w:pStyle w:val="Heading2"/>
      </w:pPr>
      <w:bookmarkStart w:id="17" w:name="_Toc220580347"/>
      <w:r w:rsidRPr="001C081B">
        <w:t>Health and Safety at Work Act 1974</w:t>
      </w:r>
      <w:bookmarkEnd w:id="17"/>
    </w:p>
    <w:p w14:paraId="7D5F9F97" w14:textId="77777777" w:rsidR="001C081B" w:rsidRPr="001C081B" w:rsidRDefault="00724737" w:rsidP="001C081B">
      <w:r w:rsidRPr="001C081B">
        <w:t>Section 3 of the Health and Safety at Work Act makes employers, such as landlords, responsible for the health and safety of employees and people using or visiting their premises, so far as reasonably practicable (including residents).</w:t>
      </w:r>
    </w:p>
    <w:p w14:paraId="587A6209" w14:textId="77777777" w:rsidR="001C081B" w:rsidRPr="001C081B" w:rsidRDefault="00724737" w:rsidP="001C081B">
      <w:r w:rsidRPr="001C081B">
        <w:t>For passenger lifts in communal blocks and for tenanted properties with domestic lifts, duties may be adequately discharged by adopting the same provisions as applies to all other lifting equipment covered by LOLER (carrying out regular maintenance and a six-monthly thorough examination).</w:t>
      </w:r>
    </w:p>
    <w:p w14:paraId="6A0FC89C" w14:textId="77777777" w:rsidR="001C081B" w:rsidRPr="001C081B" w:rsidRDefault="00724737" w:rsidP="00D5749F">
      <w:pPr>
        <w:pStyle w:val="Heading2"/>
      </w:pPr>
      <w:bookmarkStart w:id="18" w:name="_Toc220580348"/>
      <w:r w:rsidRPr="001C081B">
        <w:t>Provision and Use of Work Equipment Regulations 1998 (PUWER)</w:t>
      </w:r>
      <w:bookmarkEnd w:id="18"/>
    </w:p>
    <w:p w14:paraId="7A90049A" w14:textId="5951BB26" w:rsidR="001C081B" w:rsidRPr="001C081B" w:rsidRDefault="00724737" w:rsidP="001C081B">
      <w:r w:rsidRPr="001C081B">
        <w:t xml:space="preserve">There is some overlap between LOLER and PUWER, which applies to all work equipment, including lifting equipment (such as hoists, lift trucks, elevating work platforms and lifting slings). The scope of this policy includes for lifts which are fixed within properties owned and managed by LBTH (i.e. passenger/stairlifts/through floor lifts) and not mobile lifting equipment. </w:t>
      </w:r>
    </w:p>
    <w:p w14:paraId="58EB510E" w14:textId="77777777" w:rsidR="001C081B" w:rsidRPr="001C081B" w:rsidRDefault="00724737" w:rsidP="00D5749F">
      <w:pPr>
        <w:pStyle w:val="Heading2"/>
      </w:pPr>
      <w:bookmarkStart w:id="19" w:name="_Toc220580349"/>
      <w:r w:rsidRPr="001C081B">
        <w:t>Insurance</w:t>
      </w:r>
      <w:bookmarkEnd w:id="19"/>
    </w:p>
    <w:p w14:paraId="56916C4A" w14:textId="77777777" w:rsidR="001C081B" w:rsidRPr="001C081B" w:rsidRDefault="00724737" w:rsidP="001C081B">
      <w:r w:rsidRPr="001C081B">
        <w:t>Insurers may impose demands for similarly stringent levels of risk management to cover public liability.</w:t>
      </w:r>
    </w:p>
    <w:p w14:paraId="23F43A70" w14:textId="77777777" w:rsidR="001C081B" w:rsidRPr="001C081B" w:rsidRDefault="00724737" w:rsidP="001C081B">
      <w:pPr>
        <w:pStyle w:val="Heading1"/>
      </w:pPr>
      <w:bookmarkStart w:id="20" w:name="_Toc99393211"/>
      <w:bookmarkStart w:id="21" w:name="_Toc220580350"/>
      <w:r w:rsidRPr="001C081B">
        <w:t>Statement of Intent</w:t>
      </w:r>
      <w:bookmarkEnd w:id="20"/>
      <w:bookmarkEnd w:id="21"/>
    </w:p>
    <w:p w14:paraId="6B728F36" w14:textId="77777777" w:rsidR="001C081B" w:rsidRPr="001C081B" w:rsidRDefault="00724737" w:rsidP="001C081B">
      <w:r w:rsidRPr="001C081B">
        <w:t>We acknowledge and accept our responsibilities under the legislation outlined in Sections 4 and 5.</w:t>
      </w:r>
    </w:p>
    <w:p w14:paraId="24ECF11F" w14:textId="77777777" w:rsidR="001C081B" w:rsidRPr="001C081B" w:rsidRDefault="00724737" w:rsidP="001C081B">
      <w:r w:rsidRPr="001C081B">
        <w:t>We will adopt the same principles to the management of lifts within communal blocks and domestic properties as for passenger lifts and any other lifts provided as work equipment. We will therefore carry out a programme of periodic servicing and maintenance and thorough examinations to lifts within domestic properties where these have been installed by us, or where our tenant has installed one and made us aware of it.</w:t>
      </w:r>
    </w:p>
    <w:p w14:paraId="30EAF852" w14:textId="77777777" w:rsidR="001C081B" w:rsidRPr="001C081B" w:rsidRDefault="00724737" w:rsidP="001C081B">
      <w:r w:rsidRPr="001C081B">
        <w:lastRenderedPageBreak/>
        <w:t>All lifts that we install in properties we own or manage will be fully accessible for disabled users, as per the requirements of the Equality Act 2010, and to the specifications outlined in Part M of the Building Regulations 2004.</w:t>
      </w:r>
    </w:p>
    <w:p w14:paraId="41453542" w14:textId="0A509333" w:rsidR="001C081B" w:rsidRPr="001C081B" w:rsidRDefault="00724737" w:rsidP="001C081B">
      <w:r w:rsidRPr="001C081B">
        <w:t xml:space="preserve">We will endeavour to ensure that all lifting equipment will always be in full working order. Where we become aware of a breakdown, we will ensure our lift contractor attends </w:t>
      </w:r>
      <w:r>
        <w:t xml:space="preserve">within </w:t>
      </w:r>
      <w:r w:rsidR="00271A71">
        <w:t xml:space="preserve">agreed contractual </w:t>
      </w:r>
      <w:r>
        <w:t>hours.</w:t>
      </w:r>
    </w:p>
    <w:p w14:paraId="17190C28" w14:textId="77777777" w:rsidR="001C081B" w:rsidRPr="001C081B" w:rsidRDefault="00724737" w:rsidP="001C081B">
      <w:r w:rsidRPr="001C081B">
        <w:t>We will operate robust processes to deal with entrapment situations. In the event of any persons becoming trapped in a lift we are responsible for we will ensure our lift contractor attends within one hour.</w:t>
      </w:r>
    </w:p>
    <w:p w14:paraId="36F41294" w14:textId="77777777" w:rsidR="001C081B" w:rsidRPr="001C081B" w:rsidRDefault="00724737" w:rsidP="001C081B">
      <w:r w:rsidRPr="001C081B">
        <w:t>We will operate a robust process to manage and rectify immediately dangerous situations identified during a lift safety check or any other maintenance work.</w:t>
      </w:r>
    </w:p>
    <w:p w14:paraId="4C798C82" w14:textId="77777777" w:rsidR="001C081B" w:rsidRPr="001C081B" w:rsidRDefault="00724737" w:rsidP="001C081B">
      <w:r w:rsidRPr="001C081B">
        <w:t xml:space="preserve">All passenger lifts will have an intercom that dials directly to a dedicated call centre. Call handlers will contact emergency services if there is an urgent concern for a person’s welfare. </w:t>
      </w:r>
    </w:p>
    <w:p w14:paraId="6E1041C6" w14:textId="77777777" w:rsidR="001C081B" w:rsidRPr="001C081B" w:rsidRDefault="00724737" w:rsidP="001C081B">
      <w:r w:rsidRPr="001C081B">
        <w:t>We will operate a robust process to gain access to properties to undertake thorough examinations, lift safety/servicing visits and follow-on works. Where resident vulnerability issues are known or identified we will ensure we safeguard the wellbeing of the resident, whilst ensuring the organisation can gain timely access to any property to be compliant with this policy.</w:t>
      </w:r>
    </w:p>
    <w:p w14:paraId="00B82E03" w14:textId="77777777" w:rsidR="001C081B" w:rsidRPr="001C081B" w:rsidRDefault="00724737" w:rsidP="001C081B">
      <w:r w:rsidRPr="001C081B">
        <w:t>We will operate effective contract management arrangements with the contractors responsible for delivering the service, including ensuring contracts/service level agreements are in place, conducting client-led performance meetings, and ensuring that contractors’ employee and public liability insurances are up to date on an annual basis.</w:t>
      </w:r>
    </w:p>
    <w:p w14:paraId="3F533605" w14:textId="77777777" w:rsidR="001C081B" w:rsidRPr="001C081B" w:rsidRDefault="00724737" w:rsidP="001C081B">
      <w:r w:rsidRPr="001C081B">
        <w:t>To comply with the requirements of the Construction (Design and Management) Regulations 2015 (CDM), a Construction Phase Plan will be in place for all repairs work to void and tenanted properties (at the start of the contract and reviewed annually thereafter), component replacement works and refurbishment projects. This plan will detail what is required to reinstate lifts affected by the works, to ensure they are safe to use and continue to comply with relevant legislation.</w:t>
      </w:r>
    </w:p>
    <w:p w14:paraId="764C4540" w14:textId="77777777" w:rsidR="001C081B" w:rsidRPr="001C081B" w:rsidRDefault="00724737" w:rsidP="001C081B">
      <w:r w:rsidRPr="001C081B">
        <w:t>We will ensure there is a robust process in place to investigate and manage all RIDDOR notifications made to the HSE in relation to lift safety, and we will take action to ensure any issues identified and lessons we have learned to prevent a similar incident occurring again.</w:t>
      </w:r>
    </w:p>
    <w:p w14:paraId="6709B244" w14:textId="77777777" w:rsidR="001C081B" w:rsidRPr="001C081B" w:rsidRDefault="00724737" w:rsidP="001C081B">
      <w:pPr>
        <w:pStyle w:val="Heading1"/>
      </w:pPr>
      <w:bookmarkStart w:id="22" w:name="_Toc99393212"/>
      <w:bookmarkStart w:id="23" w:name="_Toc220580351"/>
      <w:r w:rsidRPr="001C081B">
        <w:t>Programmes</w:t>
      </w:r>
      <w:bookmarkEnd w:id="22"/>
      <w:bookmarkEnd w:id="23"/>
    </w:p>
    <w:p w14:paraId="657F89CC" w14:textId="77777777" w:rsidR="001C081B" w:rsidRDefault="00724737" w:rsidP="00D5749F">
      <w:pPr>
        <w:pStyle w:val="Heading2"/>
      </w:pPr>
      <w:bookmarkStart w:id="24" w:name="_Toc220580352"/>
      <w:r w:rsidRPr="001C081B">
        <w:t>Thorough examinations</w:t>
      </w:r>
      <w:bookmarkEnd w:id="24"/>
    </w:p>
    <w:p w14:paraId="7A08CB04" w14:textId="3287ADF9" w:rsidR="001C081B" w:rsidRPr="001C081B" w:rsidRDefault="00724737" w:rsidP="001C081B">
      <w:r>
        <w:t>A</w:t>
      </w:r>
      <w:r w:rsidRPr="001C081B">
        <w:t>ll lifts, including domestic lifts, will be subject to a thorough examination:</w:t>
      </w:r>
    </w:p>
    <w:p w14:paraId="3E61635F" w14:textId="77777777" w:rsidR="001C081B" w:rsidRPr="001C081B" w:rsidRDefault="00724737" w:rsidP="001C081B">
      <w:pPr>
        <w:pStyle w:val="ListBullet"/>
      </w:pPr>
      <w:r w:rsidRPr="001C081B">
        <w:t>Before being commissioned into use for the first time.</w:t>
      </w:r>
    </w:p>
    <w:p w14:paraId="392E045C" w14:textId="77777777" w:rsidR="001C081B" w:rsidRPr="001C081B" w:rsidRDefault="00724737" w:rsidP="001C081B">
      <w:pPr>
        <w:pStyle w:val="ListBullet"/>
      </w:pPr>
      <w:r w:rsidRPr="001C081B">
        <w:t>Every six months if the lift is being used to carry people.</w:t>
      </w:r>
    </w:p>
    <w:p w14:paraId="356A16E3" w14:textId="77777777" w:rsidR="001C081B" w:rsidRPr="001C081B" w:rsidRDefault="00724737" w:rsidP="001C081B">
      <w:pPr>
        <w:pStyle w:val="ListBullet"/>
      </w:pPr>
      <w:r w:rsidRPr="001C081B">
        <w:t>Every 12 months if the lift only carries loads.</w:t>
      </w:r>
    </w:p>
    <w:p w14:paraId="41FCD7A9" w14:textId="77777777" w:rsidR="001C081B" w:rsidRPr="001C081B" w:rsidRDefault="00724737" w:rsidP="001C081B">
      <w:pPr>
        <w:pStyle w:val="ListBullet"/>
      </w:pPr>
      <w:r w:rsidRPr="001C081B">
        <w:t>In accordance with an examination scheme (as prepared by a competent person) where there is one in place.</w:t>
      </w:r>
    </w:p>
    <w:p w14:paraId="1BEA3607" w14:textId="77777777" w:rsidR="001C081B" w:rsidRPr="001C081B" w:rsidRDefault="00724737" w:rsidP="001C081B">
      <w:pPr>
        <w:pStyle w:val="ListBullet"/>
      </w:pPr>
      <w:r w:rsidRPr="001C081B">
        <w:lastRenderedPageBreak/>
        <w:t xml:space="preserve">In accordance with our insurer’s specification. </w:t>
      </w:r>
    </w:p>
    <w:p w14:paraId="032776E6" w14:textId="77777777" w:rsidR="001C081B" w:rsidRPr="001C081B" w:rsidRDefault="00724737" w:rsidP="001C081B">
      <w:r w:rsidRPr="001C081B">
        <w:t>All domestic lifts will be subject to a thorough examination before a void property is re-let in to ensure it is safe for the next resident. The new tenant will also be shown how to operate the lift safely. We will also consider the suitability of prospective residents to ensure the property is appropriate if lifting equipment has been installed.</w:t>
      </w:r>
    </w:p>
    <w:p w14:paraId="7859990F" w14:textId="77777777" w:rsidR="001C081B" w:rsidRDefault="00724737" w:rsidP="00D5749F">
      <w:pPr>
        <w:pStyle w:val="Heading2"/>
      </w:pPr>
      <w:bookmarkStart w:id="25" w:name="_Toc220580353"/>
      <w:r w:rsidRPr="001C081B">
        <w:t>Maintenance</w:t>
      </w:r>
      <w:bookmarkEnd w:id="25"/>
    </w:p>
    <w:p w14:paraId="1C090C8E" w14:textId="50200B2D" w:rsidR="001C081B" w:rsidRPr="001C081B" w:rsidRDefault="00724737" w:rsidP="001C081B">
      <w:r w:rsidRPr="001C081B">
        <w:t>All lifting equipment will be subject to routine servicing and maintenance in line with manufacturers’ recommendations.</w:t>
      </w:r>
    </w:p>
    <w:p w14:paraId="22336381" w14:textId="77777777" w:rsidR="001C081B" w:rsidRPr="001C081B" w:rsidRDefault="00724737" w:rsidP="001C081B">
      <w:r w:rsidRPr="001C081B">
        <w:t>We will ensure there is a robust process in place for the management of any follow-up works required following the completion of a thorough examination or servicing and maintenance inspection (where the work cannot be completed at the time of the examination or servicing/inspection).</w:t>
      </w:r>
    </w:p>
    <w:p w14:paraId="287D1405" w14:textId="77777777" w:rsidR="001C081B" w:rsidRPr="001C081B" w:rsidRDefault="00724737" w:rsidP="001C081B">
      <w:pPr>
        <w:pStyle w:val="Heading1"/>
      </w:pPr>
      <w:bookmarkStart w:id="26" w:name="_Toc99393213"/>
      <w:bookmarkStart w:id="27" w:name="_Toc220580354"/>
      <w:r w:rsidRPr="001C081B">
        <w:t>Data and Records</w:t>
      </w:r>
      <w:bookmarkEnd w:id="26"/>
      <w:bookmarkEnd w:id="27"/>
    </w:p>
    <w:p w14:paraId="6175DA95" w14:textId="77777777" w:rsidR="001C081B" w:rsidRPr="001C081B" w:rsidRDefault="00724737" w:rsidP="001C081B">
      <w:r w:rsidRPr="001C081B">
        <w:t>We will maintain a core asset register of all properties we own or manage, setting out which properties have lifts which require a thorough examination. We will also set out which properties have lifts which require ongoing servicing and maintenance. This register will also hold data against each property asset of the type, age and condition of lifting equipment in place.</w:t>
      </w:r>
    </w:p>
    <w:p w14:paraId="014F6D02" w14:textId="77777777" w:rsidR="001C081B" w:rsidRPr="001C081B" w:rsidRDefault="00724737" w:rsidP="001C081B">
      <w:r w:rsidRPr="001C081B">
        <w:t>We will operate a robust process to manage all changes to stock, including property acquisitions and disposals, to ensure that properties are not omitted from lift safety programmes and the programme remains up to date.</w:t>
      </w:r>
    </w:p>
    <w:p w14:paraId="5F15A843" w14:textId="77777777" w:rsidR="001C081B" w:rsidRPr="001C081B" w:rsidRDefault="00724737" w:rsidP="001C081B">
      <w:r w:rsidRPr="001C081B">
        <w:t>We will hold records of the following against all properties on each programme:</w:t>
      </w:r>
    </w:p>
    <w:p w14:paraId="5CE4F791" w14:textId="77777777" w:rsidR="001C081B" w:rsidRPr="001C081B" w:rsidRDefault="00724737" w:rsidP="001C081B">
      <w:pPr>
        <w:pStyle w:val="ListBullet"/>
      </w:pPr>
      <w:r w:rsidRPr="001C081B">
        <w:t>Thorough examination dates and reports.</w:t>
      </w:r>
    </w:p>
    <w:p w14:paraId="56FA6A30" w14:textId="77777777" w:rsidR="001C081B" w:rsidRPr="001C081B" w:rsidRDefault="00724737" w:rsidP="001C081B">
      <w:pPr>
        <w:pStyle w:val="ListBullet"/>
      </w:pPr>
      <w:r w:rsidRPr="001C081B">
        <w:t>Servicing and maintenance dates and reports.</w:t>
      </w:r>
    </w:p>
    <w:p w14:paraId="5FC89E95" w14:textId="77777777" w:rsidR="001C081B" w:rsidRPr="001C081B" w:rsidRDefault="00724737" w:rsidP="001C081B">
      <w:pPr>
        <w:pStyle w:val="ListBullet"/>
      </w:pPr>
      <w:r w:rsidRPr="001C081B">
        <w:t>Any examination schemes in place.</w:t>
      </w:r>
    </w:p>
    <w:p w14:paraId="2E78B098" w14:textId="77777777" w:rsidR="001C081B" w:rsidRPr="001C081B" w:rsidRDefault="00724737" w:rsidP="001C081B">
      <w:pPr>
        <w:pStyle w:val="ListBullet"/>
      </w:pPr>
      <w:r w:rsidRPr="001C081B">
        <w:t>Evidence of completed remedial works.</w:t>
      </w:r>
    </w:p>
    <w:p w14:paraId="671B715C" w14:textId="77777777" w:rsidR="001C081B" w:rsidRPr="001C081B" w:rsidRDefault="00724737" w:rsidP="001C081B">
      <w:pPr>
        <w:pStyle w:val="ListBullet"/>
      </w:pPr>
      <w:r w:rsidRPr="001C081B">
        <w:t>Entrapment incidents.</w:t>
      </w:r>
    </w:p>
    <w:p w14:paraId="22D8D4D4" w14:textId="4DF9464F" w:rsidR="001C081B" w:rsidRPr="001C081B" w:rsidRDefault="00724737" w:rsidP="001C081B">
      <w:r w:rsidRPr="001C081B">
        <w:t xml:space="preserve">All records and data as outlined above will be stored in </w:t>
      </w:r>
      <w:r w:rsidR="00271A71">
        <w:t>our asset</w:t>
      </w:r>
      <w:r w:rsidRPr="001C081B">
        <w:t xml:space="preserve"> system. </w:t>
      </w:r>
    </w:p>
    <w:p w14:paraId="73698CE6" w14:textId="77777777" w:rsidR="001C081B" w:rsidRPr="001C081B" w:rsidRDefault="00724737" w:rsidP="001C081B">
      <w:r w:rsidRPr="001C081B">
        <w:t>Where we install any stairlifts or other lifts to domestic properties or give approval for or become aware of any installation of such lifts, we will add them to the thorough examination and servicing programmes.</w:t>
      </w:r>
    </w:p>
    <w:p w14:paraId="334F4320" w14:textId="77777777" w:rsidR="001C081B" w:rsidRPr="001C081B" w:rsidRDefault="00724737" w:rsidP="001C081B">
      <w:r w:rsidRPr="001C081B">
        <w:t>We will keep all records for at least five years or for the duration that we own and manage the property/in line with our document retention policy and have robust processes and controls in place to maintain appropriate levels of security for all lift safety related data and records.</w:t>
      </w:r>
    </w:p>
    <w:p w14:paraId="02CEE7F0" w14:textId="77777777" w:rsidR="001C081B" w:rsidRPr="001C081B" w:rsidRDefault="00724737" w:rsidP="001C081B">
      <w:pPr>
        <w:pStyle w:val="Heading1"/>
      </w:pPr>
      <w:bookmarkStart w:id="28" w:name="_Toc99393214"/>
      <w:bookmarkStart w:id="29" w:name="_Toc220580355"/>
      <w:r w:rsidRPr="001C081B">
        <w:t>Resident Engagement</w:t>
      </w:r>
      <w:bookmarkEnd w:id="28"/>
      <w:bookmarkEnd w:id="29"/>
    </w:p>
    <w:p w14:paraId="56A49656" w14:textId="77777777" w:rsidR="001C081B" w:rsidRPr="001C081B" w:rsidRDefault="00724737" w:rsidP="001C081B">
      <w:r w:rsidRPr="001C081B">
        <w:t>We consider good communication essential in the effective delivery of lift safety programmes, therefore we will establish a resident engagement strategy and communication programme to support residents in their understanding of lift safety.</w:t>
      </w:r>
    </w:p>
    <w:p w14:paraId="03284B46" w14:textId="77777777" w:rsidR="001C081B" w:rsidRPr="001C081B" w:rsidRDefault="00724737" w:rsidP="001C081B">
      <w:r w:rsidRPr="001C081B">
        <w:lastRenderedPageBreak/>
        <w:t>This will assist us in maximising access to carry out periodic servicing and thorough examinations, encourage residents to report any lift safety concerns, and help us to engage with vulnerable and hard to reach residents.</w:t>
      </w:r>
    </w:p>
    <w:p w14:paraId="3BDC615F" w14:textId="77777777" w:rsidR="001C081B" w:rsidRPr="001C081B" w:rsidRDefault="00724737" w:rsidP="001C081B">
      <w:r w:rsidRPr="001C081B">
        <w:t xml:space="preserve">We will share information clearly and transparently and will ensure that information is available to residents via regular publications and information on our website. </w:t>
      </w:r>
    </w:p>
    <w:p w14:paraId="1090420C" w14:textId="77777777" w:rsidR="001C081B" w:rsidRPr="001C081B" w:rsidRDefault="00724737" w:rsidP="001C081B">
      <w:pPr>
        <w:pStyle w:val="Heading1"/>
      </w:pPr>
      <w:bookmarkStart w:id="30" w:name="_Toc99393215"/>
      <w:bookmarkStart w:id="31" w:name="_Toc220580356"/>
      <w:r w:rsidRPr="001C081B">
        <w:t>Competent Persons</w:t>
      </w:r>
      <w:bookmarkEnd w:id="30"/>
      <w:bookmarkEnd w:id="31"/>
    </w:p>
    <w:p w14:paraId="09428A40" w14:textId="5ECEE95F" w:rsidR="001C081B" w:rsidRPr="001C081B" w:rsidRDefault="00724737" w:rsidP="001C081B">
      <w:r w:rsidRPr="001C081B">
        <w:t xml:space="preserve">The </w:t>
      </w:r>
      <w:r>
        <w:t>operational lead</w:t>
      </w:r>
      <w:r w:rsidRPr="001C081B">
        <w:t xml:space="preserve"> will undertake appropriate training, such as the Lift and Escalator Industry Association (LEIA) Practical Management of a Lift/Escalator Contract, IOSH Managing Safely course, Level 4 VRQ Diploma in Asset and Building Management or equivalent, to ensure lift safety programmes are managed effectively.</w:t>
      </w:r>
    </w:p>
    <w:p w14:paraId="58BE5C17" w14:textId="77777777" w:rsidR="001C081B" w:rsidRPr="001C081B" w:rsidRDefault="00724737" w:rsidP="001C081B">
      <w:r w:rsidRPr="001C081B">
        <w:t>Only suitably competent lift consultants and contractors, registered with the Lift and Escalator Industry Association (or equivalent), will be appointed to undertake thorough examinations, risk assessments, prepare examination schemes and undertake lifting equipment works. Lift engineers will have a minimum qualification of EAL QCF NVQ Level 3 Diploma or its equivalent in an appropriate discipline.</w:t>
      </w:r>
    </w:p>
    <w:p w14:paraId="19DFC9F5" w14:textId="1ABF71CC" w:rsidR="001C081B" w:rsidRPr="001C081B" w:rsidRDefault="00724737" w:rsidP="001C081B">
      <w:r w:rsidRPr="001C081B">
        <w:t>We will check that our contractors hold the relevant qualifications and accreditations when we procure them, and thereafter on an annual basis; we will evidence these checks and each contractor’s certification appropriately.</w:t>
      </w:r>
    </w:p>
    <w:p w14:paraId="39536930" w14:textId="77777777" w:rsidR="001C081B" w:rsidRPr="001C081B" w:rsidRDefault="00724737" w:rsidP="001C081B">
      <w:pPr>
        <w:pStyle w:val="Heading1"/>
      </w:pPr>
      <w:bookmarkStart w:id="32" w:name="_Toc99393216"/>
      <w:bookmarkStart w:id="33" w:name="_Toc220580357"/>
      <w:r w:rsidRPr="001C081B">
        <w:t>Training</w:t>
      </w:r>
      <w:bookmarkEnd w:id="32"/>
      <w:bookmarkEnd w:id="33"/>
    </w:p>
    <w:p w14:paraId="4FF71E38" w14:textId="77777777" w:rsidR="001C081B" w:rsidRPr="001C081B" w:rsidRDefault="00724737" w:rsidP="001C081B">
      <w:r w:rsidRPr="001C081B">
        <w:t>We will deliver training on this policy and the procedures that support it, through appropriate methods including team briefings; basic lift safety awareness training; and on the job training for those delivering the programme of lift inspections, planned maintenance and repair works as part of their daily job. All training undertaken by staff will be formally recorded.</w:t>
      </w:r>
    </w:p>
    <w:p w14:paraId="564F24A2" w14:textId="77777777" w:rsidR="001C081B" w:rsidRPr="001C081B" w:rsidRDefault="00724737" w:rsidP="001C081B">
      <w:pPr>
        <w:pStyle w:val="Heading1"/>
      </w:pPr>
      <w:bookmarkStart w:id="34" w:name="_Toc99393217"/>
      <w:bookmarkStart w:id="35" w:name="_Toc220580358"/>
      <w:r w:rsidRPr="001C081B">
        <w:t>Performance Reporting</w:t>
      </w:r>
      <w:bookmarkEnd w:id="34"/>
      <w:bookmarkEnd w:id="35"/>
    </w:p>
    <w:p w14:paraId="353D2FF9" w14:textId="77777777" w:rsidR="001C081B" w:rsidRPr="001C081B" w:rsidRDefault="00724737" w:rsidP="001C081B">
      <w:r w:rsidRPr="001C081B">
        <w:t>We will report key performance indicator (KPI) measures for lift safety that follow the requirements set out in the Tenant Satisfaction Measures (TSMs) which came in to force on 1 April 2023 and must be reported to the Regulator on an annual basis.</w:t>
      </w:r>
    </w:p>
    <w:p w14:paraId="07662420" w14:textId="77777777" w:rsidR="001C081B" w:rsidRPr="001C081B" w:rsidRDefault="00724737" w:rsidP="001C081B">
      <w:r w:rsidRPr="001C081B">
        <w:t xml:space="preserve">We will report the following lift safety performance: </w:t>
      </w:r>
    </w:p>
    <w:tbl>
      <w:tblPr>
        <w:tblStyle w:val="Table-TopShade"/>
        <w:tblW w:w="0" w:type="auto"/>
        <w:tblLook w:val="04A0" w:firstRow="1" w:lastRow="0" w:firstColumn="1" w:lastColumn="0" w:noHBand="0" w:noVBand="1"/>
      </w:tblPr>
      <w:tblGrid>
        <w:gridCol w:w="5098"/>
        <w:gridCol w:w="3415"/>
      </w:tblGrid>
      <w:tr w:rsidR="00E30C72" w14:paraId="1C8A8A08" w14:textId="77777777" w:rsidTr="004E430D">
        <w:trPr>
          <w:cnfStyle w:val="100000000000" w:firstRow="1" w:lastRow="0" w:firstColumn="0" w:lastColumn="0" w:oddVBand="0" w:evenVBand="0" w:oddHBand="0" w:evenHBand="0" w:firstRowFirstColumn="0" w:firstRowLastColumn="0" w:lastRowFirstColumn="0" w:lastRowLastColumn="0"/>
        </w:trPr>
        <w:tc>
          <w:tcPr>
            <w:tcW w:w="5098" w:type="dxa"/>
          </w:tcPr>
          <w:p w14:paraId="748489BB" w14:textId="77777777" w:rsidR="001C081B" w:rsidRPr="001C081B" w:rsidRDefault="00724737" w:rsidP="001C081B">
            <w:pPr>
              <w:pStyle w:val="BoldNormal"/>
            </w:pPr>
            <w:r w:rsidRPr="001C081B">
              <w:t>Report recipient</w:t>
            </w:r>
          </w:p>
        </w:tc>
        <w:tc>
          <w:tcPr>
            <w:tcW w:w="3415" w:type="dxa"/>
          </w:tcPr>
          <w:p w14:paraId="1BA4CE49" w14:textId="77777777" w:rsidR="001C081B" w:rsidRPr="001C081B" w:rsidRDefault="00724737" w:rsidP="001C081B">
            <w:pPr>
              <w:pStyle w:val="BoldNormal"/>
            </w:pPr>
            <w:r w:rsidRPr="001C081B">
              <w:t>Frequency</w:t>
            </w:r>
          </w:p>
        </w:tc>
      </w:tr>
      <w:tr w:rsidR="00E30C72" w14:paraId="5728E0F9" w14:textId="77777777" w:rsidTr="004E430D">
        <w:trPr>
          <w:trHeight w:val="340"/>
        </w:trPr>
        <w:tc>
          <w:tcPr>
            <w:tcW w:w="5098" w:type="dxa"/>
          </w:tcPr>
          <w:p w14:paraId="09DE21A3" w14:textId="77777777" w:rsidR="001C081B" w:rsidRPr="001C081B" w:rsidRDefault="00724737" w:rsidP="001C081B">
            <w:r w:rsidRPr="001C081B">
              <w:t>Regulator of Social Housing</w:t>
            </w:r>
          </w:p>
        </w:tc>
        <w:tc>
          <w:tcPr>
            <w:tcW w:w="3415" w:type="dxa"/>
          </w:tcPr>
          <w:p w14:paraId="29BD1DB1" w14:textId="77777777" w:rsidR="001C081B" w:rsidRPr="001C081B" w:rsidRDefault="00724737" w:rsidP="001C081B">
            <w:r w:rsidRPr="001C081B">
              <w:t>Annual</w:t>
            </w:r>
          </w:p>
        </w:tc>
      </w:tr>
      <w:tr w:rsidR="00E30C72" w14:paraId="714BC333" w14:textId="77777777" w:rsidTr="004E430D">
        <w:trPr>
          <w:trHeight w:val="340"/>
        </w:trPr>
        <w:tc>
          <w:tcPr>
            <w:tcW w:w="5098" w:type="dxa"/>
          </w:tcPr>
          <w:p w14:paraId="564B89D8" w14:textId="21AE095E" w:rsidR="001C081B" w:rsidRPr="001C081B" w:rsidRDefault="00724737" w:rsidP="001C081B">
            <w:r>
              <w:t>Housing</w:t>
            </w:r>
            <w:r w:rsidR="000D6F8B">
              <w:t xml:space="preserve"> Performance Improvement &amp; Compliance Board (HPIC)</w:t>
            </w:r>
          </w:p>
        </w:tc>
        <w:tc>
          <w:tcPr>
            <w:tcW w:w="3415" w:type="dxa"/>
          </w:tcPr>
          <w:p w14:paraId="2AF4180F" w14:textId="77777777" w:rsidR="001C081B" w:rsidRPr="001C081B" w:rsidRDefault="00724737" w:rsidP="001C081B">
            <w:r w:rsidRPr="001C081B">
              <w:t>Monthly</w:t>
            </w:r>
          </w:p>
        </w:tc>
      </w:tr>
      <w:tr w:rsidR="00E30C72" w14:paraId="5422FBAB" w14:textId="77777777" w:rsidTr="004E430D">
        <w:trPr>
          <w:trHeight w:val="340"/>
        </w:trPr>
        <w:tc>
          <w:tcPr>
            <w:tcW w:w="5098" w:type="dxa"/>
          </w:tcPr>
          <w:p w14:paraId="028C6DDF" w14:textId="7B8E2443" w:rsidR="001C081B" w:rsidRPr="001C081B" w:rsidRDefault="00724737" w:rsidP="001C081B">
            <w:r w:rsidRPr="00094483">
              <w:t>Housing Management Cabinet Sub Committee</w:t>
            </w:r>
          </w:p>
        </w:tc>
        <w:tc>
          <w:tcPr>
            <w:tcW w:w="3415" w:type="dxa"/>
          </w:tcPr>
          <w:p w14:paraId="605FBEAE" w14:textId="77777777" w:rsidR="001C081B" w:rsidRPr="001C081B" w:rsidRDefault="00724737" w:rsidP="001C081B">
            <w:r w:rsidRPr="001C081B">
              <w:t>Quarterly</w:t>
            </w:r>
          </w:p>
        </w:tc>
      </w:tr>
      <w:tr w:rsidR="00E30C72" w14:paraId="722E269A" w14:textId="77777777" w:rsidTr="004E430D">
        <w:trPr>
          <w:trHeight w:val="340"/>
        </w:trPr>
        <w:tc>
          <w:tcPr>
            <w:tcW w:w="5098" w:type="dxa"/>
          </w:tcPr>
          <w:p w14:paraId="5D1DB386" w14:textId="77777777" w:rsidR="001C081B" w:rsidRPr="001C081B" w:rsidRDefault="00724737" w:rsidP="001C081B">
            <w:r w:rsidRPr="001C081B">
              <w:t>Residents</w:t>
            </w:r>
          </w:p>
        </w:tc>
        <w:tc>
          <w:tcPr>
            <w:tcW w:w="3415" w:type="dxa"/>
          </w:tcPr>
          <w:p w14:paraId="577D04CE" w14:textId="77777777" w:rsidR="001C081B" w:rsidRPr="001C081B" w:rsidRDefault="00724737" w:rsidP="001C081B">
            <w:r w:rsidRPr="001C081B">
              <w:t>Monthly</w:t>
            </w:r>
          </w:p>
        </w:tc>
      </w:tr>
    </w:tbl>
    <w:p w14:paraId="76B5009A" w14:textId="77777777" w:rsidR="001C081B" w:rsidRDefault="001C081B" w:rsidP="001C081B"/>
    <w:p w14:paraId="2C5B0067" w14:textId="77777777" w:rsidR="004E430D" w:rsidRDefault="004E430D" w:rsidP="001C081B"/>
    <w:p w14:paraId="2498B4D9" w14:textId="77777777" w:rsidR="004E430D" w:rsidRDefault="004E430D" w:rsidP="001C081B"/>
    <w:p w14:paraId="6F8BE4FE" w14:textId="61EA5B14" w:rsidR="001C081B" w:rsidRPr="001C081B" w:rsidRDefault="00724737" w:rsidP="001C081B">
      <w:r w:rsidRPr="001C081B">
        <w:lastRenderedPageBreak/>
        <w:t>We will also report the following:</w:t>
      </w:r>
    </w:p>
    <w:p w14:paraId="64DCD8A3" w14:textId="77777777" w:rsidR="001C081B" w:rsidRPr="001C081B" w:rsidRDefault="00724737" w:rsidP="001C081B">
      <w:pPr>
        <w:pStyle w:val="BoldNormal"/>
      </w:pPr>
      <w:r w:rsidRPr="001C081B">
        <w:t>Data – the total number of:</w:t>
      </w:r>
    </w:p>
    <w:p w14:paraId="076FC281" w14:textId="77777777" w:rsidR="001C081B" w:rsidRPr="001C081B" w:rsidRDefault="00724737" w:rsidP="001C081B">
      <w:pPr>
        <w:pStyle w:val="ListBullet"/>
      </w:pPr>
      <w:r w:rsidRPr="001C081B">
        <w:t>Properties split by category (domestic, communal blocks/schemes, commercial/other).</w:t>
      </w:r>
    </w:p>
    <w:p w14:paraId="658587CF" w14:textId="77777777" w:rsidR="001C081B" w:rsidRPr="001C081B" w:rsidRDefault="00724737" w:rsidP="001C081B">
      <w:pPr>
        <w:pStyle w:val="ListBullet"/>
      </w:pPr>
      <w:r w:rsidRPr="001C081B">
        <w:t>Properties on the thorough examination programme.</w:t>
      </w:r>
    </w:p>
    <w:p w14:paraId="4EB7EBD6" w14:textId="77777777" w:rsidR="001C081B" w:rsidRPr="001C081B" w:rsidRDefault="00724737" w:rsidP="001C081B">
      <w:pPr>
        <w:pStyle w:val="ListBullet"/>
      </w:pPr>
      <w:r w:rsidRPr="001C081B">
        <w:t>Properties not on the thorough examination.</w:t>
      </w:r>
    </w:p>
    <w:p w14:paraId="00DF5034" w14:textId="77777777" w:rsidR="001C081B" w:rsidRPr="001C081B" w:rsidRDefault="00724737" w:rsidP="001C081B">
      <w:pPr>
        <w:pStyle w:val="ListBullet"/>
      </w:pPr>
      <w:r w:rsidRPr="001C081B">
        <w:t>Properties with a valid and in date thorough examination.</w:t>
      </w:r>
    </w:p>
    <w:p w14:paraId="3C0222AA" w14:textId="5571357C" w:rsidR="001C081B" w:rsidRPr="001C081B" w:rsidRDefault="00724737" w:rsidP="00271A71">
      <w:pPr>
        <w:pStyle w:val="ListBullet"/>
      </w:pPr>
      <w:r w:rsidRPr="001C081B">
        <w:t>Properties without a valid and in date thorough examination.</w:t>
      </w:r>
    </w:p>
    <w:p w14:paraId="38F8A338" w14:textId="77777777" w:rsidR="001C081B" w:rsidRPr="001C081B" w:rsidRDefault="00724737" w:rsidP="001C081B">
      <w:pPr>
        <w:pStyle w:val="ListBullet"/>
      </w:pPr>
      <w:r w:rsidRPr="001C081B">
        <w:t>Follow-up actions arising from the programme (in time and overdue, by priority).</w:t>
      </w:r>
    </w:p>
    <w:p w14:paraId="359A7A34" w14:textId="77777777" w:rsidR="001C081B" w:rsidRPr="001C081B" w:rsidRDefault="00724737" w:rsidP="001C081B">
      <w:pPr>
        <w:pStyle w:val="BoldNormal"/>
      </w:pPr>
      <w:r w:rsidRPr="001C081B">
        <w:t>Narrative - an explanation of the:</w:t>
      </w:r>
    </w:p>
    <w:p w14:paraId="024EF516" w14:textId="77777777" w:rsidR="001C081B" w:rsidRPr="001C081B" w:rsidRDefault="00724737" w:rsidP="001C081B">
      <w:pPr>
        <w:pStyle w:val="ListBullet"/>
      </w:pPr>
      <w:r w:rsidRPr="001C081B">
        <w:t>Current position.</w:t>
      </w:r>
    </w:p>
    <w:p w14:paraId="2A1CF874" w14:textId="77777777" w:rsidR="001C081B" w:rsidRPr="001C081B" w:rsidRDefault="00724737" w:rsidP="001C081B">
      <w:pPr>
        <w:pStyle w:val="ListBullet"/>
      </w:pPr>
      <w:r w:rsidRPr="001C081B">
        <w:t>Corrective action required.</w:t>
      </w:r>
    </w:p>
    <w:p w14:paraId="34743B1B" w14:textId="77777777" w:rsidR="001C081B" w:rsidRPr="001C081B" w:rsidRDefault="00724737" w:rsidP="001C081B">
      <w:pPr>
        <w:pStyle w:val="ListBullet"/>
      </w:pPr>
      <w:r w:rsidRPr="001C081B">
        <w:t>Progress with completion of follow-up works.</w:t>
      </w:r>
    </w:p>
    <w:p w14:paraId="6A0C57CB" w14:textId="77777777" w:rsidR="001C081B" w:rsidRPr="001C081B" w:rsidRDefault="00724737" w:rsidP="001C081B">
      <w:pPr>
        <w:pStyle w:val="BoldNormal"/>
      </w:pPr>
      <w:r w:rsidRPr="001C081B">
        <w:t>In addition:</w:t>
      </w:r>
    </w:p>
    <w:p w14:paraId="3168F09E" w14:textId="77777777" w:rsidR="001C081B" w:rsidRPr="001C081B" w:rsidRDefault="00724737" w:rsidP="001C081B">
      <w:pPr>
        <w:pStyle w:val="ListBullet"/>
      </w:pPr>
      <w:r w:rsidRPr="001C081B">
        <w:t>The number of RIDDOR notifications to the HSE with regards to lift safety.</w:t>
      </w:r>
    </w:p>
    <w:p w14:paraId="21E3BB70" w14:textId="77777777" w:rsidR="001C081B" w:rsidRPr="001C081B" w:rsidRDefault="00724737" w:rsidP="001C081B">
      <w:pPr>
        <w:pStyle w:val="ListBullet"/>
      </w:pPr>
      <w:r w:rsidRPr="001C081B">
        <w:t xml:space="preserve">Lift servicing programme. </w:t>
      </w:r>
    </w:p>
    <w:p w14:paraId="389A6997" w14:textId="77777777" w:rsidR="001C081B" w:rsidRPr="001C081B" w:rsidRDefault="00724737" w:rsidP="001C081B">
      <w:pPr>
        <w:pStyle w:val="Heading1"/>
      </w:pPr>
      <w:bookmarkStart w:id="36" w:name="_Toc99393218"/>
      <w:bookmarkStart w:id="37" w:name="_Toc220580359"/>
      <w:r w:rsidRPr="001C081B">
        <w:t>Quality Assurance</w:t>
      </w:r>
      <w:bookmarkEnd w:id="36"/>
      <w:bookmarkEnd w:id="37"/>
    </w:p>
    <w:p w14:paraId="16D19EA6" w14:textId="77777777" w:rsidR="001C081B" w:rsidRPr="001C081B" w:rsidRDefault="00724737" w:rsidP="001C081B">
      <w:r w:rsidRPr="001C081B">
        <w:t>We will ensure there is programme of annual third-party quality assurance audits of lifts that are not included on the thorough examination programme.</w:t>
      </w:r>
    </w:p>
    <w:p w14:paraId="02C00327" w14:textId="77777777" w:rsidR="001C081B" w:rsidRPr="001C081B" w:rsidRDefault="00724737" w:rsidP="001C081B">
      <w:r w:rsidRPr="001C081B">
        <w:t>We will carry out an independent audit of lift safety at least once every two years, to specifically test for compliance with legal and regulatory obligations and to identify non-compliance issues for correction.</w:t>
      </w:r>
    </w:p>
    <w:p w14:paraId="1B458F2A" w14:textId="77777777" w:rsidR="001C081B" w:rsidRPr="001C081B" w:rsidRDefault="00724737" w:rsidP="001C081B">
      <w:pPr>
        <w:pStyle w:val="Heading1"/>
      </w:pPr>
      <w:bookmarkStart w:id="38" w:name="_Toc99393219"/>
      <w:bookmarkStart w:id="39" w:name="_Toc220580360"/>
      <w:r w:rsidRPr="001C081B">
        <w:t>Significant Non-Compliance and Escalation</w:t>
      </w:r>
      <w:bookmarkEnd w:id="38"/>
      <w:bookmarkEnd w:id="39"/>
    </w:p>
    <w:p w14:paraId="5692073D" w14:textId="77777777" w:rsidR="001C081B" w:rsidRPr="001C081B" w:rsidRDefault="00724737" w:rsidP="001C081B">
      <w:bookmarkStart w:id="40" w:name="_Toc526243265"/>
      <w:bookmarkStart w:id="41" w:name="_Toc526243280"/>
      <w:bookmarkStart w:id="42" w:name="_Toc1049409"/>
      <w:r w:rsidRPr="001C081B">
        <w:t xml:space="preserve">Our definition of significant non-compliance is any incident which has the potential to result in a potential breach of legislation or regulatory standard, or which causes a risk to health or safety, and which needs to be managed as an exception to routine processes and procedures. </w:t>
      </w:r>
    </w:p>
    <w:p w14:paraId="3B2C9CDB" w14:textId="77777777" w:rsidR="001C081B" w:rsidRPr="001C081B" w:rsidRDefault="00724737" w:rsidP="001C081B">
      <w:r w:rsidRPr="001C081B">
        <w:t>All non-compliance issues will be reported and escalated as soon as possible, and no later than 24 hours after the incident occurred, or of an LBTH employee becoming aware of it.</w:t>
      </w:r>
    </w:p>
    <w:p w14:paraId="0AD4BAE7" w14:textId="223B08A6" w:rsidR="001C081B" w:rsidRPr="001C081B" w:rsidRDefault="00724737" w:rsidP="001C081B">
      <w:r w:rsidRPr="001C081B">
        <w:t xml:space="preserve">Any non-compliance issue identified at an operational level will be formally reported to the Head of Asset Management and Compliance in the first instance, who will agree an appropriate course of corrective action with the Director of Asset Management and report details of the same to the </w:t>
      </w:r>
      <w:r w:rsidR="00351C04">
        <w:t>Housing Performance Improvement &amp; Compliance Board (HPIC)</w:t>
      </w:r>
      <w:r w:rsidRPr="001C081B">
        <w:t>.</w:t>
      </w:r>
    </w:p>
    <w:p w14:paraId="1E12EE56" w14:textId="566C9A9E" w:rsidR="001C081B" w:rsidRPr="001C081B" w:rsidRDefault="00724737" w:rsidP="001C081B">
      <w:r w:rsidRPr="001C081B">
        <w:t>In cases of serious non-compliance,</w:t>
      </w:r>
      <w:r w:rsidR="00292CCF">
        <w:t xml:space="preserve"> the</w:t>
      </w:r>
      <w:r w:rsidRPr="001C081B">
        <w:t xml:space="preserve"> </w:t>
      </w:r>
      <w:r w:rsidR="00C90971">
        <w:t>Housing Performance Improvement &amp; Compliance Board (HPIC)</w:t>
      </w:r>
      <w:r w:rsidRPr="001C081B">
        <w:t xml:space="preserve"> and </w:t>
      </w:r>
      <w:r w:rsidR="00292CCF">
        <w:t>the Housing Management Cabinet Sub Committee</w:t>
      </w:r>
      <w:r w:rsidRPr="001C081B">
        <w:t xml:space="preserve"> will consider whether it is necessary to disclose the issue to the Regulator of Social Housing as required by their regulatory framework, or any other relevant organisation such as the Health and Safety Executive.</w:t>
      </w:r>
    </w:p>
    <w:p w14:paraId="574E187B" w14:textId="77777777" w:rsidR="001C081B" w:rsidRPr="001C081B" w:rsidRDefault="00724737" w:rsidP="001C081B">
      <w:r w:rsidRPr="001C081B">
        <w:lastRenderedPageBreak/>
        <w:t>We will ensure there is a robust process in place to investigate and manage all RIDDOR notifications made to the HSE in relation to lift safety, and we will take action to ensure any issues identified and lessons we have learned to prevent a similar incident occurring again.</w:t>
      </w:r>
    </w:p>
    <w:p w14:paraId="6A0E0C36" w14:textId="77777777" w:rsidR="001C081B" w:rsidRPr="001C081B" w:rsidRDefault="00724737" w:rsidP="001C081B">
      <w:pPr>
        <w:pStyle w:val="Heading1"/>
      </w:pPr>
      <w:bookmarkStart w:id="43" w:name="_Toc24032602"/>
      <w:bookmarkStart w:id="44" w:name="_Toc24033101"/>
      <w:bookmarkStart w:id="45" w:name="_Toc99393220"/>
      <w:bookmarkStart w:id="46" w:name="_Toc220580361"/>
      <w:bookmarkEnd w:id="40"/>
      <w:bookmarkEnd w:id="41"/>
      <w:bookmarkEnd w:id="42"/>
      <w:r w:rsidRPr="001C081B">
        <w:t>Glossary</w:t>
      </w:r>
      <w:bookmarkEnd w:id="43"/>
      <w:bookmarkEnd w:id="44"/>
      <w:bookmarkEnd w:id="45"/>
      <w:bookmarkEnd w:id="46"/>
    </w:p>
    <w:p w14:paraId="37F7522D" w14:textId="77777777" w:rsidR="001C081B" w:rsidRPr="001C081B" w:rsidRDefault="00724737" w:rsidP="001C081B">
      <w:r w:rsidRPr="001C081B">
        <w:t>This glossary defines key terms used throughout this policy:</w:t>
      </w:r>
    </w:p>
    <w:p w14:paraId="0E4A5248" w14:textId="77777777" w:rsidR="001C081B" w:rsidRPr="001C081B" w:rsidRDefault="00724737" w:rsidP="001C081B">
      <w:pPr>
        <w:pStyle w:val="BoldNormal"/>
        <w:rPr>
          <w:rStyle w:val="Emphasiseitalic"/>
          <w:i w:val="0"/>
        </w:rPr>
      </w:pPr>
      <w:r w:rsidRPr="001C081B">
        <w:rPr>
          <w:rStyle w:val="Emphasiseitalic"/>
          <w:i w:val="0"/>
        </w:rPr>
        <w:t>IOSH Managing Safely course</w:t>
      </w:r>
    </w:p>
    <w:p w14:paraId="26186B08" w14:textId="0697F2CD" w:rsidR="001C081B" w:rsidRPr="001C081B" w:rsidRDefault="00724737" w:rsidP="001C081B">
      <w:r w:rsidRPr="001C081B">
        <w:t>The Institution of Occupational Safety and Health (IOSH) have designed the IOSH Managing Safely course for managers and supervisors of organisations in virtually all industry sectors, in order to give them all they need to know to effectively manage health and safety in the workplace.</w:t>
      </w:r>
    </w:p>
    <w:p w14:paraId="7E3BA90B" w14:textId="77777777" w:rsidR="001C081B" w:rsidRDefault="00724737" w:rsidP="001C081B">
      <w:pPr>
        <w:pStyle w:val="BoldNormal"/>
      </w:pPr>
      <w:r w:rsidRPr="001C081B">
        <w:t>LEIA</w:t>
      </w:r>
    </w:p>
    <w:p w14:paraId="11CECDDA" w14:textId="56C5D2FA" w:rsidR="001C081B" w:rsidRPr="001C081B" w:rsidRDefault="00724737" w:rsidP="001C081B">
      <w:r w:rsidRPr="001C081B">
        <w:t>The Lift and Escalator Industry Association is the trade association and advisory body for the lift and escalator industry.</w:t>
      </w:r>
    </w:p>
    <w:p w14:paraId="0D687855" w14:textId="77777777" w:rsidR="001C081B" w:rsidRDefault="00724737" w:rsidP="001C081B">
      <w:pPr>
        <w:pStyle w:val="BoldNormal"/>
      </w:pPr>
      <w:r w:rsidRPr="001C081B">
        <w:t>Thorough examination</w:t>
      </w:r>
    </w:p>
    <w:p w14:paraId="073CFA04" w14:textId="77777777" w:rsidR="001C081B" w:rsidRDefault="00724737" w:rsidP="001C081B">
      <w:r w:rsidRPr="001C081B">
        <w:t>A systematic and detailed examination of the equipment and safety-critical parts, carried out at specified intervals by a competent person who must then complete a written report.</w:t>
      </w:r>
      <w:bookmarkStart w:id="47" w:name="_Toc99393221"/>
    </w:p>
    <w:p w14:paraId="54199E77" w14:textId="2491C4F0" w:rsidR="001C081B" w:rsidRPr="001C081B" w:rsidRDefault="00724737" w:rsidP="001C081B">
      <w:pPr>
        <w:pStyle w:val="Heading1"/>
      </w:pPr>
      <w:bookmarkStart w:id="48" w:name="_Toc220580362"/>
      <w:r w:rsidRPr="001C081B">
        <w:t>Appendix 1- Additional Legislation</w:t>
      </w:r>
      <w:bookmarkEnd w:id="47"/>
      <w:bookmarkEnd w:id="48"/>
    </w:p>
    <w:p w14:paraId="75E10D6D" w14:textId="77777777" w:rsidR="001C081B" w:rsidRPr="001C081B" w:rsidRDefault="00724737" w:rsidP="00EE0BCB">
      <w:pPr>
        <w:pStyle w:val="ListBullet"/>
        <w:numPr>
          <w:ilvl w:val="0"/>
          <w:numId w:val="0"/>
        </w:numPr>
        <w:ind w:left="360" w:hanging="360"/>
      </w:pPr>
      <w:r w:rsidRPr="001C081B">
        <w:t>This policy also operates within the context of the following legislation:</w:t>
      </w:r>
    </w:p>
    <w:p w14:paraId="55CCF267" w14:textId="77777777" w:rsidR="001C081B" w:rsidRPr="001C081B" w:rsidRDefault="00724737" w:rsidP="001C081B">
      <w:pPr>
        <w:pStyle w:val="ListBullet"/>
      </w:pPr>
      <w:r w:rsidRPr="001C081B">
        <w:t>The Defective Premises Act 1972</w:t>
      </w:r>
    </w:p>
    <w:p w14:paraId="327C3129" w14:textId="77777777" w:rsidR="001C081B" w:rsidRPr="001C081B" w:rsidRDefault="00724737" w:rsidP="001C081B">
      <w:pPr>
        <w:pStyle w:val="ListBullet"/>
      </w:pPr>
      <w:r w:rsidRPr="001C081B">
        <w:t>Landlord and Tenant Act 1985</w:t>
      </w:r>
    </w:p>
    <w:p w14:paraId="6176C045" w14:textId="77777777" w:rsidR="001C081B" w:rsidRPr="001C081B" w:rsidRDefault="00724737" w:rsidP="001C081B">
      <w:pPr>
        <w:pStyle w:val="ListBullet"/>
      </w:pPr>
      <w:r w:rsidRPr="001C081B">
        <w:t xml:space="preserve">Homes (Fitness for Human Habitation) Act 2018 </w:t>
      </w:r>
    </w:p>
    <w:p w14:paraId="23BAF0C2" w14:textId="77777777" w:rsidR="001C081B" w:rsidRPr="001C081B" w:rsidRDefault="00724737" w:rsidP="001C081B">
      <w:pPr>
        <w:pStyle w:val="ListBullet"/>
      </w:pPr>
      <w:r w:rsidRPr="001C081B">
        <w:t>Workplace (Health Safety and Welfare) Regulations 1992</w:t>
      </w:r>
    </w:p>
    <w:p w14:paraId="55B30636" w14:textId="77777777" w:rsidR="001C081B" w:rsidRPr="001C081B" w:rsidRDefault="00724737" w:rsidP="001C081B">
      <w:pPr>
        <w:pStyle w:val="ListBullet"/>
      </w:pPr>
      <w:r w:rsidRPr="001C081B">
        <w:t>Provision and Use of Work Equipment Regulations 1998 (PUWER)</w:t>
      </w:r>
    </w:p>
    <w:p w14:paraId="50022740" w14:textId="77777777" w:rsidR="001C081B" w:rsidRPr="001C081B" w:rsidRDefault="00724737" w:rsidP="001C081B">
      <w:pPr>
        <w:pStyle w:val="ListBullet"/>
      </w:pPr>
      <w:r w:rsidRPr="001C081B">
        <w:t>Management of Health and Safety at Work Regulations 1999</w:t>
      </w:r>
    </w:p>
    <w:p w14:paraId="7DA88FB9" w14:textId="77777777" w:rsidR="001C081B" w:rsidRPr="001C081B" w:rsidRDefault="00724737" w:rsidP="001C081B">
      <w:pPr>
        <w:pStyle w:val="ListBullet"/>
      </w:pPr>
      <w:r w:rsidRPr="001C081B">
        <w:t>Housing Act 2004</w:t>
      </w:r>
    </w:p>
    <w:p w14:paraId="469EA55E" w14:textId="77777777" w:rsidR="001C081B" w:rsidRPr="001C081B" w:rsidRDefault="00724737" w:rsidP="001C081B">
      <w:pPr>
        <w:pStyle w:val="ListBullet"/>
      </w:pPr>
      <w:r w:rsidRPr="001C081B">
        <w:t>The Occupiers’ Liability Act 1984</w:t>
      </w:r>
    </w:p>
    <w:p w14:paraId="4F3AD60C" w14:textId="77777777" w:rsidR="001C081B" w:rsidRPr="001C081B" w:rsidRDefault="00724737" w:rsidP="001C081B">
      <w:pPr>
        <w:pStyle w:val="ListBullet"/>
      </w:pPr>
      <w:r w:rsidRPr="001C081B">
        <w:t>Equality Act 2010</w:t>
      </w:r>
    </w:p>
    <w:p w14:paraId="1F326E77" w14:textId="77777777" w:rsidR="001C081B" w:rsidRPr="001C081B" w:rsidRDefault="00724737" w:rsidP="001C081B">
      <w:pPr>
        <w:pStyle w:val="ListBullet"/>
      </w:pPr>
      <w:r w:rsidRPr="001C081B">
        <w:t>Building Regulations 2010 – Part M</w:t>
      </w:r>
    </w:p>
    <w:p w14:paraId="6CC4987B" w14:textId="77777777" w:rsidR="001C081B" w:rsidRPr="001C081B" w:rsidRDefault="00724737" w:rsidP="001C081B">
      <w:pPr>
        <w:pStyle w:val="ListBullet"/>
      </w:pPr>
      <w:r w:rsidRPr="001C081B">
        <w:t>Reporting of Injuries, Diseases and Dangerous Occurrences Regulations 2013 (RIDDOR)</w:t>
      </w:r>
    </w:p>
    <w:p w14:paraId="4D1A8AF0" w14:textId="77777777" w:rsidR="001C081B" w:rsidRPr="001C081B" w:rsidRDefault="00724737" w:rsidP="001C081B">
      <w:pPr>
        <w:pStyle w:val="ListBullet"/>
      </w:pPr>
      <w:r w:rsidRPr="001C081B">
        <w:t>Construction (Design and Management) Regulations 2015</w:t>
      </w:r>
    </w:p>
    <w:p w14:paraId="0E50F487" w14:textId="77777777" w:rsidR="001C081B" w:rsidRPr="001C081B" w:rsidRDefault="00724737" w:rsidP="001C081B">
      <w:pPr>
        <w:pStyle w:val="ListBullet"/>
      </w:pPr>
      <w:r w:rsidRPr="001C081B">
        <w:t>Data Protection Act 2018</w:t>
      </w:r>
    </w:p>
    <w:p w14:paraId="5BDF83E1" w14:textId="4D7F51F1" w:rsidR="00387221" w:rsidRPr="00E2160C" w:rsidRDefault="00724737" w:rsidP="00E2160C">
      <w:pPr>
        <w:pStyle w:val="ListBullet"/>
      </w:pPr>
      <w:r w:rsidRPr="001C081B">
        <w:t>Social Housing (Regulation) Act 2023</w:t>
      </w:r>
    </w:p>
    <w:sectPr w:rsidR="00387221" w:rsidRPr="00E2160C" w:rsidSect="00FC741A">
      <w:headerReference w:type="even" r:id="rId11"/>
      <w:headerReference w:type="default" r:id="rId12"/>
      <w:footerReference w:type="default" r:id="rId13"/>
      <w:headerReference w:type="first" r:id="rId14"/>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7CAEC" w14:textId="77777777" w:rsidR="00537C3A" w:rsidRDefault="00537C3A">
      <w:pPr>
        <w:spacing w:after="0"/>
      </w:pPr>
      <w:r>
        <w:separator/>
      </w:r>
    </w:p>
  </w:endnote>
  <w:endnote w:type="continuationSeparator" w:id="0">
    <w:p w14:paraId="5550AE63" w14:textId="77777777" w:rsidR="00537C3A" w:rsidRDefault="00537C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7FEE" w14:textId="04003BA2" w:rsidR="00316ED1" w:rsidRPr="00931C93" w:rsidRDefault="009C4DEA" w:rsidP="007C32E3">
    <w:pPr>
      <w:pStyle w:val="Footer"/>
    </w:pPr>
    <w:r>
      <w:fldChar w:fldCharType="begin"/>
    </w:r>
    <w:r w:rsidR="00724737">
      <w:instrText xml:space="preserve"> FILENAME \* MERGEFORMAT </w:instrText>
    </w:r>
    <w:r>
      <w:fldChar w:fldCharType="separate"/>
    </w:r>
    <w:r>
      <w:rPr>
        <w:noProof/>
      </w:rPr>
      <w:t>Lift Safety Policy</w:t>
    </w:r>
    <w:r>
      <w:rPr>
        <w:noProof/>
      </w:rPr>
      <w:fldChar w:fldCharType="end"/>
    </w:r>
    <w:r w:rsidR="00DC0AA1" w:rsidRPr="00931C93">
      <w:tab/>
    </w:r>
    <w:r w:rsidR="00DC0AA1" w:rsidRPr="00931C93">
      <w:tab/>
      <w:t xml:space="preserve">Page </w:t>
    </w:r>
    <w:r w:rsidR="00DC0AA1" w:rsidRPr="00931C93">
      <w:fldChar w:fldCharType="begin"/>
    </w:r>
    <w:r w:rsidR="00DC0AA1" w:rsidRPr="00931C93">
      <w:instrText xml:space="preserve"> PAGE  \* Arabic  \* MERGEFORMAT </w:instrText>
    </w:r>
    <w:r w:rsidR="00DC0AA1" w:rsidRPr="00931C93">
      <w:fldChar w:fldCharType="separate"/>
    </w:r>
    <w:r w:rsidR="00DC0AA1" w:rsidRPr="00931C93">
      <w:t>1</w:t>
    </w:r>
    <w:r w:rsidR="00DC0AA1" w:rsidRPr="00931C93">
      <w:fldChar w:fldCharType="end"/>
    </w:r>
    <w:r w:rsidR="00DC0AA1" w:rsidRPr="00931C93">
      <w:t xml:space="preserve"> of </w:t>
    </w:r>
    <w:r w:rsidR="00DC0AA1" w:rsidRPr="00931C93">
      <w:fldChar w:fldCharType="begin"/>
    </w:r>
    <w:r w:rsidR="00724737">
      <w:instrText xml:space="preserve"> NUMPAGES  \* Arabic  \* MERGEFORMAT </w:instrText>
    </w:r>
    <w:r w:rsidR="00DC0AA1" w:rsidRPr="00931C93">
      <w:fldChar w:fldCharType="separate"/>
    </w:r>
    <w:r w:rsidR="00DC0AA1" w:rsidRPr="00931C93">
      <w:t>2</w:t>
    </w:r>
    <w:r w:rsidR="00DC0AA1" w:rsidRPr="00931C9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F7837" w14:textId="77777777" w:rsidR="00537C3A" w:rsidRDefault="00537C3A">
      <w:pPr>
        <w:spacing w:after="0"/>
      </w:pPr>
      <w:r>
        <w:separator/>
      </w:r>
    </w:p>
  </w:footnote>
  <w:footnote w:type="continuationSeparator" w:id="0">
    <w:p w14:paraId="73867B7B" w14:textId="77777777" w:rsidR="00537C3A" w:rsidRDefault="00537C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5E92" w14:textId="77777777" w:rsidR="00316ED1" w:rsidRDefault="00316ED1">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4695" w14:textId="77777777" w:rsidR="00316ED1" w:rsidRPr="00777D19" w:rsidRDefault="00316ED1" w:rsidP="00777D19"/>
  <w:p w14:paraId="6F95943F" w14:textId="77777777" w:rsidR="00316ED1" w:rsidRDefault="00316ED1" w:rsidP="00FE57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2F0C" w14:textId="77777777" w:rsidR="00316ED1" w:rsidRDefault="00316ED1">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B08E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7B145A"/>
    <w:multiLevelType w:val="multilevel"/>
    <w:tmpl w:val="952C5286"/>
    <w:lvl w:ilvl="0">
      <w:start w:val="1"/>
      <w:numFmt w:val="decimal"/>
      <w:pStyle w:val="Heading1"/>
      <w:lvlText w:val="%1."/>
      <w:lvlJc w:val="left"/>
      <w:pPr>
        <w:ind w:left="360" w:hanging="360"/>
      </w:pPr>
      <w:rPr>
        <w:rFonts w:hint="default"/>
        <w:b/>
        <w:sz w:val="28"/>
        <w:szCs w:val="36"/>
      </w:rPr>
    </w:lvl>
    <w:lvl w:ilvl="1">
      <w:start w:val="1"/>
      <w:numFmt w:val="decimal"/>
      <w:pStyle w:val="Heading2"/>
      <w:lvlText w:val="%1.%2"/>
      <w:lvlJc w:val="left"/>
      <w:pPr>
        <w:ind w:left="1021" w:hanging="1021"/>
      </w:pPr>
      <w:rPr>
        <w:rFonts w:ascii="Arial" w:hAnsi="Arial" w:cs="Arial" w:hint="default"/>
        <w:sz w:val="24"/>
        <w:szCs w:val="28"/>
      </w:rPr>
    </w:lvl>
    <w:lvl w:ilvl="2">
      <w:start w:val="1"/>
      <w:numFmt w:val="decimal"/>
      <w:lvlText w:val="%1.%2.%3"/>
      <w:lvlJc w:val="left"/>
      <w:pPr>
        <w:ind w:left="1021" w:hanging="1021"/>
      </w:pPr>
      <w:rPr>
        <w:rFonts w:ascii="Calibri" w:hAnsi="Calibri" w:hint="default"/>
        <w:sz w:val="22"/>
      </w:rPr>
    </w:lvl>
    <w:lvl w:ilvl="3">
      <w:start w:val="1"/>
      <w:numFmt w:val="decimal"/>
      <w:lvlText w:val="%1.%2.%3.%4"/>
      <w:lvlJc w:val="left"/>
      <w:pPr>
        <w:ind w:left="1021" w:hanging="1021"/>
      </w:pPr>
      <w:rPr>
        <w:rFonts w:ascii="Calibri" w:hAnsi="Calibri" w:hint="default"/>
        <w:sz w:val="22"/>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 w15:restartNumberingAfterBreak="0">
    <w:nsid w:val="25416F5B"/>
    <w:multiLevelType w:val="hybridMultilevel"/>
    <w:tmpl w:val="E8326AF6"/>
    <w:lvl w:ilvl="0" w:tplc="9AA42D08">
      <w:start w:val="1"/>
      <w:numFmt w:val="bullet"/>
      <w:lvlText w:val=""/>
      <w:lvlJc w:val="left"/>
      <w:pPr>
        <w:ind w:left="1298" w:hanging="360"/>
      </w:pPr>
      <w:rPr>
        <w:rFonts w:ascii="Symbol" w:hAnsi="Symbol" w:hint="default"/>
        <w:color w:val="F59D21"/>
      </w:rPr>
    </w:lvl>
    <w:lvl w:ilvl="1" w:tplc="12C438A0">
      <w:start w:val="1"/>
      <w:numFmt w:val="bullet"/>
      <w:lvlText w:val="o"/>
      <w:lvlJc w:val="left"/>
      <w:pPr>
        <w:ind w:left="2018" w:hanging="360"/>
      </w:pPr>
      <w:rPr>
        <w:rFonts w:ascii="Courier New" w:hAnsi="Courier New" w:cs="Courier New" w:hint="default"/>
      </w:rPr>
    </w:lvl>
    <w:lvl w:ilvl="2" w:tplc="D92050DE" w:tentative="1">
      <w:start w:val="1"/>
      <w:numFmt w:val="bullet"/>
      <w:lvlText w:val=""/>
      <w:lvlJc w:val="left"/>
      <w:pPr>
        <w:ind w:left="2738" w:hanging="360"/>
      </w:pPr>
      <w:rPr>
        <w:rFonts w:ascii="Wingdings" w:hAnsi="Wingdings" w:hint="default"/>
      </w:rPr>
    </w:lvl>
    <w:lvl w:ilvl="3" w:tplc="B59C9FBE" w:tentative="1">
      <w:start w:val="1"/>
      <w:numFmt w:val="bullet"/>
      <w:lvlText w:val=""/>
      <w:lvlJc w:val="left"/>
      <w:pPr>
        <w:ind w:left="3458" w:hanging="360"/>
      </w:pPr>
      <w:rPr>
        <w:rFonts w:ascii="Symbol" w:hAnsi="Symbol" w:hint="default"/>
      </w:rPr>
    </w:lvl>
    <w:lvl w:ilvl="4" w:tplc="CCEAC8E0" w:tentative="1">
      <w:start w:val="1"/>
      <w:numFmt w:val="bullet"/>
      <w:lvlText w:val="o"/>
      <w:lvlJc w:val="left"/>
      <w:pPr>
        <w:ind w:left="4178" w:hanging="360"/>
      </w:pPr>
      <w:rPr>
        <w:rFonts w:ascii="Courier New" w:hAnsi="Courier New" w:cs="Courier New" w:hint="default"/>
      </w:rPr>
    </w:lvl>
    <w:lvl w:ilvl="5" w:tplc="D1D2E512" w:tentative="1">
      <w:start w:val="1"/>
      <w:numFmt w:val="bullet"/>
      <w:lvlText w:val=""/>
      <w:lvlJc w:val="left"/>
      <w:pPr>
        <w:ind w:left="4898" w:hanging="360"/>
      </w:pPr>
      <w:rPr>
        <w:rFonts w:ascii="Wingdings" w:hAnsi="Wingdings" w:hint="default"/>
      </w:rPr>
    </w:lvl>
    <w:lvl w:ilvl="6" w:tplc="96664F34" w:tentative="1">
      <w:start w:val="1"/>
      <w:numFmt w:val="bullet"/>
      <w:lvlText w:val=""/>
      <w:lvlJc w:val="left"/>
      <w:pPr>
        <w:ind w:left="5618" w:hanging="360"/>
      </w:pPr>
      <w:rPr>
        <w:rFonts w:ascii="Symbol" w:hAnsi="Symbol" w:hint="default"/>
      </w:rPr>
    </w:lvl>
    <w:lvl w:ilvl="7" w:tplc="E1E2185E" w:tentative="1">
      <w:start w:val="1"/>
      <w:numFmt w:val="bullet"/>
      <w:lvlText w:val="o"/>
      <w:lvlJc w:val="left"/>
      <w:pPr>
        <w:ind w:left="6338" w:hanging="360"/>
      </w:pPr>
      <w:rPr>
        <w:rFonts w:ascii="Courier New" w:hAnsi="Courier New" w:cs="Courier New" w:hint="default"/>
      </w:rPr>
    </w:lvl>
    <w:lvl w:ilvl="8" w:tplc="489017A0" w:tentative="1">
      <w:start w:val="1"/>
      <w:numFmt w:val="bullet"/>
      <w:lvlText w:val=""/>
      <w:lvlJc w:val="left"/>
      <w:pPr>
        <w:ind w:left="7058" w:hanging="360"/>
      </w:pPr>
      <w:rPr>
        <w:rFonts w:ascii="Wingdings" w:hAnsi="Wingdings" w:hint="default"/>
      </w:rPr>
    </w:lvl>
  </w:abstractNum>
  <w:abstractNum w:abstractNumId="3" w15:restartNumberingAfterBreak="0">
    <w:nsid w:val="30184FEE"/>
    <w:multiLevelType w:val="hybridMultilevel"/>
    <w:tmpl w:val="677457DA"/>
    <w:lvl w:ilvl="0" w:tplc="22EAAE6A">
      <w:start w:val="1"/>
      <w:numFmt w:val="lowerRoman"/>
      <w:pStyle w:val="RomanNumerals"/>
      <w:lvlText w:val="%1."/>
      <w:lvlJc w:val="right"/>
      <w:pPr>
        <w:ind w:left="720" w:hanging="360"/>
      </w:pPr>
    </w:lvl>
    <w:lvl w:ilvl="1" w:tplc="B88AF49A" w:tentative="1">
      <w:start w:val="1"/>
      <w:numFmt w:val="lowerLetter"/>
      <w:lvlText w:val="%2."/>
      <w:lvlJc w:val="left"/>
      <w:pPr>
        <w:ind w:left="1440" w:hanging="360"/>
      </w:pPr>
    </w:lvl>
    <w:lvl w:ilvl="2" w:tplc="66D2E00A" w:tentative="1">
      <w:start w:val="1"/>
      <w:numFmt w:val="lowerRoman"/>
      <w:lvlText w:val="%3."/>
      <w:lvlJc w:val="right"/>
      <w:pPr>
        <w:ind w:left="2160" w:hanging="180"/>
      </w:pPr>
    </w:lvl>
    <w:lvl w:ilvl="3" w:tplc="811A309E" w:tentative="1">
      <w:start w:val="1"/>
      <w:numFmt w:val="decimal"/>
      <w:lvlText w:val="%4."/>
      <w:lvlJc w:val="left"/>
      <w:pPr>
        <w:ind w:left="2880" w:hanging="360"/>
      </w:pPr>
    </w:lvl>
    <w:lvl w:ilvl="4" w:tplc="967693EC" w:tentative="1">
      <w:start w:val="1"/>
      <w:numFmt w:val="lowerLetter"/>
      <w:lvlText w:val="%5."/>
      <w:lvlJc w:val="left"/>
      <w:pPr>
        <w:ind w:left="3600" w:hanging="360"/>
      </w:pPr>
    </w:lvl>
    <w:lvl w:ilvl="5" w:tplc="2B3A9490" w:tentative="1">
      <w:start w:val="1"/>
      <w:numFmt w:val="lowerRoman"/>
      <w:lvlText w:val="%6."/>
      <w:lvlJc w:val="right"/>
      <w:pPr>
        <w:ind w:left="4320" w:hanging="180"/>
      </w:pPr>
    </w:lvl>
    <w:lvl w:ilvl="6" w:tplc="CF8CCC9C" w:tentative="1">
      <w:start w:val="1"/>
      <w:numFmt w:val="decimal"/>
      <w:lvlText w:val="%7."/>
      <w:lvlJc w:val="left"/>
      <w:pPr>
        <w:ind w:left="5040" w:hanging="360"/>
      </w:pPr>
    </w:lvl>
    <w:lvl w:ilvl="7" w:tplc="39D89F44" w:tentative="1">
      <w:start w:val="1"/>
      <w:numFmt w:val="lowerLetter"/>
      <w:lvlText w:val="%8."/>
      <w:lvlJc w:val="left"/>
      <w:pPr>
        <w:ind w:left="5760" w:hanging="360"/>
      </w:pPr>
    </w:lvl>
    <w:lvl w:ilvl="8" w:tplc="69402B58" w:tentative="1">
      <w:start w:val="1"/>
      <w:numFmt w:val="lowerRoman"/>
      <w:lvlText w:val="%9."/>
      <w:lvlJc w:val="right"/>
      <w:pPr>
        <w:ind w:left="6480" w:hanging="180"/>
      </w:pPr>
    </w:lvl>
  </w:abstractNum>
  <w:abstractNum w:abstractNumId="4" w15:restartNumberingAfterBreak="0">
    <w:nsid w:val="5035578E"/>
    <w:multiLevelType w:val="hybridMultilevel"/>
    <w:tmpl w:val="30C0A596"/>
    <w:lvl w:ilvl="0" w:tplc="93FE1CD0">
      <w:start w:val="1"/>
      <w:numFmt w:val="decimal"/>
      <w:pStyle w:val="NumberList"/>
      <w:lvlText w:val="(%1)"/>
      <w:lvlJc w:val="left"/>
      <w:pPr>
        <w:ind w:left="720" w:hanging="360"/>
      </w:pPr>
      <w:rPr>
        <w:rFonts w:hint="default"/>
      </w:rPr>
    </w:lvl>
    <w:lvl w:ilvl="1" w:tplc="D2ACA718" w:tentative="1">
      <w:start w:val="1"/>
      <w:numFmt w:val="lowerLetter"/>
      <w:lvlText w:val="%2."/>
      <w:lvlJc w:val="left"/>
      <w:pPr>
        <w:ind w:left="1440" w:hanging="360"/>
      </w:pPr>
    </w:lvl>
    <w:lvl w:ilvl="2" w:tplc="C4A0DDCE" w:tentative="1">
      <w:start w:val="1"/>
      <w:numFmt w:val="lowerRoman"/>
      <w:lvlText w:val="%3."/>
      <w:lvlJc w:val="right"/>
      <w:pPr>
        <w:ind w:left="2160" w:hanging="180"/>
      </w:pPr>
    </w:lvl>
    <w:lvl w:ilvl="3" w:tplc="CEE85734" w:tentative="1">
      <w:start w:val="1"/>
      <w:numFmt w:val="decimal"/>
      <w:lvlText w:val="%4."/>
      <w:lvlJc w:val="left"/>
      <w:pPr>
        <w:ind w:left="2880" w:hanging="360"/>
      </w:pPr>
    </w:lvl>
    <w:lvl w:ilvl="4" w:tplc="BD96D4CA" w:tentative="1">
      <w:start w:val="1"/>
      <w:numFmt w:val="lowerLetter"/>
      <w:lvlText w:val="%5."/>
      <w:lvlJc w:val="left"/>
      <w:pPr>
        <w:ind w:left="3600" w:hanging="360"/>
      </w:pPr>
    </w:lvl>
    <w:lvl w:ilvl="5" w:tplc="C7549FE6" w:tentative="1">
      <w:start w:val="1"/>
      <w:numFmt w:val="lowerRoman"/>
      <w:lvlText w:val="%6."/>
      <w:lvlJc w:val="right"/>
      <w:pPr>
        <w:ind w:left="4320" w:hanging="180"/>
      </w:pPr>
    </w:lvl>
    <w:lvl w:ilvl="6" w:tplc="B72A7088" w:tentative="1">
      <w:start w:val="1"/>
      <w:numFmt w:val="decimal"/>
      <w:lvlText w:val="%7."/>
      <w:lvlJc w:val="left"/>
      <w:pPr>
        <w:ind w:left="5040" w:hanging="360"/>
      </w:pPr>
    </w:lvl>
    <w:lvl w:ilvl="7" w:tplc="A8AEBAE8" w:tentative="1">
      <w:start w:val="1"/>
      <w:numFmt w:val="lowerLetter"/>
      <w:lvlText w:val="%8."/>
      <w:lvlJc w:val="left"/>
      <w:pPr>
        <w:ind w:left="5760" w:hanging="360"/>
      </w:pPr>
    </w:lvl>
    <w:lvl w:ilvl="8" w:tplc="FA485F40" w:tentative="1">
      <w:start w:val="1"/>
      <w:numFmt w:val="lowerRoman"/>
      <w:lvlText w:val="%9."/>
      <w:lvlJc w:val="right"/>
      <w:pPr>
        <w:ind w:left="6480" w:hanging="180"/>
      </w:pPr>
    </w:lvl>
  </w:abstractNum>
  <w:abstractNum w:abstractNumId="5" w15:restartNumberingAfterBreak="0">
    <w:nsid w:val="5810225D"/>
    <w:multiLevelType w:val="hybridMultilevel"/>
    <w:tmpl w:val="5C7465FE"/>
    <w:lvl w:ilvl="0" w:tplc="A8E27C78">
      <w:start w:val="1"/>
      <w:numFmt w:val="lowerLetter"/>
      <w:pStyle w:val="abcList"/>
      <w:lvlText w:val="%1)"/>
      <w:lvlJc w:val="left"/>
      <w:pPr>
        <w:ind w:left="720" w:hanging="360"/>
      </w:pPr>
    </w:lvl>
    <w:lvl w:ilvl="1" w:tplc="6960DDE2" w:tentative="1">
      <w:start w:val="1"/>
      <w:numFmt w:val="lowerLetter"/>
      <w:lvlText w:val="%2."/>
      <w:lvlJc w:val="left"/>
      <w:pPr>
        <w:ind w:left="1440" w:hanging="360"/>
      </w:pPr>
    </w:lvl>
    <w:lvl w:ilvl="2" w:tplc="A866E3B2" w:tentative="1">
      <w:start w:val="1"/>
      <w:numFmt w:val="lowerRoman"/>
      <w:lvlText w:val="%3."/>
      <w:lvlJc w:val="right"/>
      <w:pPr>
        <w:ind w:left="2160" w:hanging="180"/>
      </w:pPr>
    </w:lvl>
    <w:lvl w:ilvl="3" w:tplc="DC44B3AA" w:tentative="1">
      <w:start w:val="1"/>
      <w:numFmt w:val="decimal"/>
      <w:lvlText w:val="%4."/>
      <w:lvlJc w:val="left"/>
      <w:pPr>
        <w:ind w:left="2880" w:hanging="360"/>
      </w:pPr>
    </w:lvl>
    <w:lvl w:ilvl="4" w:tplc="062AD10C" w:tentative="1">
      <w:start w:val="1"/>
      <w:numFmt w:val="lowerLetter"/>
      <w:lvlText w:val="%5."/>
      <w:lvlJc w:val="left"/>
      <w:pPr>
        <w:ind w:left="3600" w:hanging="360"/>
      </w:pPr>
    </w:lvl>
    <w:lvl w:ilvl="5" w:tplc="5164C916" w:tentative="1">
      <w:start w:val="1"/>
      <w:numFmt w:val="lowerRoman"/>
      <w:lvlText w:val="%6."/>
      <w:lvlJc w:val="right"/>
      <w:pPr>
        <w:ind w:left="4320" w:hanging="180"/>
      </w:pPr>
    </w:lvl>
    <w:lvl w:ilvl="6" w:tplc="E068A65E" w:tentative="1">
      <w:start w:val="1"/>
      <w:numFmt w:val="decimal"/>
      <w:lvlText w:val="%7."/>
      <w:lvlJc w:val="left"/>
      <w:pPr>
        <w:ind w:left="5040" w:hanging="360"/>
      </w:pPr>
    </w:lvl>
    <w:lvl w:ilvl="7" w:tplc="DF987ECA" w:tentative="1">
      <w:start w:val="1"/>
      <w:numFmt w:val="lowerLetter"/>
      <w:lvlText w:val="%8."/>
      <w:lvlJc w:val="left"/>
      <w:pPr>
        <w:ind w:left="5760" w:hanging="360"/>
      </w:pPr>
    </w:lvl>
    <w:lvl w:ilvl="8" w:tplc="94981DD8" w:tentative="1">
      <w:start w:val="1"/>
      <w:numFmt w:val="lowerRoman"/>
      <w:lvlText w:val="%9."/>
      <w:lvlJc w:val="right"/>
      <w:pPr>
        <w:ind w:left="6480" w:hanging="180"/>
      </w:pPr>
    </w:lvl>
  </w:abstractNum>
  <w:abstractNum w:abstractNumId="6" w15:restartNumberingAfterBreak="0">
    <w:nsid w:val="588E0782"/>
    <w:multiLevelType w:val="hybridMultilevel"/>
    <w:tmpl w:val="75C0DA04"/>
    <w:lvl w:ilvl="0" w:tplc="03F8C006">
      <w:start w:val="1"/>
      <w:numFmt w:val="bullet"/>
      <w:lvlText w:val=""/>
      <w:lvlJc w:val="left"/>
      <w:pPr>
        <w:ind w:left="927" w:hanging="360"/>
      </w:pPr>
      <w:rPr>
        <w:rFonts w:ascii="Symbol" w:hAnsi="Symbol" w:hint="default"/>
        <w:color w:val="F59D21"/>
      </w:rPr>
    </w:lvl>
    <w:lvl w:ilvl="1" w:tplc="5022B6EE">
      <w:start w:val="1"/>
      <w:numFmt w:val="bullet"/>
      <w:lvlText w:val="o"/>
      <w:lvlJc w:val="left"/>
      <w:pPr>
        <w:ind w:left="1647" w:hanging="360"/>
      </w:pPr>
      <w:rPr>
        <w:rFonts w:ascii="Courier New" w:hAnsi="Courier New" w:cs="Courier New" w:hint="default"/>
      </w:rPr>
    </w:lvl>
    <w:lvl w:ilvl="2" w:tplc="45BEDC18" w:tentative="1">
      <w:start w:val="1"/>
      <w:numFmt w:val="bullet"/>
      <w:lvlText w:val=""/>
      <w:lvlJc w:val="left"/>
      <w:pPr>
        <w:ind w:left="2367" w:hanging="360"/>
      </w:pPr>
      <w:rPr>
        <w:rFonts w:ascii="Wingdings" w:hAnsi="Wingdings" w:hint="default"/>
      </w:rPr>
    </w:lvl>
    <w:lvl w:ilvl="3" w:tplc="1FBA6E20" w:tentative="1">
      <w:start w:val="1"/>
      <w:numFmt w:val="bullet"/>
      <w:lvlText w:val=""/>
      <w:lvlJc w:val="left"/>
      <w:pPr>
        <w:ind w:left="3087" w:hanging="360"/>
      </w:pPr>
      <w:rPr>
        <w:rFonts w:ascii="Symbol" w:hAnsi="Symbol" w:hint="default"/>
      </w:rPr>
    </w:lvl>
    <w:lvl w:ilvl="4" w:tplc="351E4E1E" w:tentative="1">
      <w:start w:val="1"/>
      <w:numFmt w:val="bullet"/>
      <w:lvlText w:val="o"/>
      <w:lvlJc w:val="left"/>
      <w:pPr>
        <w:ind w:left="3807" w:hanging="360"/>
      </w:pPr>
      <w:rPr>
        <w:rFonts w:ascii="Courier New" w:hAnsi="Courier New" w:cs="Courier New" w:hint="default"/>
      </w:rPr>
    </w:lvl>
    <w:lvl w:ilvl="5" w:tplc="4ED82AAA" w:tentative="1">
      <w:start w:val="1"/>
      <w:numFmt w:val="bullet"/>
      <w:lvlText w:val=""/>
      <w:lvlJc w:val="left"/>
      <w:pPr>
        <w:ind w:left="4527" w:hanging="360"/>
      </w:pPr>
      <w:rPr>
        <w:rFonts w:ascii="Wingdings" w:hAnsi="Wingdings" w:hint="default"/>
      </w:rPr>
    </w:lvl>
    <w:lvl w:ilvl="6" w:tplc="186C517C" w:tentative="1">
      <w:start w:val="1"/>
      <w:numFmt w:val="bullet"/>
      <w:lvlText w:val=""/>
      <w:lvlJc w:val="left"/>
      <w:pPr>
        <w:ind w:left="5247" w:hanging="360"/>
      </w:pPr>
      <w:rPr>
        <w:rFonts w:ascii="Symbol" w:hAnsi="Symbol" w:hint="default"/>
      </w:rPr>
    </w:lvl>
    <w:lvl w:ilvl="7" w:tplc="627C8332" w:tentative="1">
      <w:start w:val="1"/>
      <w:numFmt w:val="bullet"/>
      <w:lvlText w:val="o"/>
      <w:lvlJc w:val="left"/>
      <w:pPr>
        <w:ind w:left="5967" w:hanging="360"/>
      </w:pPr>
      <w:rPr>
        <w:rFonts w:ascii="Courier New" w:hAnsi="Courier New" w:cs="Courier New" w:hint="default"/>
      </w:rPr>
    </w:lvl>
    <w:lvl w:ilvl="8" w:tplc="A2F883FC" w:tentative="1">
      <w:start w:val="1"/>
      <w:numFmt w:val="bullet"/>
      <w:lvlText w:val=""/>
      <w:lvlJc w:val="left"/>
      <w:pPr>
        <w:ind w:left="6687" w:hanging="360"/>
      </w:pPr>
      <w:rPr>
        <w:rFonts w:ascii="Wingdings" w:hAnsi="Wingdings" w:hint="default"/>
      </w:rPr>
    </w:lvl>
  </w:abstractNum>
  <w:abstractNum w:abstractNumId="7" w15:restartNumberingAfterBreak="0">
    <w:nsid w:val="68623399"/>
    <w:multiLevelType w:val="hybridMultilevel"/>
    <w:tmpl w:val="AFCE0960"/>
    <w:lvl w:ilvl="0" w:tplc="88C0B73C">
      <w:start w:val="1"/>
      <w:numFmt w:val="bullet"/>
      <w:lvlText w:val=""/>
      <w:lvlJc w:val="left"/>
      <w:pPr>
        <w:ind w:left="1080" w:hanging="360"/>
      </w:pPr>
      <w:rPr>
        <w:rFonts w:ascii="Symbol" w:hAnsi="Symbol" w:hint="default"/>
        <w:color w:val="F59D21"/>
      </w:rPr>
    </w:lvl>
    <w:lvl w:ilvl="1" w:tplc="2ACA0C56" w:tentative="1">
      <w:start w:val="1"/>
      <w:numFmt w:val="bullet"/>
      <w:lvlText w:val="o"/>
      <w:lvlJc w:val="left"/>
      <w:pPr>
        <w:ind w:left="1800" w:hanging="360"/>
      </w:pPr>
      <w:rPr>
        <w:rFonts w:ascii="Courier New" w:hAnsi="Courier New" w:cs="Courier New" w:hint="default"/>
      </w:rPr>
    </w:lvl>
    <w:lvl w:ilvl="2" w:tplc="928453AE" w:tentative="1">
      <w:start w:val="1"/>
      <w:numFmt w:val="bullet"/>
      <w:lvlText w:val=""/>
      <w:lvlJc w:val="left"/>
      <w:pPr>
        <w:ind w:left="2520" w:hanging="360"/>
      </w:pPr>
      <w:rPr>
        <w:rFonts w:ascii="Wingdings" w:hAnsi="Wingdings" w:hint="default"/>
      </w:rPr>
    </w:lvl>
    <w:lvl w:ilvl="3" w:tplc="CA12A762" w:tentative="1">
      <w:start w:val="1"/>
      <w:numFmt w:val="bullet"/>
      <w:lvlText w:val=""/>
      <w:lvlJc w:val="left"/>
      <w:pPr>
        <w:ind w:left="3240" w:hanging="360"/>
      </w:pPr>
      <w:rPr>
        <w:rFonts w:ascii="Symbol" w:hAnsi="Symbol" w:hint="default"/>
      </w:rPr>
    </w:lvl>
    <w:lvl w:ilvl="4" w:tplc="FF449698" w:tentative="1">
      <w:start w:val="1"/>
      <w:numFmt w:val="bullet"/>
      <w:lvlText w:val="o"/>
      <w:lvlJc w:val="left"/>
      <w:pPr>
        <w:ind w:left="3960" w:hanging="360"/>
      </w:pPr>
      <w:rPr>
        <w:rFonts w:ascii="Courier New" w:hAnsi="Courier New" w:cs="Courier New" w:hint="default"/>
      </w:rPr>
    </w:lvl>
    <w:lvl w:ilvl="5" w:tplc="B78AA032" w:tentative="1">
      <w:start w:val="1"/>
      <w:numFmt w:val="bullet"/>
      <w:lvlText w:val=""/>
      <w:lvlJc w:val="left"/>
      <w:pPr>
        <w:ind w:left="4680" w:hanging="360"/>
      </w:pPr>
      <w:rPr>
        <w:rFonts w:ascii="Wingdings" w:hAnsi="Wingdings" w:hint="default"/>
      </w:rPr>
    </w:lvl>
    <w:lvl w:ilvl="6" w:tplc="41F0E6A4" w:tentative="1">
      <w:start w:val="1"/>
      <w:numFmt w:val="bullet"/>
      <w:lvlText w:val=""/>
      <w:lvlJc w:val="left"/>
      <w:pPr>
        <w:ind w:left="5400" w:hanging="360"/>
      </w:pPr>
      <w:rPr>
        <w:rFonts w:ascii="Symbol" w:hAnsi="Symbol" w:hint="default"/>
      </w:rPr>
    </w:lvl>
    <w:lvl w:ilvl="7" w:tplc="C720A0A2" w:tentative="1">
      <w:start w:val="1"/>
      <w:numFmt w:val="bullet"/>
      <w:lvlText w:val="o"/>
      <w:lvlJc w:val="left"/>
      <w:pPr>
        <w:ind w:left="6120" w:hanging="360"/>
      </w:pPr>
      <w:rPr>
        <w:rFonts w:ascii="Courier New" w:hAnsi="Courier New" w:cs="Courier New" w:hint="default"/>
      </w:rPr>
    </w:lvl>
    <w:lvl w:ilvl="8" w:tplc="F55A3506" w:tentative="1">
      <w:start w:val="1"/>
      <w:numFmt w:val="bullet"/>
      <w:lvlText w:val=""/>
      <w:lvlJc w:val="left"/>
      <w:pPr>
        <w:ind w:left="6840" w:hanging="360"/>
      </w:pPr>
      <w:rPr>
        <w:rFonts w:ascii="Wingdings" w:hAnsi="Wingdings" w:hint="default"/>
      </w:rPr>
    </w:lvl>
  </w:abstractNum>
  <w:abstractNum w:abstractNumId="8" w15:restartNumberingAfterBreak="0">
    <w:nsid w:val="7F041192"/>
    <w:multiLevelType w:val="hybridMultilevel"/>
    <w:tmpl w:val="900A5DAE"/>
    <w:lvl w:ilvl="0" w:tplc="5F0CD964">
      <w:start w:val="1"/>
      <w:numFmt w:val="bullet"/>
      <w:lvlText w:val=""/>
      <w:lvlJc w:val="left"/>
      <w:pPr>
        <w:ind w:left="1287" w:hanging="360"/>
      </w:pPr>
      <w:rPr>
        <w:rFonts w:ascii="Symbol" w:hAnsi="Symbol" w:hint="default"/>
        <w:color w:val="F59D21"/>
      </w:rPr>
    </w:lvl>
    <w:lvl w:ilvl="1" w:tplc="5C7ECD42" w:tentative="1">
      <w:start w:val="1"/>
      <w:numFmt w:val="bullet"/>
      <w:lvlText w:val="o"/>
      <w:lvlJc w:val="left"/>
      <w:pPr>
        <w:ind w:left="2007" w:hanging="360"/>
      </w:pPr>
      <w:rPr>
        <w:rFonts w:ascii="Courier New" w:hAnsi="Courier New" w:cs="Courier New" w:hint="default"/>
      </w:rPr>
    </w:lvl>
    <w:lvl w:ilvl="2" w:tplc="E5908060" w:tentative="1">
      <w:start w:val="1"/>
      <w:numFmt w:val="bullet"/>
      <w:lvlText w:val=""/>
      <w:lvlJc w:val="left"/>
      <w:pPr>
        <w:ind w:left="2727" w:hanging="360"/>
      </w:pPr>
      <w:rPr>
        <w:rFonts w:ascii="Wingdings" w:hAnsi="Wingdings" w:hint="default"/>
      </w:rPr>
    </w:lvl>
    <w:lvl w:ilvl="3" w:tplc="874E5E22" w:tentative="1">
      <w:start w:val="1"/>
      <w:numFmt w:val="bullet"/>
      <w:lvlText w:val=""/>
      <w:lvlJc w:val="left"/>
      <w:pPr>
        <w:ind w:left="3447" w:hanging="360"/>
      </w:pPr>
      <w:rPr>
        <w:rFonts w:ascii="Symbol" w:hAnsi="Symbol" w:hint="default"/>
      </w:rPr>
    </w:lvl>
    <w:lvl w:ilvl="4" w:tplc="CD942684" w:tentative="1">
      <w:start w:val="1"/>
      <w:numFmt w:val="bullet"/>
      <w:lvlText w:val="o"/>
      <w:lvlJc w:val="left"/>
      <w:pPr>
        <w:ind w:left="4167" w:hanging="360"/>
      </w:pPr>
      <w:rPr>
        <w:rFonts w:ascii="Courier New" w:hAnsi="Courier New" w:cs="Courier New" w:hint="default"/>
      </w:rPr>
    </w:lvl>
    <w:lvl w:ilvl="5" w:tplc="1CB82BD4" w:tentative="1">
      <w:start w:val="1"/>
      <w:numFmt w:val="bullet"/>
      <w:lvlText w:val=""/>
      <w:lvlJc w:val="left"/>
      <w:pPr>
        <w:ind w:left="4887" w:hanging="360"/>
      </w:pPr>
      <w:rPr>
        <w:rFonts w:ascii="Wingdings" w:hAnsi="Wingdings" w:hint="default"/>
      </w:rPr>
    </w:lvl>
    <w:lvl w:ilvl="6" w:tplc="BEAC6630" w:tentative="1">
      <w:start w:val="1"/>
      <w:numFmt w:val="bullet"/>
      <w:lvlText w:val=""/>
      <w:lvlJc w:val="left"/>
      <w:pPr>
        <w:ind w:left="5607" w:hanging="360"/>
      </w:pPr>
      <w:rPr>
        <w:rFonts w:ascii="Symbol" w:hAnsi="Symbol" w:hint="default"/>
      </w:rPr>
    </w:lvl>
    <w:lvl w:ilvl="7" w:tplc="D0D6356A" w:tentative="1">
      <w:start w:val="1"/>
      <w:numFmt w:val="bullet"/>
      <w:lvlText w:val="o"/>
      <w:lvlJc w:val="left"/>
      <w:pPr>
        <w:ind w:left="6327" w:hanging="360"/>
      </w:pPr>
      <w:rPr>
        <w:rFonts w:ascii="Courier New" w:hAnsi="Courier New" w:cs="Courier New" w:hint="default"/>
      </w:rPr>
    </w:lvl>
    <w:lvl w:ilvl="8" w:tplc="A85E8B80" w:tentative="1">
      <w:start w:val="1"/>
      <w:numFmt w:val="bullet"/>
      <w:lvlText w:val=""/>
      <w:lvlJc w:val="left"/>
      <w:pPr>
        <w:ind w:left="7047" w:hanging="360"/>
      </w:pPr>
      <w:rPr>
        <w:rFonts w:ascii="Wingdings" w:hAnsi="Wingdings" w:hint="default"/>
      </w:rPr>
    </w:lvl>
  </w:abstractNum>
  <w:num w:numId="1" w16cid:durableId="621960777">
    <w:abstractNumId w:val="1"/>
  </w:num>
  <w:num w:numId="2" w16cid:durableId="1705208553">
    <w:abstractNumId w:val="0"/>
  </w:num>
  <w:num w:numId="3" w16cid:durableId="748619934">
    <w:abstractNumId w:val="3"/>
  </w:num>
  <w:num w:numId="4" w16cid:durableId="1175612746">
    <w:abstractNumId w:val="5"/>
  </w:num>
  <w:num w:numId="5" w16cid:durableId="150758067">
    <w:abstractNumId w:val="4"/>
  </w:num>
  <w:num w:numId="6" w16cid:durableId="1786076982">
    <w:abstractNumId w:val="6"/>
  </w:num>
  <w:num w:numId="7" w16cid:durableId="1479224203">
    <w:abstractNumId w:val="2"/>
  </w:num>
  <w:num w:numId="8" w16cid:durableId="1670060143">
    <w:abstractNumId w:val="8"/>
  </w:num>
  <w:num w:numId="9" w16cid:durableId="120194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1"/>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DE"/>
    <w:rsid w:val="00001E8F"/>
    <w:rsid w:val="00021113"/>
    <w:rsid w:val="000832E8"/>
    <w:rsid w:val="00092D71"/>
    <w:rsid w:val="00094483"/>
    <w:rsid w:val="000C44BB"/>
    <w:rsid w:val="000D6F8B"/>
    <w:rsid w:val="00102F02"/>
    <w:rsid w:val="00155CF8"/>
    <w:rsid w:val="001C081B"/>
    <w:rsid w:val="001C43F0"/>
    <w:rsid w:val="001C60A3"/>
    <w:rsid w:val="001E0605"/>
    <w:rsid w:val="001F6A0A"/>
    <w:rsid w:val="00205539"/>
    <w:rsid w:val="00205C20"/>
    <w:rsid w:val="00233A5D"/>
    <w:rsid w:val="002373E1"/>
    <w:rsid w:val="00263B4C"/>
    <w:rsid w:val="00271A71"/>
    <w:rsid w:val="00277B82"/>
    <w:rsid w:val="002926FB"/>
    <w:rsid w:val="00292CCF"/>
    <w:rsid w:val="00294492"/>
    <w:rsid w:val="002B0CEF"/>
    <w:rsid w:val="002B0FE0"/>
    <w:rsid w:val="002B23A8"/>
    <w:rsid w:val="002D398A"/>
    <w:rsid w:val="002D3B05"/>
    <w:rsid w:val="00316ED1"/>
    <w:rsid w:val="00351C04"/>
    <w:rsid w:val="00370658"/>
    <w:rsid w:val="00372F3D"/>
    <w:rsid w:val="00387221"/>
    <w:rsid w:val="003A1621"/>
    <w:rsid w:val="003A6E05"/>
    <w:rsid w:val="003B5153"/>
    <w:rsid w:val="0040123A"/>
    <w:rsid w:val="00463DFC"/>
    <w:rsid w:val="0047482C"/>
    <w:rsid w:val="004E430D"/>
    <w:rsid w:val="00534EF7"/>
    <w:rsid w:val="00536639"/>
    <w:rsid w:val="00537C3A"/>
    <w:rsid w:val="005443F3"/>
    <w:rsid w:val="00552F80"/>
    <w:rsid w:val="005A79EB"/>
    <w:rsid w:val="005C593B"/>
    <w:rsid w:val="00641A05"/>
    <w:rsid w:val="00644125"/>
    <w:rsid w:val="00682F59"/>
    <w:rsid w:val="006A3D73"/>
    <w:rsid w:val="006B6E62"/>
    <w:rsid w:val="006B7A79"/>
    <w:rsid w:val="006E4F3B"/>
    <w:rsid w:val="00724737"/>
    <w:rsid w:val="00777D19"/>
    <w:rsid w:val="00784CC6"/>
    <w:rsid w:val="00797FEC"/>
    <w:rsid w:val="007A63E8"/>
    <w:rsid w:val="007C32E3"/>
    <w:rsid w:val="007F5FFD"/>
    <w:rsid w:val="00846B65"/>
    <w:rsid w:val="008572FF"/>
    <w:rsid w:val="00860335"/>
    <w:rsid w:val="008654CB"/>
    <w:rsid w:val="008659A4"/>
    <w:rsid w:val="008B3A61"/>
    <w:rsid w:val="008C2E9B"/>
    <w:rsid w:val="00902498"/>
    <w:rsid w:val="00931C93"/>
    <w:rsid w:val="00973C9D"/>
    <w:rsid w:val="009874B2"/>
    <w:rsid w:val="009C1EB9"/>
    <w:rsid w:val="009C37E9"/>
    <w:rsid w:val="009C4DEA"/>
    <w:rsid w:val="00A01EA2"/>
    <w:rsid w:val="00A130D7"/>
    <w:rsid w:val="00A319D2"/>
    <w:rsid w:val="00A42952"/>
    <w:rsid w:val="00A84E49"/>
    <w:rsid w:val="00AA2F20"/>
    <w:rsid w:val="00AB126D"/>
    <w:rsid w:val="00AE3D55"/>
    <w:rsid w:val="00AE6184"/>
    <w:rsid w:val="00B128CD"/>
    <w:rsid w:val="00B267ED"/>
    <w:rsid w:val="00B55053"/>
    <w:rsid w:val="00B638AC"/>
    <w:rsid w:val="00B65CD1"/>
    <w:rsid w:val="00BC185B"/>
    <w:rsid w:val="00BD0219"/>
    <w:rsid w:val="00C76C6C"/>
    <w:rsid w:val="00C90971"/>
    <w:rsid w:val="00CF4ADE"/>
    <w:rsid w:val="00D12CC0"/>
    <w:rsid w:val="00D52438"/>
    <w:rsid w:val="00D5749F"/>
    <w:rsid w:val="00DB0198"/>
    <w:rsid w:val="00DB3315"/>
    <w:rsid w:val="00DC0AA1"/>
    <w:rsid w:val="00DC0ADE"/>
    <w:rsid w:val="00DC1BF1"/>
    <w:rsid w:val="00E129CD"/>
    <w:rsid w:val="00E2160C"/>
    <w:rsid w:val="00E30C72"/>
    <w:rsid w:val="00E4412C"/>
    <w:rsid w:val="00EC2D1B"/>
    <w:rsid w:val="00EE0BCB"/>
    <w:rsid w:val="00EE6215"/>
    <w:rsid w:val="00F831AB"/>
    <w:rsid w:val="00F93713"/>
    <w:rsid w:val="00FB7D3F"/>
    <w:rsid w:val="00FC7F38"/>
    <w:rsid w:val="00FE26B7"/>
    <w:rsid w:val="00FE574E"/>
    <w:rsid w:val="00FE5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7665F"/>
  <w15:chartTrackingRefBased/>
  <w15:docId w15:val="{9F5D3FD5-86F3-43DF-A770-12DA2B27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semiHidden="1" w:unhideWhenUsed="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locked="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locked="0"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AA1"/>
    <w:pPr>
      <w:spacing w:line="240" w:lineRule="auto"/>
    </w:pPr>
    <w:rPr>
      <w:rFonts w:ascii="Arial" w:hAnsi="Arial" w:cstheme="majorBidi"/>
      <w:color w:val="000000" w:themeColor="text1"/>
      <w:kern w:val="0"/>
      <w:sz w:val="24"/>
      <w:szCs w:val="32"/>
      <w14:ligatures w14:val="none"/>
    </w:rPr>
  </w:style>
  <w:style w:type="paragraph" w:styleId="Heading1">
    <w:name w:val="heading 1"/>
    <w:basedOn w:val="Normal"/>
    <w:next w:val="Normal"/>
    <w:link w:val="Heading1Char"/>
    <w:uiPriority w:val="9"/>
    <w:qFormat/>
    <w:rsid w:val="00D52438"/>
    <w:pPr>
      <w:keepNext/>
      <w:keepLines/>
      <w:numPr>
        <w:numId w:val="1"/>
      </w:numPr>
      <w:spacing w:before="240" w:after="120"/>
      <w:ind w:left="357" w:hanging="357"/>
      <w:outlineLvl w:val="0"/>
    </w:pPr>
    <w:rPr>
      <w:rFonts w:eastAsiaTheme="majorEastAsia"/>
      <w:b/>
      <w:color w:val="0062AE"/>
      <w:sz w:val="28"/>
      <w:lang w:eastAsia="en-GB"/>
    </w:rPr>
  </w:style>
  <w:style w:type="paragraph" w:styleId="Heading2">
    <w:name w:val="heading 2"/>
    <w:basedOn w:val="Normal"/>
    <w:next w:val="Normal"/>
    <w:link w:val="Heading2Char"/>
    <w:autoRedefine/>
    <w:uiPriority w:val="9"/>
    <w:unhideWhenUsed/>
    <w:qFormat/>
    <w:rsid w:val="00D5749F"/>
    <w:pPr>
      <w:keepNext/>
      <w:keepLines/>
      <w:numPr>
        <w:ilvl w:val="1"/>
        <w:numId w:val="1"/>
      </w:numPr>
      <w:tabs>
        <w:tab w:val="left" w:pos="567"/>
      </w:tabs>
      <w:spacing w:after="120"/>
      <w:ind w:left="113" w:firstLine="0"/>
      <w:outlineLvl w:val="1"/>
    </w:pPr>
    <w:rPr>
      <w:rFonts w:eastAsia="Times New Roman" w:cs="Times New Roman"/>
      <w:b/>
      <w:color w:val="008800"/>
      <w:szCs w:val="24"/>
      <w:lang w:eastAsia="en-GB"/>
    </w:rPr>
  </w:style>
  <w:style w:type="paragraph" w:styleId="Heading3">
    <w:name w:val="heading 3"/>
    <w:basedOn w:val="Normal"/>
    <w:next w:val="Normal"/>
    <w:link w:val="Heading3Char"/>
    <w:uiPriority w:val="9"/>
    <w:semiHidden/>
    <w:unhideWhenUsed/>
    <w:locked/>
    <w:rsid w:val="001C081B"/>
    <w:pPr>
      <w:keepNext/>
      <w:keepLines/>
      <w:spacing w:before="40" w:after="0"/>
      <w:outlineLvl w:val="2"/>
    </w:pPr>
    <w:rPr>
      <w:rFonts w:asciiTheme="majorHAnsi" w:eastAsiaTheme="majorEastAsia" w:hAnsiTheme="majorHAnsi"/>
      <w:color w:val="1F3763" w:themeColor="accent1" w:themeShade="7F"/>
      <w:szCs w:val="24"/>
    </w:rPr>
  </w:style>
  <w:style w:type="paragraph" w:styleId="Heading4">
    <w:name w:val="heading 4"/>
    <w:basedOn w:val="Normal"/>
    <w:next w:val="Normal"/>
    <w:link w:val="Heading4Char"/>
    <w:uiPriority w:val="9"/>
    <w:semiHidden/>
    <w:unhideWhenUsed/>
    <w:qFormat/>
    <w:locked/>
    <w:rsid w:val="001C081B"/>
    <w:pPr>
      <w:keepNext/>
      <w:keepLines/>
      <w:spacing w:before="40" w:after="0"/>
      <w:outlineLvl w:val="3"/>
    </w:pPr>
    <w:rPr>
      <w:rFonts w:asciiTheme="majorHAnsi" w:eastAsiaTheme="majorEastAsia" w:hAnsiTheme="majorHAnsi"/>
      <w:i/>
      <w:iCs/>
      <w:color w:val="2F5496" w:themeColor="accent1" w:themeShade="BF"/>
    </w:rPr>
  </w:style>
  <w:style w:type="paragraph" w:styleId="Heading5">
    <w:name w:val="heading 5"/>
    <w:basedOn w:val="Normal"/>
    <w:next w:val="Normal"/>
    <w:link w:val="Heading5Char"/>
    <w:uiPriority w:val="9"/>
    <w:semiHidden/>
    <w:unhideWhenUsed/>
    <w:qFormat/>
    <w:locked/>
    <w:rsid w:val="001C081B"/>
    <w:pPr>
      <w:keepNext/>
      <w:keepLines/>
      <w:spacing w:before="40" w:after="0"/>
      <w:outlineLvl w:val="4"/>
    </w:pPr>
    <w:rPr>
      <w:rFonts w:asciiTheme="majorHAnsi" w:eastAsiaTheme="majorEastAsia" w:hAnsiTheme="majorHAnsi"/>
      <w:color w:val="2F5496" w:themeColor="accent1" w:themeShade="BF"/>
    </w:rPr>
  </w:style>
  <w:style w:type="paragraph" w:styleId="Heading6">
    <w:name w:val="heading 6"/>
    <w:basedOn w:val="Normal"/>
    <w:next w:val="Normal"/>
    <w:link w:val="Heading6Char"/>
    <w:uiPriority w:val="9"/>
    <w:semiHidden/>
    <w:unhideWhenUsed/>
    <w:qFormat/>
    <w:locked/>
    <w:rsid w:val="001C081B"/>
    <w:pPr>
      <w:keepNext/>
      <w:keepLines/>
      <w:spacing w:before="40" w:after="0"/>
      <w:outlineLvl w:val="5"/>
    </w:pPr>
    <w:rPr>
      <w:rFonts w:asciiTheme="majorHAnsi" w:eastAsiaTheme="majorEastAsia" w:hAnsiTheme="majorHAnsi"/>
      <w:color w:val="1F3763" w:themeColor="accent1" w:themeShade="7F"/>
    </w:rPr>
  </w:style>
  <w:style w:type="paragraph" w:styleId="Heading7">
    <w:name w:val="heading 7"/>
    <w:basedOn w:val="Normal"/>
    <w:next w:val="Normal"/>
    <w:link w:val="Heading7Char"/>
    <w:uiPriority w:val="9"/>
    <w:semiHidden/>
    <w:unhideWhenUsed/>
    <w:qFormat/>
    <w:locked/>
    <w:rsid w:val="001C081B"/>
    <w:pPr>
      <w:keepNext/>
      <w:keepLines/>
      <w:spacing w:before="40" w:after="0"/>
      <w:outlineLvl w:val="6"/>
    </w:pPr>
    <w:rPr>
      <w:rFonts w:asciiTheme="majorHAnsi" w:eastAsiaTheme="majorEastAsia" w:hAnsiTheme="majorHAnsi"/>
      <w:i/>
      <w:iCs/>
      <w:color w:val="1F3763" w:themeColor="accent1" w:themeShade="7F"/>
    </w:rPr>
  </w:style>
  <w:style w:type="paragraph" w:styleId="Heading8">
    <w:name w:val="heading 8"/>
    <w:basedOn w:val="Normal"/>
    <w:next w:val="Normal"/>
    <w:link w:val="Heading8Char"/>
    <w:uiPriority w:val="9"/>
    <w:semiHidden/>
    <w:unhideWhenUsed/>
    <w:qFormat/>
    <w:locked/>
    <w:rsid w:val="001C081B"/>
    <w:pPr>
      <w:keepNext/>
      <w:keepLines/>
      <w:spacing w:before="40" w:after="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1C081B"/>
    <w:pPr>
      <w:keepNext/>
      <w:keepLines/>
      <w:spacing w:before="40" w:after="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438"/>
    <w:rPr>
      <w:rFonts w:ascii="Arial" w:eastAsiaTheme="majorEastAsia" w:hAnsi="Arial" w:cstheme="majorBidi"/>
      <w:b/>
      <w:color w:val="0062AE"/>
      <w:kern w:val="0"/>
      <w:sz w:val="28"/>
      <w:szCs w:val="32"/>
      <w:lang w:eastAsia="en-GB"/>
      <w14:ligatures w14:val="none"/>
    </w:rPr>
  </w:style>
  <w:style w:type="character" w:customStyle="1" w:styleId="Heading2Char">
    <w:name w:val="Heading 2 Char"/>
    <w:basedOn w:val="DefaultParagraphFont"/>
    <w:link w:val="Heading2"/>
    <w:uiPriority w:val="9"/>
    <w:rsid w:val="00D5749F"/>
    <w:rPr>
      <w:rFonts w:ascii="Arial" w:eastAsia="Times New Roman" w:hAnsi="Arial" w:cs="Times New Roman"/>
      <w:b/>
      <w:color w:val="008800"/>
      <w:kern w:val="0"/>
      <w:sz w:val="24"/>
      <w:szCs w:val="24"/>
      <w:lang w:eastAsia="en-GB"/>
      <w14:ligatures w14:val="none"/>
    </w:rPr>
  </w:style>
  <w:style w:type="paragraph" w:styleId="Footer">
    <w:name w:val="footer"/>
    <w:basedOn w:val="Normal"/>
    <w:link w:val="FooterChar"/>
    <w:uiPriority w:val="99"/>
    <w:unhideWhenUsed/>
    <w:qFormat/>
    <w:rsid w:val="00DC0AA1"/>
    <w:pPr>
      <w:tabs>
        <w:tab w:val="center" w:pos="4513"/>
        <w:tab w:val="right" w:pos="9026"/>
      </w:tabs>
      <w:spacing w:after="0"/>
    </w:pPr>
    <w:rPr>
      <w:b/>
      <w:sz w:val="16"/>
    </w:rPr>
  </w:style>
  <w:style w:type="character" w:customStyle="1" w:styleId="FooterChar">
    <w:name w:val="Footer Char"/>
    <w:basedOn w:val="DefaultParagraphFont"/>
    <w:link w:val="Footer"/>
    <w:uiPriority w:val="99"/>
    <w:rsid w:val="00DC0AA1"/>
    <w:rPr>
      <w:rFonts w:ascii="Arial" w:hAnsi="Arial" w:cstheme="majorBidi"/>
      <w:b/>
      <w:color w:val="000000" w:themeColor="text1"/>
      <w:kern w:val="0"/>
      <w:sz w:val="16"/>
      <w:szCs w:val="32"/>
      <w14:ligatures w14:val="none"/>
    </w:rPr>
  </w:style>
  <w:style w:type="paragraph" w:styleId="Title">
    <w:name w:val="Title"/>
    <w:basedOn w:val="Normal"/>
    <w:next w:val="Normal"/>
    <w:link w:val="TitleChar"/>
    <w:qFormat/>
    <w:rsid w:val="00DC0AA1"/>
    <w:pPr>
      <w:spacing w:after="0"/>
      <w:contextualSpacing/>
    </w:pPr>
    <w:rPr>
      <w:rFonts w:eastAsiaTheme="majorEastAsia"/>
      <w:b/>
      <w:color w:val="0062AE"/>
      <w:spacing w:val="-10"/>
      <w:kern w:val="28"/>
      <w:sz w:val="56"/>
      <w:szCs w:val="56"/>
    </w:rPr>
  </w:style>
  <w:style w:type="character" w:customStyle="1" w:styleId="TitleChar">
    <w:name w:val="Title Char"/>
    <w:basedOn w:val="DefaultParagraphFont"/>
    <w:link w:val="Title"/>
    <w:rsid w:val="00DC0AA1"/>
    <w:rPr>
      <w:rFonts w:ascii="Arial" w:eastAsiaTheme="majorEastAsia" w:hAnsi="Arial" w:cstheme="majorBidi"/>
      <w:b/>
      <w:color w:val="0062AE"/>
      <w:spacing w:val="-10"/>
      <w:kern w:val="28"/>
      <w:sz w:val="56"/>
      <w:szCs w:val="56"/>
      <w14:ligatures w14:val="none"/>
    </w:rPr>
  </w:style>
  <w:style w:type="table" w:styleId="TableGrid">
    <w:name w:val="Table Grid"/>
    <w:basedOn w:val="TableNormal"/>
    <w:uiPriority w:val="59"/>
    <w:rsid w:val="00DC0AA1"/>
    <w:pPr>
      <w:spacing w:after="0" w:line="240" w:lineRule="auto"/>
    </w:pPr>
    <w:rPr>
      <w:rFonts w:ascii="Calibri" w:eastAsia="Times New Roman" w:hAnsi="Calibri" w:cs="Times New Roman"/>
      <w:color w:val="000000" w:themeColor="text1"/>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styleId="TOCHeading">
    <w:name w:val="TOC Heading"/>
    <w:basedOn w:val="Heading1"/>
    <w:next w:val="Normal"/>
    <w:uiPriority w:val="39"/>
    <w:unhideWhenUsed/>
    <w:qFormat/>
    <w:rsid w:val="00DC0AA1"/>
    <w:pPr>
      <w:numPr>
        <w:numId w:val="0"/>
      </w:numPr>
      <w:spacing w:after="0" w:line="259" w:lineRule="auto"/>
      <w:outlineLvl w:val="9"/>
    </w:pPr>
    <w:rPr>
      <w:sz w:val="32"/>
      <w:lang w:val="en-US" w:eastAsia="en-US"/>
    </w:rPr>
  </w:style>
  <w:style w:type="paragraph" w:styleId="TOC1">
    <w:name w:val="toc 1"/>
    <w:basedOn w:val="Normal"/>
    <w:next w:val="Normal"/>
    <w:autoRedefine/>
    <w:uiPriority w:val="39"/>
    <w:unhideWhenUsed/>
    <w:qFormat/>
    <w:rsid w:val="00DC0AA1"/>
    <w:pPr>
      <w:tabs>
        <w:tab w:val="left" w:pos="440"/>
        <w:tab w:val="right" w:leader="dot" w:pos="9016"/>
      </w:tabs>
      <w:spacing w:after="100"/>
    </w:pPr>
    <w:rPr>
      <w:rFonts w:cs="Arial"/>
      <w:noProof/>
    </w:rPr>
  </w:style>
  <w:style w:type="paragraph" w:styleId="TOC2">
    <w:name w:val="toc 2"/>
    <w:basedOn w:val="Normal"/>
    <w:next w:val="Normal"/>
    <w:autoRedefine/>
    <w:uiPriority w:val="39"/>
    <w:unhideWhenUsed/>
    <w:qFormat/>
    <w:rsid w:val="00DC0AA1"/>
    <w:pPr>
      <w:tabs>
        <w:tab w:val="left" w:pos="880"/>
        <w:tab w:val="right" w:leader="dot" w:pos="9016"/>
      </w:tabs>
      <w:spacing w:after="100"/>
      <w:ind w:left="220"/>
    </w:pPr>
    <w:rPr>
      <w:rFonts w:cs="Arial"/>
      <w:noProof/>
    </w:rPr>
  </w:style>
  <w:style w:type="character" w:styleId="Hyperlink">
    <w:name w:val="Hyperlink"/>
    <w:basedOn w:val="DefaultParagraphFont"/>
    <w:uiPriority w:val="99"/>
    <w:unhideWhenUsed/>
    <w:rsid w:val="00DC0AA1"/>
    <w:rPr>
      <w:rFonts w:asciiTheme="minorHAnsi" w:hAnsiTheme="minorHAnsi"/>
      <w:color w:val="0563C1" w:themeColor="hyperlink"/>
      <w:sz w:val="22"/>
      <w:u w:val="single"/>
    </w:rPr>
  </w:style>
  <w:style w:type="paragraph" w:customStyle="1" w:styleId="DocTitle">
    <w:name w:val="Doc Title"/>
    <w:basedOn w:val="Title"/>
    <w:link w:val="DocTitleChar"/>
    <w:qFormat/>
    <w:rsid w:val="00DC0AA1"/>
    <w:rPr>
      <w:rFonts w:cstheme="minorHAnsi"/>
      <w:color w:val="319B31"/>
    </w:rPr>
  </w:style>
  <w:style w:type="character" w:customStyle="1" w:styleId="DocTitleChar">
    <w:name w:val="Doc Title Char"/>
    <w:basedOn w:val="TitleChar"/>
    <w:link w:val="DocTitle"/>
    <w:rsid w:val="00DC0AA1"/>
    <w:rPr>
      <w:rFonts w:ascii="Arial" w:eastAsiaTheme="majorEastAsia" w:hAnsi="Arial" w:cstheme="minorHAnsi"/>
      <w:b/>
      <w:color w:val="319B31"/>
      <w:spacing w:val="-10"/>
      <w:kern w:val="28"/>
      <w:sz w:val="56"/>
      <w:szCs w:val="56"/>
      <w14:ligatures w14:val="none"/>
    </w:rPr>
  </w:style>
  <w:style w:type="paragraph" w:styleId="ListBullet">
    <w:name w:val="List Bullet"/>
    <w:basedOn w:val="Normal"/>
    <w:link w:val="ListBulletChar"/>
    <w:uiPriority w:val="99"/>
    <w:unhideWhenUsed/>
    <w:qFormat/>
    <w:rsid w:val="00DC0AA1"/>
    <w:pPr>
      <w:numPr>
        <w:numId w:val="2"/>
      </w:numPr>
      <w:contextualSpacing/>
    </w:pPr>
  </w:style>
  <w:style w:type="paragraph" w:customStyle="1" w:styleId="BoldNormal">
    <w:name w:val="Bold Normal"/>
    <w:basedOn w:val="Normal"/>
    <w:link w:val="BoldNormalChar"/>
    <w:autoRedefine/>
    <w:qFormat/>
    <w:rsid w:val="001C081B"/>
    <w:rPr>
      <w:b/>
    </w:rPr>
  </w:style>
  <w:style w:type="paragraph" w:customStyle="1" w:styleId="UnderlineNormal">
    <w:name w:val="Underline Normal"/>
    <w:basedOn w:val="Normal"/>
    <w:link w:val="UnderlineNormalChar"/>
    <w:qFormat/>
    <w:rsid w:val="00DC0AA1"/>
    <w:rPr>
      <w:u w:val="single"/>
    </w:rPr>
  </w:style>
  <w:style w:type="character" w:customStyle="1" w:styleId="BoldNormalChar">
    <w:name w:val="Bold Normal Char"/>
    <w:basedOn w:val="DefaultParagraphFont"/>
    <w:link w:val="BoldNormal"/>
    <w:rsid w:val="001C081B"/>
    <w:rPr>
      <w:rFonts w:ascii="Arial" w:hAnsi="Arial" w:cstheme="majorBidi"/>
      <w:b/>
      <w:color w:val="000000" w:themeColor="text1"/>
      <w:kern w:val="0"/>
      <w:sz w:val="24"/>
      <w:szCs w:val="32"/>
      <w14:ligatures w14:val="none"/>
    </w:rPr>
  </w:style>
  <w:style w:type="character" w:customStyle="1" w:styleId="UnderlineNormalChar">
    <w:name w:val="Underline Normal Char"/>
    <w:basedOn w:val="DefaultParagraphFont"/>
    <w:link w:val="UnderlineNormal"/>
    <w:rsid w:val="00DC0AA1"/>
    <w:rPr>
      <w:rFonts w:ascii="Arial" w:hAnsi="Arial" w:cstheme="majorBidi"/>
      <w:color w:val="000000" w:themeColor="text1"/>
      <w:kern w:val="0"/>
      <w:sz w:val="24"/>
      <w:szCs w:val="32"/>
      <w:u w:val="single"/>
      <w14:ligatures w14:val="none"/>
    </w:rPr>
  </w:style>
  <w:style w:type="paragraph" w:customStyle="1" w:styleId="RomanNumerals">
    <w:name w:val="Roman Numerals"/>
    <w:basedOn w:val="ListBullet"/>
    <w:link w:val="RomanNumeralsChar"/>
    <w:qFormat/>
    <w:rsid w:val="00DC0AA1"/>
    <w:pPr>
      <w:numPr>
        <w:numId w:val="3"/>
      </w:numPr>
    </w:pPr>
  </w:style>
  <w:style w:type="paragraph" w:customStyle="1" w:styleId="abcList">
    <w:name w:val="abc List"/>
    <w:basedOn w:val="RomanNumerals"/>
    <w:link w:val="abcListChar"/>
    <w:qFormat/>
    <w:rsid w:val="00DC0AA1"/>
    <w:pPr>
      <w:numPr>
        <w:numId w:val="4"/>
      </w:numPr>
    </w:pPr>
  </w:style>
  <w:style w:type="character" w:customStyle="1" w:styleId="ListBulletChar">
    <w:name w:val="List Bullet Char"/>
    <w:basedOn w:val="DefaultParagraphFont"/>
    <w:link w:val="ListBullet"/>
    <w:uiPriority w:val="99"/>
    <w:rsid w:val="00DC0AA1"/>
    <w:rPr>
      <w:rFonts w:ascii="Arial" w:hAnsi="Arial" w:cstheme="majorBidi"/>
      <w:color w:val="000000" w:themeColor="text1"/>
      <w:kern w:val="0"/>
      <w:sz w:val="24"/>
      <w:szCs w:val="32"/>
      <w14:ligatures w14:val="none"/>
    </w:rPr>
  </w:style>
  <w:style w:type="character" w:customStyle="1" w:styleId="RomanNumeralsChar">
    <w:name w:val="Roman Numerals Char"/>
    <w:basedOn w:val="ListBulletChar"/>
    <w:link w:val="RomanNumerals"/>
    <w:rsid w:val="00DC0AA1"/>
    <w:rPr>
      <w:rFonts w:ascii="Arial" w:hAnsi="Arial" w:cstheme="majorBidi"/>
      <w:color w:val="000000" w:themeColor="text1"/>
      <w:kern w:val="0"/>
      <w:sz w:val="24"/>
      <w:szCs w:val="32"/>
      <w14:ligatures w14:val="none"/>
    </w:rPr>
  </w:style>
  <w:style w:type="paragraph" w:customStyle="1" w:styleId="NumberList">
    <w:name w:val="(Number) List"/>
    <w:basedOn w:val="abcList"/>
    <w:link w:val="NumberListChar"/>
    <w:qFormat/>
    <w:rsid w:val="00DC0AA1"/>
    <w:pPr>
      <w:numPr>
        <w:numId w:val="5"/>
      </w:numPr>
    </w:pPr>
    <w:rPr>
      <w:lang w:eastAsia="en-GB"/>
    </w:rPr>
  </w:style>
  <w:style w:type="character" w:customStyle="1" w:styleId="abcListChar">
    <w:name w:val="abc List Char"/>
    <w:basedOn w:val="RomanNumeralsChar"/>
    <w:link w:val="abcList"/>
    <w:rsid w:val="00DC0AA1"/>
    <w:rPr>
      <w:rFonts w:ascii="Arial" w:hAnsi="Arial" w:cstheme="majorBidi"/>
      <w:color w:val="000000" w:themeColor="text1"/>
      <w:kern w:val="0"/>
      <w:sz w:val="24"/>
      <w:szCs w:val="32"/>
      <w14:ligatures w14:val="none"/>
    </w:rPr>
  </w:style>
  <w:style w:type="character" w:customStyle="1" w:styleId="NumberListChar">
    <w:name w:val="(Number) List Char"/>
    <w:basedOn w:val="abcListChar"/>
    <w:link w:val="NumberList"/>
    <w:rsid w:val="00DC0AA1"/>
    <w:rPr>
      <w:rFonts w:ascii="Arial" w:hAnsi="Arial" w:cstheme="majorBidi"/>
      <w:color w:val="000000" w:themeColor="text1"/>
      <w:kern w:val="0"/>
      <w:sz w:val="24"/>
      <w:szCs w:val="32"/>
      <w:lang w:eastAsia="en-GB"/>
      <w14:ligatures w14:val="none"/>
    </w:rPr>
  </w:style>
  <w:style w:type="paragraph" w:customStyle="1" w:styleId="CentreNormal">
    <w:name w:val="Centre Normal"/>
    <w:basedOn w:val="Normal"/>
    <w:link w:val="CentreNormalChar"/>
    <w:qFormat/>
    <w:rsid w:val="00DC0AA1"/>
    <w:pPr>
      <w:jc w:val="center"/>
    </w:pPr>
  </w:style>
  <w:style w:type="character" w:customStyle="1" w:styleId="CentreNormalChar">
    <w:name w:val="Centre Normal Char"/>
    <w:basedOn w:val="DefaultParagraphFont"/>
    <w:link w:val="CentreNormal"/>
    <w:rsid w:val="00DC0AA1"/>
    <w:rPr>
      <w:rFonts w:ascii="Arial" w:hAnsi="Arial" w:cstheme="majorBidi"/>
      <w:color w:val="000000" w:themeColor="text1"/>
      <w:kern w:val="0"/>
      <w:sz w:val="24"/>
      <w:szCs w:val="32"/>
      <w14:ligatures w14:val="none"/>
    </w:rPr>
  </w:style>
  <w:style w:type="character" w:customStyle="1" w:styleId="Emphasisebold">
    <w:name w:val="Emphasise bold"/>
    <w:basedOn w:val="DefaultParagraphFont"/>
    <w:uiPriority w:val="1"/>
    <w:qFormat/>
    <w:rsid w:val="00DC0AA1"/>
    <w:rPr>
      <w:rFonts w:ascii="Arial" w:hAnsi="Arial"/>
      <w:b/>
    </w:rPr>
  </w:style>
  <w:style w:type="paragraph" w:customStyle="1" w:styleId="Centreboldnormal">
    <w:name w:val="Centre bold normal"/>
    <w:basedOn w:val="Normal"/>
    <w:next w:val="Normal"/>
    <w:link w:val="CentreboldnormalChar"/>
    <w:qFormat/>
    <w:rsid w:val="00DC0AA1"/>
    <w:pPr>
      <w:jc w:val="center"/>
    </w:pPr>
    <w:rPr>
      <w:b/>
      <w:lang w:eastAsia="en-GB"/>
    </w:rPr>
  </w:style>
  <w:style w:type="character" w:customStyle="1" w:styleId="CentreboldnormalChar">
    <w:name w:val="Centre bold normal Char"/>
    <w:basedOn w:val="DefaultParagraphFont"/>
    <w:link w:val="Centreboldnormal"/>
    <w:rsid w:val="00DC0AA1"/>
    <w:rPr>
      <w:rFonts w:ascii="Arial" w:hAnsi="Arial" w:cstheme="majorBidi"/>
      <w:b/>
      <w:color w:val="000000" w:themeColor="text1"/>
      <w:kern w:val="0"/>
      <w:sz w:val="24"/>
      <w:szCs w:val="32"/>
      <w:lang w:eastAsia="en-GB"/>
      <w14:ligatures w14:val="none"/>
    </w:rPr>
  </w:style>
  <w:style w:type="character" w:customStyle="1" w:styleId="Emphasiseitalic">
    <w:name w:val="Emphasise italic"/>
    <w:basedOn w:val="DefaultParagraphFont"/>
    <w:uiPriority w:val="1"/>
    <w:qFormat/>
    <w:rsid w:val="00DC0AA1"/>
    <w:rPr>
      <w:i/>
    </w:rPr>
  </w:style>
  <w:style w:type="table" w:customStyle="1" w:styleId="Table-SideShade">
    <w:name w:val="Table - Side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Calibri" w:hAnsi="Calibri"/>
        <w:b w:val="0"/>
        <w:sz w:val="22"/>
      </w:rPr>
      <w:tblPr/>
      <w:tcPr>
        <w:shd w:val="clear" w:color="auto" w:fill="D9D9D9" w:themeFill="background1" w:themeFillShade="D9"/>
      </w:tcPr>
    </w:tblStylePr>
  </w:style>
  <w:style w:type="table" w:customStyle="1" w:styleId="Table-TopandSideShade">
    <w:name w:val="Table - Top and Side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9D9D9" w:themeFill="background1" w:themeFillShade="D9"/>
      </w:tcPr>
    </w:tblStylePr>
    <w:tblStylePr w:type="firstCol">
      <w:rPr>
        <w:rFonts w:ascii="Calibri" w:hAnsi="Calibri"/>
        <w:b w:val="0"/>
        <w:sz w:val="22"/>
      </w:rPr>
      <w:tblPr/>
      <w:tcPr>
        <w:shd w:val="clear" w:color="auto" w:fill="D9D9D9" w:themeFill="background1" w:themeFillShade="D9"/>
      </w:tcPr>
    </w:tblStylePr>
  </w:style>
  <w:style w:type="table" w:customStyle="1" w:styleId="Table-TopShade">
    <w:name w:val="Table - Top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9D9D9" w:themeFill="background1" w:themeFillShade="D9"/>
      </w:tcPr>
    </w:tblStylePr>
  </w:style>
  <w:style w:type="character" w:customStyle="1" w:styleId="Heading3Char">
    <w:name w:val="Heading 3 Char"/>
    <w:basedOn w:val="DefaultParagraphFont"/>
    <w:link w:val="Heading3"/>
    <w:uiPriority w:val="9"/>
    <w:semiHidden/>
    <w:rsid w:val="001C081B"/>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1C081B"/>
    <w:rPr>
      <w:rFonts w:asciiTheme="majorHAnsi" w:eastAsiaTheme="majorEastAsia" w:hAnsiTheme="majorHAnsi" w:cstheme="majorBidi"/>
      <w:i/>
      <w:iCs/>
      <w:color w:val="2F5496" w:themeColor="accent1" w:themeShade="BF"/>
      <w:kern w:val="0"/>
      <w:sz w:val="24"/>
      <w:szCs w:val="32"/>
      <w14:ligatures w14:val="none"/>
    </w:rPr>
  </w:style>
  <w:style w:type="character" w:customStyle="1" w:styleId="Heading5Char">
    <w:name w:val="Heading 5 Char"/>
    <w:basedOn w:val="DefaultParagraphFont"/>
    <w:link w:val="Heading5"/>
    <w:uiPriority w:val="9"/>
    <w:semiHidden/>
    <w:rsid w:val="001C081B"/>
    <w:rPr>
      <w:rFonts w:asciiTheme="majorHAnsi" w:eastAsiaTheme="majorEastAsia" w:hAnsiTheme="majorHAnsi" w:cstheme="majorBidi"/>
      <w:color w:val="2F5496" w:themeColor="accent1" w:themeShade="BF"/>
      <w:kern w:val="0"/>
      <w:sz w:val="24"/>
      <w:szCs w:val="32"/>
      <w14:ligatures w14:val="none"/>
    </w:rPr>
  </w:style>
  <w:style w:type="character" w:customStyle="1" w:styleId="Heading6Char">
    <w:name w:val="Heading 6 Char"/>
    <w:basedOn w:val="DefaultParagraphFont"/>
    <w:link w:val="Heading6"/>
    <w:uiPriority w:val="9"/>
    <w:semiHidden/>
    <w:rsid w:val="001C081B"/>
    <w:rPr>
      <w:rFonts w:asciiTheme="majorHAnsi" w:eastAsiaTheme="majorEastAsia" w:hAnsiTheme="majorHAnsi" w:cstheme="majorBidi"/>
      <w:color w:val="1F3763" w:themeColor="accent1" w:themeShade="7F"/>
      <w:kern w:val="0"/>
      <w:sz w:val="24"/>
      <w:szCs w:val="32"/>
      <w14:ligatures w14:val="none"/>
    </w:rPr>
  </w:style>
  <w:style w:type="character" w:customStyle="1" w:styleId="Heading7Char">
    <w:name w:val="Heading 7 Char"/>
    <w:basedOn w:val="DefaultParagraphFont"/>
    <w:link w:val="Heading7"/>
    <w:uiPriority w:val="9"/>
    <w:semiHidden/>
    <w:rsid w:val="001C081B"/>
    <w:rPr>
      <w:rFonts w:asciiTheme="majorHAnsi" w:eastAsiaTheme="majorEastAsia" w:hAnsiTheme="majorHAnsi" w:cstheme="majorBidi"/>
      <w:i/>
      <w:iCs/>
      <w:color w:val="1F3763" w:themeColor="accent1" w:themeShade="7F"/>
      <w:kern w:val="0"/>
      <w:sz w:val="24"/>
      <w:szCs w:val="32"/>
      <w14:ligatures w14:val="none"/>
    </w:rPr>
  </w:style>
  <w:style w:type="character" w:customStyle="1" w:styleId="Heading8Char">
    <w:name w:val="Heading 8 Char"/>
    <w:basedOn w:val="DefaultParagraphFont"/>
    <w:link w:val="Heading8"/>
    <w:uiPriority w:val="9"/>
    <w:semiHidden/>
    <w:rsid w:val="001C081B"/>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1C081B"/>
    <w:rPr>
      <w:rFonts w:asciiTheme="majorHAnsi" w:eastAsiaTheme="majorEastAsia" w:hAnsiTheme="majorHAnsi" w:cstheme="majorBidi"/>
      <w:i/>
      <w:iCs/>
      <w:color w:val="272727" w:themeColor="text1" w:themeTint="D8"/>
      <w:kern w:val="0"/>
      <w:sz w:val="21"/>
      <w:szCs w:val="21"/>
      <w14:ligatures w14:val="none"/>
    </w:rPr>
  </w:style>
  <w:style w:type="character" w:styleId="CommentReference">
    <w:name w:val="annotation reference"/>
    <w:basedOn w:val="DefaultParagraphFont"/>
    <w:uiPriority w:val="99"/>
    <w:semiHidden/>
    <w:unhideWhenUsed/>
    <w:rsid w:val="00784CC6"/>
    <w:rPr>
      <w:sz w:val="16"/>
      <w:szCs w:val="16"/>
    </w:rPr>
  </w:style>
  <w:style w:type="paragraph" w:styleId="CommentText">
    <w:name w:val="annotation text"/>
    <w:basedOn w:val="Normal"/>
    <w:link w:val="CommentTextChar"/>
    <w:uiPriority w:val="99"/>
    <w:unhideWhenUsed/>
    <w:rsid w:val="00784CC6"/>
    <w:rPr>
      <w:sz w:val="20"/>
      <w:szCs w:val="20"/>
    </w:rPr>
  </w:style>
  <w:style w:type="character" w:customStyle="1" w:styleId="CommentTextChar">
    <w:name w:val="Comment Text Char"/>
    <w:basedOn w:val="DefaultParagraphFont"/>
    <w:link w:val="CommentText"/>
    <w:uiPriority w:val="99"/>
    <w:rsid w:val="00784CC6"/>
    <w:rPr>
      <w:rFonts w:ascii="Arial" w:hAnsi="Arial" w:cstheme="majorBidi"/>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84CC6"/>
    <w:rPr>
      <w:b/>
      <w:bCs/>
    </w:rPr>
  </w:style>
  <w:style w:type="character" w:customStyle="1" w:styleId="CommentSubjectChar">
    <w:name w:val="Comment Subject Char"/>
    <w:basedOn w:val="CommentTextChar"/>
    <w:link w:val="CommentSubject"/>
    <w:uiPriority w:val="99"/>
    <w:semiHidden/>
    <w:rsid w:val="00784CC6"/>
    <w:rPr>
      <w:rFonts w:ascii="Arial" w:hAnsi="Arial" w:cstheme="majorBidi"/>
      <w:b/>
      <w:bCs/>
      <w:color w:val="000000" w:themeColor="text1"/>
      <w:kern w:val="0"/>
      <w:sz w:val="20"/>
      <w:szCs w:val="20"/>
      <w14:ligatures w14:val="none"/>
    </w:rPr>
  </w:style>
  <w:style w:type="paragraph" w:styleId="Header">
    <w:name w:val="header"/>
    <w:basedOn w:val="Normal"/>
    <w:link w:val="HeaderChar"/>
    <w:uiPriority w:val="99"/>
    <w:semiHidden/>
    <w:unhideWhenUsed/>
    <w:locked/>
    <w:rsid w:val="00BC185B"/>
    <w:pPr>
      <w:tabs>
        <w:tab w:val="center" w:pos="4513"/>
        <w:tab w:val="right" w:pos="9026"/>
      </w:tabs>
      <w:spacing w:after="0"/>
    </w:pPr>
  </w:style>
  <w:style w:type="character" w:customStyle="1" w:styleId="HeaderChar">
    <w:name w:val="Header Char"/>
    <w:basedOn w:val="DefaultParagraphFont"/>
    <w:link w:val="Header"/>
    <w:uiPriority w:val="99"/>
    <w:semiHidden/>
    <w:rsid w:val="00BC185B"/>
    <w:rPr>
      <w:rFonts w:ascii="Arial" w:hAnsi="Arial" w:cstheme="majorBidi"/>
      <w:color w:val="000000" w:themeColor="text1"/>
      <w:kern w:val="0"/>
      <w:sz w:val="24"/>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towerhamlets2.sharepoint.com/sites/HAR-HousingManagementDocumentCentre/Asset%20Management/Forms/Policy%20and%20Procedure%20Template/LBTH%20Policy%20&amp;%20Procedur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QIA xmlns="63a41b16-6feb-49be-a44c-c1e291ffd80a">N/A</EQIA>
    <Function xmlns="e918a934-f880-47b6-8635-719b6fa25435">Asset Management &amp; Compliance</Function>
    <Document_x0020_Type xmlns="63a41b16-6feb-49be-a44c-c1e291ffd80a">Policy</Document_x0020_Type>
    <Review_x0020_Cycle xmlns="63a41b16-6feb-49be-a44c-c1e291ffd80a" xsi:nil="true"/>
    <Audience xmlns="63a41b16-6feb-49be-a44c-c1e291ffd80a" xsi:nil="true"/>
    <Approval_x0020_Level xmlns="63a41b16-6feb-49be-a44c-c1e291ffd80a">
      <Value>Cabinet</Value>
    </Approval_x0020_Level>
    <_Status xmlns="http://schemas.microsoft.com/sharepoint/v3/fields">Draft</_Status>
    <_ExtendedDescription xmlns="http://schemas.microsoft.com/sharepoint/v3" xsi:nil="true"/>
    <Owner xmlns="63a41b16-6feb-49be-a44c-c1e291ffd80a">
      <UserInfo>
        <DisplayName/>
        <AccountId>41</AccountId>
        <AccountType/>
      </UserInfo>
    </Owner>
    <Planned_x0020_Review_x0020_Date xmlns="63a41b16-6feb-49be-a44c-c1e291ffd80a">2028-04-20T23:00:00+00:00</Planned_x0020_Review_x0020_Date>
    <Resident_x0020_Consultation xmlns="63a41b16-6feb-49be-a44c-c1e291ffd80a">N/A</Resident_x0020_Consultation>
  </documentManagement>
</p:properties>
</file>

<file path=customXml/item3.xml><?xml version="1.0" encoding="utf-8"?>
<ct:contentTypeSchema xmlns:ct="http://schemas.microsoft.com/office/2006/metadata/contentType" xmlns:ma="http://schemas.microsoft.com/office/2006/metadata/properties/metaAttributes" ct:_="" ma:_="" ma:contentTypeName="Policy and Procedure Template" ma:contentTypeID="0x0101001C71EB6EB42EF242ADEEEF0D01C9D846000884232C7621A34C934C3C3E869CB23A" ma:contentTypeVersion="16" ma:contentTypeDescription="Template for creating both new Policies &amp; Procedures Documents." ma:contentTypeScope="" ma:versionID="4addfacd85be1f32b7d9d7e46d8fadf6">
  <xsd:schema xmlns:xsd="http://www.w3.org/2001/XMLSchema" xmlns:xs="http://www.w3.org/2001/XMLSchema" xmlns:p="http://schemas.microsoft.com/office/2006/metadata/properties" xmlns:ns1="http://schemas.microsoft.com/sharepoint/v3" xmlns:ns2="e918a934-f880-47b6-8635-719b6fa25435" xmlns:ns3="63a41b16-6feb-49be-a44c-c1e291ffd80a" xmlns:ns4="http://schemas.microsoft.com/sharepoint/v3/fields" targetNamespace="http://schemas.microsoft.com/office/2006/metadata/properties" ma:root="true" ma:fieldsID="c8afb6410931df0d099552aac4829794" ns1:_="" ns2:_="" ns3:_="" ns4:_="">
    <xsd:import namespace="http://schemas.microsoft.com/sharepoint/v3"/>
    <xsd:import namespace="e918a934-f880-47b6-8635-719b6fa25435"/>
    <xsd:import namespace="63a41b16-6feb-49be-a44c-c1e291ffd80a"/>
    <xsd:import namespace="http://schemas.microsoft.com/sharepoint/v3/fields"/>
    <xsd:element name="properties">
      <xsd:complexType>
        <xsd:sequence>
          <xsd:element name="documentManagement">
            <xsd:complexType>
              <xsd:all>
                <xsd:element ref="ns2:Function"/>
                <xsd:element ref="ns3:Document_x0020_Type"/>
                <xsd:element ref="ns4:_Status"/>
                <xsd:element ref="ns3:Owner"/>
                <xsd:element ref="ns3:Approval_x0020_Level" minOccurs="0"/>
                <xsd:element ref="ns3:Audience" minOccurs="0"/>
                <xsd:element ref="ns3:EQIA"/>
                <xsd:element ref="ns3:Resident_x0020_Consultation"/>
                <xsd:element ref="ns3:Planned_x0020_Review_x0020_Date"/>
                <xsd:element ref="ns3:Review_x0020_Cycle" minOccurs="0"/>
                <xsd:element ref="ns1:_ExtendedDescri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3" nillable="true" ma:displayName="Description"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8a934-f880-47b6-8635-719b6fa25435" elementFormDefault="qualified">
    <xsd:import namespace="http://schemas.microsoft.com/office/2006/documentManagement/types"/>
    <xsd:import namespace="http://schemas.microsoft.com/office/infopath/2007/PartnerControls"/>
    <xsd:element name="Function" ma:index="2" ma:displayName="Department" ma:description="Lead service area." ma:format="Dropdown" ma:internalName="Function">
      <xsd:simpleType>
        <xsd:restriction base="dms:Choice">
          <xsd:enumeration value="Asset Management &amp; Compliance"/>
          <xsd:enumeration value="Capital Delivery"/>
          <xsd:enumeration value="Procurement &amp; Contracts"/>
          <xsd:enumeration value="Repairs"/>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41b16-6feb-49be-a44c-c1e291ffd80a" elementFormDefault="qualified">
    <xsd:import namespace="http://schemas.microsoft.com/office/2006/documentManagement/types"/>
    <xsd:import namespace="http://schemas.microsoft.com/office/infopath/2007/PartnerControls"/>
    <xsd:element name="Document_x0020_Type" ma:index="3" ma:displayName="Document Type" ma:format="Dropdown" ma:internalName="Document_x0020_Type">
      <xsd:simpleType>
        <xsd:restriction base="dms:Choice">
          <xsd:enumeration value="Policy"/>
          <xsd:enumeration value="Procedure"/>
          <xsd:enumeration value="Policy &amp; Procedure"/>
          <xsd:enumeration value="Process"/>
          <xsd:enumeration value="Letter"/>
          <xsd:enumeration value="Form"/>
          <xsd:enumeration value="Guidance"/>
          <xsd:enumeration value="Governance"/>
          <xsd:enumeration value="Strategy"/>
          <xsd:enumeration value="Performance"/>
          <xsd:enumeration value="Other"/>
        </xsd:restriction>
      </xsd:simpleType>
    </xsd:element>
    <xsd:element name="Owner" ma:index="5" ma:displayName="Owner" ma:description="Must be Head of Service."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al_x0020_Level" ma:index="6" nillable="true" ma:displayName="Approval Level" ma:description="Tick all that apply." ma:internalName="Approval_x0020_Level" ma:requiredMultiChoice="true">
      <xsd:complexType>
        <xsd:complexContent>
          <xsd:extension base="dms:MultiChoice">
            <xsd:sequence>
              <xsd:element name="Value" maxOccurs="unbounded" minOccurs="0" nillable="true">
                <xsd:simpleType>
                  <xsd:restriction base="dms:Choice">
                    <xsd:enumeration value="Cabinet"/>
                    <xsd:enumeration value="MAB"/>
                    <xsd:enumeration value="CMT"/>
                    <xsd:enumeration value="DLT"/>
                    <xsd:enumeration value="N/A"/>
                  </xsd:restriction>
                </xsd:simpleType>
              </xsd:element>
            </xsd:sequence>
          </xsd:extension>
        </xsd:complexContent>
      </xsd:complexType>
    </xsd:element>
    <xsd:element name="Audience" ma:index="7" nillable="true" ma:displayName="Audience" ma:format="Dropdown" ma:internalName="Audience" ma:readOnly="false">
      <xsd:simpleType>
        <xsd:restriction base="dms:Choice">
          <xsd:enumeration value="Internal"/>
          <xsd:enumeration value="External"/>
          <xsd:enumeration value="Internal &amp; External"/>
        </xsd:restriction>
      </xsd:simpleType>
    </xsd:element>
    <xsd:element name="EQIA" ma:index="8" ma:displayName="EQIA" ma:description="Assessment has or has not been completed." ma:format="Dropdown" ma:internalName="EQIA">
      <xsd:simpleType>
        <xsd:restriction base="dms:Choice">
          <xsd:enumeration value="Yes"/>
          <xsd:enumeration value="No"/>
          <xsd:enumeration value="N/A"/>
        </xsd:restriction>
      </xsd:simpleType>
    </xsd:element>
    <xsd:element name="Resident_x0020_Consultation" ma:index="9" ma:displayName="Resident Consultation" ma:description="Engagement has or has not been completed." ma:format="Dropdown" ma:internalName="Resident_x0020_Consultation">
      <xsd:simpleType>
        <xsd:restriction base="dms:Choice">
          <xsd:enumeration value="Yes"/>
          <xsd:enumeration value="No"/>
          <xsd:enumeration value="N/A"/>
        </xsd:restriction>
      </xsd:simpleType>
    </xsd:element>
    <xsd:element name="Planned_x0020_Review_x0020_Date" ma:index="10" ma:displayName="Planned Review Date" ma:format="DateOnly" ma:internalName="Planned_x0020_Review_x0020_Date" ma:readOnly="false">
      <xsd:simpleType>
        <xsd:restriction base="dms:DateTime"/>
      </xsd:simpleType>
    </xsd:element>
    <xsd:element name="Review_x0020_Cycle" ma:index="11" nillable="true" ma:displayName="Review Cycle" ma:format="Dropdown" ma:internalName="Review_x0020_Cycle" ma:readOnly="false">
      <xsd:simpleType>
        <xsd:restriction base="dms:Choice">
          <xsd:enumeration value="1 Year"/>
          <xsd:enumeration value="2 Years"/>
          <xsd:enumeration value="3 Years"/>
          <xsd:enumeration value="4 Years"/>
          <xsd:enumeration value="5 Years+"/>
          <xsd:enumeration value="TB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ma:displayName="Status" ma:default="Draft" ma:description="For contributor use only." ma:format="Dropdown" ma:internalName="_Status">
      <xsd:simpleType>
        <xsd:restriction base="dms:Choice">
          <xsd:enumeration value="Draft"/>
          <xsd:enumeration value="Reviewed"/>
          <xsd:enumeration value="Scheduled"/>
          <xsd:enumeration value="Final review"/>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9C058-5F1E-49BB-879D-B8FF4A80CF62}">
  <ds:schemaRefs>
    <ds:schemaRef ds:uri="http://schemas.microsoft.com/sharepoint/v3/contenttype/forms"/>
  </ds:schemaRefs>
</ds:datastoreItem>
</file>

<file path=customXml/itemProps2.xml><?xml version="1.0" encoding="utf-8"?>
<ds:datastoreItem xmlns:ds="http://schemas.openxmlformats.org/officeDocument/2006/customXml" ds:itemID="{46B9A73A-70A6-4792-9FED-5CF00C51BD8D}">
  <ds:schemaRefs>
    <ds:schemaRef ds:uri="63a41b16-6feb-49be-a44c-c1e291ffd80a"/>
    <ds:schemaRef ds:uri="http://schemas.microsoft.com/sharepoint/v3/fields"/>
    <ds:schemaRef ds:uri="http://schemas.microsoft.com/office/2006/metadata/propertie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e918a934-f880-47b6-8635-719b6fa25435"/>
    <ds:schemaRef ds:uri="http://schemas.microsoft.com/sharepoint/v3"/>
  </ds:schemaRefs>
</ds:datastoreItem>
</file>

<file path=customXml/itemProps3.xml><?xml version="1.0" encoding="utf-8"?>
<ds:datastoreItem xmlns:ds="http://schemas.openxmlformats.org/officeDocument/2006/customXml" ds:itemID="{B6C99804-0921-4358-8169-78A48A009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18a934-f880-47b6-8635-719b6fa25435"/>
    <ds:schemaRef ds:uri="63a41b16-6feb-49be-a44c-c1e291ffd80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LBTH%20Policy%20&amp;%20Procedure%20Template</Template>
  <TotalTime>1</TotalTime>
  <Pages>11</Pages>
  <Words>3517</Words>
  <Characters>19414</Characters>
  <Application>Microsoft Office Word</Application>
  <DocSecurity>4</DocSecurity>
  <Lines>451</Lines>
  <Paragraphs>279</Paragraphs>
  <ScaleCrop>false</ScaleCrop>
  <HeadingPairs>
    <vt:vector size="2" baseType="variant">
      <vt:variant>
        <vt:lpstr>Title</vt:lpstr>
      </vt:variant>
      <vt:variant>
        <vt:i4>1</vt:i4>
      </vt:variant>
    </vt:vector>
  </HeadingPairs>
  <TitlesOfParts>
    <vt:vector size="1" baseType="lpstr">
      <vt:lpstr>Lift Safety Policy</vt:lpstr>
    </vt:vector>
  </TitlesOfParts>
  <Company/>
  <LinksUpToDate>false</LinksUpToDate>
  <CharactersWithSpaces>22652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Lift Safety Policy</dc:title>
  <dc:creator>Elizabeth Skillen</dc:creator>
  <cp:lastModifiedBy>Phillip Nduoyo</cp:lastModifiedBy>
  <cp:revision>2</cp:revision>
  <cp:lastPrinted>2025-07-16T13:46:00Z</cp:lastPrinted>
  <dcterms:created xsi:type="dcterms:W3CDTF">2026-04-07T11:12:00Z</dcterms:created>
  <dcterms:modified xsi:type="dcterms:W3CDTF">2026-04-07T11:12:00Z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0x0101001C71EB6EB42EF242ADEEEF0D01C9D846000884232C7621A34C934C3C3E869CB23A</vt:lpwstr>
  </property>
  <property fmtid="{D5CDD505-2E9C-101B-9397-08002B2CF9AE}" pid="3" name="MediaServiceImageTags">
    <vt:lpwstr/>
  </property>
</Properties>
</file>