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72E" w14:textId="423BE765" w:rsidR="00D52438" w:rsidRDefault="00D52438" w:rsidP="00DC0AA1">
      <w:pPr>
        <w:pStyle w:val="Title"/>
      </w:pPr>
      <w:r>
        <w:rPr>
          <w:noProof/>
        </w:rPr>
        <w:drawing>
          <wp:anchor distT="0" distB="0" distL="114300" distR="114300" simplePos="0" relativeHeight="251658240" behindDoc="1" locked="0" layoutInCell="1" allowOverlap="1" wp14:anchorId="613DB87B" wp14:editId="6BC1FFC8">
            <wp:simplePos x="0" y="0"/>
            <wp:positionH relativeFrom="page">
              <wp:align>right</wp:align>
            </wp:positionH>
            <wp:positionV relativeFrom="paragraph">
              <wp:posOffset>-963543</wp:posOffset>
            </wp:positionV>
            <wp:extent cx="7704814" cy="1068133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04814" cy="10681335"/>
                    </a:xfrm>
                    <a:prstGeom prst="rect">
                      <a:avLst/>
                    </a:prstGeom>
                    <a:noFill/>
                  </pic:spPr>
                </pic:pic>
              </a:graphicData>
            </a:graphic>
            <wp14:sizeRelH relativeFrom="margin">
              <wp14:pctWidth>0</wp14:pctWidth>
            </wp14:sizeRelH>
            <wp14:sizeRelV relativeFrom="margin">
              <wp14:pctHeight>0</wp14:pctHeight>
            </wp14:sizeRelV>
          </wp:anchor>
        </w:drawing>
      </w:r>
    </w:p>
    <w:p w14:paraId="092930D2" w14:textId="77777777" w:rsidR="00D52438" w:rsidRDefault="00D52438" w:rsidP="00DC0AA1">
      <w:pPr>
        <w:pStyle w:val="Title"/>
      </w:pPr>
    </w:p>
    <w:p w14:paraId="74B464F9" w14:textId="77777777" w:rsidR="00DC0AA1" w:rsidRPr="00BD0219" w:rsidRDefault="00DC0AA1" w:rsidP="00DC0AA1">
      <w:pPr>
        <w:pStyle w:val="Title"/>
      </w:pPr>
      <w:r>
        <w:t>London Borough of Tower Hamlets</w:t>
      </w:r>
    </w:p>
    <w:p w14:paraId="47929706" w14:textId="77777777" w:rsidR="00DC0AA1" w:rsidRPr="00552F80" w:rsidRDefault="00DC0AA1" w:rsidP="00DC0AA1"/>
    <w:p w14:paraId="0C933257" w14:textId="2490711D" w:rsidR="00DC0AA1" w:rsidRDefault="008F386A" w:rsidP="009C2383">
      <w:pPr>
        <w:pStyle w:val="DocTitle"/>
      </w:pPr>
      <w:r>
        <w:t>Vulnerable Tenants and Leaseholders Policy</w:t>
      </w:r>
    </w:p>
    <w:p w14:paraId="2A7E29BD" w14:textId="77777777" w:rsidR="00B93946" w:rsidRDefault="00B93946" w:rsidP="009C2383">
      <w:pPr>
        <w:pStyle w:val="DocTitle"/>
      </w:pPr>
    </w:p>
    <w:tbl>
      <w:tblPr>
        <w:tblStyle w:val="TableGrid"/>
        <w:tblW w:w="0" w:type="auto"/>
        <w:tblLook w:val="04A0" w:firstRow="1" w:lastRow="0" w:firstColumn="1" w:lastColumn="0" w:noHBand="0" w:noVBand="1"/>
      </w:tblPr>
      <w:tblGrid>
        <w:gridCol w:w="8296"/>
      </w:tblGrid>
      <w:tr w:rsidR="00DC0AA1" w:rsidRPr="00FB7D3F" w14:paraId="32D5C7DC" w14:textId="77777777" w:rsidTr="00B65CD1">
        <w:tc>
          <w:tcPr>
            <w:tcW w:w="8296" w:type="dxa"/>
          </w:tcPr>
          <w:p w14:paraId="05FEDFE4" w14:textId="70FE1ACB" w:rsidR="00DC0AA1" w:rsidRPr="00FE574E" w:rsidRDefault="0032442E" w:rsidP="00B65CD1">
            <w:bookmarkStart w:id="0" w:name="_Hlk103025915"/>
            <w:r>
              <w:t>Policy</w:t>
            </w:r>
          </w:p>
          <w:p w14:paraId="1DDFEEB8" w14:textId="77777777" w:rsidR="00DC0AA1" w:rsidRPr="00EC2D1B" w:rsidRDefault="00DC0AA1" w:rsidP="00B65CD1"/>
        </w:tc>
      </w:tr>
      <w:tr w:rsidR="00DC0AA1" w:rsidRPr="00FB7D3F" w14:paraId="5AF8386D" w14:textId="77777777" w:rsidTr="00B65CD1">
        <w:tc>
          <w:tcPr>
            <w:tcW w:w="8296" w:type="dxa"/>
          </w:tcPr>
          <w:p w14:paraId="7D37A66A" w14:textId="29D1F10C" w:rsidR="00DC0AA1" w:rsidRPr="00A16FC0" w:rsidRDefault="00A16FC0" w:rsidP="00A16FC0">
            <w:pPr>
              <w:pStyle w:val="NormalWeb"/>
              <w:rPr>
                <w:rFonts w:ascii="Arial" w:hAnsi="Arial" w:cs="Arial"/>
              </w:rPr>
            </w:pPr>
            <w:r w:rsidRPr="00A16FC0">
              <w:rPr>
                <w:rFonts w:ascii="Arial" w:hAnsi="Arial" w:cs="Arial"/>
                <w:color w:val="000000"/>
              </w:rPr>
              <w:t>This policy provides guidance in relation to the definition of vulnerability and sets out the approach that we will adopt regarding the provision of neighbourhood services to residents in these circumstances.</w:t>
            </w:r>
          </w:p>
        </w:tc>
      </w:tr>
      <w:tr w:rsidR="00485688" w:rsidRPr="00FB7D3F" w14:paraId="615777F8" w14:textId="77777777" w:rsidTr="0082135B">
        <w:trPr>
          <w:trHeight w:val="567"/>
        </w:trPr>
        <w:tc>
          <w:tcPr>
            <w:tcW w:w="8296" w:type="dxa"/>
            <w:shd w:val="clear" w:color="auto" w:fill="D9D9D9" w:themeFill="background1" w:themeFillShade="D9"/>
          </w:tcPr>
          <w:p w14:paraId="42CD8441" w14:textId="6043E353" w:rsidR="00485688" w:rsidRPr="00FE574E" w:rsidRDefault="00485688" w:rsidP="00485688">
            <w:pPr>
              <w:pStyle w:val="BoldNormal"/>
            </w:pPr>
            <w:r>
              <w:t xml:space="preserve">Date edited: </w:t>
            </w:r>
            <w:r w:rsidR="00903C23">
              <w:t>08.07.25</w:t>
            </w:r>
          </w:p>
        </w:tc>
      </w:tr>
      <w:tr w:rsidR="00485688" w:rsidRPr="00FB7D3F" w14:paraId="509CFE2E" w14:textId="77777777" w:rsidTr="00A17602">
        <w:trPr>
          <w:trHeight w:val="567"/>
        </w:trPr>
        <w:tc>
          <w:tcPr>
            <w:tcW w:w="8296" w:type="dxa"/>
            <w:shd w:val="clear" w:color="auto" w:fill="D9D9D9" w:themeFill="background1" w:themeFillShade="D9"/>
          </w:tcPr>
          <w:p w14:paraId="3A39A5DE" w14:textId="1146E8E7" w:rsidR="00485688" w:rsidRDefault="00485688" w:rsidP="00485688">
            <w:pPr>
              <w:pStyle w:val="BoldNormal"/>
            </w:pPr>
            <w:r>
              <w:t xml:space="preserve">Author: </w:t>
            </w:r>
            <w:r w:rsidR="00903C23">
              <w:t>John Dakin – Head of Neighbourhoods &amp; Income</w:t>
            </w:r>
          </w:p>
        </w:tc>
      </w:tr>
      <w:tr w:rsidR="00485688" w:rsidRPr="00FB7D3F" w14:paraId="45D2B857" w14:textId="77777777" w:rsidTr="000A3164">
        <w:trPr>
          <w:trHeight w:val="567"/>
        </w:trPr>
        <w:tc>
          <w:tcPr>
            <w:tcW w:w="8296" w:type="dxa"/>
            <w:shd w:val="clear" w:color="auto" w:fill="D9D9D9" w:themeFill="background1" w:themeFillShade="D9"/>
          </w:tcPr>
          <w:p w14:paraId="0CC6E884" w14:textId="061808E8" w:rsidR="00485688" w:rsidRDefault="00485688" w:rsidP="00485688">
            <w:pPr>
              <w:pStyle w:val="BoldNormal"/>
            </w:pPr>
            <w:r>
              <w:t xml:space="preserve">Owner: </w:t>
            </w:r>
            <w:r w:rsidR="00903C23">
              <w:t>John Dakin – Head of Neighbourhoods &amp; Income</w:t>
            </w:r>
          </w:p>
        </w:tc>
      </w:tr>
      <w:tr w:rsidR="00485688" w:rsidRPr="00FB7D3F" w14:paraId="16B3E0BE" w14:textId="77777777" w:rsidTr="00D552AF">
        <w:trPr>
          <w:trHeight w:val="567"/>
        </w:trPr>
        <w:tc>
          <w:tcPr>
            <w:tcW w:w="8296" w:type="dxa"/>
            <w:shd w:val="clear" w:color="auto" w:fill="D9D9D9" w:themeFill="background1" w:themeFillShade="D9"/>
          </w:tcPr>
          <w:p w14:paraId="297F60DE" w14:textId="62D2B7EB" w:rsidR="00485688" w:rsidRPr="00FE574E" w:rsidRDefault="00485688" w:rsidP="00485688">
            <w:pPr>
              <w:pStyle w:val="BoldNormal"/>
            </w:pPr>
            <w:r w:rsidRPr="00777D19">
              <w:t>Approved by:</w:t>
            </w:r>
            <w:r>
              <w:t xml:space="preserve"> </w:t>
            </w:r>
            <w:r w:rsidR="00903C23">
              <w:t>Housing Management Cabinet Sub Committee</w:t>
            </w:r>
            <w:r w:rsidR="001A2C94">
              <w:t xml:space="preserve"> </w:t>
            </w:r>
            <w:r w:rsidR="00996487">
              <w:t xml:space="preserve">- </w:t>
            </w:r>
            <w:r w:rsidR="001A2C94">
              <w:t>03.09.25</w:t>
            </w:r>
          </w:p>
        </w:tc>
      </w:tr>
      <w:tr w:rsidR="00485688" w:rsidRPr="00FB7D3F" w14:paraId="135D6043" w14:textId="77777777" w:rsidTr="008F570C">
        <w:trPr>
          <w:trHeight w:val="567"/>
        </w:trPr>
        <w:tc>
          <w:tcPr>
            <w:tcW w:w="8296" w:type="dxa"/>
            <w:shd w:val="clear" w:color="auto" w:fill="D9D9D9" w:themeFill="background1" w:themeFillShade="D9"/>
          </w:tcPr>
          <w:p w14:paraId="66317B8B" w14:textId="0E690E8D" w:rsidR="00485688" w:rsidRPr="00FE574E" w:rsidRDefault="00485688" w:rsidP="00485688">
            <w:pPr>
              <w:pStyle w:val="BoldNormal"/>
            </w:pPr>
            <w:r w:rsidRPr="00777D19">
              <w:t>Review cycle:</w:t>
            </w:r>
            <w:r>
              <w:t xml:space="preserve"> </w:t>
            </w:r>
            <w:r w:rsidR="001A2C94">
              <w:t xml:space="preserve">3 </w:t>
            </w:r>
            <w:r w:rsidRPr="00777D19">
              <w:t>years</w:t>
            </w:r>
          </w:p>
        </w:tc>
      </w:tr>
      <w:tr w:rsidR="00485688" w:rsidRPr="00FB7D3F" w14:paraId="1E6D7631" w14:textId="77777777" w:rsidTr="00FA0DFE">
        <w:trPr>
          <w:trHeight w:val="567"/>
        </w:trPr>
        <w:tc>
          <w:tcPr>
            <w:tcW w:w="8296" w:type="dxa"/>
            <w:shd w:val="clear" w:color="auto" w:fill="D9D9D9" w:themeFill="background1" w:themeFillShade="D9"/>
          </w:tcPr>
          <w:p w14:paraId="15EF7523" w14:textId="2E705E4E" w:rsidR="00485688" w:rsidRPr="00FE574E" w:rsidRDefault="00485688" w:rsidP="00485688">
            <w:pPr>
              <w:pStyle w:val="BoldNormal"/>
            </w:pPr>
            <w:r w:rsidRPr="00777D19">
              <w:t>Next review date:</w:t>
            </w:r>
            <w:r>
              <w:t xml:space="preserve"> </w:t>
            </w:r>
            <w:r w:rsidR="001A2C94">
              <w:t>September 2028</w:t>
            </w:r>
          </w:p>
        </w:tc>
      </w:tr>
      <w:bookmarkEnd w:id="0"/>
    </w:tbl>
    <w:p w14:paraId="685BF9AA" w14:textId="77777777" w:rsidR="00DC0AA1" w:rsidRDefault="00DC0AA1" w:rsidP="00DC0AA1"/>
    <w:p w14:paraId="2B85E632" w14:textId="77777777" w:rsidR="00DC0AA1" w:rsidRPr="00DC0AA1" w:rsidRDefault="00DC0AA1" w:rsidP="00DC0AA1">
      <w:pPr>
        <w:rPr>
          <w:rStyle w:val="Emphasiseitalic"/>
        </w:rPr>
      </w:pPr>
      <w:r>
        <w:br w:type="page"/>
      </w:r>
    </w:p>
    <w:p w14:paraId="4ADCD42B" w14:textId="77777777" w:rsidR="00DC0AA1" w:rsidRDefault="00DC0AA1" w:rsidP="00DC0AA1"/>
    <w:p w14:paraId="14C464D1" w14:textId="77777777" w:rsidR="00DC0AA1" w:rsidRDefault="00DC0AA1" w:rsidP="00DC0AA1">
      <w:pPr>
        <w:pStyle w:val="BoldNormal"/>
      </w:pPr>
      <w:r w:rsidRPr="00536639">
        <w:t>Regulatory Standards, Legislation and Codes of practice</w:t>
      </w:r>
    </w:p>
    <w:tbl>
      <w:tblPr>
        <w:tblStyle w:val="Table-SideShade"/>
        <w:tblpPr w:leftFromText="180" w:rightFromText="180" w:vertAnchor="text" w:horzAnchor="margin" w:tblpY="314"/>
        <w:tblW w:w="8657" w:type="dxa"/>
        <w:tblLook w:val="04A0" w:firstRow="1" w:lastRow="0" w:firstColumn="1" w:lastColumn="0" w:noHBand="0" w:noVBand="1"/>
      </w:tblPr>
      <w:tblGrid>
        <w:gridCol w:w="2978"/>
        <w:gridCol w:w="5679"/>
      </w:tblGrid>
      <w:tr w:rsidR="00DC0AA1" w:rsidRPr="00DE6AD5" w14:paraId="4E4E42B1" w14:textId="77777777" w:rsidTr="00387221">
        <w:trPr>
          <w:trHeight w:val="413"/>
        </w:trPr>
        <w:tc>
          <w:tcPr>
            <w:cnfStyle w:val="001000000000" w:firstRow="0" w:lastRow="0" w:firstColumn="1" w:lastColumn="0" w:oddVBand="0" w:evenVBand="0" w:oddHBand="0" w:evenHBand="0" w:firstRowFirstColumn="0" w:firstRowLastColumn="0" w:lastRowFirstColumn="0" w:lastRowLastColumn="0"/>
            <w:tcW w:w="2978" w:type="dxa"/>
          </w:tcPr>
          <w:p w14:paraId="4D5C6EAE" w14:textId="77777777" w:rsidR="00DC0AA1" w:rsidRPr="00FE574E" w:rsidRDefault="00DC0AA1" w:rsidP="00B65CD1">
            <w:pPr>
              <w:pStyle w:val="BoldNormal"/>
            </w:pPr>
            <w:r w:rsidRPr="00777D19">
              <w:t>Regulator:</w:t>
            </w:r>
          </w:p>
        </w:tc>
        <w:tc>
          <w:tcPr>
            <w:tcW w:w="5679" w:type="dxa"/>
          </w:tcPr>
          <w:p w14:paraId="72887C8A" w14:textId="77777777" w:rsidR="00B541A2" w:rsidRPr="00BC5B2E" w:rsidRDefault="00FD35AA" w:rsidP="00A16FC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Cs w:val="24"/>
              </w:rPr>
            </w:pPr>
            <w:r w:rsidRPr="00BC5B2E">
              <w:rPr>
                <w:color w:val="000000"/>
                <w:szCs w:val="24"/>
              </w:rPr>
              <w:t xml:space="preserve">Regulator of Social Housing’s Consumer Standards · </w:t>
            </w:r>
          </w:p>
          <w:p w14:paraId="59129D5F" w14:textId="77777777" w:rsidR="00B541A2" w:rsidRPr="00BC5B2E" w:rsidRDefault="00FD35AA"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Tenancy Standard</w:t>
            </w:r>
          </w:p>
          <w:p w14:paraId="6CA9B353" w14:textId="77777777" w:rsidR="006C16DD" w:rsidRDefault="00FD35AA"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Safety and Quality Standard</w:t>
            </w:r>
          </w:p>
          <w:p w14:paraId="6E0EF15C" w14:textId="4608C24B" w:rsidR="00A72EDC" w:rsidRPr="00BC5B2E" w:rsidRDefault="00A72EDC" w:rsidP="00A72ED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4"/>
              </w:rPr>
            </w:pPr>
          </w:p>
        </w:tc>
      </w:tr>
      <w:tr w:rsidR="00DC0AA1" w:rsidRPr="00DE6AD5" w14:paraId="783D00AD" w14:textId="77777777" w:rsidTr="00387221">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2B616C46" w14:textId="77777777" w:rsidR="00DC0AA1" w:rsidRPr="00FE574E" w:rsidRDefault="00DC0AA1" w:rsidP="00B65CD1">
            <w:pPr>
              <w:pStyle w:val="BoldNormal"/>
            </w:pPr>
            <w:r w:rsidRPr="00777D19">
              <w:t>Legislation:</w:t>
            </w:r>
          </w:p>
        </w:tc>
        <w:tc>
          <w:tcPr>
            <w:tcW w:w="5679" w:type="dxa"/>
          </w:tcPr>
          <w:p w14:paraId="104B3295" w14:textId="77777777" w:rsidR="00B541A2" w:rsidRPr="00BC5B2E" w:rsidRDefault="00FD35AA" w:rsidP="00B65CD1">
            <w:pPr>
              <w:cnfStyle w:val="000000000000" w:firstRow="0" w:lastRow="0" w:firstColumn="0" w:lastColumn="0" w:oddVBand="0" w:evenVBand="0" w:oddHBand="0" w:evenHBand="0" w:firstRowFirstColumn="0" w:firstRowLastColumn="0" w:lastRowFirstColumn="0" w:lastRowLastColumn="0"/>
              <w:rPr>
                <w:b/>
                <w:bCs/>
                <w:color w:val="000000"/>
                <w:szCs w:val="24"/>
              </w:rPr>
            </w:pPr>
            <w:r w:rsidRPr="00BC5B2E">
              <w:rPr>
                <w:b/>
                <w:bCs/>
                <w:color w:val="000000"/>
                <w:szCs w:val="24"/>
              </w:rPr>
              <w:t>Principal Legislation</w:t>
            </w:r>
          </w:p>
          <w:p w14:paraId="4729416A" w14:textId="77777777" w:rsidR="00290D26" w:rsidRPr="00BC5B2E" w:rsidRDefault="00290D26" w:rsidP="00B65CD1">
            <w:pPr>
              <w:cnfStyle w:val="000000000000" w:firstRow="0" w:lastRow="0" w:firstColumn="0" w:lastColumn="0" w:oddVBand="0" w:evenVBand="0" w:oddHBand="0" w:evenHBand="0" w:firstRowFirstColumn="0" w:firstRowLastColumn="0" w:lastRowFirstColumn="0" w:lastRowLastColumn="0"/>
              <w:rPr>
                <w:color w:val="000000"/>
                <w:szCs w:val="24"/>
              </w:rPr>
            </w:pPr>
          </w:p>
          <w:p w14:paraId="6F342F97" w14:textId="77777777" w:rsidR="00290D26" w:rsidRPr="00BC5B2E" w:rsidRDefault="00FD35AA" w:rsidP="00290D26">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Housing Act 1980, 1985, 1988, 1996 · Allocation of Housing (England) Regulations 2000</w:t>
            </w:r>
          </w:p>
          <w:p w14:paraId="6EC19A35" w14:textId="77777777" w:rsidR="00290D26" w:rsidRPr="00BC5B2E" w:rsidRDefault="00FD35AA" w:rsidP="00290D26">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Homeless Act 2002</w:t>
            </w:r>
          </w:p>
          <w:p w14:paraId="21790EC0" w14:textId="77777777" w:rsidR="00290D26" w:rsidRPr="00BC5B2E" w:rsidRDefault="00FD35AA" w:rsidP="00290D26">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Mental Capacity Act 2005</w:t>
            </w:r>
          </w:p>
          <w:p w14:paraId="34D71E22" w14:textId="77777777" w:rsidR="00290D26" w:rsidRPr="00BC5B2E" w:rsidRDefault="00FD35AA" w:rsidP="00290D26">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Equality Act 2010</w:t>
            </w:r>
          </w:p>
          <w:p w14:paraId="1DE83432" w14:textId="77777777" w:rsidR="00290D26" w:rsidRPr="00BC5B2E" w:rsidRDefault="00FD35AA" w:rsidP="00290D26">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Regulator of Social Housing’s Tenancy Standard</w:t>
            </w:r>
          </w:p>
          <w:p w14:paraId="0FADC620" w14:textId="77777777" w:rsidR="00290D26" w:rsidRPr="00BC5B2E" w:rsidRDefault="00FD35AA" w:rsidP="00290D26">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Safeguarding Vulnerable Groups Act 2006 · Domestic Abuse Act 2021</w:t>
            </w:r>
          </w:p>
          <w:p w14:paraId="0BCEC27D" w14:textId="77777777" w:rsidR="00290D26" w:rsidRPr="00BC5B2E" w:rsidRDefault="00FD35AA" w:rsidP="00290D26">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Children Act 1989</w:t>
            </w:r>
          </w:p>
          <w:p w14:paraId="6A0C35EC" w14:textId="77777777" w:rsidR="00290D26" w:rsidRPr="00BC5B2E" w:rsidRDefault="00FD35AA" w:rsidP="00290D26">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Care Act 2014</w:t>
            </w:r>
          </w:p>
          <w:p w14:paraId="765947A1" w14:textId="77777777" w:rsidR="00290D26" w:rsidRPr="00BC5B2E" w:rsidRDefault="00290D26" w:rsidP="00B65CD1">
            <w:pPr>
              <w:cnfStyle w:val="000000000000" w:firstRow="0" w:lastRow="0" w:firstColumn="0" w:lastColumn="0" w:oddVBand="0" w:evenVBand="0" w:oddHBand="0" w:evenHBand="0" w:firstRowFirstColumn="0" w:firstRowLastColumn="0" w:lastRowFirstColumn="0" w:lastRowLastColumn="0"/>
              <w:rPr>
                <w:color w:val="000000"/>
                <w:szCs w:val="24"/>
              </w:rPr>
            </w:pPr>
          </w:p>
          <w:p w14:paraId="1E423173" w14:textId="77777777" w:rsidR="00290D26" w:rsidRPr="00BC5B2E" w:rsidRDefault="00FD35AA" w:rsidP="00B65CD1">
            <w:pPr>
              <w:cnfStyle w:val="000000000000" w:firstRow="0" w:lastRow="0" w:firstColumn="0" w:lastColumn="0" w:oddVBand="0" w:evenVBand="0" w:oddHBand="0" w:evenHBand="0" w:firstRowFirstColumn="0" w:firstRowLastColumn="0" w:lastRowFirstColumn="0" w:lastRowLastColumn="0"/>
              <w:rPr>
                <w:b/>
                <w:bCs/>
                <w:color w:val="000000"/>
                <w:szCs w:val="24"/>
              </w:rPr>
            </w:pPr>
            <w:r w:rsidRPr="00BC5B2E">
              <w:rPr>
                <w:b/>
                <w:bCs/>
                <w:color w:val="000000"/>
                <w:szCs w:val="24"/>
              </w:rPr>
              <w:t>Additional Legislation</w:t>
            </w:r>
          </w:p>
          <w:p w14:paraId="5B30EFF6" w14:textId="77777777" w:rsidR="00290D26" w:rsidRPr="00BC5B2E" w:rsidRDefault="00FD35AA" w:rsidP="00BC5B2E">
            <w:pPr>
              <w:pStyle w:val="ListBullet"/>
              <w:cnfStyle w:val="000000000000" w:firstRow="0" w:lastRow="0" w:firstColumn="0" w:lastColumn="0" w:oddVBand="0" w:evenVBand="0" w:oddHBand="0" w:evenHBand="0" w:firstRowFirstColumn="0" w:firstRowLastColumn="0" w:lastRowFirstColumn="0" w:lastRowLastColumn="0"/>
            </w:pPr>
            <w:r w:rsidRPr="00BC5B2E">
              <w:t>Data Protection Act 2018</w:t>
            </w:r>
          </w:p>
          <w:p w14:paraId="00030BF8" w14:textId="77777777" w:rsidR="00DC0AA1" w:rsidRDefault="00FD35AA" w:rsidP="00BC5B2E">
            <w:pPr>
              <w:pStyle w:val="ListBullet"/>
              <w:cnfStyle w:val="000000000000" w:firstRow="0" w:lastRow="0" w:firstColumn="0" w:lastColumn="0" w:oddVBand="0" w:evenVBand="0" w:oddHBand="0" w:evenHBand="0" w:firstRowFirstColumn="0" w:firstRowLastColumn="0" w:lastRowFirstColumn="0" w:lastRowLastColumn="0"/>
            </w:pPr>
            <w:r w:rsidRPr="00BC5B2E">
              <w:t>Social Housing (Regulation) Act 2023</w:t>
            </w:r>
          </w:p>
          <w:p w14:paraId="53838974" w14:textId="3FEBFC0A" w:rsidR="00A72EDC" w:rsidRPr="00BC5B2E" w:rsidRDefault="00A72EDC" w:rsidP="00A72ED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DC0AA1" w:rsidRPr="00DE6AD5" w14:paraId="5DD7D76E" w14:textId="77777777" w:rsidTr="00387221">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574FEF5F" w14:textId="77777777" w:rsidR="00DC0AA1" w:rsidRPr="00FE574E" w:rsidRDefault="00DC0AA1" w:rsidP="00B65CD1">
            <w:pPr>
              <w:pStyle w:val="BoldNormal"/>
            </w:pPr>
            <w:r w:rsidRPr="00777D19">
              <w:t>Codes of practice:</w:t>
            </w:r>
          </w:p>
        </w:tc>
        <w:tc>
          <w:tcPr>
            <w:tcW w:w="5679" w:type="dxa"/>
          </w:tcPr>
          <w:p w14:paraId="57D5F2A1" w14:textId="77777777" w:rsidR="00DC0AA1" w:rsidRDefault="00FD35AA" w:rsidP="00B65CD1">
            <w:pPr>
              <w:cnfStyle w:val="000000000000" w:firstRow="0" w:lastRow="0" w:firstColumn="0" w:lastColumn="0" w:oddVBand="0" w:evenVBand="0" w:oddHBand="0" w:evenHBand="0" w:firstRowFirstColumn="0" w:firstRowLastColumn="0" w:lastRowFirstColumn="0" w:lastRowLastColumn="0"/>
              <w:rPr>
                <w:color w:val="000000"/>
                <w:szCs w:val="24"/>
              </w:rPr>
            </w:pPr>
            <w:r w:rsidRPr="00BC5B2E">
              <w:rPr>
                <w:color w:val="000000"/>
                <w:szCs w:val="24"/>
              </w:rPr>
              <w:t>The Housing Ombudsman Complaints Handling Code 2024 and the RSH Consumer standards code of Practice.</w:t>
            </w:r>
          </w:p>
          <w:p w14:paraId="309EF989" w14:textId="5CB18B4C" w:rsidR="00A72EDC" w:rsidRPr="00BC5B2E" w:rsidRDefault="00A72EDC" w:rsidP="00B65CD1">
            <w:pPr>
              <w:cnfStyle w:val="000000000000" w:firstRow="0" w:lastRow="0" w:firstColumn="0" w:lastColumn="0" w:oddVBand="0" w:evenVBand="0" w:oddHBand="0" w:evenHBand="0" w:firstRowFirstColumn="0" w:firstRowLastColumn="0" w:lastRowFirstColumn="0" w:lastRowLastColumn="0"/>
              <w:rPr>
                <w:szCs w:val="24"/>
              </w:rPr>
            </w:pPr>
          </w:p>
        </w:tc>
      </w:tr>
      <w:tr w:rsidR="00DC0AA1" w:rsidRPr="00DE6AD5" w14:paraId="21E9BEE1" w14:textId="77777777" w:rsidTr="00387221">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3C708EEC" w14:textId="77777777" w:rsidR="00DC0AA1" w:rsidRPr="00FE574E" w:rsidRDefault="00DC0AA1" w:rsidP="00B65CD1">
            <w:pPr>
              <w:pStyle w:val="BoldNormal"/>
            </w:pPr>
            <w:r w:rsidRPr="00777D19">
              <w:t>The policy also operates in the context of:</w:t>
            </w:r>
          </w:p>
        </w:tc>
        <w:tc>
          <w:tcPr>
            <w:tcW w:w="5679" w:type="dxa"/>
          </w:tcPr>
          <w:p w14:paraId="567C5A4D" w14:textId="2850CCC7" w:rsidR="00F81271" w:rsidRPr="00BC5B2E" w:rsidRDefault="002951C5"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Safeguarding Policy and procedure</w:t>
            </w:r>
          </w:p>
          <w:p w14:paraId="69A5CB27" w14:textId="511552CC" w:rsidR="00F81271" w:rsidRPr="00BC5B2E" w:rsidRDefault="002951C5"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Lettings Policy</w:t>
            </w:r>
          </w:p>
          <w:p w14:paraId="095188BE" w14:textId="04C3D30D" w:rsidR="00F81271" w:rsidRPr="00BC5B2E" w:rsidRDefault="002951C5"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Anti-Social Behaviour Policy</w:t>
            </w:r>
          </w:p>
          <w:p w14:paraId="2B68D639" w14:textId="5AA0A30B" w:rsidR="00F81271" w:rsidRPr="00BC5B2E" w:rsidRDefault="002951C5"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Repairs Policy</w:t>
            </w:r>
          </w:p>
          <w:p w14:paraId="4249DAD6" w14:textId="732108A7" w:rsidR="00F81271" w:rsidRPr="00BC5B2E" w:rsidRDefault="002951C5"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Reasonable Adjustments Policy</w:t>
            </w:r>
          </w:p>
          <w:p w14:paraId="3EDB0882" w14:textId="5CBF7280" w:rsidR="00F81271" w:rsidRPr="00BC5B2E" w:rsidRDefault="002951C5"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Decants Procedure</w:t>
            </w:r>
          </w:p>
          <w:p w14:paraId="651E5C09" w14:textId="6E252840" w:rsidR="00F34B40" w:rsidRPr="00BC5B2E" w:rsidRDefault="002951C5" w:rsidP="00B541A2">
            <w:pPr>
              <w:pStyle w:val="ListBullet"/>
              <w:cnfStyle w:val="000000000000" w:firstRow="0" w:lastRow="0" w:firstColumn="0" w:lastColumn="0" w:oddVBand="0" w:evenVBand="0" w:oddHBand="0" w:evenHBand="0" w:firstRowFirstColumn="0" w:firstRowLastColumn="0" w:lastRowFirstColumn="0" w:lastRowLastColumn="0"/>
              <w:rPr>
                <w:szCs w:val="24"/>
              </w:rPr>
            </w:pPr>
            <w:r w:rsidRPr="00BC5B2E">
              <w:rPr>
                <w:szCs w:val="24"/>
              </w:rPr>
              <w:t xml:space="preserve">Access Procedure </w:t>
            </w:r>
          </w:p>
          <w:p w14:paraId="7F5F71E4" w14:textId="77777777" w:rsidR="00F34B40" w:rsidRPr="00BC5B2E" w:rsidRDefault="00F34B40" w:rsidP="00B65CD1">
            <w:pPr>
              <w:cnfStyle w:val="000000000000" w:firstRow="0" w:lastRow="0" w:firstColumn="0" w:lastColumn="0" w:oddVBand="0" w:evenVBand="0" w:oddHBand="0" w:evenHBand="0" w:firstRowFirstColumn="0" w:firstRowLastColumn="0" w:lastRowFirstColumn="0" w:lastRowLastColumn="0"/>
              <w:rPr>
                <w:color w:val="000000"/>
                <w:szCs w:val="24"/>
              </w:rPr>
            </w:pPr>
          </w:p>
          <w:p w14:paraId="2172A235" w14:textId="45C592A9" w:rsidR="00F34B40" w:rsidRPr="00BC5B2E" w:rsidRDefault="002951C5" w:rsidP="00B65CD1">
            <w:pPr>
              <w:cnfStyle w:val="000000000000" w:firstRow="0" w:lastRow="0" w:firstColumn="0" w:lastColumn="0" w:oddVBand="0" w:evenVBand="0" w:oddHBand="0" w:evenHBand="0" w:firstRowFirstColumn="0" w:firstRowLastColumn="0" w:lastRowFirstColumn="0" w:lastRowLastColumn="0"/>
              <w:rPr>
                <w:color w:val="000000"/>
                <w:szCs w:val="24"/>
              </w:rPr>
            </w:pPr>
            <w:r w:rsidRPr="00BC5B2E">
              <w:rPr>
                <w:color w:val="000000"/>
                <w:szCs w:val="24"/>
              </w:rPr>
              <w:t>Local Authorities</w:t>
            </w:r>
            <w:r w:rsidR="00F34B40" w:rsidRPr="00BC5B2E">
              <w:rPr>
                <w:color w:val="000000"/>
                <w:szCs w:val="24"/>
              </w:rPr>
              <w:t xml:space="preserve"> </w:t>
            </w:r>
            <w:r w:rsidRPr="00BC5B2E">
              <w:rPr>
                <w:color w:val="000000"/>
                <w:szCs w:val="24"/>
              </w:rPr>
              <w:t>(Executive Arrangements)</w:t>
            </w:r>
            <w:r w:rsidR="00F34B40" w:rsidRPr="00BC5B2E">
              <w:rPr>
                <w:color w:val="000000"/>
                <w:szCs w:val="24"/>
              </w:rPr>
              <w:t xml:space="preserve"> </w:t>
            </w:r>
            <w:r w:rsidRPr="00BC5B2E">
              <w:rPr>
                <w:color w:val="000000"/>
                <w:szCs w:val="24"/>
              </w:rPr>
              <w:t>(Access to Information)</w:t>
            </w:r>
            <w:r w:rsidR="00F34B40" w:rsidRPr="00BC5B2E">
              <w:rPr>
                <w:color w:val="000000"/>
                <w:szCs w:val="24"/>
              </w:rPr>
              <w:t xml:space="preserve"> </w:t>
            </w:r>
            <w:r w:rsidRPr="00BC5B2E">
              <w:rPr>
                <w:color w:val="000000"/>
                <w:szCs w:val="24"/>
              </w:rPr>
              <w:t xml:space="preserve">(England) Regulations 2012 </w:t>
            </w:r>
          </w:p>
          <w:p w14:paraId="4527C628" w14:textId="0079812D" w:rsidR="00925EC8" w:rsidRPr="00BC5B2E" w:rsidRDefault="00925EC8" w:rsidP="00B65CD1">
            <w:pPr>
              <w:cnfStyle w:val="000000000000" w:firstRow="0" w:lastRow="0" w:firstColumn="0" w:lastColumn="0" w:oddVBand="0" w:evenVBand="0" w:oddHBand="0" w:evenHBand="0" w:firstRowFirstColumn="0" w:firstRowLastColumn="0" w:lastRowFirstColumn="0" w:lastRowLastColumn="0"/>
              <w:rPr>
                <w:szCs w:val="24"/>
              </w:rPr>
            </w:pPr>
          </w:p>
        </w:tc>
      </w:tr>
    </w:tbl>
    <w:p w14:paraId="1F4C891E" w14:textId="77777777" w:rsidR="00DC0AA1" w:rsidRDefault="00DC0AA1" w:rsidP="00DC0AA1"/>
    <w:p w14:paraId="56351365" w14:textId="77777777" w:rsidR="00DC0AA1" w:rsidRDefault="00387221" w:rsidP="00387221">
      <w:pPr>
        <w:tabs>
          <w:tab w:val="left" w:pos="1545"/>
        </w:tabs>
      </w:pPr>
      <w:r>
        <w:tab/>
      </w:r>
    </w:p>
    <w:p w14:paraId="4D35FF2E" w14:textId="77777777" w:rsidR="00DC0AA1" w:rsidRDefault="00DC0AA1" w:rsidP="00DC0AA1">
      <w:pPr>
        <w:pStyle w:val="CentreNormal"/>
        <w:jc w:val="left"/>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75C8FB6F" w14:textId="1EACF5C2" w:rsidR="000170A7" w:rsidRPr="0084766C" w:rsidRDefault="00DC0AA1" w:rsidP="0084766C">
          <w:pPr>
            <w:pStyle w:val="TOCHeading"/>
          </w:pPr>
          <w:r>
            <w:t>Contents</w:t>
          </w:r>
        </w:p>
        <w:p w14:paraId="4B654005" w14:textId="27438A83" w:rsidR="00A25A09" w:rsidRDefault="00DC0AA1">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16791095" w:history="1">
            <w:r w:rsidR="00A25A09" w:rsidRPr="001C7B9F">
              <w:rPr>
                <w:rStyle w:val="Hyperlink"/>
              </w:rPr>
              <w:t>1.</w:t>
            </w:r>
            <w:r w:rsidR="00A25A09">
              <w:rPr>
                <w:rFonts w:asciiTheme="minorHAnsi" w:eastAsiaTheme="minorEastAsia" w:hAnsiTheme="minorHAnsi" w:cstheme="minorBidi"/>
                <w:color w:val="auto"/>
                <w:kern w:val="2"/>
                <w:szCs w:val="24"/>
                <w:lang w:eastAsia="en-GB"/>
                <w14:ligatures w14:val="standardContextual"/>
              </w:rPr>
              <w:tab/>
            </w:r>
            <w:r w:rsidR="00A25A09" w:rsidRPr="001C7B9F">
              <w:rPr>
                <w:rStyle w:val="Hyperlink"/>
              </w:rPr>
              <w:t>Introduction and Objectives</w:t>
            </w:r>
            <w:r w:rsidR="00A25A09">
              <w:rPr>
                <w:webHidden/>
              </w:rPr>
              <w:tab/>
            </w:r>
            <w:r w:rsidR="00A25A09">
              <w:rPr>
                <w:webHidden/>
              </w:rPr>
              <w:fldChar w:fldCharType="begin"/>
            </w:r>
            <w:r w:rsidR="00A25A09">
              <w:rPr>
                <w:webHidden/>
              </w:rPr>
              <w:instrText xml:space="preserve"> PAGEREF _Toc216791095 \h </w:instrText>
            </w:r>
            <w:r w:rsidR="00A25A09">
              <w:rPr>
                <w:webHidden/>
              </w:rPr>
            </w:r>
            <w:r w:rsidR="00A25A09">
              <w:rPr>
                <w:webHidden/>
              </w:rPr>
              <w:fldChar w:fldCharType="separate"/>
            </w:r>
            <w:r w:rsidR="00A25A09">
              <w:rPr>
                <w:webHidden/>
              </w:rPr>
              <w:t>4</w:t>
            </w:r>
            <w:r w:rsidR="00A25A09">
              <w:rPr>
                <w:webHidden/>
              </w:rPr>
              <w:fldChar w:fldCharType="end"/>
            </w:r>
          </w:hyperlink>
        </w:p>
        <w:p w14:paraId="0655CF18" w14:textId="6EAAFB6A"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096" w:history="1">
            <w:r w:rsidRPr="001C7B9F">
              <w:rPr>
                <w:rStyle w:val="Hyperlink"/>
              </w:rPr>
              <w:t>2.</w:t>
            </w:r>
            <w:r>
              <w:rPr>
                <w:rFonts w:asciiTheme="minorHAnsi" w:eastAsiaTheme="minorEastAsia" w:hAnsiTheme="minorHAnsi" w:cstheme="minorBidi"/>
                <w:color w:val="auto"/>
                <w:kern w:val="2"/>
                <w:szCs w:val="24"/>
                <w:lang w:eastAsia="en-GB"/>
                <w14:ligatures w14:val="standardContextual"/>
              </w:rPr>
              <w:tab/>
            </w:r>
            <w:r w:rsidRPr="001C7B9F">
              <w:rPr>
                <w:rStyle w:val="Hyperlink"/>
              </w:rPr>
              <w:t>Scope</w:t>
            </w:r>
            <w:r>
              <w:rPr>
                <w:webHidden/>
              </w:rPr>
              <w:tab/>
            </w:r>
            <w:r>
              <w:rPr>
                <w:webHidden/>
              </w:rPr>
              <w:fldChar w:fldCharType="begin"/>
            </w:r>
            <w:r>
              <w:rPr>
                <w:webHidden/>
              </w:rPr>
              <w:instrText xml:space="preserve"> PAGEREF _Toc216791096 \h </w:instrText>
            </w:r>
            <w:r>
              <w:rPr>
                <w:webHidden/>
              </w:rPr>
            </w:r>
            <w:r>
              <w:rPr>
                <w:webHidden/>
              </w:rPr>
              <w:fldChar w:fldCharType="separate"/>
            </w:r>
            <w:r>
              <w:rPr>
                <w:webHidden/>
              </w:rPr>
              <w:t>4</w:t>
            </w:r>
            <w:r>
              <w:rPr>
                <w:webHidden/>
              </w:rPr>
              <w:fldChar w:fldCharType="end"/>
            </w:r>
          </w:hyperlink>
        </w:p>
        <w:p w14:paraId="24F685F1" w14:textId="2289A740"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097" w:history="1">
            <w:r w:rsidRPr="001C7B9F">
              <w:rPr>
                <w:rStyle w:val="Hyperlink"/>
              </w:rPr>
              <w:t>3.</w:t>
            </w:r>
            <w:r>
              <w:rPr>
                <w:rFonts w:asciiTheme="minorHAnsi" w:eastAsiaTheme="minorEastAsia" w:hAnsiTheme="minorHAnsi" w:cstheme="minorBidi"/>
                <w:color w:val="auto"/>
                <w:kern w:val="2"/>
                <w:szCs w:val="24"/>
                <w:lang w:eastAsia="en-GB"/>
                <w14:ligatures w14:val="standardContextual"/>
              </w:rPr>
              <w:tab/>
            </w:r>
            <w:r w:rsidRPr="001C7B9F">
              <w:rPr>
                <w:rStyle w:val="Hyperlink"/>
              </w:rPr>
              <w:t>Roles and Responsibilities</w:t>
            </w:r>
            <w:r>
              <w:rPr>
                <w:webHidden/>
              </w:rPr>
              <w:tab/>
            </w:r>
            <w:r>
              <w:rPr>
                <w:webHidden/>
              </w:rPr>
              <w:fldChar w:fldCharType="begin"/>
            </w:r>
            <w:r>
              <w:rPr>
                <w:webHidden/>
              </w:rPr>
              <w:instrText xml:space="preserve"> PAGEREF _Toc216791097 \h </w:instrText>
            </w:r>
            <w:r>
              <w:rPr>
                <w:webHidden/>
              </w:rPr>
            </w:r>
            <w:r>
              <w:rPr>
                <w:webHidden/>
              </w:rPr>
              <w:fldChar w:fldCharType="separate"/>
            </w:r>
            <w:r>
              <w:rPr>
                <w:webHidden/>
              </w:rPr>
              <w:t>4</w:t>
            </w:r>
            <w:r>
              <w:rPr>
                <w:webHidden/>
              </w:rPr>
              <w:fldChar w:fldCharType="end"/>
            </w:r>
          </w:hyperlink>
        </w:p>
        <w:p w14:paraId="207D2733" w14:textId="18C7D04E"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098" w:history="1">
            <w:r w:rsidRPr="001C7B9F">
              <w:rPr>
                <w:rStyle w:val="Hyperlink"/>
              </w:rPr>
              <w:t>4.</w:t>
            </w:r>
            <w:r>
              <w:rPr>
                <w:rFonts w:asciiTheme="minorHAnsi" w:eastAsiaTheme="minorEastAsia" w:hAnsiTheme="minorHAnsi" w:cstheme="minorBidi"/>
                <w:color w:val="auto"/>
                <w:kern w:val="2"/>
                <w:szCs w:val="24"/>
                <w:lang w:eastAsia="en-GB"/>
                <w14:ligatures w14:val="standardContextual"/>
              </w:rPr>
              <w:tab/>
            </w:r>
            <w:r w:rsidRPr="001C7B9F">
              <w:rPr>
                <w:rStyle w:val="Hyperlink"/>
              </w:rPr>
              <w:t>Legislation, Guidance and Regulatory Standards</w:t>
            </w:r>
            <w:r>
              <w:rPr>
                <w:webHidden/>
              </w:rPr>
              <w:tab/>
            </w:r>
            <w:r>
              <w:rPr>
                <w:webHidden/>
              </w:rPr>
              <w:fldChar w:fldCharType="begin"/>
            </w:r>
            <w:r>
              <w:rPr>
                <w:webHidden/>
              </w:rPr>
              <w:instrText xml:space="preserve"> PAGEREF _Toc216791098 \h </w:instrText>
            </w:r>
            <w:r>
              <w:rPr>
                <w:webHidden/>
              </w:rPr>
            </w:r>
            <w:r>
              <w:rPr>
                <w:webHidden/>
              </w:rPr>
              <w:fldChar w:fldCharType="separate"/>
            </w:r>
            <w:r>
              <w:rPr>
                <w:webHidden/>
              </w:rPr>
              <w:t>5</w:t>
            </w:r>
            <w:r>
              <w:rPr>
                <w:webHidden/>
              </w:rPr>
              <w:fldChar w:fldCharType="end"/>
            </w:r>
          </w:hyperlink>
        </w:p>
        <w:p w14:paraId="7C558F4A" w14:textId="3D570B46"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099" w:history="1">
            <w:r w:rsidRPr="001C7B9F">
              <w:rPr>
                <w:rStyle w:val="Hyperlink"/>
              </w:rPr>
              <w:t>4.1</w:t>
            </w:r>
            <w:r>
              <w:rPr>
                <w:rFonts w:asciiTheme="minorHAnsi" w:eastAsiaTheme="minorEastAsia" w:hAnsiTheme="minorHAnsi" w:cstheme="minorBidi"/>
                <w:color w:val="auto"/>
                <w:kern w:val="2"/>
                <w:szCs w:val="24"/>
                <w:lang w:eastAsia="en-GB"/>
                <w14:ligatures w14:val="standardContextual"/>
              </w:rPr>
              <w:tab/>
            </w:r>
            <w:r w:rsidRPr="001C7B9F">
              <w:rPr>
                <w:rStyle w:val="Hyperlink"/>
              </w:rPr>
              <w:t>Legislation</w:t>
            </w:r>
            <w:r>
              <w:rPr>
                <w:webHidden/>
              </w:rPr>
              <w:tab/>
            </w:r>
            <w:r>
              <w:rPr>
                <w:webHidden/>
              </w:rPr>
              <w:fldChar w:fldCharType="begin"/>
            </w:r>
            <w:r>
              <w:rPr>
                <w:webHidden/>
              </w:rPr>
              <w:instrText xml:space="preserve"> PAGEREF _Toc216791099 \h </w:instrText>
            </w:r>
            <w:r>
              <w:rPr>
                <w:webHidden/>
              </w:rPr>
            </w:r>
            <w:r>
              <w:rPr>
                <w:webHidden/>
              </w:rPr>
              <w:fldChar w:fldCharType="separate"/>
            </w:r>
            <w:r>
              <w:rPr>
                <w:webHidden/>
              </w:rPr>
              <w:t>5</w:t>
            </w:r>
            <w:r>
              <w:rPr>
                <w:webHidden/>
              </w:rPr>
              <w:fldChar w:fldCharType="end"/>
            </w:r>
          </w:hyperlink>
        </w:p>
        <w:p w14:paraId="7966F9D3" w14:textId="0C6AF5CD"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00" w:history="1">
            <w:r w:rsidRPr="001C7B9F">
              <w:rPr>
                <w:rStyle w:val="Hyperlink"/>
              </w:rPr>
              <w:t>4.2</w:t>
            </w:r>
            <w:r>
              <w:rPr>
                <w:rFonts w:asciiTheme="minorHAnsi" w:eastAsiaTheme="minorEastAsia" w:hAnsiTheme="minorHAnsi" w:cstheme="minorBidi"/>
                <w:color w:val="auto"/>
                <w:kern w:val="2"/>
                <w:szCs w:val="24"/>
                <w:lang w:eastAsia="en-GB"/>
                <w14:ligatures w14:val="standardContextual"/>
              </w:rPr>
              <w:tab/>
            </w:r>
            <w:r w:rsidRPr="001C7B9F">
              <w:rPr>
                <w:rStyle w:val="Hyperlink"/>
              </w:rPr>
              <w:t>Approved Code of Practice (ACoP)</w:t>
            </w:r>
            <w:r>
              <w:rPr>
                <w:webHidden/>
              </w:rPr>
              <w:tab/>
            </w:r>
            <w:r>
              <w:rPr>
                <w:webHidden/>
              </w:rPr>
              <w:fldChar w:fldCharType="begin"/>
            </w:r>
            <w:r>
              <w:rPr>
                <w:webHidden/>
              </w:rPr>
              <w:instrText xml:space="preserve"> PAGEREF _Toc216791100 \h </w:instrText>
            </w:r>
            <w:r>
              <w:rPr>
                <w:webHidden/>
              </w:rPr>
            </w:r>
            <w:r>
              <w:rPr>
                <w:webHidden/>
              </w:rPr>
              <w:fldChar w:fldCharType="separate"/>
            </w:r>
            <w:r>
              <w:rPr>
                <w:webHidden/>
              </w:rPr>
              <w:t>5</w:t>
            </w:r>
            <w:r>
              <w:rPr>
                <w:webHidden/>
              </w:rPr>
              <w:fldChar w:fldCharType="end"/>
            </w:r>
          </w:hyperlink>
        </w:p>
        <w:p w14:paraId="7E8AFBE0" w14:textId="6D38DD82"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01" w:history="1">
            <w:r w:rsidRPr="001C7B9F">
              <w:rPr>
                <w:rStyle w:val="Hyperlink"/>
              </w:rPr>
              <w:t>4.3</w:t>
            </w:r>
            <w:r>
              <w:rPr>
                <w:rFonts w:asciiTheme="minorHAnsi" w:eastAsiaTheme="minorEastAsia" w:hAnsiTheme="minorHAnsi" w:cstheme="minorBidi"/>
                <w:color w:val="auto"/>
                <w:kern w:val="2"/>
                <w:szCs w:val="24"/>
                <w:lang w:eastAsia="en-GB"/>
                <w14:ligatures w14:val="standardContextual"/>
              </w:rPr>
              <w:tab/>
            </w:r>
            <w:r w:rsidRPr="001C7B9F">
              <w:rPr>
                <w:rStyle w:val="Hyperlink"/>
              </w:rPr>
              <w:t>Guidance</w:t>
            </w:r>
            <w:r>
              <w:rPr>
                <w:webHidden/>
              </w:rPr>
              <w:tab/>
            </w:r>
            <w:r>
              <w:rPr>
                <w:webHidden/>
              </w:rPr>
              <w:fldChar w:fldCharType="begin"/>
            </w:r>
            <w:r>
              <w:rPr>
                <w:webHidden/>
              </w:rPr>
              <w:instrText xml:space="preserve"> PAGEREF _Toc216791101 \h </w:instrText>
            </w:r>
            <w:r>
              <w:rPr>
                <w:webHidden/>
              </w:rPr>
            </w:r>
            <w:r>
              <w:rPr>
                <w:webHidden/>
              </w:rPr>
              <w:fldChar w:fldCharType="separate"/>
            </w:r>
            <w:r>
              <w:rPr>
                <w:webHidden/>
              </w:rPr>
              <w:t>5</w:t>
            </w:r>
            <w:r>
              <w:rPr>
                <w:webHidden/>
              </w:rPr>
              <w:fldChar w:fldCharType="end"/>
            </w:r>
          </w:hyperlink>
        </w:p>
        <w:p w14:paraId="34EDB3B1" w14:textId="65BB9B92"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02" w:history="1">
            <w:r w:rsidRPr="001C7B9F">
              <w:rPr>
                <w:rStyle w:val="Hyperlink"/>
              </w:rPr>
              <w:t>4.4</w:t>
            </w:r>
            <w:r>
              <w:rPr>
                <w:rFonts w:asciiTheme="minorHAnsi" w:eastAsiaTheme="minorEastAsia" w:hAnsiTheme="minorHAnsi" w:cstheme="minorBidi"/>
                <w:color w:val="auto"/>
                <w:kern w:val="2"/>
                <w:szCs w:val="24"/>
                <w:lang w:eastAsia="en-GB"/>
                <w14:ligatures w14:val="standardContextual"/>
              </w:rPr>
              <w:tab/>
            </w:r>
            <w:r w:rsidRPr="001C7B9F">
              <w:rPr>
                <w:rStyle w:val="Hyperlink"/>
              </w:rPr>
              <w:t>Regulatory Standards</w:t>
            </w:r>
            <w:r>
              <w:rPr>
                <w:webHidden/>
              </w:rPr>
              <w:tab/>
            </w:r>
            <w:r>
              <w:rPr>
                <w:webHidden/>
              </w:rPr>
              <w:fldChar w:fldCharType="begin"/>
            </w:r>
            <w:r>
              <w:rPr>
                <w:webHidden/>
              </w:rPr>
              <w:instrText xml:space="preserve"> PAGEREF _Toc216791102 \h </w:instrText>
            </w:r>
            <w:r>
              <w:rPr>
                <w:webHidden/>
              </w:rPr>
            </w:r>
            <w:r>
              <w:rPr>
                <w:webHidden/>
              </w:rPr>
              <w:fldChar w:fldCharType="separate"/>
            </w:r>
            <w:r>
              <w:rPr>
                <w:webHidden/>
              </w:rPr>
              <w:t>5</w:t>
            </w:r>
            <w:r>
              <w:rPr>
                <w:webHidden/>
              </w:rPr>
              <w:fldChar w:fldCharType="end"/>
            </w:r>
          </w:hyperlink>
        </w:p>
        <w:p w14:paraId="1E1355C2" w14:textId="28E6C316"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03" w:history="1">
            <w:r w:rsidRPr="001C7B9F">
              <w:rPr>
                <w:rStyle w:val="Hyperlink"/>
              </w:rPr>
              <w:t>4.5</w:t>
            </w:r>
            <w:r>
              <w:rPr>
                <w:rFonts w:asciiTheme="minorHAnsi" w:eastAsiaTheme="minorEastAsia" w:hAnsiTheme="minorHAnsi" w:cstheme="minorBidi"/>
                <w:color w:val="auto"/>
                <w:kern w:val="2"/>
                <w:szCs w:val="24"/>
                <w:lang w:eastAsia="en-GB"/>
                <w14:ligatures w14:val="standardContextual"/>
              </w:rPr>
              <w:tab/>
            </w:r>
            <w:r w:rsidRPr="001C7B9F">
              <w:rPr>
                <w:rStyle w:val="Hyperlink"/>
              </w:rPr>
              <w:t>Sanctions</w:t>
            </w:r>
            <w:r>
              <w:rPr>
                <w:webHidden/>
              </w:rPr>
              <w:tab/>
            </w:r>
            <w:r>
              <w:rPr>
                <w:webHidden/>
              </w:rPr>
              <w:fldChar w:fldCharType="begin"/>
            </w:r>
            <w:r>
              <w:rPr>
                <w:webHidden/>
              </w:rPr>
              <w:instrText xml:space="preserve"> PAGEREF _Toc216791103 \h </w:instrText>
            </w:r>
            <w:r>
              <w:rPr>
                <w:webHidden/>
              </w:rPr>
            </w:r>
            <w:r>
              <w:rPr>
                <w:webHidden/>
              </w:rPr>
              <w:fldChar w:fldCharType="separate"/>
            </w:r>
            <w:r>
              <w:rPr>
                <w:webHidden/>
              </w:rPr>
              <w:t>5</w:t>
            </w:r>
            <w:r>
              <w:rPr>
                <w:webHidden/>
              </w:rPr>
              <w:fldChar w:fldCharType="end"/>
            </w:r>
          </w:hyperlink>
        </w:p>
        <w:p w14:paraId="66CDBFC0" w14:textId="4DB128EC"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04" w:history="1">
            <w:r w:rsidRPr="001C7B9F">
              <w:rPr>
                <w:rStyle w:val="Hyperlink"/>
              </w:rPr>
              <w:t>5.</w:t>
            </w:r>
            <w:r>
              <w:rPr>
                <w:rFonts w:asciiTheme="minorHAnsi" w:eastAsiaTheme="minorEastAsia" w:hAnsiTheme="minorHAnsi" w:cstheme="minorBidi"/>
                <w:color w:val="auto"/>
                <w:kern w:val="2"/>
                <w:szCs w:val="24"/>
                <w:lang w:eastAsia="en-GB"/>
                <w14:ligatures w14:val="standardContextual"/>
              </w:rPr>
              <w:tab/>
            </w:r>
            <w:r w:rsidRPr="001C7B9F">
              <w:rPr>
                <w:rStyle w:val="Hyperlink"/>
              </w:rPr>
              <w:t>Definition of Vulnerability</w:t>
            </w:r>
            <w:r>
              <w:rPr>
                <w:webHidden/>
              </w:rPr>
              <w:tab/>
            </w:r>
            <w:r>
              <w:rPr>
                <w:webHidden/>
              </w:rPr>
              <w:fldChar w:fldCharType="begin"/>
            </w:r>
            <w:r>
              <w:rPr>
                <w:webHidden/>
              </w:rPr>
              <w:instrText xml:space="preserve"> PAGEREF _Toc216791104 \h </w:instrText>
            </w:r>
            <w:r>
              <w:rPr>
                <w:webHidden/>
              </w:rPr>
            </w:r>
            <w:r>
              <w:rPr>
                <w:webHidden/>
              </w:rPr>
              <w:fldChar w:fldCharType="separate"/>
            </w:r>
            <w:r>
              <w:rPr>
                <w:webHidden/>
              </w:rPr>
              <w:t>6</w:t>
            </w:r>
            <w:r>
              <w:rPr>
                <w:webHidden/>
              </w:rPr>
              <w:fldChar w:fldCharType="end"/>
            </w:r>
          </w:hyperlink>
        </w:p>
        <w:p w14:paraId="7E422581" w14:textId="45C1E3F7"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05" w:history="1">
            <w:r w:rsidRPr="001C7B9F">
              <w:rPr>
                <w:rStyle w:val="Hyperlink"/>
              </w:rPr>
              <w:t>5.1</w:t>
            </w:r>
            <w:r>
              <w:rPr>
                <w:rFonts w:asciiTheme="minorHAnsi" w:eastAsiaTheme="minorEastAsia" w:hAnsiTheme="minorHAnsi" w:cstheme="minorBidi"/>
                <w:color w:val="auto"/>
                <w:kern w:val="2"/>
                <w:szCs w:val="24"/>
                <w:lang w:eastAsia="en-GB"/>
                <w14:ligatures w14:val="standardContextual"/>
              </w:rPr>
              <w:tab/>
            </w:r>
            <w:r w:rsidRPr="001C7B9F">
              <w:rPr>
                <w:rStyle w:val="Hyperlink"/>
              </w:rPr>
              <w:t>Vulnerable residents lacking mental capacity</w:t>
            </w:r>
            <w:r>
              <w:rPr>
                <w:webHidden/>
              </w:rPr>
              <w:tab/>
            </w:r>
            <w:r>
              <w:rPr>
                <w:webHidden/>
              </w:rPr>
              <w:fldChar w:fldCharType="begin"/>
            </w:r>
            <w:r>
              <w:rPr>
                <w:webHidden/>
              </w:rPr>
              <w:instrText xml:space="preserve"> PAGEREF _Toc216791105 \h </w:instrText>
            </w:r>
            <w:r>
              <w:rPr>
                <w:webHidden/>
              </w:rPr>
            </w:r>
            <w:r>
              <w:rPr>
                <w:webHidden/>
              </w:rPr>
              <w:fldChar w:fldCharType="separate"/>
            </w:r>
            <w:r>
              <w:rPr>
                <w:webHidden/>
              </w:rPr>
              <w:t>6</w:t>
            </w:r>
            <w:r>
              <w:rPr>
                <w:webHidden/>
              </w:rPr>
              <w:fldChar w:fldCharType="end"/>
            </w:r>
          </w:hyperlink>
        </w:p>
        <w:p w14:paraId="4AA5B043" w14:textId="273CB51B"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06" w:history="1">
            <w:r w:rsidRPr="001C7B9F">
              <w:rPr>
                <w:rStyle w:val="Hyperlink"/>
                <w:lang w:val="en-US"/>
              </w:rPr>
              <w:t>6.</w:t>
            </w:r>
            <w:r>
              <w:rPr>
                <w:rFonts w:asciiTheme="minorHAnsi" w:eastAsiaTheme="minorEastAsia" w:hAnsiTheme="minorHAnsi" w:cstheme="minorBidi"/>
                <w:color w:val="auto"/>
                <w:kern w:val="2"/>
                <w:szCs w:val="24"/>
                <w:lang w:eastAsia="en-GB"/>
                <w14:ligatures w14:val="standardContextual"/>
              </w:rPr>
              <w:tab/>
            </w:r>
            <w:r w:rsidRPr="001C7B9F">
              <w:rPr>
                <w:rStyle w:val="Hyperlink"/>
                <w:lang w:val="en-US"/>
              </w:rPr>
              <w:t>Recording Vulnerability</w:t>
            </w:r>
            <w:r>
              <w:rPr>
                <w:webHidden/>
              </w:rPr>
              <w:tab/>
            </w:r>
            <w:r>
              <w:rPr>
                <w:webHidden/>
              </w:rPr>
              <w:fldChar w:fldCharType="begin"/>
            </w:r>
            <w:r>
              <w:rPr>
                <w:webHidden/>
              </w:rPr>
              <w:instrText xml:space="preserve"> PAGEREF _Toc216791106 \h </w:instrText>
            </w:r>
            <w:r>
              <w:rPr>
                <w:webHidden/>
              </w:rPr>
            </w:r>
            <w:r>
              <w:rPr>
                <w:webHidden/>
              </w:rPr>
              <w:fldChar w:fldCharType="separate"/>
            </w:r>
            <w:r>
              <w:rPr>
                <w:webHidden/>
              </w:rPr>
              <w:t>6</w:t>
            </w:r>
            <w:r>
              <w:rPr>
                <w:webHidden/>
              </w:rPr>
              <w:fldChar w:fldCharType="end"/>
            </w:r>
          </w:hyperlink>
        </w:p>
        <w:p w14:paraId="5167D17B" w14:textId="192852CE"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07" w:history="1">
            <w:r w:rsidRPr="001C7B9F">
              <w:rPr>
                <w:rStyle w:val="Hyperlink"/>
              </w:rPr>
              <w:t>6.1</w:t>
            </w:r>
            <w:r>
              <w:rPr>
                <w:rFonts w:asciiTheme="minorHAnsi" w:eastAsiaTheme="minorEastAsia" w:hAnsiTheme="minorHAnsi" w:cstheme="minorBidi"/>
                <w:color w:val="auto"/>
                <w:kern w:val="2"/>
                <w:szCs w:val="24"/>
                <w:lang w:eastAsia="en-GB"/>
                <w14:ligatures w14:val="standardContextual"/>
              </w:rPr>
              <w:tab/>
            </w:r>
            <w:r w:rsidRPr="001C7B9F">
              <w:rPr>
                <w:rStyle w:val="Hyperlink"/>
              </w:rPr>
              <w:t>Services available for vulnerable residents</w:t>
            </w:r>
            <w:r>
              <w:rPr>
                <w:webHidden/>
              </w:rPr>
              <w:tab/>
            </w:r>
            <w:r>
              <w:rPr>
                <w:webHidden/>
              </w:rPr>
              <w:fldChar w:fldCharType="begin"/>
            </w:r>
            <w:r>
              <w:rPr>
                <w:webHidden/>
              </w:rPr>
              <w:instrText xml:space="preserve"> PAGEREF _Toc216791107 \h </w:instrText>
            </w:r>
            <w:r>
              <w:rPr>
                <w:webHidden/>
              </w:rPr>
            </w:r>
            <w:r>
              <w:rPr>
                <w:webHidden/>
              </w:rPr>
              <w:fldChar w:fldCharType="separate"/>
            </w:r>
            <w:r>
              <w:rPr>
                <w:webHidden/>
              </w:rPr>
              <w:t>8</w:t>
            </w:r>
            <w:r>
              <w:rPr>
                <w:webHidden/>
              </w:rPr>
              <w:fldChar w:fldCharType="end"/>
            </w:r>
          </w:hyperlink>
        </w:p>
        <w:p w14:paraId="16DC3F0B" w14:textId="25F90D28"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08" w:history="1">
            <w:r w:rsidRPr="001C7B9F">
              <w:rPr>
                <w:rStyle w:val="Hyperlink"/>
              </w:rPr>
              <w:t>6.2</w:t>
            </w:r>
            <w:r>
              <w:rPr>
                <w:rFonts w:asciiTheme="minorHAnsi" w:eastAsiaTheme="minorEastAsia" w:hAnsiTheme="minorHAnsi" w:cstheme="minorBidi"/>
                <w:color w:val="auto"/>
                <w:kern w:val="2"/>
                <w:szCs w:val="24"/>
                <w:lang w:eastAsia="en-GB"/>
                <w14:ligatures w14:val="standardContextual"/>
              </w:rPr>
              <w:tab/>
            </w:r>
            <w:r w:rsidRPr="001C7B9F">
              <w:rPr>
                <w:rStyle w:val="Hyperlink"/>
              </w:rPr>
              <w:t>Lettings</w:t>
            </w:r>
            <w:r>
              <w:rPr>
                <w:webHidden/>
              </w:rPr>
              <w:tab/>
            </w:r>
            <w:r>
              <w:rPr>
                <w:webHidden/>
              </w:rPr>
              <w:fldChar w:fldCharType="begin"/>
            </w:r>
            <w:r>
              <w:rPr>
                <w:webHidden/>
              </w:rPr>
              <w:instrText xml:space="preserve"> PAGEREF _Toc216791108 \h </w:instrText>
            </w:r>
            <w:r>
              <w:rPr>
                <w:webHidden/>
              </w:rPr>
            </w:r>
            <w:r>
              <w:rPr>
                <w:webHidden/>
              </w:rPr>
              <w:fldChar w:fldCharType="separate"/>
            </w:r>
            <w:r>
              <w:rPr>
                <w:webHidden/>
              </w:rPr>
              <w:t>8</w:t>
            </w:r>
            <w:r>
              <w:rPr>
                <w:webHidden/>
              </w:rPr>
              <w:fldChar w:fldCharType="end"/>
            </w:r>
          </w:hyperlink>
        </w:p>
        <w:p w14:paraId="1A6B36EE" w14:textId="1D7B6E75"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09" w:history="1">
            <w:r w:rsidRPr="001C7B9F">
              <w:rPr>
                <w:rStyle w:val="Hyperlink"/>
              </w:rPr>
              <w:t>6.3</w:t>
            </w:r>
            <w:r>
              <w:rPr>
                <w:rFonts w:asciiTheme="minorHAnsi" w:eastAsiaTheme="minorEastAsia" w:hAnsiTheme="minorHAnsi" w:cstheme="minorBidi"/>
                <w:color w:val="auto"/>
                <w:kern w:val="2"/>
                <w:szCs w:val="24"/>
                <w:lang w:eastAsia="en-GB"/>
                <w14:ligatures w14:val="standardContextual"/>
              </w:rPr>
              <w:tab/>
            </w:r>
            <w:r w:rsidRPr="001C7B9F">
              <w:rPr>
                <w:rStyle w:val="Hyperlink"/>
              </w:rPr>
              <w:t>Tenancy Sign-up</w:t>
            </w:r>
            <w:r>
              <w:rPr>
                <w:webHidden/>
              </w:rPr>
              <w:tab/>
            </w:r>
            <w:r>
              <w:rPr>
                <w:webHidden/>
              </w:rPr>
              <w:fldChar w:fldCharType="begin"/>
            </w:r>
            <w:r>
              <w:rPr>
                <w:webHidden/>
              </w:rPr>
              <w:instrText xml:space="preserve"> PAGEREF _Toc216791109 \h </w:instrText>
            </w:r>
            <w:r>
              <w:rPr>
                <w:webHidden/>
              </w:rPr>
            </w:r>
            <w:r>
              <w:rPr>
                <w:webHidden/>
              </w:rPr>
              <w:fldChar w:fldCharType="separate"/>
            </w:r>
            <w:r>
              <w:rPr>
                <w:webHidden/>
              </w:rPr>
              <w:t>8</w:t>
            </w:r>
            <w:r>
              <w:rPr>
                <w:webHidden/>
              </w:rPr>
              <w:fldChar w:fldCharType="end"/>
            </w:r>
          </w:hyperlink>
        </w:p>
        <w:p w14:paraId="1E270934" w14:textId="4A069C3E"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0" w:history="1">
            <w:r w:rsidRPr="001C7B9F">
              <w:rPr>
                <w:rStyle w:val="Hyperlink"/>
              </w:rPr>
              <w:t>6.4</w:t>
            </w:r>
            <w:r>
              <w:rPr>
                <w:rFonts w:asciiTheme="minorHAnsi" w:eastAsiaTheme="minorEastAsia" w:hAnsiTheme="minorHAnsi" w:cstheme="minorBidi"/>
                <w:color w:val="auto"/>
                <w:kern w:val="2"/>
                <w:szCs w:val="24"/>
                <w:lang w:eastAsia="en-GB"/>
                <w14:ligatures w14:val="standardContextual"/>
              </w:rPr>
              <w:tab/>
            </w:r>
            <w:r w:rsidRPr="001C7B9F">
              <w:rPr>
                <w:rStyle w:val="Hyperlink"/>
              </w:rPr>
              <w:t>Communications</w:t>
            </w:r>
            <w:r>
              <w:rPr>
                <w:webHidden/>
              </w:rPr>
              <w:tab/>
            </w:r>
            <w:r>
              <w:rPr>
                <w:webHidden/>
              </w:rPr>
              <w:fldChar w:fldCharType="begin"/>
            </w:r>
            <w:r>
              <w:rPr>
                <w:webHidden/>
              </w:rPr>
              <w:instrText xml:space="preserve"> PAGEREF _Toc216791110 \h </w:instrText>
            </w:r>
            <w:r>
              <w:rPr>
                <w:webHidden/>
              </w:rPr>
            </w:r>
            <w:r>
              <w:rPr>
                <w:webHidden/>
              </w:rPr>
              <w:fldChar w:fldCharType="separate"/>
            </w:r>
            <w:r>
              <w:rPr>
                <w:webHidden/>
              </w:rPr>
              <w:t>8</w:t>
            </w:r>
            <w:r>
              <w:rPr>
                <w:webHidden/>
              </w:rPr>
              <w:fldChar w:fldCharType="end"/>
            </w:r>
          </w:hyperlink>
        </w:p>
        <w:p w14:paraId="5A98C0F8" w14:textId="21A35CE5"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1" w:history="1">
            <w:r w:rsidRPr="001C7B9F">
              <w:rPr>
                <w:rStyle w:val="Hyperlink"/>
              </w:rPr>
              <w:t>6.5</w:t>
            </w:r>
            <w:r>
              <w:rPr>
                <w:rFonts w:asciiTheme="minorHAnsi" w:eastAsiaTheme="minorEastAsia" w:hAnsiTheme="minorHAnsi" w:cstheme="minorBidi"/>
                <w:color w:val="auto"/>
                <w:kern w:val="2"/>
                <w:szCs w:val="24"/>
                <w:lang w:eastAsia="en-GB"/>
                <w14:ligatures w14:val="standardContextual"/>
              </w:rPr>
              <w:tab/>
            </w:r>
            <w:r w:rsidRPr="001C7B9F">
              <w:rPr>
                <w:rStyle w:val="Hyperlink"/>
              </w:rPr>
              <w:t>Rent/Service Charge Arrears and Financial</w:t>
            </w:r>
            <w:r>
              <w:rPr>
                <w:webHidden/>
              </w:rPr>
              <w:tab/>
            </w:r>
            <w:r>
              <w:rPr>
                <w:webHidden/>
              </w:rPr>
              <w:fldChar w:fldCharType="begin"/>
            </w:r>
            <w:r>
              <w:rPr>
                <w:webHidden/>
              </w:rPr>
              <w:instrText xml:space="preserve"> PAGEREF _Toc216791111 \h </w:instrText>
            </w:r>
            <w:r>
              <w:rPr>
                <w:webHidden/>
              </w:rPr>
            </w:r>
            <w:r>
              <w:rPr>
                <w:webHidden/>
              </w:rPr>
              <w:fldChar w:fldCharType="separate"/>
            </w:r>
            <w:r>
              <w:rPr>
                <w:webHidden/>
              </w:rPr>
              <w:t>9</w:t>
            </w:r>
            <w:r>
              <w:rPr>
                <w:webHidden/>
              </w:rPr>
              <w:fldChar w:fldCharType="end"/>
            </w:r>
          </w:hyperlink>
        </w:p>
        <w:p w14:paraId="312FC2F6" w14:textId="233DA587"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2" w:history="1">
            <w:r w:rsidRPr="001C7B9F">
              <w:rPr>
                <w:rStyle w:val="Hyperlink"/>
              </w:rPr>
              <w:t>6.6</w:t>
            </w:r>
            <w:r>
              <w:rPr>
                <w:rFonts w:asciiTheme="minorHAnsi" w:eastAsiaTheme="minorEastAsia" w:hAnsiTheme="minorHAnsi" w:cstheme="minorBidi"/>
                <w:color w:val="auto"/>
                <w:kern w:val="2"/>
                <w:szCs w:val="24"/>
                <w:lang w:eastAsia="en-GB"/>
                <w14:ligatures w14:val="standardContextual"/>
              </w:rPr>
              <w:tab/>
            </w:r>
            <w:r w:rsidRPr="001C7B9F">
              <w:rPr>
                <w:rStyle w:val="Hyperlink"/>
              </w:rPr>
              <w:t>Repairs</w:t>
            </w:r>
            <w:r>
              <w:rPr>
                <w:webHidden/>
              </w:rPr>
              <w:tab/>
            </w:r>
            <w:r>
              <w:rPr>
                <w:webHidden/>
              </w:rPr>
              <w:fldChar w:fldCharType="begin"/>
            </w:r>
            <w:r>
              <w:rPr>
                <w:webHidden/>
              </w:rPr>
              <w:instrText xml:space="preserve"> PAGEREF _Toc216791112 \h </w:instrText>
            </w:r>
            <w:r>
              <w:rPr>
                <w:webHidden/>
              </w:rPr>
            </w:r>
            <w:r>
              <w:rPr>
                <w:webHidden/>
              </w:rPr>
              <w:fldChar w:fldCharType="separate"/>
            </w:r>
            <w:r>
              <w:rPr>
                <w:webHidden/>
              </w:rPr>
              <w:t>9</w:t>
            </w:r>
            <w:r>
              <w:rPr>
                <w:webHidden/>
              </w:rPr>
              <w:fldChar w:fldCharType="end"/>
            </w:r>
          </w:hyperlink>
        </w:p>
        <w:p w14:paraId="10571B2E" w14:textId="27FB056E"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3" w:history="1">
            <w:r w:rsidRPr="001C7B9F">
              <w:rPr>
                <w:rStyle w:val="Hyperlink"/>
              </w:rPr>
              <w:t>6.7</w:t>
            </w:r>
            <w:r>
              <w:rPr>
                <w:rFonts w:asciiTheme="minorHAnsi" w:eastAsiaTheme="minorEastAsia" w:hAnsiTheme="minorHAnsi" w:cstheme="minorBidi"/>
                <w:color w:val="auto"/>
                <w:kern w:val="2"/>
                <w:szCs w:val="24"/>
                <w:lang w:eastAsia="en-GB"/>
                <w14:ligatures w14:val="standardContextual"/>
              </w:rPr>
              <w:tab/>
            </w:r>
            <w:r w:rsidRPr="001C7B9F">
              <w:rPr>
                <w:rStyle w:val="Hyperlink"/>
              </w:rPr>
              <w:t>Gas Capping</w:t>
            </w:r>
            <w:r>
              <w:rPr>
                <w:webHidden/>
              </w:rPr>
              <w:tab/>
            </w:r>
            <w:r>
              <w:rPr>
                <w:webHidden/>
              </w:rPr>
              <w:fldChar w:fldCharType="begin"/>
            </w:r>
            <w:r>
              <w:rPr>
                <w:webHidden/>
              </w:rPr>
              <w:instrText xml:space="preserve"> PAGEREF _Toc216791113 \h </w:instrText>
            </w:r>
            <w:r>
              <w:rPr>
                <w:webHidden/>
              </w:rPr>
            </w:r>
            <w:r>
              <w:rPr>
                <w:webHidden/>
              </w:rPr>
              <w:fldChar w:fldCharType="separate"/>
            </w:r>
            <w:r>
              <w:rPr>
                <w:webHidden/>
              </w:rPr>
              <w:t>9</w:t>
            </w:r>
            <w:r>
              <w:rPr>
                <w:webHidden/>
              </w:rPr>
              <w:fldChar w:fldCharType="end"/>
            </w:r>
          </w:hyperlink>
        </w:p>
        <w:p w14:paraId="78BA75F2" w14:textId="4064A1B7"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4" w:history="1">
            <w:r w:rsidRPr="001C7B9F">
              <w:rPr>
                <w:rStyle w:val="Hyperlink"/>
              </w:rPr>
              <w:t>6.8</w:t>
            </w:r>
            <w:r>
              <w:rPr>
                <w:rFonts w:asciiTheme="minorHAnsi" w:eastAsiaTheme="minorEastAsia" w:hAnsiTheme="minorHAnsi" w:cstheme="minorBidi"/>
                <w:color w:val="auto"/>
                <w:kern w:val="2"/>
                <w:szCs w:val="24"/>
                <w:lang w:eastAsia="en-GB"/>
                <w14:ligatures w14:val="standardContextual"/>
              </w:rPr>
              <w:tab/>
            </w:r>
            <w:r w:rsidRPr="001C7B9F">
              <w:rPr>
                <w:rStyle w:val="Hyperlink"/>
              </w:rPr>
              <w:t>Anti-Social Behaviour</w:t>
            </w:r>
            <w:r>
              <w:rPr>
                <w:webHidden/>
              </w:rPr>
              <w:tab/>
            </w:r>
            <w:r>
              <w:rPr>
                <w:webHidden/>
              </w:rPr>
              <w:fldChar w:fldCharType="begin"/>
            </w:r>
            <w:r>
              <w:rPr>
                <w:webHidden/>
              </w:rPr>
              <w:instrText xml:space="preserve"> PAGEREF _Toc216791114 \h </w:instrText>
            </w:r>
            <w:r>
              <w:rPr>
                <w:webHidden/>
              </w:rPr>
            </w:r>
            <w:r>
              <w:rPr>
                <w:webHidden/>
              </w:rPr>
              <w:fldChar w:fldCharType="separate"/>
            </w:r>
            <w:r>
              <w:rPr>
                <w:webHidden/>
              </w:rPr>
              <w:t>10</w:t>
            </w:r>
            <w:r>
              <w:rPr>
                <w:webHidden/>
              </w:rPr>
              <w:fldChar w:fldCharType="end"/>
            </w:r>
          </w:hyperlink>
        </w:p>
        <w:p w14:paraId="244BB4A2" w14:textId="6BA1F699"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5" w:history="1">
            <w:r w:rsidRPr="001C7B9F">
              <w:rPr>
                <w:rStyle w:val="Hyperlink"/>
              </w:rPr>
              <w:t>6.9</w:t>
            </w:r>
            <w:r>
              <w:rPr>
                <w:rFonts w:asciiTheme="minorHAnsi" w:eastAsiaTheme="minorEastAsia" w:hAnsiTheme="minorHAnsi" w:cstheme="minorBidi"/>
                <w:color w:val="auto"/>
                <w:kern w:val="2"/>
                <w:szCs w:val="24"/>
                <w:lang w:eastAsia="en-GB"/>
                <w14:ligatures w14:val="standardContextual"/>
              </w:rPr>
              <w:tab/>
            </w:r>
            <w:r w:rsidRPr="001C7B9F">
              <w:rPr>
                <w:rStyle w:val="Hyperlink"/>
              </w:rPr>
              <w:t>Tenancy Health Checks</w:t>
            </w:r>
            <w:r>
              <w:rPr>
                <w:webHidden/>
              </w:rPr>
              <w:tab/>
            </w:r>
            <w:r>
              <w:rPr>
                <w:webHidden/>
              </w:rPr>
              <w:fldChar w:fldCharType="begin"/>
            </w:r>
            <w:r>
              <w:rPr>
                <w:webHidden/>
              </w:rPr>
              <w:instrText xml:space="preserve"> PAGEREF _Toc216791115 \h </w:instrText>
            </w:r>
            <w:r>
              <w:rPr>
                <w:webHidden/>
              </w:rPr>
            </w:r>
            <w:r>
              <w:rPr>
                <w:webHidden/>
              </w:rPr>
              <w:fldChar w:fldCharType="separate"/>
            </w:r>
            <w:r>
              <w:rPr>
                <w:webHidden/>
              </w:rPr>
              <w:t>10</w:t>
            </w:r>
            <w:r>
              <w:rPr>
                <w:webHidden/>
              </w:rPr>
              <w:fldChar w:fldCharType="end"/>
            </w:r>
          </w:hyperlink>
        </w:p>
        <w:p w14:paraId="075D7E1A" w14:textId="67E6D587"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6" w:history="1">
            <w:r w:rsidRPr="001C7B9F">
              <w:rPr>
                <w:rStyle w:val="Hyperlink"/>
              </w:rPr>
              <w:t>6.10</w:t>
            </w:r>
            <w:r>
              <w:rPr>
                <w:rFonts w:asciiTheme="minorHAnsi" w:eastAsiaTheme="minorEastAsia" w:hAnsiTheme="minorHAnsi" w:cstheme="minorBidi"/>
                <w:color w:val="auto"/>
                <w:kern w:val="2"/>
                <w:szCs w:val="24"/>
                <w:lang w:eastAsia="en-GB"/>
                <w14:ligatures w14:val="standardContextual"/>
              </w:rPr>
              <w:tab/>
            </w:r>
            <w:r w:rsidRPr="001C7B9F">
              <w:rPr>
                <w:rStyle w:val="Hyperlink"/>
              </w:rPr>
              <w:t>Incident Management</w:t>
            </w:r>
            <w:r>
              <w:rPr>
                <w:webHidden/>
              </w:rPr>
              <w:tab/>
            </w:r>
            <w:r>
              <w:rPr>
                <w:webHidden/>
              </w:rPr>
              <w:fldChar w:fldCharType="begin"/>
            </w:r>
            <w:r>
              <w:rPr>
                <w:webHidden/>
              </w:rPr>
              <w:instrText xml:space="preserve"> PAGEREF _Toc216791116 \h </w:instrText>
            </w:r>
            <w:r>
              <w:rPr>
                <w:webHidden/>
              </w:rPr>
            </w:r>
            <w:r>
              <w:rPr>
                <w:webHidden/>
              </w:rPr>
              <w:fldChar w:fldCharType="separate"/>
            </w:r>
            <w:r>
              <w:rPr>
                <w:webHidden/>
              </w:rPr>
              <w:t>10</w:t>
            </w:r>
            <w:r>
              <w:rPr>
                <w:webHidden/>
              </w:rPr>
              <w:fldChar w:fldCharType="end"/>
            </w:r>
          </w:hyperlink>
        </w:p>
        <w:p w14:paraId="28BB575B" w14:textId="4CBFAD35"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7" w:history="1">
            <w:r w:rsidRPr="001C7B9F">
              <w:rPr>
                <w:rStyle w:val="Hyperlink"/>
              </w:rPr>
              <w:t>6.11</w:t>
            </w:r>
            <w:r>
              <w:rPr>
                <w:rFonts w:asciiTheme="minorHAnsi" w:eastAsiaTheme="minorEastAsia" w:hAnsiTheme="minorHAnsi" w:cstheme="minorBidi"/>
                <w:color w:val="auto"/>
                <w:kern w:val="2"/>
                <w:szCs w:val="24"/>
                <w:lang w:eastAsia="en-GB"/>
                <w14:ligatures w14:val="standardContextual"/>
              </w:rPr>
              <w:tab/>
            </w:r>
            <w:r w:rsidRPr="001C7B9F">
              <w:rPr>
                <w:rStyle w:val="Hyperlink"/>
              </w:rPr>
              <w:t>Aids and Adaptations</w:t>
            </w:r>
            <w:r>
              <w:rPr>
                <w:webHidden/>
              </w:rPr>
              <w:tab/>
            </w:r>
            <w:r>
              <w:rPr>
                <w:webHidden/>
              </w:rPr>
              <w:fldChar w:fldCharType="begin"/>
            </w:r>
            <w:r>
              <w:rPr>
                <w:webHidden/>
              </w:rPr>
              <w:instrText xml:space="preserve"> PAGEREF _Toc216791117 \h </w:instrText>
            </w:r>
            <w:r>
              <w:rPr>
                <w:webHidden/>
              </w:rPr>
            </w:r>
            <w:r>
              <w:rPr>
                <w:webHidden/>
              </w:rPr>
              <w:fldChar w:fldCharType="separate"/>
            </w:r>
            <w:r>
              <w:rPr>
                <w:webHidden/>
              </w:rPr>
              <w:t>10</w:t>
            </w:r>
            <w:r>
              <w:rPr>
                <w:webHidden/>
              </w:rPr>
              <w:fldChar w:fldCharType="end"/>
            </w:r>
          </w:hyperlink>
        </w:p>
        <w:p w14:paraId="36130278" w14:textId="628A40C6"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8" w:history="1">
            <w:r w:rsidRPr="001C7B9F">
              <w:rPr>
                <w:rStyle w:val="Hyperlink"/>
              </w:rPr>
              <w:t>6.12</w:t>
            </w:r>
            <w:r>
              <w:rPr>
                <w:rFonts w:asciiTheme="minorHAnsi" w:eastAsiaTheme="minorEastAsia" w:hAnsiTheme="minorHAnsi" w:cstheme="minorBidi"/>
                <w:color w:val="auto"/>
                <w:kern w:val="2"/>
                <w:szCs w:val="24"/>
                <w:lang w:eastAsia="en-GB"/>
                <w14:ligatures w14:val="standardContextual"/>
              </w:rPr>
              <w:tab/>
            </w:r>
            <w:r w:rsidRPr="001C7B9F">
              <w:rPr>
                <w:rStyle w:val="Hyperlink"/>
              </w:rPr>
              <w:t>Fire Safety</w:t>
            </w:r>
            <w:r>
              <w:rPr>
                <w:webHidden/>
              </w:rPr>
              <w:tab/>
            </w:r>
            <w:r>
              <w:rPr>
                <w:webHidden/>
              </w:rPr>
              <w:fldChar w:fldCharType="begin"/>
            </w:r>
            <w:r>
              <w:rPr>
                <w:webHidden/>
              </w:rPr>
              <w:instrText xml:space="preserve"> PAGEREF _Toc216791118 \h </w:instrText>
            </w:r>
            <w:r>
              <w:rPr>
                <w:webHidden/>
              </w:rPr>
            </w:r>
            <w:r>
              <w:rPr>
                <w:webHidden/>
              </w:rPr>
              <w:fldChar w:fldCharType="separate"/>
            </w:r>
            <w:r>
              <w:rPr>
                <w:webHidden/>
              </w:rPr>
              <w:t>11</w:t>
            </w:r>
            <w:r>
              <w:rPr>
                <w:webHidden/>
              </w:rPr>
              <w:fldChar w:fldCharType="end"/>
            </w:r>
          </w:hyperlink>
        </w:p>
        <w:p w14:paraId="12528938" w14:textId="7B65CE5F"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19" w:history="1">
            <w:r w:rsidRPr="001C7B9F">
              <w:rPr>
                <w:rStyle w:val="Hyperlink"/>
              </w:rPr>
              <w:t>6.13</w:t>
            </w:r>
            <w:r>
              <w:rPr>
                <w:rFonts w:asciiTheme="minorHAnsi" w:eastAsiaTheme="minorEastAsia" w:hAnsiTheme="minorHAnsi" w:cstheme="minorBidi"/>
                <w:color w:val="auto"/>
                <w:kern w:val="2"/>
                <w:szCs w:val="24"/>
                <w:lang w:eastAsia="en-GB"/>
                <w14:ligatures w14:val="standardContextual"/>
              </w:rPr>
              <w:tab/>
            </w:r>
            <w:r w:rsidRPr="001C7B9F">
              <w:rPr>
                <w:rStyle w:val="Hyperlink"/>
              </w:rPr>
              <w:t>Hoarding</w:t>
            </w:r>
            <w:r>
              <w:rPr>
                <w:webHidden/>
              </w:rPr>
              <w:tab/>
            </w:r>
            <w:r>
              <w:rPr>
                <w:webHidden/>
              </w:rPr>
              <w:fldChar w:fldCharType="begin"/>
            </w:r>
            <w:r>
              <w:rPr>
                <w:webHidden/>
              </w:rPr>
              <w:instrText xml:space="preserve"> PAGEREF _Toc216791119 \h </w:instrText>
            </w:r>
            <w:r>
              <w:rPr>
                <w:webHidden/>
              </w:rPr>
            </w:r>
            <w:r>
              <w:rPr>
                <w:webHidden/>
              </w:rPr>
              <w:fldChar w:fldCharType="separate"/>
            </w:r>
            <w:r>
              <w:rPr>
                <w:webHidden/>
              </w:rPr>
              <w:t>11</w:t>
            </w:r>
            <w:r>
              <w:rPr>
                <w:webHidden/>
              </w:rPr>
              <w:fldChar w:fldCharType="end"/>
            </w:r>
          </w:hyperlink>
        </w:p>
        <w:p w14:paraId="0366D1BC" w14:textId="3A2568D1" w:rsidR="00A25A09" w:rsidRDefault="00A25A09">
          <w:pPr>
            <w:pStyle w:val="TOC2"/>
            <w:rPr>
              <w:rFonts w:asciiTheme="minorHAnsi" w:eastAsiaTheme="minorEastAsia" w:hAnsiTheme="minorHAnsi" w:cstheme="minorBidi"/>
              <w:color w:val="auto"/>
              <w:kern w:val="2"/>
              <w:szCs w:val="24"/>
              <w:lang w:eastAsia="en-GB"/>
              <w14:ligatures w14:val="standardContextual"/>
            </w:rPr>
          </w:pPr>
          <w:hyperlink w:anchor="_Toc216791120" w:history="1">
            <w:r w:rsidRPr="001C7B9F">
              <w:rPr>
                <w:rStyle w:val="Hyperlink"/>
              </w:rPr>
              <w:t>6.14</w:t>
            </w:r>
            <w:r>
              <w:rPr>
                <w:rFonts w:asciiTheme="minorHAnsi" w:eastAsiaTheme="minorEastAsia" w:hAnsiTheme="minorHAnsi" w:cstheme="minorBidi"/>
                <w:color w:val="auto"/>
                <w:kern w:val="2"/>
                <w:szCs w:val="24"/>
                <w:lang w:eastAsia="en-GB"/>
                <w14:ligatures w14:val="standardContextual"/>
              </w:rPr>
              <w:tab/>
            </w:r>
            <w:r w:rsidRPr="001C7B9F">
              <w:rPr>
                <w:rStyle w:val="Hyperlink"/>
              </w:rPr>
              <w:t>Cuckooing</w:t>
            </w:r>
            <w:r>
              <w:rPr>
                <w:webHidden/>
              </w:rPr>
              <w:tab/>
            </w:r>
            <w:r>
              <w:rPr>
                <w:webHidden/>
              </w:rPr>
              <w:fldChar w:fldCharType="begin"/>
            </w:r>
            <w:r>
              <w:rPr>
                <w:webHidden/>
              </w:rPr>
              <w:instrText xml:space="preserve"> PAGEREF _Toc216791120 \h </w:instrText>
            </w:r>
            <w:r>
              <w:rPr>
                <w:webHidden/>
              </w:rPr>
            </w:r>
            <w:r>
              <w:rPr>
                <w:webHidden/>
              </w:rPr>
              <w:fldChar w:fldCharType="separate"/>
            </w:r>
            <w:r>
              <w:rPr>
                <w:webHidden/>
              </w:rPr>
              <w:t>11</w:t>
            </w:r>
            <w:r>
              <w:rPr>
                <w:webHidden/>
              </w:rPr>
              <w:fldChar w:fldCharType="end"/>
            </w:r>
          </w:hyperlink>
        </w:p>
        <w:p w14:paraId="1A88C91B" w14:textId="672007F7"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21" w:history="1">
            <w:r w:rsidRPr="001C7B9F">
              <w:rPr>
                <w:rStyle w:val="Hyperlink"/>
                <w:lang w:val="en-US"/>
              </w:rPr>
              <w:t>7.</w:t>
            </w:r>
            <w:r>
              <w:rPr>
                <w:rFonts w:asciiTheme="minorHAnsi" w:eastAsiaTheme="minorEastAsia" w:hAnsiTheme="minorHAnsi" w:cstheme="minorBidi"/>
                <w:color w:val="auto"/>
                <w:kern w:val="2"/>
                <w:szCs w:val="24"/>
                <w:lang w:eastAsia="en-GB"/>
                <w14:ligatures w14:val="standardContextual"/>
              </w:rPr>
              <w:tab/>
            </w:r>
            <w:r w:rsidRPr="001C7B9F">
              <w:rPr>
                <w:rStyle w:val="Hyperlink"/>
                <w:lang w:val="en-US"/>
              </w:rPr>
              <w:t>Consultation</w:t>
            </w:r>
            <w:r>
              <w:rPr>
                <w:webHidden/>
              </w:rPr>
              <w:tab/>
            </w:r>
            <w:r>
              <w:rPr>
                <w:webHidden/>
              </w:rPr>
              <w:fldChar w:fldCharType="begin"/>
            </w:r>
            <w:r>
              <w:rPr>
                <w:webHidden/>
              </w:rPr>
              <w:instrText xml:space="preserve"> PAGEREF _Toc216791121 \h </w:instrText>
            </w:r>
            <w:r>
              <w:rPr>
                <w:webHidden/>
              </w:rPr>
            </w:r>
            <w:r>
              <w:rPr>
                <w:webHidden/>
              </w:rPr>
              <w:fldChar w:fldCharType="separate"/>
            </w:r>
            <w:r>
              <w:rPr>
                <w:webHidden/>
              </w:rPr>
              <w:t>11</w:t>
            </w:r>
            <w:r>
              <w:rPr>
                <w:webHidden/>
              </w:rPr>
              <w:fldChar w:fldCharType="end"/>
            </w:r>
          </w:hyperlink>
        </w:p>
        <w:p w14:paraId="0C97BFF1" w14:textId="3DD3A75E"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22" w:history="1">
            <w:r w:rsidRPr="001C7B9F">
              <w:rPr>
                <w:rStyle w:val="Hyperlink"/>
                <w:lang w:val="en-US"/>
              </w:rPr>
              <w:t>8.</w:t>
            </w:r>
            <w:r>
              <w:rPr>
                <w:rFonts w:asciiTheme="minorHAnsi" w:eastAsiaTheme="minorEastAsia" w:hAnsiTheme="minorHAnsi" w:cstheme="minorBidi"/>
                <w:color w:val="auto"/>
                <w:kern w:val="2"/>
                <w:szCs w:val="24"/>
                <w:lang w:eastAsia="en-GB"/>
                <w14:ligatures w14:val="standardContextual"/>
              </w:rPr>
              <w:tab/>
            </w:r>
            <w:r w:rsidRPr="001C7B9F">
              <w:rPr>
                <w:rStyle w:val="Hyperlink"/>
                <w:lang w:val="en-US"/>
              </w:rPr>
              <w:t>Training</w:t>
            </w:r>
            <w:r>
              <w:rPr>
                <w:webHidden/>
              </w:rPr>
              <w:tab/>
            </w:r>
            <w:r>
              <w:rPr>
                <w:webHidden/>
              </w:rPr>
              <w:fldChar w:fldCharType="begin"/>
            </w:r>
            <w:r>
              <w:rPr>
                <w:webHidden/>
              </w:rPr>
              <w:instrText xml:space="preserve"> PAGEREF _Toc216791122 \h </w:instrText>
            </w:r>
            <w:r>
              <w:rPr>
                <w:webHidden/>
              </w:rPr>
            </w:r>
            <w:r>
              <w:rPr>
                <w:webHidden/>
              </w:rPr>
              <w:fldChar w:fldCharType="separate"/>
            </w:r>
            <w:r>
              <w:rPr>
                <w:webHidden/>
              </w:rPr>
              <w:t>12</w:t>
            </w:r>
            <w:r>
              <w:rPr>
                <w:webHidden/>
              </w:rPr>
              <w:fldChar w:fldCharType="end"/>
            </w:r>
          </w:hyperlink>
        </w:p>
        <w:p w14:paraId="34AB3DB1" w14:textId="5BE5B6F3"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23" w:history="1">
            <w:r w:rsidRPr="001C7B9F">
              <w:rPr>
                <w:rStyle w:val="Hyperlink"/>
                <w:lang w:val="en-US"/>
              </w:rPr>
              <w:t>9.</w:t>
            </w:r>
            <w:r>
              <w:rPr>
                <w:rFonts w:asciiTheme="minorHAnsi" w:eastAsiaTheme="minorEastAsia" w:hAnsiTheme="minorHAnsi" w:cstheme="minorBidi"/>
                <w:color w:val="auto"/>
                <w:kern w:val="2"/>
                <w:szCs w:val="24"/>
                <w:lang w:eastAsia="en-GB"/>
                <w14:ligatures w14:val="standardContextual"/>
              </w:rPr>
              <w:tab/>
            </w:r>
            <w:r w:rsidRPr="001C7B9F">
              <w:rPr>
                <w:rStyle w:val="Hyperlink"/>
                <w:lang w:val="en-US"/>
              </w:rPr>
              <w:t>Data Protection</w:t>
            </w:r>
            <w:r>
              <w:rPr>
                <w:webHidden/>
              </w:rPr>
              <w:tab/>
            </w:r>
            <w:r>
              <w:rPr>
                <w:webHidden/>
              </w:rPr>
              <w:fldChar w:fldCharType="begin"/>
            </w:r>
            <w:r>
              <w:rPr>
                <w:webHidden/>
              </w:rPr>
              <w:instrText xml:space="preserve"> PAGEREF _Toc216791123 \h </w:instrText>
            </w:r>
            <w:r>
              <w:rPr>
                <w:webHidden/>
              </w:rPr>
            </w:r>
            <w:r>
              <w:rPr>
                <w:webHidden/>
              </w:rPr>
              <w:fldChar w:fldCharType="separate"/>
            </w:r>
            <w:r>
              <w:rPr>
                <w:webHidden/>
              </w:rPr>
              <w:t>12</w:t>
            </w:r>
            <w:r>
              <w:rPr>
                <w:webHidden/>
              </w:rPr>
              <w:fldChar w:fldCharType="end"/>
            </w:r>
          </w:hyperlink>
        </w:p>
        <w:p w14:paraId="286A9189" w14:textId="55E29DE5"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24" w:history="1">
            <w:r w:rsidRPr="001C7B9F">
              <w:rPr>
                <w:rStyle w:val="Hyperlink"/>
                <w:lang w:val="en-US"/>
              </w:rPr>
              <w:t>10.</w:t>
            </w:r>
            <w:r>
              <w:rPr>
                <w:rFonts w:asciiTheme="minorHAnsi" w:eastAsiaTheme="minorEastAsia" w:hAnsiTheme="minorHAnsi" w:cstheme="minorBidi"/>
                <w:color w:val="auto"/>
                <w:kern w:val="2"/>
                <w:szCs w:val="24"/>
                <w:lang w:eastAsia="en-GB"/>
                <w14:ligatures w14:val="standardContextual"/>
              </w:rPr>
              <w:tab/>
            </w:r>
            <w:r w:rsidRPr="001C7B9F">
              <w:rPr>
                <w:rStyle w:val="Hyperlink"/>
                <w:lang w:val="en-US"/>
              </w:rPr>
              <w:t>Equality &amp; Diversity</w:t>
            </w:r>
            <w:r>
              <w:rPr>
                <w:webHidden/>
              </w:rPr>
              <w:tab/>
            </w:r>
            <w:r>
              <w:rPr>
                <w:webHidden/>
              </w:rPr>
              <w:fldChar w:fldCharType="begin"/>
            </w:r>
            <w:r>
              <w:rPr>
                <w:webHidden/>
              </w:rPr>
              <w:instrText xml:space="preserve"> PAGEREF _Toc216791124 \h </w:instrText>
            </w:r>
            <w:r>
              <w:rPr>
                <w:webHidden/>
              </w:rPr>
            </w:r>
            <w:r>
              <w:rPr>
                <w:webHidden/>
              </w:rPr>
              <w:fldChar w:fldCharType="separate"/>
            </w:r>
            <w:r>
              <w:rPr>
                <w:webHidden/>
              </w:rPr>
              <w:t>12</w:t>
            </w:r>
            <w:r>
              <w:rPr>
                <w:webHidden/>
              </w:rPr>
              <w:fldChar w:fldCharType="end"/>
            </w:r>
          </w:hyperlink>
        </w:p>
        <w:p w14:paraId="1B5DED45" w14:textId="5E0F4A0E"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25" w:history="1">
            <w:r w:rsidRPr="001C7B9F">
              <w:rPr>
                <w:rStyle w:val="Hyperlink"/>
                <w:lang w:val="en-US"/>
              </w:rPr>
              <w:t>11.</w:t>
            </w:r>
            <w:r>
              <w:rPr>
                <w:rFonts w:asciiTheme="minorHAnsi" w:eastAsiaTheme="minorEastAsia" w:hAnsiTheme="minorHAnsi" w:cstheme="minorBidi"/>
                <w:color w:val="auto"/>
                <w:kern w:val="2"/>
                <w:szCs w:val="24"/>
                <w:lang w:eastAsia="en-GB"/>
                <w14:ligatures w14:val="standardContextual"/>
              </w:rPr>
              <w:tab/>
            </w:r>
            <w:r w:rsidRPr="001C7B9F">
              <w:rPr>
                <w:rStyle w:val="Hyperlink"/>
                <w:lang w:val="en-US"/>
              </w:rPr>
              <w:t>Monitoring</w:t>
            </w:r>
            <w:r>
              <w:rPr>
                <w:webHidden/>
              </w:rPr>
              <w:tab/>
            </w:r>
            <w:r>
              <w:rPr>
                <w:webHidden/>
              </w:rPr>
              <w:fldChar w:fldCharType="begin"/>
            </w:r>
            <w:r>
              <w:rPr>
                <w:webHidden/>
              </w:rPr>
              <w:instrText xml:space="preserve"> PAGEREF _Toc216791125 \h </w:instrText>
            </w:r>
            <w:r>
              <w:rPr>
                <w:webHidden/>
              </w:rPr>
            </w:r>
            <w:r>
              <w:rPr>
                <w:webHidden/>
              </w:rPr>
              <w:fldChar w:fldCharType="separate"/>
            </w:r>
            <w:r>
              <w:rPr>
                <w:webHidden/>
              </w:rPr>
              <w:t>13</w:t>
            </w:r>
            <w:r>
              <w:rPr>
                <w:webHidden/>
              </w:rPr>
              <w:fldChar w:fldCharType="end"/>
            </w:r>
          </w:hyperlink>
        </w:p>
        <w:p w14:paraId="7D6421E4" w14:textId="04DC2F5B"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26" w:history="1">
            <w:r w:rsidRPr="001C7B9F">
              <w:rPr>
                <w:rStyle w:val="Hyperlink"/>
                <w:lang w:val="en-US"/>
              </w:rPr>
              <w:t>12.</w:t>
            </w:r>
            <w:r>
              <w:rPr>
                <w:rFonts w:asciiTheme="minorHAnsi" w:eastAsiaTheme="minorEastAsia" w:hAnsiTheme="minorHAnsi" w:cstheme="minorBidi"/>
                <w:color w:val="auto"/>
                <w:kern w:val="2"/>
                <w:szCs w:val="24"/>
                <w:lang w:eastAsia="en-GB"/>
                <w14:ligatures w14:val="standardContextual"/>
              </w:rPr>
              <w:tab/>
            </w:r>
            <w:r w:rsidRPr="001C7B9F">
              <w:rPr>
                <w:rStyle w:val="Hyperlink"/>
                <w:lang w:val="en-US"/>
              </w:rPr>
              <w:t>Legal Framework</w:t>
            </w:r>
            <w:r>
              <w:rPr>
                <w:webHidden/>
              </w:rPr>
              <w:tab/>
            </w:r>
            <w:r>
              <w:rPr>
                <w:webHidden/>
              </w:rPr>
              <w:fldChar w:fldCharType="begin"/>
            </w:r>
            <w:r>
              <w:rPr>
                <w:webHidden/>
              </w:rPr>
              <w:instrText xml:space="preserve"> PAGEREF _Toc216791126 \h </w:instrText>
            </w:r>
            <w:r>
              <w:rPr>
                <w:webHidden/>
              </w:rPr>
            </w:r>
            <w:r>
              <w:rPr>
                <w:webHidden/>
              </w:rPr>
              <w:fldChar w:fldCharType="separate"/>
            </w:r>
            <w:r>
              <w:rPr>
                <w:webHidden/>
              </w:rPr>
              <w:t>13</w:t>
            </w:r>
            <w:r>
              <w:rPr>
                <w:webHidden/>
              </w:rPr>
              <w:fldChar w:fldCharType="end"/>
            </w:r>
          </w:hyperlink>
        </w:p>
        <w:p w14:paraId="05752004" w14:textId="4BA04EBC" w:rsidR="00A25A09" w:rsidRDefault="00A25A09">
          <w:pPr>
            <w:pStyle w:val="TOC1"/>
            <w:rPr>
              <w:rFonts w:asciiTheme="minorHAnsi" w:eastAsiaTheme="minorEastAsia" w:hAnsiTheme="minorHAnsi" w:cstheme="minorBidi"/>
              <w:color w:val="auto"/>
              <w:kern w:val="2"/>
              <w:szCs w:val="24"/>
              <w:lang w:eastAsia="en-GB"/>
              <w14:ligatures w14:val="standardContextual"/>
            </w:rPr>
          </w:pPr>
          <w:hyperlink w:anchor="_Toc216791127" w:history="1">
            <w:r w:rsidRPr="001C7B9F">
              <w:rPr>
                <w:rStyle w:val="Hyperlink"/>
                <w:lang w:val="en-US"/>
              </w:rPr>
              <w:t>13.</w:t>
            </w:r>
            <w:r>
              <w:rPr>
                <w:rFonts w:asciiTheme="minorHAnsi" w:eastAsiaTheme="minorEastAsia" w:hAnsiTheme="minorHAnsi" w:cstheme="minorBidi"/>
                <w:color w:val="auto"/>
                <w:kern w:val="2"/>
                <w:szCs w:val="24"/>
                <w:lang w:eastAsia="en-GB"/>
                <w14:ligatures w14:val="standardContextual"/>
              </w:rPr>
              <w:tab/>
            </w:r>
            <w:r w:rsidRPr="001C7B9F">
              <w:rPr>
                <w:rStyle w:val="Hyperlink"/>
                <w:lang w:val="en-US"/>
              </w:rPr>
              <w:t>Associated Documents</w:t>
            </w:r>
            <w:r>
              <w:rPr>
                <w:webHidden/>
              </w:rPr>
              <w:tab/>
            </w:r>
            <w:r>
              <w:rPr>
                <w:webHidden/>
              </w:rPr>
              <w:fldChar w:fldCharType="begin"/>
            </w:r>
            <w:r>
              <w:rPr>
                <w:webHidden/>
              </w:rPr>
              <w:instrText xml:space="preserve"> PAGEREF _Toc216791127 \h </w:instrText>
            </w:r>
            <w:r>
              <w:rPr>
                <w:webHidden/>
              </w:rPr>
            </w:r>
            <w:r>
              <w:rPr>
                <w:webHidden/>
              </w:rPr>
              <w:fldChar w:fldCharType="separate"/>
            </w:r>
            <w:r>
              <w:rPr>
                <w:webHidden/>
              </w:rPr>
              <w:t>13</w:t>
            </w:r>
            <w:r>
              <w:rPr>
                <w:webHidden/>
              </w:rPr>
              <w:fldChar w:fldCharType="end"/>
            </w:r>
          </w:hyperlink>
        </w:p>
        <w:p w14:paraId="1A6BC306" w14:textId="7959FA6A" w:rsidR="00DC0AA1" w:rsidRDefault="00DC0AA1" w:rsidP="00DC0AA1">
          <w:r>
            <w:rPr>
              <w:b/>
              <w:bCs/>
              <w:noProof/>
            </w:rPr>
            <w:fldChar w:fldCharType="end"/>
          </w:r>
        </w:p>
      </w:sdtContent>
    </w:sdt>
    <w:p w14:paraId="33257274" w14:textId="77777777" w:rsidR="00DC0AA1" w:rsidRPr="002926FB" w:rsidRDefault="00DC0AA1" w:rsidP="00DC1BF1">
      <w:r>
        <w:br w:type="page"/>
      </w:r>
    </w:p>
    <w:p w14:paraId="1B8A30A5" w14:textId="6952C228" w:rsidR="00B846CB" w:rsidRPr="00B846CB" w:rsidRDefault="00B846CB" w:rsidP="00B9401F">
      <w:pPr>
        <w:pStyle w:val="Heading1"/>
      </w:pPr>
      <w:bookmarkStart w:id="1" w:name="_Toc216791095"/>
      <w:r w:rsidRPr="00B846CB">
        <w:lastRenderedPageBreak/>
        <w:t>In</w:t>
      </w:r>
      <w:r w:rsidR="00BE0BCE">
        <w:t>troduction and Objectives</w:t>
      </w:r>
      <w:bookmarkEnd w:id="1"/>
    </w:p>
    <w:p w14:paraId="719BFEA9" w14:textId="3AE2AA97" w:rsidR="004F5DE1" w:rsidRDefault="004F5DE1" w:rsidP="004F5DE1">
      <w:pPr>
        <w:pStyle w:val="paragraph"/>
        <w:spacing w:before="0" w:beforeAutospacing="0" w:after="0" w:afterAutospacing="0"/>
        <w:textAlignment w:val="baseline"/>
        <w:rPr>
          <w:rStyle w:val="eop"/>
          <w:rFonts w:ascii="Arial" w:hAnsi="Arial" w:cs="Arial"/>
          <w:color w:val="000000"/>
        </w:rPr>
      </w:pPr>
      <w:bookmarkStart w:id="2" w:name="_Hlk60741059"/>
      <w:r w:rsidRPr="004F5DE1">
        <w:rPr>
          <w:rStyle w:val="normaltextrun"/>
          <w:rFonts w:ascii="Arial" w:hAnsi="Arial" w:cs="Arial"/>
          <w:color w:val="000000"/>
        </w:rPr>
        <w:t>The Council is committed to assisting vulnerable people living in its homes who rent on a secure/probationary tenancy or are leaseholders to access our management services and to sustain their tenancy/lease.</w:t>
      </w:r>
    </w:p>
    <w:p w14:paraId="2658168D" w14:textId="77777777" w:rsidR="004F5DE1" w:rsidRPr="004F5DE1" w:rsidRDefault="004F5DE1" w:rsidP="004F5DE1">
      <w:pPr>
        <w:pStyle w:val="paragraph"/>
        <w:spacing w:before="0" w:beforeAutospacing="0" w:after="0" w:afterAutospacing="0"/>
        <w:textAlignment w:val="baseline"/>
        <w:rPr>
          <w:rFonts w:ascii="Arial" w:hAnsi="Arial" w:cs="Arial"/>
          <w:color w:val="000000"/>
          <w:sz w:val="18"/>
          <w:szCs w:val="18"/>
        </w:rPr>
      </w:pPr>
    </w:p>
    <w:p w14:paraId="0885843F" w14:textId="1C65E7E8" w:rsidR="004F5DE1" w:rsidRDefault="004F5DE1" w:rsidP="004F5DE1">
      <w:pPr>
        <w:pStyle w:val="paragraph"/>
        <w:spacing w:before="0" w:beforeAutospacing="0" w:after="0" w:afterAutospacing="0"/>
        <w:textAlignment w:val="baseline"/>
        <w:rPr>
          <w:rStyle w:val="eop"/>
          <w:rFonts w:ascii="Arial" w:hAnsi="Arial" w:cs="Arial"/>
          <w:color w:val="000000"/>
        </w:rPr>
      </w:pPr>
      <w:r w:rsidRPr="004F5DE1">
        <w:rPr>
          <w:rStyle w:val="normaltextrun"/>
          <w:rFonts w:ascii="Arial" w:hAnsi="Arial" w:cs="Arial"/>
          <w:color w:val="000000"/>
        </w:rPr>
        <w:t>This policy provides guidance in relation to the definition of vulnerability and sets out the approach that we will adopt regarding the provision of neighbourhood services to residents in these circumstances.</w:t>
      </w:r>
    </w:p>
    <w:p w14:paraId="68B93179" w14:textId="77777777" w:rsidR="004F5DE1" w:rsidRPr="004F5DE1" w:rsidRDefault="004F5DE1" w:rsidP="004F5DE1">
      <w:pPr>
        <w:pStyle w:val="paragraph"/>
        <w:spacing w:before="0" w:beforeAutospacing="0" w:after="0" w:afterAutospacing="0"/>
        <w:textAlignment w:val="baseline"/>
        <w:rPr>
          <w:rFonts w:ascii="Arial" w:hAnsi="Arial" w:cs="Arial"/>
          <w:color w:val="000000"/>
          <w:sz w:val="18"/>
          <w:szCs w:val="18"/>
        </w:rPr>
      </w:pPr>
    </w:p>
    <w:p w14:paraId="052F1944" w14:textId="23ABDA7B" w:rsidR="004F5DE1" w:rsidRDefault="004F5DE1" w:rsidP="004F5DE1">
      <w:pPr>
        <w:pStyle w:val="paragraph"/>
        <w:spacing w:before="0" w:beforeAutospacing="0" w:after="0" w:afterAutospacing="0"/>
        <w:textAlignment w:val="baseline"/>
        <w:rPr>
          <w:rStyle w:val="eop"/>
          <w:rFonts w:ascii="Arial" w:hAnsi="Arial" w:cs="Arial"/>
          <w:color w:val="000000"/>
        </w:rPr>
      </w:pPr>
      <w:r w:rsidRPr="004F5DE1">
        <w:rPr>
          <w:rStyle w:val="normaltextrun"/>
          <w:rFonts w:ascii="Arial" w:hAnsi="Arial" w:cs="Arial"/>
          <w:color w:val="000000"/>
        </w:rPr>
        <w:t>The policy is clear that the fair treatment of vulnerable residents will be embedded as part of an inclusive culture across our services, and supporting people to live well in their home is a core responsibility for everyone working in any capacity in the Council’s housing management teams. It will be saved on our shared drive and distributed to all relevant members of staff.</w:t>
      </w:r>
    </w:p>
    <w:p w14:paraId="20116F3F" w14:textId="77777777" w:rsidR="004F5DE1" w:rsidRPr="004F5DE1" w:rsidRDefault="004F5DE1" w:rsidP="004F5DE1">
      <w:pPr>
        <w:pStyle w:val="paragraph"/>
        <w:spacing w:before="0" w:beforeAutospacing="0" w:after="0" w:afterAutospacing="0"/>
        <w:textAlignment w:val="baseline"/>
        <w:rPr>
          <w:rFonts w:ascii="Arial" w:hAnsi="Arial" w:cs="Arial"/>
          <w:color w:val="000000"/>
          <w:sz w:val="18"/>
          <w:szCs w:val="18"/>
        </w:rPr>
      </w:pPr>
    </w:p>
    <w:p w14:paraId="7AE8F7E7" w14:textId="77777777" w:rsidR="004F5DE1" w:rsidRPr="004F5DE1" w:rsidRDefault="004F5DE1" w:rsidP="004F5DE1">
      <w:pPr>
        <w:pStyle w:val="paragraph"/>
        <w:spacing w:before="0" w:beforeAutospacing="0" w:after="0" w:afterAutospacing="0"/>
        <w:textAlignment w:val="baseline"/>
        <w:rPr>
          <w:rFonts w:ascii="Arial" w:hAnsi="Arial" w:cs="Arial"/>
          <w:color w:val="000000"/>
          <w:sz w:val="18"/>
          <w:szCs w:val="18"/>
        </w:rPr>
      </w:pPr>
      <w:r w:rsidRPr="004F5DE1">
        <w:rPr>
          <w:rStyle w:val="normaltextrun"/>
          <w:rFonts w:ascii="Arial" w:hAnsi="Arial" w:cs="Arial"/>
          <w:color w:val="000000"/>
        </w:rPr>
        <w:t>For further context, changes to the RSH’s Safety and Quality Standard in February 2024 requires all registered providers from 1 April 2024 to publish clear and accessible policies which outline their approach to tenancy management. This includes interventions to sustain tenancies and prevent unnecessary evictions and setting out their plan on taking into account the needs of those households who are vulnerable by reason of age, disability or illness, and those with children.</w:t>
      </w:r>
      <w:r w:rsidRPr="004F5DE1">
        <w:rPr>
          <w:rStyle w:val="eop"/>
          <w:rFonts w:ascii="Arial" w:hAnsi="Arial" w:cs="Arial"/>
          <w:color w:val="000000"/>
        </w:rPr>
        <w:t> </w:t>
      </w:r>
    </w:p>
    <w:p w14:paraId="567B4D95" w14:textId="77777777" w:rsidR="004F5DE1" w:rsidRPr="004F5DE1" w:rsidRDefault="004F5DE1" w:rsidP="004F5DE1">
      <w:pPr>
        <w:pStyle w:val="paragraph"/>
        <w:spacing w:before="0" w:beforeAutospacing="0" w:after="0" w:afterAutospacing="0"/>
        <w:textAlignment w:val="baseline"/>
        <w:rPr>
          <w:rFonts w:ascii="Arial" w:hAnsi="Arial" w:cs="Arial"/>
          <w:color w:val="000000"/>
          <w:sz w:val="18"/>
          <w:szCs w:val="18"/>
        </w:rPr>
      </w:pPr>
      <w:r w:rsidRPr="004F5DE1">
        <w:rPr>
          <w:rStyle w:val="eop"/>
          <w:rFonts w:ascii="Arial" w:hAnsi="Arial" w:cs="Arial"/>
          <w:color w:val="000000"/>
        </w:rPr>
        <w:t> </w:t>
      </w:r>
    </w:p>
    <w:p w14:paraId="535C1FEC" w14:textId="77777777" w:rsidR="004F5DE1" w:rsidRPr="004F5DE1" w:rsidRDefault="004F5DE1" w:rsidP="004F5DE1">
      <w:pPr>
        <w:pStyle w:val="paragraph"/>
        <w:spacing w:before="0" w:beforeAutospacing="0" w:after="0" w:afterAutospacing="0"/>
        <w:textAlignment w:val="baseline"/>
        <w:rPr>
          <w:rFonts w:ascii="Arial" w:hAnsi="Arial" w:cs="Arial"/>
          <w:color w:val="000000"/>
          <w:sz w:val="18"/>
          <w:szCs w:val="18"/>
        </w:rPr>
      </w:pPr>
      <w:r w:rsidRPr="004F5DE1">
        <w:rPr>
          <w:rStyle w:val="normaltextrun"/>
          <w:rFonts w:ascii="Arial" w:hAnsi="Arial" w:cs="Arial"/>
          <w:color w:val="000000"/>
        </w:rPr>
        <w:t>This policy aims to:</w:t>
      </w:r>
      <w:r w:rsidRPr="004F5DE1">
        <w:rPr>
          <w:rStyle w:val="eop"/>
          <w:rFonts w:ascii="Arial" w:hAnsi="Arial" w:cs="Arial"/>
          <w:color w:val="000000"/>
        </w:rPr>
        <w:t> </w:t>
      </w:r>
    </w:p>
    <w:p w14:paraId="104195ED" w14:textId="77777777" w:rsidR="004F5DE1" w:rsidRPr="004F5DE1" w:rsidRDefault="004F5DE1" w:rsidP="004F5DE1">
      <w:pPr>
        <w:pStyle w:val="paragraph"/>
        <w:spacing w:before="0" w:beforeAutospacing="0" w:after="0" w:afterAutospacing="0"/>
        <w:textAlignment w:val="baseline"/>
        <w:rPr>
          <w:rFonts w:ascii="Arial" w:hAnsi="Arial" w:cs="Arial"/>
          <w:color w:val="000000"/>
          <w:sz w:val="18"/>
          <w:szCs w:val="18"/>
        </w:rPr>
      </w:pPr>
      <w:r w:rsidRPr="004F5DE1">
        <w:rPr>
          <w:rStyle w:val="eop"/>
          <w:rFonts w:ascii="Arial" w:hAnsi="Arial" w:cs="Arial"/>
          <w:color w:val="000000"/>
        </w:rPr>
        <w:t> </w:t>
      </w:r>
    </w:p>
    <w:p w14:paraId="3F215BDF" w14:textId="5EA537AB" w:rsidR="004F5DE1" w:rsidRPr="004F5DE1" w:rsidRDefault="004F5DE1" w:rsidP="004F5DE1">
      <w:pPr>
        <w:pStyle w:val="ListBullet"/>
        <w:rPr>
          <w:szCs w:val="24"/>
        </w:rPr>
      </w:pPr>
      <w:r w:rsidRPr="004F5DE1">
        <w:rPr>
          <w:rStyle w:val="normaltextrun"/>
          <w:rFonts w:cs="Arial"/>
          <w:color w:val="000000"/>
        </w:rPr>
        <w:t xml:space="preserve">Ensure a consistent approach to identifying, assessing, </w:t>
      </w:r>
      <w:r w:rsidR="0096042A">
        <w:rPr>
          <w:rStyle w:val="normaltextrun"/>
          <w:rFonts w:cs="Arial"/>
          <w:color w:val="000000"/>
        </w:rPr>
        <w:t>&amp;</w:t>
      </w:r>
      <w:r w:rsidRPr="004F5DE1">
        <w:rPr>
          <w:rStyle w:val="normaltextrun"/>
          <w:rFonts w:cs="Arial"/>
          <w:color w:val="000000"/>
        </w:rPr>
        <w:t xml:space="preserve"> recording vulnerability</w:t>
      </w:r>
      <w:r w:rsidRPr="004F5DE1">
        <w:rPr>
          <w:rStyle w:val="eop"/>
          <w:rFonts w:cs="Arial"/>
          <w:color w:val="000000"/>
        </w:rPr>
        <w:t> </w:t>
      </w:r>
    </w:p>
    <w:p w14:paraId="7DCE4B61" w14:textId="1CB4E555" w:rsidR="004F5DE1" w:rsidRPr="004F5DE1" w:rsidRDefault="004F5DE1" w:rsidP="004F5DE1">
      <w:pPr>
        <w:pStyle w:val="ListBullet"/>
      </w:pPr>
      <w:r w:rsidRPr="004F5DE1">
        <w:rPr>
          <w:rStyle w:val="normaltextrun"/>
          <w:rFonts w:cs="Arial"/>
          <w:color w:val="000000"/>
        </w:rPr>
        <w:t>Provide, where possible, a service that best fits the need of our residents</w:t>
      </w:r>
    </w:p>
    <w:p w14:paraId="4DFBF76C" w14:textId="4A6A0708" w:rsidR="00A37161" w:rsidRPr="00DB5458" w:rsidRDefault="004F5DE1" w:rsidP="00A37161">
      <w:pPr>
        <w:pStyle w:val="ListBullet"/>
        <w:rPr>
          <w:rStyle w:val="normaltextrun"/>
        </w:rPr>
      </w:pPr>
      <w:r w:rsidRPr="004F5DE1">
        <w:rPr>
          <w:rStyle w:val="normaltextrun"/>
          <w:rFonts w:cs="Arial"/>
          <w:color w:val="000000"/>
        </w:rPr>
        <w:t>Set out a clear framework for the management of vulnerable residents.</w:t>
      </w:r>
    </w:p>
    <w:p w14:paraId="73F49ADB" w14:textId="77777777" w:rsidR="00DB5458" w:rsidRDefault="00DB5458" w:rsidP="00DB5458">
      <w:pPr>
        <w:pStyle w:val="ListBullet"/>
        <w:numPr>
          <w:ilvl w:val="0"/>
          <w:numId w:val="0"/>
        </w:numPr>
      </w:pPr>
    </w:p>
    <w:p w14:paraId="31D1D30C" w14:textId="642F9F04" w:rsidR="00B846CB" w:rsidRPr="00B846CB" w:rsidRDefault="00BE0BCE" w:rsidP="00B846CB">
      <w:pPr>
        <w:pStyle w:val="Heading1"/>
      </w:pPr>
      <w:bookmarkStart w:id="3" w:name="_Toc216791096"/>
      <w:bookmarkEnd w:id="2"/>
      <w:r>
        <w:t>Scope</w:t>
      </w:r>
      <w:bookmarkEnd w:id="3"/>
    </w:p>
    <w:p w14:paraId="4F133746" w14:textId="4542044A" w:rsidR="00434FDB" w:rsidRDefault="00434FDB" w:rsidP="00434FDB">
      <w:pPr>
        <w:pStyle w:val="paragraph"/>
        <w:spacing w:before="0" w:beforeAutospacing="0" w:after="0" w:afterAutospacing="0"/>
        <w:textAlignment w:val="baseline"/>
        <w:rPr>
          <w:rStyle w:val="normaltextrun"/>
          <w:rFonts w:ascii="Arial" w:hAnsi="Arial" w:cs="Arial"/>
          <w:color w:val="000000"/>
        </w:rPr>
      </w:pPr>
      <w:r w:rsidRPr="00434FDB">
        <w:rPr>
          <w:rStyle w:val="normaltextrun"/>
          <w:rFonts w:ascii="Arial" w:hAnsi="Arial" w:cs="Arial"/>
          <w:color w:val="000000"/>
        </w:rPr>
        <w:t>This policy does not apply to tenants in temporary accommodation, sheltered or supported housing whose needs are addressed within specific policies and procedures.</w:t>
      </w:r>
    </w:p>
    <w:p w14:paraId="182D36F0" w14:textId="77777777" w:rsidR="00434FDB" w:rsidRPr="00434FDB" w:rsidRDefault="00434FDB" w:rsidP="00434FDB">
      <w:pPr>
        <w:pStyle w:val="paragraph"/>
        <w:spacing w:before="0" w:beforeAutospacing="0" w:after="0" w:afterAutospacing="0"/>
        <w:textAlignment w:val="baseline"/>
        <w:rPr>
          <w:rFonts w:ascii="Arial" w:hAnsi="Arial" w:cs="Arial"/>
          <w:color w:val="000000"/>
          <w:sz w:val="18"/>
          <w:szCs w:val="18"/>
        </w:rPr>
      </w:pPr>
    </w:p>
    <w:p w14:paraId="570CF14E" w14:textId="463DF768" w:rsidR="007235F3" w:rsidRPr="00434FDB" w:rsidRDefault="00434FDB" w:rsidP="00434FDB">
      <w:pPr>
        <w:pStyle w:val="paragraph"/>
        <w:spacing w:before="0" w:beforeAutospacing="0" w:after="0" w:afterAutospacing="0"/>
        <w:textAlignment w:val="baseline"/>
        <w:rPr>
          <w:rFonts w:ascii="Arial" w:hAnsi="Arial" w:cs="Arial"/>
          <w:color w:val="000000"/>
          <w:sz w:val="18"/>
          <w:szCs w:val="18"/>
        </w:rPr>
      </w:pPr>
      <w:r w:rsidRPr="00434FDB">
        <w:rPr>
          <w:rStyle w:val="normaltextrun"/>
          <w:rFonts w:ascii="Arial" w:hAnsi="Arial" w:cs="Arial"/>
          <w:color w:val="000000"/>
        </w:rPr>
        <w:t>Tenants and leaseholders have obligations they must meet to fulfil the conditions of their agreement or lease. We recognise that being vulnerable can impact on a resident’s ability to meet these responsibilities and will give additional support to those that need it.</w:t>
      </w:r>
    </w:p>
    <w:p w14:paraId="7D7E2A22" w14:textId="77777777" w:rsidR="0085234F" w:rsidRPr="00B846CB" w:rsidRDefault="0085234F" w:rsidP="00A37161">
      <w:pPr>
        <w:pStyle w:val="ListBullet"/>
        <w:numPr>
          <w:ilvl w:val="0"/>
          <w:numId w:val="0"/>
        </w:numPr>
        <w:ind w:left="360" w:hanging="360"/>
        <w:rPr>
          <w:lang w:eastAsia="en-GB"/>
        </w:rPr>
      </w:pPr>
    </w:p>
    <w:p w14:paraId="2DF445B1" w14:textId="081B0B0F" w:rsidR="00766CCD" w:rsidRDefault="00BE0BCE" w:rsidP="00B846CB">
      <w:pPr>
        <w:pStyle w:val="Heading1"/>
      </w:pPr>
      <w:bookmarkStart w:id="4" w:name="_Toc216791097"/>
      <w:r>
        <w:t>Roles and Responsibilities</w:t>
      </w:r>
      <w:bookmarkEnd w:id="4"/>
    </w:p>
    <w:p w14:paraId="49BD8D59" w14:textId="4253E570" w:rsidR="0022705C" w:rsidRPr="00550665" w:rsidRDefault="0022705C" w:rsidP="0022705C">
      <w:pPr>
        <w:pStyle w:val="paragraph"/>
        <w:spacing w:before="0" w:beforeAutospacing="0" w:after="0" w:afterAutospacing="0"/>
        <w:textAlignment w:val="baseline"/>
        <w:rPr>
          <w:rFonts w:ascii="Arial" w:hAnsi="Arial" w:cs="Arial"/>
          <w:color w:val="000000"/>
          <w:sz w:val="18"/>
          <w:szCs w:val="18"/>
        </w:rPr>
      </w:pPr>
      <w:r w:rsidRPr="00550665">
        <w:rPr>
          <w:rFonts w:ascii="Arial" w:hAnsi="Arial" w:cs="Arial"/>
        </w:rPr>
        <w:t>The</w:t>
      </w:r>
      <w:r w:rsidRPr="00550665">
        <w:rPr>
          <w:rStyle w:val="normaltextrun"/>
          <w:rFonts w:ascii="Arial" w:hAnsi="Arial" w:cs="Arial"/>
          <w:color w:val="000000"/>
        </w:rPr>
        <w:t> Housing Management Cabinet Sub Committee has overall governance responsibility for ensuring this policy is fully implemented to ensure full compliance with legislation and regulatory standards. As such, the Housing Management Cabinet Sub Committee will formally approve this policy and review it every three years (or sooner if there is a change in legislation or regulation).</w:t>
      </w:r>
      <w:r w:rsidRPr="00550665">
        <w:rPr>
          <w:rStyle w:val="eop"/>
          <w:rFonts w:ascii="Arial" w:hAnsi="Arial" w:cs="Arial"/>
          <w:color w:val="000000"/>
        </w:rPr>
        <w:t> </w:t>
      </w:r>
    </w:p>
    <w:p w14:paraId="07E46F8B" w14:textId="77777777" w:rsidR="0022705C" w:rsidRPr="00550665" w:rsidRDefault="0022705C" w:rsidP="0022705C">
      <w:pPr>
        <w:pStyle w:val="paragraph"/>
        <w:spacing w:before="0" w:beforeAutospacing="0" w:after="0" w:afterAutospacing="0"/>
        <w:textAlignment w:val="baseline"/>
        <w:rPr>
          <w:rFonts w:ascii="Arial" w:hAnsi="Arial" w:cs="Arial"/>
          <w:color w:val="000000"/>
          <w:sz w:val="18"/>
          <w:szCs w:val="18"/>
        </w:rPr>
      </w:pPr>
      <w:r w:rsidRPr="00550665">
        <w:rPr>
          <w:rStyle w:val="eop"/>
          <w:rFonts w:ascii="Arial" w:hAnsi="Arial" w:cs="Arial"/>
          <w:color w:val="000000"/>
        </w:rPr>
        <w:t> </w:t>
      </w:r>
    </w:p>
    <w:p w14:paraId="6197E3A9" w14:textId="77777777" w:rsidR="0022705C" w:rsidRPr="00550665" w:rsidRDefault="0022705C" w:rsidP="0022705C">
      <w:pPr>
        <w:pStyle w:val="paragraph"/>
        <w:spacing w:before="0" w:beforeAutospacing="0" w:after="0" w:afterAutospacing="0"/>
        <w:textAlignment w:val="baseline"/>
        <w:rPr>
          <w:rFonts w:ascii="Arial" w:hAnsi="Arial" w:cs="Arial"/>
          <w:color w:val="000000"/>
          <w:sz w:val="18"/>
          <w:szCs w:val="18"/>
        </w:rPr>
      </w:pPr>
      <w:r w:rsidRPr="00550665">
        <w:rPr>
          <w:rStyle w:val="normaltextrun"/>
          <w:rFonts w:ascii="Arial" w:hAnsi="Arial" w:cs="Arial"/>
          <w:color w:val="000000"/>
        </w:rPr>
        <w:lastRenderedPageBreak/>
        <w:t>It is important that all staff who come into contact are trained and understand their responsibilities in identifying and recording vulnerabilities, this includes for example repairs contractors, cleaners, caretakers and grounds maintenance staff.</w:t>
      </w:r>
      <w:r w:rsidRPr="00550665">
        <w:rPr>
          <w:rStyle w:val="eop"/>
          <w:rFonts w:ascii="Arial" w:hAnsi="Arial" w:cs="Arial"/>
          <w:color w:val="000000"/>
        </w:rPr>
        <w:t> </w:t>
      </w:r>
    </w:p>
    <w:p w14:paraId="5B3F757F" w14:textId="1B05C521" w:rsidR="00434FDB" w:rsidRPr="00434FDB" w:rsidRDefault="00434FDB" w:rsidP="00434FDB">
      <w:pPr>
        <w:rPr>
          <w:lang w:eastAsia="en-GB"/>
        </w:rPr>
      </w:pPr>
    </w:p>
    <w:p w14:paraId="5DEE9820" w14:textId="5757FF0F" w:rsidR="00B846CB" w:rsidRPr="00B846CB" w:rsidRDefault="00BE0BCE" w:rsidP="00B846CB">
      <w:pPr>
        <w:pStyle w:val="Heading1"/>
      </w:pPr>
      <w:bookmarkStart w:id="5" w:name="_Toc216791098"/>
      <w:r>
        <w:t>Legislation, Guidance and Regulatory Standards</w:t>
      </w:r>
      <w:bookmarkEnd w:id="5"/>
      <w:r w:rsidR="00B846CB" w:rsidRPr="00B846CB">
        <w:tab/>
      </w:r>
      <w:r w:rsidR="00B846CB" w:rsidRPr="00B846CB">
        <w:tab/>
      </w:r>
    </w:p>
    <w:p w14:paraId="2F537FC0" w14:textId="6B92AA70" w:rsidR="007D2518" w:rsidRDefault="00BE0BCE" w:rsidP="00900578">
      <w:pPr>
        <w:pStyle w:val="Heading2"/>
      </w:pPr>
      <w:bookmarkStart w:id="6" w:name="_Toc216791099"/>
      <w:r>
        <w:t>Legislation</w:t>
      </w:r>
      <w:bookmarkEnd w:id="6"/>
    </w:p>
    <w:p w14:paraId="0A5EB66F" w14:textId="14E14030" w:rsidR="00550665" w:rsidRPr="00550665" w:rsidRDefault="006E35EE" w:rsidP="00550665">
      <w:pPr>
        <w:rPr>
          <w:lang w:val="en-US" w:eastAsia="en-GB"/>
        </w:rPr>
      </w:pPr>
      <w:r>
        <w:rPr>
          <w:lang w:val="en-US" w:eastAsia="en-GB"/>
        </w:rPr>
        <w:t>The principal legislation applicable to this policy is:</w:t>
      </w:r>
    </w:p>
    <w:p w14:paraId="4F5B9119" w14:textId="77777777" w:rsidR="00C772B1" w:rsidRDefault="00C772B1" w:rsidP="00257E27">
      <w:pPr>
        <w:pStyle w:val="ListBullet"/>
        <w:rPr>
          <w:b/>
          <w:bCs/>
          <w:szCs w:val="24"/>
        </w:rPr>
      </w:pPr>
      <w:r>
        <w:rPr>
          <w:rStyle w:val="normaltextrun"/>
          <w:rFonts w:cs="Arial"/>
          <w:color w:val="000000"/>
        </w:rPr>
        <w:t>Housing Act 1980, 1985, 1988, 1996</w:t>
      </w:r>
      <w:r>
        <w:rPr>
          <w:rStyle w:val="eop"/>
          <w:rFonts w:cs="Arial"/>
          <w:b/>
          <w:bCs/>
          <w:color w:val="000000"/>
        </w:rPr>
        <w:t> </w:t>
      </w:r>
    </w:p>
    <w:p w14:paraId="06DA4B2B" w14:textId="77777777" w:rsidR="00C772B1" w:rsidRDefault="00C772B1" w:rsidP="00257E27">
      <w:pPr>
        <w:pStyle w:val="ListBullet"/>
        <w:rPr>
          <w:b/>
          <w:bCs/>
        </w:rPr>
      </w:pPr>
      <w:r>
        <w:rPr>
          <w:rStyle w:val="normaltextrun"/>
          <w:rFonts w:cs="Arial"/>
          <w:color w:val="000000"/>
        </w:rPr>
        <w:t>Allocation of Housing (England) Regulations 2000</w:t>
      </w:r>
      <w:r>
        <w:rPr>
          <w:rStyle w:val="eop"/>
          <w:rFonts w:cs="Arial"/>
          <w:b/>
          <w:bCs/>
          <w:color w:val="000000"/>
        </w:rPr>
        <w:t> </w:t>
      </w:r>
    </w:p>
    <w:p w14:paraId="7F82775A" w14:textId="77777777" w:rsidR="00C772B1" w:rsidRDefault="00C772B1" w:rsidP="00257E27">
      <w:pPr>
        <w:pStyle w:val="ListBullet"/>
        <w:rPr>
          <w:b/>
          <w:bCs/>
        </w:rPr>
      </w:pPr>
      <w:r>
        <w:rPr>
          <w:rStyle w:val="normaltextrun"/>
          <w:rFonts w:cs="Arial"/>
          <w:color w:val="000000"/>
        </w:rPr>
        <w:t>Homeless Act 2002</w:t>
      </w:r>
      <w:r>
        <w:rPr>
          <w:rStyle w:val="eop"/>
          <w:rFonts w:cs="Arial"/>
          <w:b/>
          <w:bCs/>
          <w:color w:val="000000"/>
        </w:rPr>
        <w:t> </w:t>
      </w:r>
    </w:p>
    <w:p w14:paraId="4B29A384" w14:textId="77777777" w:rsidR="00C772B1" w:rsidRDefault="00C772B1" w:rsidP="00257E27">
      <w:pPr>
        <w:pStyle w:val="ListBullet"/>
        <w:rPr>
          <w:b/>
          <w:bCs/>
        </w:rPr>
      </w:pPr>
      <w:r>
        <w:rPr>
          <w:rStyle w:val="normaltextrun"/>
          <w:rFonts w:cs="Arial"/>
          <w:color w:val="000000"/>
        </w:rPr>
        <w:t>Mental Capacity Act 2005 </w:t>
      </w:r>
      <w:r>
        <w:rPr>
          <w:rStyle w:val="eop"/>
          <w:rFonts w:cs="Arial"/>
          <w:b/>
          <w:bCs/>
          <w:color w:val="000000"/>
        </w:rPr>
        <w:t> </w:t>
      </w:r>
    </w:p>
    <w:p w14:paraId="1772E77B" w14:textId="77777777" w:rsidR="00C772B1" w:rsidRDefault="00C772B1" w:rsidP="00257E27">
      <w:pPr>
        <w:pStyle w:val="ListBullet"/>
        <w:rPr>
          <w:b/>
          <w:bCs/>
        </w:rPr>
      </w:pPr>
      <w:r>
        <w:rPr>
          <w:rStyle w:val="normaltextrun"/>
          <w:rFonts w:cs="Arial"/>
          <w:color w:val="000000"/>
        </w:rPr>
        <w:t>Equality Act 2010</w:t>
      </w:r>
      <w:r>
        <w:rPr>
          <w:rStyle w:val="eop"/>
          <w:rFonts w:cs="Arial"/>
          <w:b/>
          <w:bCs/>
          <w:color w:val="000000"/>
        </w:rPr>
        <w:t> </w:t>
      </w:r>
    </w:p>
    <w:p w14:paraId="2E271C12" w14:textId="77777777" w:rsidR="00C772B1" w:rsidRDefault="00C772B1" w:rsidP="00257E27">
      <w:pPr>
        <w:pStyle w:val="ListBullet"/>
        <w:rPr>
          <w:b/>
          <w:bCs/>
        </w:rPr>
      </w:pPr>
      <w:r>
        <w:rPr>
          <w:rStyle w:val="normaltextrun"/>
          <w:rFonts w:cs="Arial"/>
          <w:color w:val="000000"/>
        </w:rPr>
        <w:t>Regulator of Social Housing’s Tenancy Standard</w:t>
      </w:r>
      <w:r>
        <w:rPr>
          <w:rStyle w:val="eop"/>
          <w:rFonts w:cs="Arial"/>
          <w:b/>
          <w:bCs/>
          <w:color w:val="000000"/>
        </w:rPr>
        <w:t> </w:t>
      </w:r>
    </w:p>
    <w:p w14:paraId="2D6CB5D5" w14:textId="77777777" w:rsidR="00C772B1" w:rsidRDefault="00C772B1" w:rsidP="00257E27">
      <w:pPr>
        <w:pStyle w:val="ListBullet"/>
        <w:rPr>
          <w:b/>
          <w:bCs/>
        </w:rPr>
      </w:pPr>
      <w:r>
        <w:rPr>
          <w:rStyle w:val="normaltextrun"/>
          <w:rFonts w:cs="Arial"/>
          <w:color w:val="000000"/>
        </w:rPr>
        <w:t>Safeguarding Vulnerable Groups Act 2006</w:t>
      </w:r>
      <w:r>
        <w:rPr>
          <w:rStyle w:val="eop"/>
          <w:rFonts w:cs="Arial"/>
          <w:b/>
          <w:bCs/>
          <w:color w:val="000000"/>
        </w:rPr>
        <w:t> </w:t>
      </w:r>
    </w:p>
    <w:p w14:paraId="3E88774F" w14:textId="77777777" w:rsidR="00C772B1" w:rsidRDefault="00C772B1" w:rsidP="00257E27">
      <w:pPr>
        <w:pStyle w:val="ListBullet"/>
        <w:rPr>
          <w:b/>
          <w:bCs/>
        </w:rPr>
      </w:pPr>
      <w:r>
        <w:rPr>
          <w:rStyle w:val="normaltextrun"/>
          <w:rFonts w:cs="Arial"/>
          <w:color w:val="000000"/>
        </w:rPr>
        <w:t>Domestic Abuse Act 2021</w:t>
      </w:r>
      <w:r>
        <w:rPr>
          <w:rStyle w:val="eop"/>
          <w:rFonts w:cs="Arial"/>
          <w:b/>
          <w:bCs/>
          <w:color w:val="000000"/>
        </w:rPr>
        <w:t> </w:t>
      </w:r>
    </w:p>
    <w:p w14:paraId="1455DDC1" w14:textId="77777777" w:rsidR="00C772B1" w:rsidRDefault="00C772B1" w:rsidP="00257E27">
      <w:pPr>
        <w:pStyle w:val="ListBullet"/>
        <w:rPr>
          <w:b/>
          <w:bCs/>
        </w:rPr>
      </w:pPr>
      <w:r>
        <w:rPr>
          <w:rStyle w:val="normaltextrun"/>
          <w:rFonts w:cs="Arial"/>
          <w:color w:val="000000"/>
        </w:rPr>
        <w:t>Children Act 1989</w:t>
      </w:r>
      <w:r>
        <w:rPr>
          <w:rStyle w:val="eop"/>
          <w:rFonts w:cs="Arial"/>
          <w:b/>
          <w:bCs/>
          <w:color w:val="000000"/>
        </w:rPr>
        <w:t> </w:t>
      </w:r>
    </w:p>
    <w:p w14:paraId="78D87E50" w14:textId="218CAD05" w:rsidR="00C772B1" w:rsidRPr="00C772B1" w:rsidRDefault="00C772B1" w:rsidP="00257E27">
      <w:pPr>
        <w:pStyle w:val="ListBullet"/>
        <w:rPr>
          <w:b/>
          <w:bCs/>
          <w:lang w:eastAsia="en-GB"/>
        </w:rPr>
      </w:pPr>
      <w:r>
        <w:rPr>
          <w:rStyle w:val="normaltextrun"/>
          <w:rFonts w:cs="Arial"/>
          <w:color w:val="000000"/>
        </w:rPr>
        <w:t>Care Act 2014</w:t>
      </w:r>
    </w:p>
    <w:p w14:paraId="0C2BE6A6" w14:textId="52E5969A" w:rsidR="00290A61" w:rsidRPr="00290A61" w:rsidRDefault="00BE0BCE" w:rsidP="00290A61">
      <w:pPr>
        <w:pStyle w:val="Heading2"/>
      </w:pPr>
      <w:bookmarkStart w:id="7" w:name="_Toc216791100"/>
      <w:r>
        <w:t>Approved Code of Practice (ACoP)</w:t>
      </w:r>
      <w:bookmarkEnd w:id="7"/>
    </w:p>
    <w:p w14:paraId="201BDA1B" w14:textId="4C959547" w:rsidR="00900578" w:rsidRDefault="00257E27" w:rsidP="00900578">
      <w:pPr>
        <w:rPr>
          <w:lang w:val="en-US" w:eastAsia="en-GB"/>
        </w:rPr>
      </w:pPr>
      <w:r>
        <w:t>The Housing Ombudsman Complaints Handling Code 2024 and the RSH Consumer Standards Code of Practice.</w:t>
      </w:r>
    </w:p>
    <w:p w14:paraId="66170ECF" w14:textId="77777777" w:rsidR="00257E27" w:rsidRDefault="00091DD7" w:rsidP="00290A61">
      <w:pPr>
        <w:pStyle w:val="Heading2"/>
      </w:pPr>
      <w:bookmarkStart w:id="8" w:name="_Toc216791101"/>
      <w:r>
        <w:t>Guidance</w:t>
      </w:r>
      <w:bookmarkEnd w:id="8"/>
    </w:p>
    <w:p w14:paraId="50CA2625" w14:textId="73263CF7" w:rsidR="00EF5BC0" w:rsidRDefault="00EF5BC0" w:rsidP="00EF5BC0">
      <w:pPr>
        <w:pStyle w:val="paragraph"/>
        <w:spacing w:before="0" w:beforeAutospacing="0" w:after="0" w:afterAutospacing="0"/>
        <w:textAlignment w:val="baseline"/>
        <w:rPr>
          <w:rStyle w:val="eop"/>
          <w:rFonts w:ascii="Arial" w:hAnsi="Arial" w:cs="Arial"/>
          <w:color w:val="000000"/>
        </w:rPr>
      </w:pPr>
      <w:r w:rsidRPr="00EF5BC0">
        <w:rPr>
          <w:rStyle w:val="normaltextrun"/>
          <w:rFonts w:ascii="Arial" w:hAnsi="Arial" w:cs="Arial"/>
          <w:color w:val="000000"/>
        </w:rPr>
        <w:t>The principle guidance applicable to this policy is:</w:t>
      </w:r>
    </w:p>
    <w:p w14:paraId="5141286F" w14:textId="77777777" w:rsidR="00EF5BC0" w:rsidRPr="00EF5BC0" w:rsidRDefault="00EF5BC0" w:rsidP="00EF5BC0">
      <w:pPr>
        <w:pStyle w:val="paragraph"/>
        <w:spacing w:before="0" w:beforeAutospacing="0" w:after="0" w:afterAutospacing="0"/>
        <w:textAlignment w:val="baseline"/>
        <w:rPr>
          <w:rFonts w:ascii="Arial" w:hAnsi="Arial" w:cs="Arial"/>
          <w:color w:val="000000"/>
          <w:sz w:val="18"/>
          <w:szCs w:val="18"/>
        </w:rPr>
      </w:pPr>
    </w:p>
    <w:p w14:paraId="762639CC" w14:textId="77777777" w:rsidR="00EF5BC0" w:rsidRPr="00EF5BC0" w:rsidRDefault="00EF5BC0" w:rsidP="00EF5BC0">
      <w:pPr>
        <w:pStyle w:val="ListBullet"/>
        <w:rPr>
          <w:sz w:val="18"/>
          <w:szCs w:val="18"/>
        </w:rPr>
      </w:pPr>
      <w:r w:rsidRPr="00EF5BC0">
        <w:rPr>
          <w:rStyle w:val="normaltextrun"/>
          <w:rFonts w:cs="Arial"/>
          <w:color w:val="000000"/>
        </w:rPr>
        <w:t>The Care and Support Statutory Guidance (under the Care Act 2014), issued by the Department of Health and Social Care. </w:t>
      </w:r>
      <w:r w:rsidRPr="00EF5BC0">
        <w:rPr>
          <w:rStyle w:val="eop"/>
          <w:rFonts w:cs="Arial"/>
          <w:color w:val="000000"/>
        </w:rPr>
        <w:t> </w:t>
      </w:r>
    </w:p>
    <w:p w14:paraId="210EBE30" w14:textId="20F811B5" w:rsidR="00257E27" w:rsidRPr="00EF5BC0" w:rsidRDefault="00EF5BC0" w:rsidP="00257E27">
      <w:pPr>
        <w:pStyle w:val="ListBullet"/>
        <w:rPr>
          <w:sz w:val="18"/>
          <w:szCs w:val="18"/>
        </w:rPr>
      </w:pPr>
      <w:r w:rsidRPr="00EF5BC0">
        <w:rPr>
          <w:rStyle w:val="normaltextrun"/>
          <w:rFonts w:cs="Arial"/>
          <w:color w:val="000000"/>
        </w:rPr>
        <w:t>Information Commissioner's Office (ICO) – Data Protection and Safeguarding Guidance.</w:t>
      </w:r>
    </w:p>
    <w:p w14:paraId="4149A5E4" w14:textId="6A58A74C" w:rsidR="00290A61" w:rsidRDefault="00091DD7" w:rsidP="00290A61">
      <w:pPr>
        <w:pStyle w:val="Heading2"/>
      </w:pPr>
      <w:bookmarkStart w:id="9" w:name="_Toc216791102"/>
      <w:r>
        <w:t>Regulatory Standards</w:t>
      </w:r>
      <w:bookmarkEnd w:id="9"/>
    </w:p>
    <w:p w14:paraId="235AB4C1" w14:textId="47209AA1" w:rsidR="00324FCD" w:rsidRPr="00324FCD" w:rsidRDefault="00324FCD" w:rsidP="00324FCD">
      <w:pPr>
        <w:rPr>
          <w:lang w:val="en-US" w:eastAsia="en-GB"/>
        </w:rPr>
      </w:pPr>
      <w:r>
        <w:rPr>
          <w:lang w:val="en-US" w:eastAsia="en-GB"/>
        </w:rPr>
        <w:t>We</w:t>
      </w:r>
      <w:r w:rsidR="00FF39F7">
        <w:rPr>
          <w:lang w:val="en-US" w:eastAsia="en-GB"/>
        </w:rPr>
        <w:t xml:space="preserve"> </w:t>
      </w:r>
      <w:r w:rsidR="00E5238E">
        <w:rPr>
          <w:rStyle w:val="normaltextrun"/>
          <w:rFonts w:cs="Arial"/>
          <w:color w:val="000000"/>
          <w:shd w:val="clear" w:color="auto" w:fill="FFFFFF"/>
        </w:rPr>
        <w:t>must ensure we comply with the Regulator of Social Housing’s regulatory framework and consumer standards for social housing in England; the Safety and Quality Standard and the Tenancy Standard are the primary ones applicable to this policy. </w:t>
      </w:r>
    </w:p>
    <w:p w14:paraId="444C60D2" w14:textId="102B39B8" w:rsidR="00290A61" w:rsidRDefault="00091DD7" w:rsidP="00290A61">
      <w:pPr>
        <w:pStyle w:val="Heading2"/>
      </w:pPr>
      <w:bookmarkStart w:id="10" w:name="_Toc216791103"/>
      <w:r>
        <w:t>Sanctions</w:t>
      </w:r>
      <w:bookmarkEnd w:id="10"/>
    </w:p>
    <w:p w14:paraId="776605FB" w14:textId="77777777" w:rsidR="002D3CF6" w:rsidRPr="002D3CF6" w:rsidRDefault="00324FCD" w:rsidP="002D3CF6">
      <w:pPr>
        <w:pStyle w:val="paragraph"/>
        <w:spacing w:before="0" w:beforeAutospacing="0" w:after="0" w:afterAutospacing="0"/>
        <w:textAlignment w:val="baseline"/>
        <w:rPr>
          <w:rFonts w:ascii="Arial" w:hAnsi="Arial" w:cs="Arial"/>
          <w:color w:val="000000"/>
          <w:sz w:val="18"/>
          <w:szCs w:val="18"/>
        </w:rPr>
      </w:pPr>
      <w:r w:rsidRPr="002D3CF6">
        <w:rPr>
          <w:rFonts w:ascii="Arial" w:hAnsi="Arial" w:cs="Arial"/>
          <w:lang w:val="en-US"/>
        </w:rPr>
        <w:t>The</w:t>
      </w:r>
      <w:r w:rsidR="002D3CF6" w:rsidRPr="002D3CF6">
        <w:rPr>
          <w:rFonts w:ascii="Arial" w:hAnsi="Arial" w:cs="Arial"/>
          <w:lang w:val="en-US"/>
        </w:rPr>
        <w:t xml:space="preserve"> </w:t>
      </w:r>
      <w:r w:rsidR="002D3CF6" w:rsidRPr="002D3CF6">
        <w:rPr>
          <w:rStyle w:val="normaltextrun"/>
          <w:rFonts w:ascii="Arial" w:hAnsi="Arial" w:cs="Arial"/>
          <w:color w:val="000000"/>
        </w:rPr>
        <w:t>Social Housing (Regulation) Act 2023 laid the foundation for changes to how social housing is managed. It includes increased regulation and new rules for protecting tenants in their homes. To hold housing providers accountable, the RSH will inspect larger landlords (those with more than 1,000 properties) regularly, scrutinise tenant satisfaction data and use enforcement powers when necessary.</w:t>
      </w:r>
      <w:r w:rsidR="002D3CF6" w:rsidRPr="002D3CF6">
        <w:rPr>
          <w:rStyle w:val="eop"/>
          <w:rFonts w:ascii="Arial" w:hAnsi="Arial" w:cs="Arial"/>
          <w:color w:val="000000"/>
        </w:rPr>
        <w:t> </w:t>
      </w:r>
    </w:p>
    <w:p w14:paraId="20005CEE" w14:textId="77777777" w:rsidR="002D3CF6" w:rsidRPr="002D3CF6" w:rsidRDefault="002D3CF6" w:rsidP="002D3CF6">
      <w:pPr>
        <w:pStyle w:val="paragraph"/>
        <w:spacing w:before="0" w:beforeAutospacing="0" w:after="0" w:afterAutospacing="0"/>
        <w:textAlignment w:val="baseline"/>
        <w:rPr>
          <w:rFonts w:ascii="Arial" w:hAnsi="Arial" w:cs="Arial"/>
          <w:color w:val="000000"/>
          <w:sz w:val="18"/>
          <w:szCs w:val="18"/>
        </w:rPr>
      </w:pPr>
      <w:r w:rsidRPr="002D3CF6">
        <w:rPr>
          <w:rStyle w:val="eop"/>
          <w:rFonts w:ascii="Arial" w:hAnsi="Arial" w:cs="Arial"/>
          <w:color w:val="000000"/>
        </w:rPr>
        <w:t> </w:t>
      </w:r>
    </w:p>
    <w:p w14:paraId="48F9DBEB" w14:textId="5BAC0AFD" w:rsidR="002D3CF6" w:rsidRDefault="002D3CF6" w:rsidP="002D3CF6">
      <w:pPr>
        <w:pStyle w:val="paragraph"/>
        <w:spacing w:before="0" w:beforeAutospacing="0" w:after="0" w:afterAutospacing="0"/>
        <w:textAlignment w:val="baseline"/>
        <w:rPr>
          <w:rStyle w:val="eop"/>
          <w:rFonts w:ascii="Arial" w:hAnsi="Arial" w:cs="Arial"/>
          <w:color w:val="000000"/>
        </w:rPr>
      </w:pPr>
      <w:r w:rsidRPr="002D3CF6">
        <w:rPr>
          <w:rStyle w:val="normaltextrun"/>
          <w:rFonts w:ascii="Arial" w:hAnsi="Arial" w:cs="Arial"/>
          <w:color w:val="000000"/>
        </w:rPr>
        <w:t>If the Council fails to take account of the diverse needs of its tenants and to make reasonable adjustments, it would be non-compliant with the Consumer Standards and the Equality Act 2010, and therefore at risk of consequential measures, such as fines and reputational damage.</w:t>
      </w:r>
    </w:p>
    <w:p w14:paraId="7C9CFEE8" w14:textId="77777777" w:rsidR="00601041" w:rsidRPr="002D3CF6" w:rsidRDefault="00601041" w:rsidP="002D3CF6">
      <w:pPr>
        <w:pStyle w:val="paragraph"/>
        <w:spacing w:before="0" w:beforeAutospacing="0" w:after="0" w:afterAutospacing="0"/>
        <w:textAlignment w:val="baseline"/>
        <w:rPr>
          <w:rFonts w:ascii="Arial" w:hAnsi="Arial" w:cs="Arial"/>
          <w:color w:val="000000"/>
          <w:sz w:val="18"/>
          <w:szCs w:val="18"/>
        </w:rPr>
      </w:pPr>
    </w:p>
    <w:p w14:paraId="772CE37B" w14:textId="32565B6E" w:rsidR="00B846CB" w:rsidRPr="00B846CB" w:rsidRDefault="00091DD7" w:rsidP="00C14F50">
      <w:pPr>
        <w:pStyle w:val="Heading1"/>
      </w:pPr>
      <w:bookmarkStart w:id="11" w:name="_Toc216791104"/>
      <w:r>
        <w:t>Definition of Vulnerability</w:t>
      </w:r>
      <w:bookmarkEnd w:id="11"/>
    </w:p>
    <w:p w14:paraId="66368FFC" w14:textId="0BE72CCE" w:rsidR="006D0010" w:rsidRDefault="006D0010" w:rsidP="006D0010">
      <w:pPr>
        <w:pStyle w:val="paragraph"/>
        <w:spacing w:before="0" w:beforeAutospacing="0" w:after="0" w:afterAutospacing="0"/>
        <w:textAlignment w:val="baseline"/>
        <w:rPr>
          <w:rStyle w:val="eop"/>
          <w:rFonts w:ascii="Arial" w:hAnsi="Arial" w:cs="Arial"/>
          <w:color w:val="000000"/>
        </w:rPr>
      </w:pPr>
      <w:r w:rsidRPr="006D0010">
        <w:rPr>
          <w:rFonts w:ascii="Arial" w:hAnsi="Arial" w:cs="Arial"/>
        </w:rPr>
        <w:t xml:space="preserve">A vulnerable </w:t>
      </w:r>
      <w:r w:rsidRPr="006D0010">
        <w:rPr>
          <w:rStyle w:val="normaltextrun"/>
          <w:rFonts w:ascii="Arial" w:hAnsi="Arial" w:cs="Arial"/>
          <w:color w:val="000000"/>
        </w:rPr>
        <w:t>resident is anyone who has a condition, disability, or a personal circumstance, which means that without support or intervention, any of the following may be true: </w:t>
      </w:r>
    </w:p>
    <w:p w14:paraId="4C902276" w14:textId="77777777" w:rsidR="006D0010" w:rsidRPr="006D0010" w:rsidRDefault="006D0010" w:rsidP="006D0010">
      <w:pPr>
        <w:pStyle w:val="paragraph"/>
        <w:spacing w:before="0" w:beforeAutospacing="0" w:after="0" w:afterAutospacing="0"/>
        <w:textAlignment w:val="baseline"/>
        <w:rPr>
          <w:rFonts w:ascii="Arial" w:hAnsi="Arial" w:cs="Arial"/>
          <w:color w:val="000000"/>
          <w:sz w:val="18"/>
          <w:szCs w:val="18"/>
        </w:rPr>
      </w:pPr>
    </w:p>
    <w:p w14:paraId="563EAAFC" w14:textId="77777777" w:rsidR="006D0010" w:rsidRPr="006D0010" w:rsidRDefault="006D0010" w:rsidP="006D0010">
      <w:pPr>
        <w:pStyle w:val="ListBullet"/>
        <w:rPr>
          <w:szCs w:val="24"/>
        </w:rPr>
      </w:pPr>
      <w:r w:rsidRPr="006D0010">
        <w:rPr>
          <w:rStyle w:val="normaltextrun"/>
          <w:rFonts w:cs="Arial"/>
          <w:color w:val="000000"/>
        </w:rPr>
        <w:t>They are at higher risk of abuse or neglect</w:t>
      </w:r>
      <w:r w:rsidRPr="006D0010">
        <w:rPr>
          <w:rStyle w:val="eop"/>
          <w:rFonts w:cs="Arial"/>
          <w:color w:val="000000"/>
        </w:rPr>
        <w:t> </w:t>
      </w:r>
    </w:p>
    <w:p w14:paraId="3D3269BA" w14:textId="77777777" w:rsidR="006D0010" w:rsidRPr="006D0010" w:rsidRDefault="006D0010" w:rsidP="006D0010">
      <w:pPr>
        <w:pStyle w:val="ListBullet"/>
      </w:pPr>
      <w:r w:rsidRPr="006D0010">
        <w:rPr>
          <w:rStyle w:val="normaltextrun"/>
          <w:rFonts w:cs="Arial"/>
          <w:color w:val="000000"/>
        </w:rPr>
        <w:t>There is detriment to their overall wellbeing</w:t>
      </w:r>
      <w:r w:rsidRPr="006D0010">
        <w:rPr>
          <w:rStyle w:val="eop"/>
          <w:rFonts w:cs="Arial"/>
          <w:color w:val="000000"/>
        </w:rPr>
        <w:t> </w:t>
      </w:r>
    </w:p>
    <w:p w14:paraId="343D25E0" w14:textId="77777777" w:rsidR="00DB5458" w:rsidRPr="00DB5458" w:rsidRDefault="006D0010" w:rsidP="00DB5458">
      <w:pPr>
        <w:pStyle w:val="ListBullet"/>
        <w:spacing w:after="0"/>
        <w:textAlignment w:val="baseline"/>
        <w:rPr>
          <w:rStyle w:val="normaltextrun"/>
          <w:rFonts w:cs="Arial"/>
          <w:color w:val="000000"/>
          <w:sz w:val="18"/>
          <w:szCs w:val="18"/>
        </w:rPr>
      </w:pPr>
      <w:r w:rsidRPr="00DB5458">
        <w:rPr>
          <w:rStyle w:val="normaltextrun"/>
          <w:rFonts w:cs="Arial"/>
          <w:color w:val="000000"/>
        </w:rPr>
        <w:t>Their tenancy/lease is put at risk.</w:t>
      </w:r>
    </w:p>
    <w:p w14:paraId="1E9F9D85" w14:textId="118EF441" w:rsidR="006D0010" w:rsidRPr="00DB5458" w:rsidRDefault="006D0010" w:rsidP="00DB5458">
      <w:pPr>
        <w:pStyle w:val="ListBullet"/>
        <w:numPr>
          <w:ilvl w:val="0"/>
          <w:numId w:val="0"/>
        </w:numPr>
        <w:spacing w:after="0"/>
        <w:textAlignment w:val="baseline"/>
        <w:rPr>
          <w:rFonts w:cs="Arial"/>
          <w:color w:val="000000"/>
          <w:sz w:val="18"/>
          <w:szCs w:val="18"/>
        </w:rPr>
      </w:pPr>
      <w:r w:rsidRPr="00DB5458">
        <w:rPr>
          <w:rStyle w:val="normaltextrun"/>
          <w:rFonts w:cs="Arial"/>
          <w:color w:val="000000"/>
        </w:rPr>
        <w:t> </w:t>
      </w:r>
      <w:r w:rsidRPr="00DB5458">
        <w:rPr>
          <w:rStyle w:val="eop"/>
          <w:rFonts w:cs="Arial"/>
          <w:color w:val="000000"/>
        </w:rPr>
        <w:t> </w:t>
      </w:r>
    </w:p>
    <w:p w14:paraId="6C6AAC83" w14:textId="77777777" w:rsidR="006D0010" w:rsidRPr="006D0010" w:rsidRDefault="006D0010" w:rsidP="006D0010">
      <w:pPr>
        <w:pStyle w:val="paragraph"/>
        <w:spacing w:before="0" w:beforeAutospacing="0" w:after="0" w:afterAutospacing="0"/>
        <w:textAlignment w:val="baseline"/>
        <w:rPr>
          <w:rFonts w:ascii="Arial" w:hAnsi="Arial" w:cs="Arial"/>
          <w:color w:val="000000"/>
          <w:sz w:val="18"/>
          <w:szCs w:val="18"/>
        </w:rPr>
      </w:pPr>
      <w:r w:rsidRPr="006D0010">
        <w:rPr>
          <w:rStyle w:val="normaltextrun"/>
          <w:rFonts w:ascii="Arial" w:hAnsi="Arial" w:cs="Arial"/>
          <w:color w:val="000000"/>
        </w:rPr>
        <w:t>We also recognise that vulnerability is not always permanent, and that a person’s needs may change over time. The factors listed above will help the Council determine what additional assistance an individual may require sustaining their tenancy or lease.  </w:t>
      </w:r>
      <w:r w:rsidRPr="006D0010">
        <w:rPr>
          <w:rStyle w:val="eop"/>
          <w:rFonts w:ascii="Arial" w:hAnsi="Arial" w:cs="Arial"/>
          <w:color w:val="000000"/>
        </w:rPr>
        <w:t> </w:t>
      </w:r>
    </w:p>
    <w:p w14:paraId="79D629CB" w14:textId="1A578DAD" w:rsidR="00290A61" w:rsidRDefault="006D0010" w:rsidP="00826643">
      <w:pPr>
        <w:pStyle w:val="paragraph"/>
        <w:spacing w:before="0" w:beforeAutospacing="0" w:after="0" w:afterAutospacing="0"/>
        <w:textAlignment w:val="baseline"/>
        <w:rPr>
          <w:rStyle w:val="eop"/>
          <w:rFonts w:ascii="Arial" w:hAnsi="Arial" w:cs="Arial"/>
          <w:color w:val="000000"/>
        </w:rPr>
      </w:pPr>
      <w:r w:rsidRPr="006D0010">
        <w:rPr>
          <w:rStyle w:val="normaltextrun"/>
          <w:rFonts w:ascii="Arial" w:hAnsi="Arial" w:cs="Arial"/>
          <w:color w:val="000000"/>
        </w:rPr>
        <w:t>Further, we will not make assumptions and will consider individual circumstances to determine whether someone might have a vulnerability or support need, either temporarily or permanently.</w:t>
      </w:r>
    </w:p>
    <w:p w14:paraId="598C094F" w14:textId="77777777" w:rsidR="00826643" w:rsidRPr="00826643" w:rsidRDefault="00826643" w:rsidP="00826643">
      <w:pPr>
        <w:pStyle w:val="paragraph"/>
        <w:spacing w:before="0" w:beforeAutospacing="0" w:after="0" w:afterAutospacing="0"/>
        <w:textAlignment w:val="baseline"/>
        <w:rPr>
          <w:rFonts w:ascii="Arial" w:hAnsi="Arial" w:cs="Arial"/>
          <w:color w:val="000000"/>
          <w:sz w:val="18"/>
          <w:szCs w:val="18"/>
        </w:rPr>
      </w:pPr>
    </w:p>
    <w:p w14:paraId="0B0AEC80" w14:textId="46ED1A21" w:rsidR="00290A61" w:rsidRDefault="00091DD7" w:rsidP="003918DA">
      <w:pPr>
        <w:pStyle w:val="Heading2"/>
      </w:pPr>
      <w:bookmarkStart w:id="12" w:name="_Toc216791105"/>
      <w:r>
        <w:t>Vulnerable residents lacking mental capacity</w:t>
      </w:r>
      <w:bookmarkEnd w:id="12"/>
    </w:p>
    <w:p w14:paraId="3B1EBD53" w14:textId="5CDD96DC" w:rsidR="00D11448" w:rsidRDefault="00826643" w:rsidP="00D11448">
      <w:pPr>
        <w:pStyle w:val="paragraph"/>
        <w:spacing w:before="0" w:beforeAutospacing="0" w:after="0" w:afterAutospacing="0"/>
        <w:textAlignment w:val="baseline"/>
        <w:rPr>
          <w:rStyle w:val="eop"/>
          <w:rFonts w:ascii="Arial" w:hAnsi="Arial" w:cs="Arial"/>
          <w:color w:val="000000"/>
        </w:rPr>
      </w:pPr>
      <w:r w:rsidRPr="00D11448">
        <w:rPr>
          <w:rFonts w:ascii="Arial" w:hAnsi="Arial" w:cs="Arial"/>
          <w:lang w:val="en-US"/>
        </w:rPr>
        <w:t>For residents</w:t>
      </w:r>
      <w:r w:rsidR="00D11448" w:rsidRPr="00D11448">
        <w:rPr>
          <w:rStyle w:val="normaltextrun"/>
          <w:rFonts w:ascii="Arial" w:eastAsiaTheme="minorHAnsi" w:hAnsi="Arial" w:cs="Arial"/>
          <w:color w:val="000000"/>
        </w:rPr>
        <w:t xml:space="preserve"> </w:t>
      </w:r>
      <w:r w:rsidR="00D11448" w:rsidRPr="00D11448">
        <w:rPr>
          <w:rStyle w:val="normaltextrun"/>
          <w:rFonts w:ascii="Arial" w:hAnsi="Arial" w:cs="Arial"/>
          <w:color w:val="000000"/>
        </w:rPr>
        <w:t>who lack mental capacity, we make provisions under the Mental Capacity Act 2005 to liaise with individuals who have a legal authority to act on the resident’s behalf.</w:t>
      </w:r>
    </w:p>
    <w:p w14:paraId="32D8A5A9" w14:textId="77777777" w:rsidR="008C41DF" w:rsidRPr="00D11448" w:rsidRDefault="008C41DF" w:rsidP="00D11448">
      <w:pPr>
        <w:pStyle w:val="paragraph"/>
        <w:spacing w:before="0" w:beforeAutospacing="0" w:after="0" w:afterAutospacing="0"/>
        <w:textAlignment w:val="baseline"/>
        <w:rPr>
          <w:rFonts w:ascii="Arial" w:hAnsi="Arial" w:cs="Arial"/>
          <w:color w:val="000000"/>
          <w:sz w:val="18"/>
          <w:szCs w:val="18"/>
        </w:rPr>
      </w:pPr>
    </w:p>
    <w:p w14:paraId="2551E85A" w14:textId="277FBF76" w:rsidR="00D11448" w:rsidRDefault="00D11448" w:rsidP="00D11448">
      <w:pPr>
        <w:pStyle w:val="paragraph"/>
        <w:spacing w:before="0" w:beforeAutospacing="0" w:after="0" w:afterAutospacing="0"/>
        <w:textAlignment w:val="baseline"/>
        <w:rPr>
          <w:rStyle w:val="eop"/>
          <w:rFonts w:ascii="Arial" w:hAnsi="Arial" w:cs="Arial"/>
          <w:color w:val="000000"/>
        </w:rPr>
      </w:pPr>
      <w:r w:rsidRPr="00D11448">
        <w:rPr>
          <w:rStyle w:val="normaltextrun"/>
          <w:rFonts w:ascii="Arial" w:hAnsi="Arial" w:cs="Arial"/>
          <w:color w:val="000000"/>
        </w:rPr>
        <w:t>Examples of these instances are not limited to but include:</w:t>
      </w:r>
    </w:p>
    <w:p w14:paraId="50E7BA20" w14:textId="77777777" w:rsidR="00E42380" w:rsidRPr="00D11448" w:rsidRDefault="00E42380" w:rsidP="00D11448">
      <w:pPr>
        <w:pStyle w:val="paragraph"/>
        <w:spacing w:before="0" w:beforeAutospacing="0" w:after="0" w:afterAutospacing="0"/>
        <w:textAlignment w:val="baseline"/>
        <w:rPr>
          <w:rFonts w:ascii="Arial" w:hAnsi="Arial" w:cs="Arial"/>
          <w:color w:val="000000"/>
          <w:sz w:val="18"/>
          <w:szCs w:val="18"/>
        </w:rPr>
      </w:pPr>
    </w:p>
    <w:p w14:paraId="524B9E4F" w14:textId="3E8268BA" w:rsidR="00D11448" w:rsidRPr="00D11448" w:rsidRDefault="00D11448" w:rsidP="00D11448">
      <w:pPr>
        <w:pStyle w:val="ListBullet"/>
        <w:rPr>
          <w:szCs w:val="24"/>
        </w:rPr>
      </w:pPr>
      <w:r w:rsidRPr="00D11448">
        <w:rPr>
          <w:rStyle w:val="normaltextrun"/>
          <w:rFonts w:cs="Arial"/>
          <w:color w:val="000000"/>
        </w:rPr>
        <w:t>Court of Protection appointing a Deputy following application. (</w:t>
      </w:r>
      <w:r w:rsidR="00E42380">
        <w:rPr>
          <w:rStyle w:val="normaltextrun"/>
          <w:rFonts w:cs="Arial"/>
          <w:color w:val="000000"/>
        </w:rPr>
        <w:t>P</w:t>
      </w:r>
      <w:r w:rsidRPr="00D11448">
        <w:rPr>
          <w:rStyle w:val="normaltextrun"/>
          <w:rFonts w:cs="Arial"/>
          <w:color w:val="000000"/>
        </w:rPr>
        <w:t>roperty and financial affairs Deputy) and </w:t>
      </w:r>
      <w:r w:rsidRPr="00FB6D86">
        <w:rPr>
          <w:rStyle w:val="normaltextrun"/>
          <w:rFonts w:cs="Arial"/>
          <w:color w:val="000000"/>
          <w:shd w:val="clear" w:color="auto" w:fill="EAEEFF"/>
        </w:rPr>
        <w:t>(</w:t>
      </w:r>
      <w:r w:rsidR="00FB6D86">
        <w:rPr>
          <w:rStyle w:val="normaltextrun"/>
          <w:rFonts w:cs="Arial"/>
          <w:color w:val="000000"/>
        </w:rPr>
        <w:t xml:space="preserve">Personal </w:t>
      </w:r>
      <w:r w:rsidRPr="00D11448">
        <w:rPr>
          <w:rStyle w:val="normaltextrun"/>
          <w:rFonts w:cs="Arial"/>
          <w:color w:val="000000"/>
        </w:rPr>
        <w:t>welfare Deputy)  </w:t>
      </w:r>
      <w:r w:rsidRPr="00D11448">
        <w:rPr>
          <w:rStyle w:val="eop"/>
          <w:rFonts w:cs="Arial"/>
          <w:color w:val="000000"/>
        </w:rPr>
        <w:t> </w:t>
      </w:r>
    </w:p>
    <w:p w14:paraId="3A051FD4" w14:textId="77777777" w:rsidR="00D11448" w:rsidRPr="00D11448" w:rsidRDefault="00D11448" w:rsidP="00D11448">
      <w:pPr>
        <w:pStyle w:val="ListBullet"/>
      </w:pPr>
      <w:r w:rsidRPr="00D11448">
        <w:rPr>
          <w:rStyle w:val="normaltextrun"/>
          <w:rFonts w:cs="Arial"/>
          <w:color w:val="000000"/>
        </w:rPr>
        <w:t>Emergency or urgent court order</w:t>
      </w:r>
      <w:r w:rsidRPr="00D11448">
        <w:rPr>
          <w:rStyle w:val="eop"/>
          <w:rFonts w:cs="Arial"/>
          <w:color w:val="000000"/>
        </w:rPr>
        <w:t> </w:t>
      </w:r>
    </w:p>
    <w:p w14:paraId="71A2EDC4" w14:textId="77777777" w:rsidR="00D11448" w:rsidRPr="00D11448" w:rsidRDefault="00D11448" w:rsidP="00D11448">
      <w:pPr>
        <w:pStyle w:val="ListBullet"/>
      </w:pPr>
      <w:r w:rsidRPr="00D11448">
        <w:rPr>
          <w:rStyle w:val="normaltextrun"/>
          <w:rFonts w:cs="Arial"/>
          <w:color w:val="000000"/>
        </w:rPr>
        <w:t>Lasting Power of Attorney (LPA) or Enduring Power of Attorney (EPA)</w:t>
      </w:r>
      <w:r w:rsidRPr="00D11448">
        <w:rPr>
          <w:rStyle w:val="eop"/>
          <w:rFonts w:cs="Arial"/>
          <w:color w:val="000000"/>
        </w:rPr>
        <w:t> </w:t>
      </w:r>
    </w:p>
    <w:p w14:paraId="12886BAC" w14:textId="77777777" w:rsidR="00D11448" w:rsidRPr="00D11448" w:rsidRDefault="00D11448" w:rsidP="00D11448">
      <w:pPr>
        <w:pStyle w:val="ListBullet"/>
      </w:pPr>
      <w:r w:rsidRPr="00D11448">
        <w:rPr>
          <w:rStyle w:val="normaltextrun"/>
          <w:rFonts w:cs="Arial"/>
          <w:color w:val="000000"/>
        </w:rPr>
        <w:t>Independent Mental Capacity Advocate (IMCA)</w:t>
      </w:r>
      <w:r w:rsidRPr="00D11448">
        <w:rPr>
          <w:rStyle w:val="eop"/>
          <w:rFonts w:cs="Arial"/>
          <w:color w:val="000000"/>
        </w:rPr>
        <w:t> </w:t>
      </w:r>
    </w:p>
    <w:p w14:paraId="50BCCAD2" w14:textId="77777777" w:rsidR="00BC4D0D" w:rsidRPr="00BC4D0D" w:rsidRDefault="00D11448" w:rsidP="003918DA">
      <w:pPr>
        <w:pStyle w:val="ListBullet"/>
        <w:rPr>
          <w:rStyle w:val="eop"/>
          <w:lang w:val="en-US"/>
        </w:rPr>
      </w:pPr>
      <w:r w:rsidRPr="00FB6D86">
        <w:rPr>
          <w:rStyle w:val="normaltextrun"/>
          <w:rFonts w:cs="Arial"/>
          <w:color w:val="000000"/>
        </w:rPr>
        <w:t>Litigation friend appointed by Court.</w:t>
      </w:r>
      <w:r w:rsidRPr="00FB6D86">
        <w:rPr>
          <w:rStyle w:val="eop"/>
          <w:rFonts w:cs="Arial"/>
          <w:color w:val="000000"/>
        </w:rPr>
        <w:t> </w:t>
      </w:r>
    </w:p>
    <w:p w14:paraId="782C530F" w14:textId="77777777" w:rsidR="00BC4D0D" w:rsidRDefault="00BC4D0D" w:rsidP="00BC4D0D">
      <w:pPr>
        <w:pStyle w:val="ListBullet"/>
        <w:numPr>
          <w:ilvl w:val="0"/>
          <w:numId w:val="0"/>
        </w:numPr>
        <w:rPr>
          <w:rStyle w:val="eop"/>
          <w:lang w:val="en-US"/>
        </w:rPr>
      </w:pPr>
    </w:p>
    <w:p w14:paraId="318F3FC9" w14:textId="1ED89D99" w:rsidR="007302CA" w:rsidRDefault="00091DD7" w:rsidP="007302CA">
      <w:pPr>
        <w:pStyle w:val="Heading1"/>
        <w:rPr>
          <w:lang w:val="en-US"/>
        </w:rPr>
      </w:pPr>
      <w:bookmarkStart w:id="13" w:name="_Toc216791106"/>
      <w:r w:rsidRPr="00BC4D0D">
        <w:rPr>
          <w:lang w:val="en-US"/>
        </w:rPr>
        <w:t>Recording Vulnerability</w:t>
      </w:r>
      <w:bookmarkEnd w:id="13"/>
    </w:p>
    <w:p w14:paraId="27CCC6C8" w14:textId="7C043A31" w:rsidR="007302CA" w:rsidRDefault="007302CA" w:rsidP="007302CA">
      <w:pPr>
        <w:pStyle w:val="paragraph"/>
        <w:spacing w:before="0" w:beforeAutospacing="0" w:after="0" w:afterAutospacing="0"/>
        <w:textAlignment w:val="baseline"/>
        <w:rPr>
          <w:rStyle w:val="eop"/>
          <w:rFonts w:ascii="Arial" w:hAnsi="Arial" w:cs="Arial"/>
          <w:color w:val="000000"/>
        </w:rPr>
      </w:pPr>
      <w:r w:rsidRPr="007302CA">
        <w:rPr>
          <w:rStyle w:val="normaltextrun"/>
          <w:rFonts w:ascii="Arial" w:hAnsi="Arial" w:cs="Arial"/>
          <w:color w:val="000000"/>
        </w:rPr>
        <w:t>Where a resident has been identified as vulnerable, we capture this information on our resident record. This includes details of any communication or access needs or working with their appointed representative where someone has provided delegated authority on their behalf, such as a support worker or carer.</w:t>
      </w:r>
    </w:p>
    <w:p w14:paraId="3803D860" w14:textId="77777777" w:rsidR="007302CA" w:rsidRPr="007302CA" w:rsidRDefault="007302CA" w:rsidP="007302CA">
      <w:pPr>
        <w:pStyle w:val="paragraph"/>
        <w:spacing w:before="0" w:beforeAutospacing="0" w:after="0" w:afterAutospacing="0"/>
        <w:textAlignment w:val="baseline"/>
        <w:rPr>
          <w:rFonts w:ascii="Arial" w:hAnsi="Arial" w:cs="Arial"/>
          <w:color w:val="000000"/>
          <w:sz w:val="18"/>
          <w:szCs w:val="18"/>
        </w:rPr>
      </w:pPr>
    </w:p>
    <w:p w14:paraId="75F2B57A" w14:textId="7475300F" w:rsidR="007302CA" w:rsidRDefault="007302CA" w:rsidP="007302CA">
      <w:pPr>
        <w:pStyle w:val="paragraph"/>
        <w:spacing w:before="0" w:beforeAutospacing="0" w:after="0" w:afterAutospacing="0"/>
        <w:textAlignment w:val="baseline"/>
        <w:rPr>
          <w:rStyle w:val="normaltextrun"/>
          <w:rFonts w:ascii="Arial" w:hAnsi="Arial" w:cs="Arial"/>
          <w:color w:val="000000"/>
        </w:rPr>
      </w:pPr>
      <w:r w:rsidRPr="007302CA">
        <w:rPr>
          <w:rStyle w:val="normaltextrun"/>
          <w:rFonts w:ascii="Arial" w:hAnsi="Arial" w:cs="Arial"/>
          <w:color w:val="000000"/>
        </w:rPr>
        <w:t>Safeguarding concerns are addressed in a separate policy which details our referral process and support services available where there is a concern.</w:t>
      </w:r>
    </w:p>
    <w:p w14:paraId="78318357" w14:textId="77777777" w:rsidR="007302CA" w:rsidRPr="007302CA" w:rsidRDefault="007302CA" w:rsidP="007302CA">
      <w:pPr>
        <w:pStyle w:val="paragraph"/>
        <w:spacing w:before="0" w:beforeAutospacing="0" w:after="0" w:afterAutospacing="0"/>
        <w:textAlignment w:val="baseline"/>
        <w:rPr>
          <w:rFonts w:ascii="Arial" w:hAnsi="Arial" w:cs="Arial"/>
          <w:color w:val="000000"/>
          <w:sz w:val="18"/>
          <w:szCs w:val="18"/>
        </w:rPr>
      </w:pPr>
    </w:p>
    <w:p w14:paraId="7B290CD1" w14:textId="4596EFE2" w:rsidR="007302CA" w:rsidRPr="007302CA" w:rsidRDefault="007302CA" w:rsidP="007302CA">
      <w:pPr>
        <w:pStyle w:val="paragraph"/>
        <w:spacing w:before="0" w:beforeAutospacing="0" w:after="0" w:afterAutospacing="0"/>
        <w:textAlignment w:val="baseline"/>
        <w:rPr>
          <w:rStyle w:val="eop"/>
          <w:rFonts w:ascii="Arial" w:hAnsi="Arial" w:cs="Arial"/>
          <w:color w:val="000000"/>
        </w:rPr>
      </w:pPr>
      <w:r w:rsidRPr="007302CA">
        <w:rPr>
          <w:rStyle w:val="normaltextrun"/>
          <w:rFonts w:ascii="Arial" w:hAnsi="Arial" w:cs="Arial"/>
          <w:color w:val="000000"/>
        </w:rPr>
        <w:t>We use the following sources of information/routes to identify vulnerability:</w:t>
      </w:r>
    </w:p>
    <w:p w14:paraId="4A9BF000" w14:textId="77777777" w:rsidR="007302CA" w:rsidRPr="007302CA" w:rsidRDefault="007302CA" w:rsidP="007302CA">
      <w:pPr>
        <w:pStyle w:val="paragraph"/>
        <w:spacing w:before="0" w:beforeAutospacing="0" w:after="0" w:afterAutospacing="0"/>
        <w:textAlignment w:val="baseline"/>
        <w:rPr>
          <w:rFonts w:ascii="Arial" w:hAnsi="Arial" w:cs="Arial"/>
          <w:color w:val="000000"/>
          <w:sz w:val="18"/>
          <w:szCs w:val="18"/>
        </w:rPr>
      </w:pPr>
    </w:p>
    <w:p w14:paraId="70DDA5BC" w14:textId="77777777" w:rsidR="007302CA" w:rsidRPr="007302CA" w:rsidRDefault="007302CA" w:rsidP="007302CA">
      <w:pPr>
        <w:pStyle w:val="ListBullet"/>
        <w:rPr>
          <w:rFonts w:cs="Arial"/>
          <w:szCs w:val="24"/>
        </w:rPr>
      </w:pPr>
      <w:r w:rsidRPr="007302CA">
        <w:rPr>
          <w:rStyle w:val="normaltextrun"/>
          <w:rFonts w:cs="Arial"/>
          <w:color w:val="000000"/>
        </w:rPr>
        <w:t>Internal data held by the Council</w:t>
      </w:r>
      <w:r w:rsidRPr="007302CA">
        <w:rPr>
          <w:rStyle w:val="eop"/>
          <w:rFonts w:cs="Arial"/>
          <w:color w:val="000000"/>
        </w:rPr>
        <w:t> </w:t>
      </w:r>
    </w:p>
    <w:p w14:paraId="022C0839" w14:textId="77777777" w:rsidR="007302CA" w:rsidRPr="007302CA" w:rsidRDefault="007302CA" w:rsidP="007302CA">
      <w:pPr>
        <w:pStyle w:val="ListBullet"/>
        <w:rPr>
          <w:rFonts w:cs="Arial"/>
        </w:rPr>
      </w:pPr>
      <w:r w:rsidRPr="007302CA">
        <w:rPr>
          <w:rStyle w:val="normaltextrun"/>
          <w:rFonts w:cs="Arial"/>
          <w:color w:val="000000"/>
        </w:rPr>
        <w:t>Responsive reports</w:t>
      </w:r>
      <w:r w:rsidRPr="007302CA">
        <w:rPr>
          <w:rStyle w:val="eop"/>
          <w:rFonts w:cs="Arial"/>
          <w:color w:val="000000"/>
        </w:rPr>
        <w:t> </w:t>
      </w:r>
    </w:p>
    <w:p w14:paraId="6E442DF9" w14:textId="633B86F7" w:rsidR="007302CA" w:rsidRPr="00601041" w:rsidRDefault="007302CA" w:rsidP="007302CA">
      <w:pPr>
        <w:pStyle w:val="ListBullet"/>
        <w:rPr>
          <w:rStyle w:val="normaltextrun"/>
          <w:rFonts w:cs="Arial"/>
        </w:rPr>
      </w:pPr>
      <w:r w:rsidRPr="007302CA">
        <w:rPr>
          <w:rStyle w:val="normaltextrun"/>
          <w:rFonts w:cs="Arial"/>
          <w:color w:val="000000"/>
        </w:rPr>
        <w:t>Formal assessment</w:t>
      </w:r>
    </w:p>
    <w:p w14:paraId="320C0228" w14:textId="77777777" w:rsidR="00601041" w:rsidRDefault="00601041" w:rsidP="00601041">
      <w:pPr>
        <w:pStyle w:val="ListBullet"/>
        <w:numPr>
          <w:ilvl w:val="0"/>
          <w:numId w:val="0"/>
        </w:numPr>
        <w:ind w:left="360" w:hanging="360"/>
        <w:rPr>
          <w:rStyle w:val="normaltextrun"/>
          <w:rFonts w:cs="Arial"/>
          <w:color w:val="000000"/>
        </w:rPr>
      </w:pPr>
    </w:p>
    <w:p w14:paraId="07219532" w14:textId="77777777" w:rsidR="00601041" w:rsidRPr="00601041" w:rsidRDefault="00601041" w:rsidP="00601041">
      <w:pPr>
        <w:pStyle w:val="paragraph"/>
        <w:spacing w:before="0" w:beforeAutospacing="0" w:after="0" w:afterAutospacing="0"/>
        <w:textAlignment w:val="baseline"/>
        <w:rPr>
          <w:rFonts w:ascii="Arial" w:hAnsi="Arial" w:cs="Arial"/>
          <w:color w:val="000000"/>
          <w:sz w:val="18"/>
          <w:szCs w:val="18"/>
        </w:rPr>
      </w:pPr>
      <w:r w:rsidRPr="00601041">
        <w:rPr>
          <w:rStyle w:val="normaltextrun"/>
          <w:rFonts w:ascii="Arial" w:hAnsi="Arial" w:cs="Arial"/>
          <w:b/>
          <w:bCs/>
          <w:color w:val="000000"/>
        </w:rPr>
        <w:lastRenderedPageBreak/>
        <w:t>Internal data</w:t>
      </w:r>
      <w:r w:rsidRPr="00601041">
        <w:rPr>
          <w:rStyle w:val="eop"/>
          <w:rFonts w:ascii="Arial" w:hAnsi="Arial" w:cs="Arial"/>
          <w:color w:val="000000"/>
        </w:rPr>
        <w:t> </w:t>
      </w:r>
    </w:p>
    <w:p w14:paraId="2E6542E8" w14:textId="77777777" w:rsidR="00601041" w:rsidRPr="00601041" w:rsidRDefault="00601041" w:rsidP="00601041">
      <w:pPr>
        <w:pStyle w:val="paragraph"/>
        <w:spacing w:before="0" w:beforeAutospacing="0" w:after="0" w:afterAutospacing="0"/>
        <w:textAlignment w:val="baseline"/>
        <w:rPr>
          <w:rFonts w:ascii="Arial" w:hAnsi="Arial" w:cs="Arial"/>
          <w:color w:val="000000"/>
          <w:sz w:val="18"/>
          <w:szCs w:val="18"/>
        </w:rPr>
      </w:pPr>
      <w:r w:rsidRPr="00601041">
        <w:rPr>
          <w:rStyle w:val="normaltextrun"/>
          <w:rFonts w:ascii="Arial" w:hAnsi="Arial" w:cs="Arial"/>
          <w:color w:val="000000"/>
        </w:rPr>
        <w:t>The Council holds data from multiple sources of contact with our residents. To ensure we can support our vulnerable residents as effectively as possible, we use information on people living in Council homes held by departments other than housing, such as Social Care services to alert us to any housing-related needs or to identify tenants or leaseholders facing financial pressures. Access to this data is provided to colleagues across departments where applicable to ensure the relevant teams and individuals are empowered to best support our vulnerable residents.</w:t>
      </w:r>
      <w:r w:rsidRPr="00601041">
        <w:rPr>
          <w:rStyle w:val="eop"/>
          <w:rFonts w:ascii="Arial" w:hAnsi="Arial" w:cs="Arial"/>
          <w:color w:val="000000"/>
        </w:rPr>
        <w:t> </w:t>
      </w:r>
    </w:p>
    <w:p w14:paraId="7DC48A68" w14:textId="77777777" w:rsidR="00601041" w:rsidRPr="00601041" w:rsidRDefault="00601041" w:rsidP="00601041">
      <w:pPr>
        <w:pStyle w:val="paragraph"/>
        <w:spacing w:before="0" w:beforeAutospacing="0" w:after="0" w:afterAutospacing="0"/>
        <w:textAlignment w:val="baseline"/>
        <w:rPr>
          <w:rFonts w:ascii="Arial" w:hAnsi="Arial" w:cs="Arial"/>
          <w:color w:val="000000"/>
          <w:sz w:val="18"/>
          <w:szCs w:val="18"/>
        </w:rPr>
      </w:pPr>
      <w:r w:rsidRPr="00601041">
        <w:rPr>
          <w:rStyle w:val="eop"/>
          <w:rFonts w:ascii="Arial" w:hAnsi="Arial" w:cs="Arial"/>
          <w:color w:val="000000"/>
        </w:rPr>
        <w:t> </w:t>
      </w:r>
    </w:p>
    <w:p w14:paraId="5086A962" w14:textId="77777777" w:rsidR="00601041" w:rsidRDefault="00601041" w:rsidP="00601041">
      <w:pPr>
        <w:pStyle w:val="paragraph"/>
        <w:spacing w:before="0" w:beforeAutospacing="0" w:after="0" w:afterAutospacing="0"/>
        <w:textAlignment w:val="baseline"/>
        <w:rPr>
          <w:rStyle w:val="normaltextrun"/>
          <w:rFonts w:ascii="Arial" w:hAnsi="Arial" w:cs="Arial"/>
        </w:rPr>
      </w:pPr>
      <w:r w:rsidRPr="00601041">
        <w:rPr>
          <w:rStyle w:val="normaltextrun"/>
          <w:rFonts w:ascii="Arial" w:hAnsi="Arial" w:cs="Arial"/>
        </w:rPr>
        <w:t>As part of our robust sign-up process, residents are provided with a Privacy notice outlining how we use data collected and how we ensure residents’ privacy is protected. This data will also include any vulnerabilities disclosed and how we may use this information to tailor our service to better meet the needs of our residents.</w:t>
      </w:r>
    </w:p>
    <w:p w14:paraId="77FEA699" w14:textId="2DEBF79A" w:rsidR="00601041" w:rsidRPr="00601041" w:rsidRDefault="00601041" w:rsidP="00601041">
      <w:pPr>
        <w:pStyle w:val="paragraph"/>
        <w:spacing w:before="0" w:beforeAutospacing="0" w:after="0" w:afterAutospacing="0"/>
        <w:textAlignment w:val="baseline"/>
        <w:rPr>
          <w:rFonts w:ascii="Arial" w:hAnsi="Arial" w:cs="Arial"/>
          <w:color w:val="000000"/>
          <w:sz w:val="18"/>
          <w:szCs w:val="18"/>
        </w:rPr>
      </w:pPr>
      <w:r w:rsidRPr="00601041">
        <w:rPr>
          <w:rStyle w:val="normaltextrun"/>
          <w:rFonts w:ascii="Arial" w:hAnsi="Arial" w:cs="Arial"/>
        </w:rPr>
        <w:t>   </w:t>
      </w:r>
      <w:r w:rsidRPr="00601041">
        <w:rPr>
          <w:rStyle w:val="eop"/>
          <w:rFonts w:ascii="Arial" w:hAnsi="Arial" w:cs="Arial"/>
        </w:rPr>
        <w:t> </w:t>
      </w:r>
    </w:p>
    <w:p w14:paraId="6059014F" w14:textId="35462967" w:rsidR="00601041" w:rsidRDefault="00601041" w:rsidP="00911B0A">
      <w:pPr>
        <w:pStyle w:val="paragraph"/>
        <w:spacing w:before="0" w:beforeAutospacing="0" w:after="0" w:afterAutospacing="0"/>
        <w:textAlignment w:val="baseline"/>
        <w:rPr>
          <w:rStyle w:val="normaltextrun"/>
          <w:rFonts w:ascii="Arial" w:hAnsi="Arial" w:cs="Arial"/>
        </w:rPr>
      </w:pPr>
      <w:r w:rsidRPr="00601041">
        <w:rPr>
          <w:rStyle w:val="normaltextrun"/>
          <w:rFonts w:ascii="Arial" w:hAnsi="Arial" w:cs="Arial"/>
        </w:rPr>
        <w:t>In addition, our terms and conditions of our tenancy agreements outline the collection and processing of personal information and by signing the tenancy agreement, residents agree that LBTH can use the personal information provided in accordance with the GDPR 2018.</w:t>
      </w:r>
    </w:p>
    <w:p w14:paraId="5D2CDB8E" w14:textId="77777777" w:rsidR="00911B0A" w:rsidRPr="00911B0A" w:rsidRDefault="00911B0A" w:rsidP="00911B0A">
      <w:pPr>
        <w:pStyle w:val="paragraph"/>
        <w:spacing w:before="0" w:beforeAutospacing="0" w:after="0" w:afterAutospacing="0"/>
        <w:textAlignment w:val="baseline"/>
        <w:rPr>
          <w:rFonts w:ascii="Arial" w:hAnsi="Arial" w:cs="Arial"/>
          <w:color w:val="000000"/>
          <w:sz w:val="18"/>
          <w:szCs w:val="18"/>
        </w:rPr>
      </w:pPr>
    </w:p>
    <w:p w14:paraId="78D5298F" w14:textId="77777777" w:rsidR="00A06234" w:rsidRPr="00A06234" w:rsidRDefault="00A06234" w:rsidP="00A06234">
      <w:pPr>
        <w:pStyle w:val="paragraph"/>
        <w:spacing w:before="0" w:beforeAutospacing="0" w:after="0" w:afterAutospacing="0"/>
        <w:textAlignment w:val="baseline"/>
        <w:rPr>
          <w:rFonts w:ascii="Arial" w:hAnsi="Arial" w:cs="Arial"/>
          <w:color w:val="000000"/>
          <w:sz w:val="18"/>
          <w:szCs w:val="18"/>
        </w:rPr>
      </w:pPr>
      <w:r w:rsidRPr="00A06234">
        <w:rPr>
          <w:rStyle w:val="normaltextrun"/>
          <w:rFonts w:ascii="Arial" w:hAnsi="Arial" w:cs="Arial"/>
          <w:b/>
          <w:bCs/>
          <w:color w:val="000000"/>
        </w:rPr>
        <w:t>Responsive reporting</w:t>
      </w:r>
      <w:r w:rsidRPr="00A06234">
        <w:rPr>
          <w:rStyle w:val="eop"/>
          <w:rFonts w:ascii="Arial" w:hAnsi="Arial" w:cs="Arial"/>
          <w:color w:val="000000"/>
        </w:rPr>
        <w:t> </w:t>
      </w:r>
    </w:p>
    <w:p w14:paraId="24A84D29" w14:textId="48231B53" w:rsidR="00A06234" w:rsidRDefault="00A06234" w:rsidP="00A06234">
      <w:pPr>
        <w:pStyle w:val="ListBullet"/>
        <w:numPr>
          <w:ilvl w:val="0"/>
          <w:numId w:val="0"/>
        </w:numPr>
        <w:ind w:left="360" w:hanging="360"/>
        <w:rPr>
          <w:rStyle w:val="eop"/>
          <w:rFonts w:cs="Arial"/>
          <w:color w:val="000000"/>
        </w:rPr>
      </w:pPr>
      <w:r w:rsidRPr="00A06234">
        <w:rPr>
          <w:rStyle w:val="normaltextrun"/>
          <w:rFonts w:cs="Arial"/>
          <w:color w:val="000000"/>
        </w:rPr>
        <w:t>Responsive reporting includes the following channels:</w:t>
      </w:r>
    </w:p>
    <w:p w14:paraId="693BA87C" w14:textId="77777777" w:rsidR="00E622CA" w:rsidRPr="00A06234" w:rsidRDefault="00E622CA" w:rsidP="00A06234">
      <w:pPr>
        <w:pStyle w:val="ListBullet"/>
        <w:numPr>
          <w:ilvl w:val="0"/>
          <w:numId w:val="0"/>
        </w:numPr>
        <w:ind w:left="360" w:hanging="360"/>
        <w:rPr>
          <w:sz w:val="18"/>
          <w:szCs w:val="18"/>
        </w:rPr>
      </w:pPr>
    </w:p>
    <w:p w14:paraId="67A4DB42" w14:textId="77777777" w:rsidR="00A06234" w:rsidRPr="00A06234" w:rsidRDefault="00A06234" w:rsidP="00A06234">
      <w:pPr>
        <w:pStyle w:val="ListBullet"/>
        <w:rPr>
          <w:szCs w:val="24"/>
        </w:rPr>
      </w:pPr>
      <w:r w:rsidRPr="00A06234">
        <w:rPr>
          <w:rStyle w:val="normaltextrun"/>
          <w:rFonts w:cs="Arial"/>
          <w:color w:val="000000"/>
        </w:rPr>
        <w:t>The resident telling us directly</w:t>
      </w:r>
      <w:r w:rsidRPr="00A06234">
        <w:rPr>
          <w:rStyle w:val="eop"/>
          <w:rFonts w:cs="Arial"/>
          <w:color w:val="000000"/>
        </w:rPr>
        <w:t> </w:t>
      </w:r>
    </w:p>
    <w:p w14:paraId="3A7C6A1D" w14:textId="77777777" w:rsidR="00A06234" w:rsidRPr="00A06234" w:rsidRDefault="00A06234" w:rsidP="00A06234">
      <w:pPr>
        <w:pStyle w:val="ListBullet"/>
      </w:pPr>
      <w:r w:rsidRPr="00A06234">
        <w:rPr>
          <w:rStyle w:val="normaltextrun"/>
          <w:rFonts w:cs="Arial"/>
          <w:color w:val="000000"/>
        </w:rPr>
        <w:t>A neighbour, family member or friend of the resident informing us</w:t>
      </w:r>
      <w:r w:rsidRPr="00A06234">
        <w:rPr>
          <w:rStyle w:val="eop"/>
          <w:rFonts w:cs="Arial"/>
          <w:color w:val="000000"/>
        </w:rPr>
        <w:t> </w:t>
      </w:r>
    </w:p>
    <w:p w14:paraId="51FFAD08" w14:textId="77777777" w:rsidR="00A06234" w:rsidRPr="00A06234" w:rsidRDefault="00A06234" w:rsidP="00A06234">
      <w:pPr>
        <w:pStyle w:val="ListBullet"/>
      </w:pPr>
      <w:r w:rsidRPr="00A06234">
        <w:rPr>
          <w:rStyle w:val="normaltextrun"/>
          <w:rFonts w:cs="Arial"/>
          <w:color w:val="000000"/>
        </w:rPr>
        <w:t>A professional such as a GP, social worker, or support worker telling us </w:t>
      </w:r>
      <w:r w:rsidRPr="00A06234">
        <w:rPr>
          <w:rStyle w:val="eop"/>
          <w:rFonts w:cs="Arial"/>
          <w:color w:val="000000"/>
        </w:rPr>
        <w:t> </w:t>
      </w:r>
    </w:p>
    <w:p w14:paraId="589DE538" w14:textId="259873F0" w:rsidR="00A06234" w:rsidRPr="00A06234" w:rsidRDefault="00A06234" w:rsidP="00A06234">
      <w:pPr>
        <w:pStyle w:val="ListBullet"/>
      </w:pPr>
      <w:r w:rsidRPr="00A06234">
        <w:rPr>
          <w:rStyle w:val="normaltextrun"/>
          <w:rFonts w:cs="Arial"/>
          <w:color w:val="000000"/>
        </w:rPr>
        <w:t>Referrals from Council officers or our contractors who have raised concerns</w:t>
      </w:r>
      <w:r w:rsidR="00E622CA">
        <w:rPr>
          <w:rStyle w:val="eop"/>
          <w:rFonts w:cs="Arial"/>
          <w:color w:val="000000"/>
        </w:rPr>
        <w:t>.</w:t>
      </w:r>
    </w:p>
    <w:p w14:paraId="3C6F82F7" w14:textId="77777777" w:rsidR="00A06234" w:rsidRPr="00A06234" w:rsidRDefault="00A06234" w:rsidP="00A06234">
      <w:pPr>
        <w:pStyle w:val="paragraph"/>
        <w:spacing w:before="0" w:beforeAutospacing="0" w:after="0" w:afterAutospacing="0"/>
        <w:textAlignment w:val="baseline"/>
        <w:rPr>
          <w:rFonts w:ascii="Arial" w:hAnsi="Arial" w:cs="Arial"/>
          <w:color w:val="000000"/>
          <w:sz w:val="18"/>
          <w:szCs w:val="18"/>
        </w:rPr>
      </w:pPr>
      <w:r w:rsidRPr="00A06234">
        <w:rPr>
          <w:rStyle w:val="eop"/>
          <w:rFonts w:ascii="Arial" w:hAnsi="Arial" w:cs="Arial"/>
          <w:color w:val="000000"/>
        </w:rPr>
        <w:t> </w:t>
      </w:r>
    </w:p>
    <w:p w14:paraId="0AF94F8F" w14:textId="4486ABD9" w:rsidR="007302CA" w:rsidRDefault="00A06234" w:rsidP="00E622CA">
      <w:pPr>
        <w:pStyle w:val="paragraph"/>
        <w:spacing w:before="0" w:beforeAutospacing="0" w:after="0" w:afterAutospacing="0"/>
        <w:textAlignment w:val="baseline"/>
        <w:rPr>
          <w:rStyle w:val="normaltextrun"/>
          <w:rFonts w:ascii="Arial" w:hAnsi="Arial" w:cs="Arial"/>
          <w:color w:val="000000"/>
        </w:rPr>
      </w:pPr>
      <w:r w:rsidRPr="00A06234">
        <w:rPr>
          <w:rStyle w:val="normaltextrun"/>
          <w:rFonts w:ascii="Arial" w:hAnsi="Arial" w:cs="Arial"/>
          <w:color w:val="000000"/>
        </w:rPr>
        <w:t>We actively encourage contractors and officers from across the Council to raise concerns about vulnerable residents using the Resident at Risk process.</w:t>
      </w:r>
    </w:p>
    <w:p w14:paraId="068B2CE9" w14:textId="77777777" w:rsidR="00E622CA" w:rsidRPr="00911B0A" w:rsidRDefault="00E622CA" w:rsidP="00E622CA">
      <w:pPr>
        <w:pStyle w:val="paragraph"/>
        <w:spacing w:before="0" w:beforeAutospacing="0" w:after="0" w:afterAutospacing="0"/>
        <w:textAlignment w:val="baseline"/>
        <w:rPr>
          <w:rStyle w:val="normaltextrun"/>
          <w:rFonts w:ascii="Arial" w:hAnsi="Arial" w:cs="Arial"/>
          <w:color w:val="000000"/>
        </w:rPr>
      </w:pPr>
    </w:p>
    <w:p w14:paraId="756424E5" w14:textId="77777777" w:rsidR="00911B0A" w:rsidRPr="00911B0A" w:rsidRDefault="00911B0A" w:rsidP="00911B0A">
      <w:pPr>
        <w:pStyle w:val="paragraph"/>
        <w:spacing w:before="0" w:beforeAutospacing="0" w:after="0" w:afterAutospacing="0"/>
        <w:textAlignment w:val="baseline"/>
        <w:rPr>
          <w:rFonts w:ascii="Arial" w:hAnsi="Arial" w:cs="Arial"/>
          <w:color w:val="000000"/>
          <w:sz w:val="18"/>
          <w:szCs w:val="18"/>
        </w:rPr>
      </w:pPr>
      <w:r w:rsidRPr="00911B0A">
        <w:rPr>
          <w:rStyle w:val="normaltextrun"/>
          <w:rFonts w:ascii="Arial" w:hAnsi="Arial" w:cs="Arial"/>
          <w:b/>
          <w:bCs/>
          <w:color w:val="000000"/>
        </w:rPr>
        <w:t>Formal assessment</w:t>
      </w:r>
      <w:r w:rsidRPr="00911B0A">
        <w:rPr>
          <w:rStyle w:val="eop"/>
          <w:rFonts w:ascii="Arial" w:hAnsi="Arial" w:cs="Arial"/>
          <w:color w:val="000000"/>
        </w:rPr>
        <w:t> </w:t>
      </w:r>
    </w:p>
    <w:p w14:paraId="1DE86E63" w14:textId="23AD3476" w:rsidR="00911B0A" w:rsidRDefault="00911B0A" w:rsidP="00911B0A">
      <w:pPr>
        <w:pStyle w:val="paragraph"/>
        <w:spacing w:before="0" w:beforeAutospacing="0" w:after="0" w:afterAutospacing="0"/>
        <w:textAlignment w:val="baseline"/>
        <w:rPr>
          <w:rStyle w:val="eop"/>
          <w:rFonts w:ascii="Arial" w:hAnsi="Arial" w:cs="Arial"/>
          <w:color w:val="000000"/>
        </w:rPr>
      </w:pPr>
      <w:r w:rsidRPr="00911B0A">
        <w:rPr>
          <w:rStyle w:val="normaltextrun"/>
          <w:rFonts w:ascii="Arial" w:hAnsi="Arial" w:cs="Arial"/>
          <w:color w:val="000000"/>
        </w:rPr>
        <w:t xml:space="preserve">At key stages, the Council undertakes formal assessments to determine whether a resident requires specific adaptations, priority access to accommodation </w:t>
      </w:r>
      <w:r>
        <w:rPr>
          <w:rStyle w:val="normaltextrun"/>
          <w:rFonts w:ascii="Arial" w:hAnsi="Arial" w:cs="Arial"/>
          <w:color w:val="000000"/>
        </w:rPr>
        <w:t xml:space="preserve">or </w:t>
      </w:r>
      <w:r w:rsidRPr="00911B0A">
        <w:rPr>
          <w:rStyle w:val="normaltextrun"/>
          <w:rFonts w:ascii="Arial" w:hAnsi="Arial" w:cs="Arial"/>
          <w:color w:val="000000"/>
        </w:rPr>
        <w:t>additional support to help them maintain their tenancy (and lease). These stages include:</w:t>
      </w:r>
    </w:p>
    <w:p w14:paraId="27398252" w14:textId="77777777" w:rsidR="00911B0A" w:rsidRPr="00911B0A" w:rsidRDefault="00911B0A" w:rsidP="00911B0A">
      <w:pPr>
        <w:pStyle w:val="paragraph"/>
        <w:spacing w:before="0" w:beforeAutospacing="0" w:after="0" w:afterAutospacing="0"/>
        <w:textAlignment w:val="baseline"/>
        <w:rPr>
          <w:rFonts w:ascii="Arial" w:hAnsi="Arial" w:cs="Arial"/>
          <w:color w:val="000000"/>
          <w:sz w:val="18"/>
          <w:szCs w:val="18"/>
        </w:rPr>
      </w:pPr>
    </w:p>
    <w:p w14:paraId="78DF95EA" w14:textId="77777777" w:rsidR="00911B0A" w:rsidRPr="00911B0A" w:rsidRDefault="00911B0A" w:rsidP="000020DC">
      <w:pPr>
        <w:pStyle w:val="ListBullet"/>
      </w:pPr>
      <w:r w:rsidRPr="00911B0A">
        <w:rPr>
          <w:rStyle w:val="normaltextrun"/>
          <w:rFonts w:cs="Arial"/>
          <w:color w:val="000000"/>
        </w:rPr>
        <w:t>Homelessness and housing register assessments</w:t>
      </w:r>
      <w:r w:rsidRPr="00911B0A">
        <w:rPr>
          <w:rStyle w:val="eop"/>
          <w:rFonts w:cs="Arial"/>
          <w:color w:val="000000"/>
        </w:rPr>
        <w:t> </w:t>
      </w:r>
    </w:p>
    <w:p w14:paraId="34873CED" w14:textId="77777777" w:rsidR="00911B0A" w:rsidRPr="00911B0A" w:rsidRDefault="00911B0A" w:rsidP="000020DC">
      <w:pPr>
        <w:pStyle w:val="ListBullet"/>
      </w:pPr>
      <w:r w:rsidRPr="00911B0A">
        <w:rPr>
          <w:rStyle w:val="normaltextrun"/>
          <w:rFonts w:cs="Arial"/>
          <w:color w:val="000000"/>
        </w:rPr>
        <w:t>Housing allocations process</w:t>
      </w:r>
      <w:r w:rsidRPr="00911B0A">
        <w:rPr>
          <w:rStyle w:val="eop"/>
          <w:rFonts w:cs="Arial"/>
          <w:color w:val="000000"/>
        </w:rPr>
        <w:t> </w:t>
      </w:r>
    </w:p>
    <w:p w14:paraId="433920F2" w14:textId="77777777" w:rsidR="00911B0A" w:rsidRPr="00911B0A" w:rsidRDefault="00911B0A" w:rsidP="000020DC">
      <w:pPr>
        <w:pStyle w:val="ListBullet"/>
      </w:pPr>
      <w:r w:rsidRPr="00911B0A">
        <w:rPr>
          <w:rStyle w:val="normaltextrun"/>
          <w:rFonts w:cs="Arial"/>
          <w:color w:val="000000"/>
        </w:rPr>
        <w:t>Tenancy sign-ups and settling in visits</w:t>
      </w:r>
      <w:r w:rsidRPr="00911B0A">
        <w:rPr>
          <w:rStyle w:val="eop"/>
          <w:rFonts w:cs="Arial"/>
          <w:color w:val="000000"/>
        </w:rPr>
        <w:t> </w:t>
      </w:r>
    </w:p>
    <w:p w14:paraId="01B1BD62" w14:textId="77777777" w:rsidR="00911B0A" w:rsidRPr="00911B0A" w:rsidRDefault="00911B0A" w:rsidP="000020DC">
      <w:pPr>
        <w:pStyle w:val="ListBullet"/>
      </w:pPr>
      <w:r w:rsidRPr="00911B0A">
        <w:rPr>
          <w:rStyle w:val="normaltextrun"/>
          <w:rFonts w:cs="Arial"/>
          <w:color w:val="000000"/>
        </w:rPr>
        <w:t>Tenancy audits</w:t>
      </w:r>
      <w:r w:rsidRPr="00911B0A">
        <w:rPr>
          <w:rStyle w:val="eop"/>
          <w:rFonts w:cs="Arial"/>
          <w:color w:val="000000"/>
        </w:rPr>
        <w:t> </w:t>
      </w:r>
    </w:p>
    <w:p w14:paraId="1ABB076F" w14:textId="77777777" w:rsidR="00911B0A" w:rsidRPr="00911B0A" w:rsidRDefault="00911B0A" w:rsidP="000020DC">
      <w:pPr>
        <w:pStyle w:val="ListBullet"/>
      </w:pPr>
      <w:r w:rsidRPr="00911B0A">
        <w:rPr>
          <w:rStyle w:val="normaltextrun"/>
          <w:rFonts w:cs="Arial"/>
          <w:color w:val="000000"/>
        </w:rPr>
        <w:t>Right to Buy process</w:t>
      </w:r>
      <w:r w:rsidRPr="00911B0A">
        <w:rPr>
          <w:rStyle w:val="eop"/>
          <w:rFonts w:cs="Arial"/>
          <w:color w:val="000000"/>
        </w:rPr>
        <w:t> </w:t>
      </w:r>
    </w:p>
    <w:p w14:paraId="1418F4F6" w14:textId="77777777" w:rsidR="00911B0A" w:rsidRPr="00911B0A" w:rsidRDefault="00911B0A" w:rsidP="000020DC">
      <w:pPr>
        <w:pStyle w:val="ListBullet"/>
      </w:pPr>
      <w:r w:rsidRPr="00911B0A">
        <w:rPr>
          <w:rStyle w:val="normaltextrun"/>
          <w:rFonts w:cs="Arial"/>
          <w:color w:val="000000"/>
        </w:rPr>
        <w:t>During discussions about rent (including economic abuse risk identification) or service charge arrears or other leasehold management matters</w:t>
      </w:r>
      <w:r w:rsidRPr="00911B0A">
        <w:rPr>
          <w:rStyle w:val="eop"/>
          <w:rFonts w:cs="Arial"/>
          <w:color w:val="000000"/>
        </w:rPr>
        <w:t> </w:t>
      </w:r>
    </w:p>
    <w:p w14:paraId="1C7A3E5C" w14:textId="77777777" w:rsidR="00911B0A" w:rsidRPr="00911B0A" w:rsidRDefault="00911B0A" w:rsidP="000020DC">
      <w:pPr>
        <w:pStyle w:val="ListBullet"/>
      </w:pPr>
      <w:r w:rsidRPr="00911B0A">
        <w:rPr>
          <w:rStyle w:val="normaltextrun"/>
          <w:rFonts w:cs="Arial"/>
          <w:color w:val="000000"/>
        </w:rPr>
        <w:t>Enforcement action</w:t>
      </w:r>
      <w:r w:rsidRPr="00911B0A">
        <w:rPr>
          <w:rStyle w:val="eop"/>
          <w:rFonts w:cs="Arial"/>
          <w:color w:val="000000"/>
        </w:rPr>
        <w:t> </w:t>
      </w:r>
    </w:p>
    <w:p w14:paraId="18B723B8" w14:textId="77777777" w:rsidR="00911B0A" w:rsidRPr="00911B0A" w:rsidRDefault="00911B0A" w:rsidP="000020DC">
      <w:pPr>
        <w:pStyle w:val="ListBullet"/>
      </w:pPr>
      <w:r w:rsidRPr="00911B0A">
        <w:rPr>
          <w:rStyle w:val="normaltextrun"/>
          <w:rFonts w:cs="Arial"/>
          <w:color w:val="000000"/>
        </w:rPr>
        <w:t>During investigations such as ASB reports</w:t>
      </w:r>
      <w:r w:rsidRPr="00911B0A">
        <w:rPr>
          <w:rStyle w:val="eop"/>
          <w:rFonts w:cs="Arial"/>
          <w:color w:val="000000"/>
        </w:rPr>
        <w:t> </w:t>
      </w:r>
    </w:p>
    <w:p w14:paraId="44E20A95" w14:textId="642785BA" w:rsidR="00911B0A" w:rsidRPr="00911B0A" w:rsidRDefault="00911B0A" w:rsidP="000020DC">
      <w:pPr>
        <w:pStyle w:val="ListBullet"/>
      </w:pPr>
      <w:r w:rsidRPr="00911B0A">
        <w:rPr>
          <w:rStyle w:val="normaltextrun"/>
          <w:rFonts w:cs="Arial"/>
          <w:color w:val="000000"/>
        </w:rPr>
        <w:t>Building safety visits</w:t>
      </w:r>
      <w:r w:rsidR="000020DC">
        <w:rPr>
          <w:rStyle w:val="eop"/>
          <w:rFonts w:cs="Arial"/>
          <w:color w:val="000000"/>
        </w:rPr>
        <w:t>.</w:t>
      </w:r>
    </w:p>
    <w:p w14:paraId="3CF9329F" w14:textId="77777777" w:rsidR="00E622CA" w:rsidRDefault="00E622CA" w:rsidP="00E622CA">
      <w:pPr>
        <w:pStyle w:val="paragraph"/>
        <w:spacing w:before="0" w:beforeAutospacing="0" w:after="0" w:afterAutospacing="0"/>
        <w:textAlignment w:val="baseline"/>
        <w:rPr>
          <w:rStyle w:val="normaltextrun"/>
          <w:rFonts w:ascii="Arial" w:hAnsi="Arial" w:cs="Arial"/>
          <w:color w:val="000000"/>
        </w:rPr>
      </w:pPr>
    </w:p>
    <w:p w14:paraId="6EF1CB35" w14:textId="2AB24EEB" w:rsidR="003918DA" w:rsidRDefault="00091DD7" w:rsidP="003918DA">
      <w:pPr>
        <w:pStyle w:val="Heading2"/>
      </w:pPr>
      <w:bookmarkStart w:id="14" w:name="_Toc216791107"/>
      <w:r>
        <w:lastRenderedPageBreak/>
        <w:t>Services available for vulnerable residents</w:t>
      </w:r>
      <w:bookmarkEnd w:id="14"/>
    </w:p>
    <w:p w14:paraId="1975E445" w14:textId="5F8DA7D7" w:rsidR="00F8125C" w:rsidRPr="00F8125C" w:rsidRDefault="000020DC" w:rsidP="00F8125C">
      <w:pPr>
        <w:pStyle w:val="paragraph"/>
        <w:spacing w:before="0" w:beforeAutospacing="0" w:after="0" w:afterAutospacing="0"/>
        <w:textAlignment w:val="baseline"/>
        <w:rPr>
          <w:rFonts w:ascii="Arial" w:hAnsi="Arial" w:cs="Arial"/>
          <w:color w:val="000000"/>
          <w:sz w:val="18"/>
          <w:szCs w:val="18"/>
        </w:rPr>
      </w:pPr>
      <w:r w:rsidRPr="00F8125C">
        <w:rPr>
          <w:rFonts w:ascii="Arial" w:hAnsi="Arial" w:cs="Arial"/>
          <w:lang w:val="en-US"/>
        </w:rPr>
        <w:t xml:space="preserve">The Council’s </w:t>
      </w:r>
      <w:r w:rsidR="00F8125C" w:rsidRPr="00F8125C">
        <w:rPr>
          <w:rStyle w:val="normaltextrun"/>
          <w:rFonts w:ascii="Arial" w:hAnsi="Arial" w:cs="Arial"/>
          <w:color w:val="000000"/>
        </w:rPr>
        <w:t xml:space="preserve">Neighbourhood Services department are responsible for managing and monitoring tenancies and leases. We also have a specialist </w:t>
      </w:r>
      <w:r w:rsidR="0044064C">
        <w:rPr>
          <w:rStyle w:val="normaltextrun"/>
          <w:rFonts w:ascii="Arial" w:hAnsi="Arial" w:cs="Arial"/>
          <w:color w:val="000000"/>
        </w:rPr>
        <w:t>Neighbourhood</w:t>
      </w:r>
      <w:r w:rsidR="00F8125C" w:rsidRPr="00F8125C">
        <w:rPr>
          <w:rStyle w:val="normaltextrun"/>
          <w:rFonts w:ascii="Arial" w:hAnsi="Arial" w:cs="Arial"/>
          <w:color w:val="000000"/>
        </w:rPr>
        <w:t xml:space="preserve"> Safeguarding </w:t>
      </w:r>
      <w:r w:rsidR="001F4309">
        <w:rPr>
          <w:rStyle w:val="normaltextrun"/>
          <w:rFonts w:ascii="Arial" w:hAnsi="Arial" w:cs="Arial"/>
          <w:color w:val="000000"/>
        </w:rPr>
        <w:t>O</w:t>
      </w:r>
      <w:r w:rsidR="0044064C">
        <w:rPr>
          <w:rStyle w:val="normaltextrun"/>
          <w:rFonts w:ascii="Arial" w:hAnsi="Arial" w:cs="Arial"/>
          <w:color w:val="000000"/>
        </w:rPr>
        <w:t xml:space="preserve">fficer </w:t>
      </w:r>
      <w:r w:rsidR="00F8125C" w:rsidRPr="00F8125C">
        <w:rPr>
          <w:rStyle w:val="normaltextrun"/>
          <w:rFonts w:ascii="Arial" w:hAnsi="Arial" w:cs="Arial"/>
          <w:color w:val="000000"/>
        </w:rPr>
        <w:t>who takes the lead where there is a safeguarding concern or risk and a robust safeguarding referral process.</w:t>
      </w:r>
      <w:r w:rsidR="00F8125C" w:rsidRPr="00F8125C">
        <w:rPr>
          <w:rStyle w:val="eop"/>
          <w:rFonts w:ascii="Arial" w:hAnsi="Arial" w:cs="Arial"/>
          <w:color w:val="000000"/>
        </w:rPr>
        <w:t> </w:t>
      </w:r>
    </w:p>
    <w:p w14:paraId="5AC2F8B1" w14:textId="77777777" w:rsidR="00F8125C" w:rsidRPr="00F8125C" w:rsidRDefault="00F8125C" w:rsidP="00F8125C">
      <w:pPr>
        <w:pStyle w:val="paragraph"/>
        <w:spacing w:before="0" w:beforeAutospacing="0" w:after="0" w:afterAutospacing="0"/>
        <w:textAlignment w:val="baseline"/>
        <w:rPr>
          <w:rFonts w:ascii="Arial" w:hAnsi="Arial" w:cs="Arial"/>
          <w:color w:val="000000"/>
          <w:sz w:val="18"/>
          <w:szCs w:val="18"/>
        </w:rPr>
      </w:pPr>
      <w:r w:rsidRPr="00F8125C">
        <w:rPr>
          <w:rStyle w:val="eop"/>
          <w:rFonts w:ascii="Arial" w:hAnsi="Arial" w:cs="Arial"/>
          <w:color w:val="000000"/>
        </w:rPr>
        <w:t> </w:t>
      </w:r>
    </w:p>
    <w:p w14:paraId="04CB7F0A" w14:textId="6BFABB0D" w:rsidR="00F8125C" w:rsidRDefault="00F8125C" w:rsidP="00F8125C">
      <w:pPr>
        <w:pStyle w:val="paragraph"/>
        <w:spacing w:before="0" w:beforeAutospacing="0" w:after="0" w:afterAutospacing="0"/>
        <w:textAlignment w:val="baseline"/>
        <w:rPr>
          <w:rStyle w:val="eop"/>
          <w:rFonts w:ascii="Arial" w:hAnsi="Arial" w:cs="Arial"/>
          <w:color w:val="000000"/>
        </w:rPr>
      </w:pPr>
      <w:r w:rsidRPr="00F8125C">
        <w:rPr>
          <w:rStyle w:val="normaltextrun"/>
          <w:rFonts w:ascii="Arial" w:hAnsi="Arial" w:cs="Arial"/>
          <w:color w:val="000000"/>
        </w:rPr>
        <w:t>Each department will consider what additional support or variation in usual service provision is appropriate for vulnerable residents. This may vary but some examples are:</w:t>
      </w:r>
    </w:p>
    <w:p w14:paraId="0F2E6197" w14:textId="77777777" w:rsidR="003B6599" w:rsidRPr="00F8125C" w:rsidRDefault="003B6599" w:rsidP="00F8125C">
      <w:pPr>
        <w:pStyle w:val="paragraph"/>
        <w:spacing w:before="0" w:beforeAutospacing="0" w:after="0" w:afterAutospacing="0"/>
        <w:textAlignment w:val="baseline"/>
        <w:rPr>
          <w:rFonts w:ascii="Arial" w:hAnsi="Arial" w:cs="Arial"/>
          <w:color w:val="000000"/>
          <w:sz w:val="18"/>
          <w:szCs w:val="18"/>
        </w:rPr>
      </w:pPr>
    </w:p>
    <w:p w14:paraId="0DD542DB" w14:textId="5A23C78E" w:rsidR="00F8125C" w:rsidRPr="00F8125C" w:rsidRDefault="00F8125C" w:rsidP="003B6599">
      <w:pPr>
        <w:pStyle w:val="ListBullet"/>
        <w:rPr>
          <w:szCs w:val="24"/>
        </w:rPr>
      </w:pPr>
      <w:r w:rsidRPr="00F8125C">
        <w:rPr>
          <w:rStyle w:val="normaltextrun"/>
          <w:rFonts w:cs="Arial"/>
          <w:color w:val="000000"/>
        </w:rPr>
        <w:t>Providing aids and adaptations to the property</w:t>
      </w:r>
    </w:p>
    <w:p w14:paraId="49728315" w14:textId="3BA4D965" w:rsidR="00F8125C" w:rsidRPr="00F8125C" w:rsidRDefault="00F8125C" w:rsidP="003B6599">
      <w:pPr>
        <w:pStyle w:val="ListBullet"/>
      </w:pPr>
      <w:r w:rsidRPr="00F8125C">
        <w:rPr>
          <w:rStyle w:val="normaltextrun"/>
          <w:rFonts w:cs="Arial"/>
          <w:color w:val="000000"/>
        </w:rPr>
        <w:t>Arranging joint visits for servicing engineers</w:t>
      </w:r>
    </w:p>
    <w:p w14:paraId="491B86F5" w14:textId="77777777" w:rsidR="00F8125C" w:rsidRPr="00F8125C" w:rsidRDefault="00F8125C" w:rsidP="003B6599">
      <w:pPr>
        <w:pStyle w:val="ListBullet"/>
      </w:pPr>
      <w:r w:rsidRPr="00F8125C">
        <w:rPr>
          <w:rStyle w:val="normaltextrun"/>
          <w:rFonts w:cs="Arial"/>
          <w:color w:val="000000"/>
        </w:rPr>
        <w:t>More visits in person where we would normally provide a phone service</w:t>
      </w:r>
      <w:r w:rsidRPr="00F8125C">
        <w:rPr>
          <w:rStyle w:val="eop"/>
          <w:rFonts w:cs="Arial"/>
          <w:color w:val="000000"/>
        </w:rPr>
        <w:t> </w:t>
      </w:r>
    </w:p>
    <w:p w14:paraId="40154609" w14:textId="34F1CF27" w:rsidR="00F8125C" w:rsidRPr="00F8125C" w:rsidRDefault="00F8125C" w:rsidP="003B6599">
      <w:pPr>
        <w:pStyle w:val="ListBullet"/>
      </w:pPr>
      <w:r w:rsidRPr="00F8125C">
        <w:rPr>
          <w:rStyle w:val="normaltextrun"/>
          <w:rFonts w:cs="Arial"/>
          <w:color w:val="000000"/>
        </w:rPr>
        <w:t>Dealing with health and safety issues such as hoarding</w:t>
      </w:r>
    </w:p>
    <w:p w14:paraId="0B2CA9BB" w14:textId="29AB8A9F" w:rsidR="00F8125C" w:rsidRPr="00F8125C" w:rsidRDefault="00F8125C" w:rsidP="003B6599">
      <w:pPr>
        <w:pStyle w:val="ListBullet"/>
      </w:pPr>
      <w:r w:rsidRPr="00F8125C">
        <w:rPr>
          <w:rStyle w:val="normaltextrun"/>
          <w:rFonts w:cs="Arial"/>
          <w:color w:val="000000"/>
        </w:rPr>
        <w:t>Giving additional support in enforcement action cases where mental health issues are a factor</w:t>
      </w:r>
    </w:p>
    <w:p w14:paraId="4B7811F9" w14:textId="77777777" w:rsidR="00F8125C" w:rsidRPr="00F8125C" w:rsidRDefault="00F8125C" w:rsidP="003B6599">
      <w:pPr>
        <w:pStyle w:val="ListBullet"/>
      </w:pPr>
      <w:r w:rsidRPr="00F8125C">
        <w:rPr>
          <w:rStyle w:val="normaltextrun"/>
          <w:rFonts w:cs="Arial"/>
          <w:color w:val="000000"/>
        </w:rPr>
        <w:t>Applying for an injunction instead of possession action when the resident’s vulnerability would become a barrier in securing suitable accommodation</w:t>
      </w:r>
      <w:r w:rsidRPr="00F8125C">
        <w:rPr>
          <w:rStyle w:val="eop"/>
          <w:rFonts w:cs="Arial"/>
          <w:color w:val="000000"/>
        </w:rPr>
        <w:t> </w:t>
      </w:r>
    </w:p>
    <w:p w14:paraId="58564949" w14:textId="2CC0B536" w:rsidR="00F8125C" w:rsidRPr="00F8125C" w:rsidRDefault="00F8125C" w:rsidP="003B6599">
      <w:pPr>
        <w:pStyle w:val="ListBullet"/>
      </w:pPr>
      <w:r w:rsidRPr="00F8125C">
        <w:rPr>
          <w:rStyle w:val="normaltextrun"/>
          <w:rFonts w:cs="Arial"/>
          <w:color w:val="000000"/>
        </w:rPr>
        <w:t>Referring to the financial inclusion team for welfare benefit advice, as well as Domestic Abuse easements</w:t>
      </w:r>
    </w:p>
    <w:p w14:paraId="5FE12D36" w14:textId="6C73A399" w:rsidR="001F4309" w:rsidRPr="006F51CD" w:rsidRDefault="00F8125C" w:rsidP="006F51CD">
      <w:pPr>
        <w:pStyle w:val="ListBullet"/>
        <w:rPr>
          <w:rStyle w:val="eop"/>
        </w:rPr>
      </w:pPr>
      <w:r w:rsidRPr="00F8125C">
        <w:rPr>
          <w:rStyle w:val="normaltextrun"/>
          <w:rFonts w:cs="Arial"/>
          <w:color w:val="000000"/>
        </w:rPr>
        <w:t>Tailoring support plans and creating individualised support agreements for vulnerable tenants, including but not limited to older people, people with disabilities, care leavers and those fleeing domestic abuse.</w:t>
      </w:r>
    </w:p>
    <w:p w14:paraId="798FE35A" w14:textId="27078519" w:rsidR="006F51CD" w:rsidRPr="006F51CD" w:rsidRDefault="00B9007E" w:rsidP="006F51CD">
      <w:pPr>
        <w:pStyle w:val="Heading2"/>
      </w:pPr>
      <w:bookmarkStart w:id="15" w:name="_Toc216791108"/>
      <w:r>
        <w:t>Lettings</w:t>
      </w:r>
      <w:bookmarkEnd w:id="15"/>
    </w:p>
    <w:p w14:paraId="2011EAE9" w14:textId="77777777" w:rsidR="006F51CD" w:rsidRDefault="006F51CD" w:rsidP="006F51CD">
      <w:pPr>
        <w:pStyle w:val="paragraph"/>
        <w:spacing w:before="0" w:beforeAutospacing="0" w:after="0" w:afterAutospacing="0"/>
        <w:textAlignment w:val="baseline"/>
        <w:rPr>
          <w:rStyle w:val="eop"/>
          <w:rFonts w:ascii="Arial" w:hAnsi="Arial" w:cs="Arial"/>
          <w:color w:val="000000"/>
        </w:rPr>
      </w:pPr>
      <w:r w:rsidRPr="00F8125C">
        <w:rPr>
          <w:rStyle w:val="normaltextrun"/>
          <w:rFonts w:ascii="Arial" w:hAnsi="Arial" w:cs="Arial"/>
          <w:color w:val="000000"/>
        </w:rPr>
        <w:t>The Council’s lettings policy sets out how we allocate homes to those on the housing register. It includes provision for ensuring vulnerable people are given reasonable preference depending on their circumstances.</w:t>
      </w:r>
    </w:p>
    <w:p w14:paraId="6A6D9FD1" w14:textId="77777777" w:rsidR="006F51CD" w:rsidRPr="00F8125C" w:rsidRDefault="006F51CD" w:rsidP="006F51CD">
      <w:pPr>
        <w:pStyle w:val="paragraph"/>
        <w:spacing w:before="0" w:beforeAutospacing="0" w:after="0" w:afterAutospacing="0"/>
        <w:textAlignment w:val="baseline"/>
        <w:rPr>
          <w:rFonts w:ascii="Arial" w:hAnsi="Arial" w:cs="Arial"/>
          <w:color w:val="000000"/>
          <w:sz w:val="18"/>
          <w:szCs w:val="18"/>
        </w:rPr>
      </w:pPr>
    </w:p>
    <w:p w14:paraId="60D9B427" w14:textId="3FDDEEDD" w:rsidR="006F51CD" w:rsidRDefault="006F51CD" w:rsidP="006F51CD">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More information about our lettings scheme can be found on the Council's website. We also have a Residents Hub at the Town Hall where we can offer support in making bids. Access to computers is available at Idea Stores throughout the borough.</w:t>
      </w:r>
    </w:p>
    <w:p w14:paraId="5E95E745" w14:textId="77777777" w:rsidR="00114192" w:rsidRPr="00B9007E" w:rsidRDefault="00114192" w:rsidP="006F51CD">
      <w:pPr>
        <w:pStyle w:val="paragraph"/>
        <w:spacing w:before="0" w:beforeAutospacing="0" w:after="0" w:afterAutospacing="0"/>
        <w:textAlignment w:val="baseline"/>
        <w:rPr>
          <w:lang w:val="en-US"/>
        </w:rPr>
      </w:pPr>
    </w:p>
    <w:p w14:paraId="5BFDDF7D" w14:textId="0194D6CC" w:rsidR="00552435" w:rsidRDefault="00B9007E" w:rsidP="00552435">
      <w:pPr>
        <w:pStyle w:val="Heading2"/>
      </w:pPr>
      <w:bookmarkStart w:id="16" w:name="_Toc216791109"/>
      <w:r>
        <w:t>Tenancy Sign-up</w:t>
      </w:r>
      <w:bookmarkEnd w:id="16"/>
    </w:p>
    <w:p w14:paraId="34D60504" w14:textId="50DF9C4F" w:rsidR="006F51CD" w:rsidRDefault="00114192" w:rsidP="00114192">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During sign-up, residents will have the opportunity to discuss their needs or that of any vulnerable household member and any existing care and support services they are in receipt of. As part of our commitment to help sustain long-term tenancies, we will assess any information on vulnerability received from relevant agencies to assist in ensuring the housing offer is suitable for the individual or family.</w:t>
      </w:r>
    </w:p>
    <w:p w14:paraId="1AAB8121" w14:textId="77777777" w:rsidR="00114192" w:rsidRPr="006F51CD" w:rsidRDefault="00114192" w:rsidP="00114192">
      <w:pPr>
        <w:pStyle w:val="paragraph"/>
        <w:spacing w:before="0" w:beforeAutospacing="0" w:after="0" w:afterAutospacing="0"/>
        <w:textAlignment w:val="baseline"/>
        <w:rPr>
          <w:lang w:val="en-US"/>
        </w:rPr>
      </w:pPr>
    </w:p>
    <w:p w14:paraId="0B24B335" w14:textId="178EC156" w:rsidR="00552435" w:rsidRDefault="006F51CD" w:rsidP="00552435">
      <w:pPr>
        <w:pStyle w:val="Heading2"/>
      </w:pPr>
      <w:bookmarkStart w:id="17" w:name="_Toc216791110"/>
      <w:r>
        <w:t>Communications</w:t>
      </w:r>
      <w:bookmarkEnd w:id="17"/>
    </w:p>
    <w:p w14:paraId="7F267550" w14:textId="4873B135" w:rsidR="00441626" w:rsidRPr="00F8125C" w:rsidRDefault="00441626" w:rsidP="00441626">
      <w:pPr>
        <w:pStyle w:val="paragraph"/>
        <w:spacing w:before="0" w:beforeAutospacing="0" w:after="0" w:afterAutospacing="0"/>
        <w:textAlignment w:val="baseline"/>
        <w:rPr>
          <w:rFonts w:ascii="Arial" w:hAnsi="Arial" w:cs="Arial"/>
          <w:color w:val="000000"/>
          <w:sz w:val="18"/>
          <w:szCs w:val="18"/>
        </w:rPr>
      </w:pPr>
      <w:r w:rsidRPr="00F8125C">
        <w:rPr>
          <w:rStyle w:val="normaltextrun"/>
          <w:rFonts w:ascii="Arial" w:hAnsi="Arial" w:cs="Arial"/>
          <w:color w:val="000000"/>
        </w:rPr>
        <w:t>Residents are asked about any communication needs on sign-up and during other opportunities to ensure they able to access our services. Where English is not a first language, we offer to provide documents in other languages and formats such as large print, braille or engage an interpreter. </w:t>
      </w:r>
      <w:r w:rsidRPr="00F8125C">
        <w:rPr>
          <w:rStyle w:val="eop"/>
          <w:rFonts w:ascii="Arial" w:hAnsi="Arial" w:cs="Arial"/>
          <w:color w:val="000000"/>
        </w:rPr>
        <w:t> </w:t>
      </w:r>
    </w:p>
    <w:p w14:paraId="231F21F3" w14:textId="016F8097" w:rsidR="006F51CD" w:rsidRDefault="006F51CD" w:rsidP="006F51CD">
      <w:pPr>
        <w:rPr>
          <w:lang w:val="en-US" w:eastAsia="en-GB"/>
        </w:rPr>
      </w:pPr>
    </w:p>
    <w:p w14:paraId="7456AD32" w14:textId="77777777" w:rsidR="006F51CD" w:rsidRPr="006F51CD" w:rsidRDefault="006F51CD" w:rsidP="006F51CD">
      <w:pPr>
        <w:rPr>
          <w:lang w:val="en-US" w:eastAsia="en-GB"/>
        </w:rPr>
      </w:pPr>
    </w:p>
    <w:p w14:paraId="7715218B" w14:textId="4E0516F4" w:rsidR="00552435" w:rsidRDefault="006F51CD" w:rsidP="00552435">
      <w:pPr>
        <w:pStyle w:val="Heading2"/>
      </w:pPr>
      <w:bookmarkStart w:id="18" w:name="_Toc216791111"/>
      <w:r>
        <w:lastRenderedPageBreak/>
        <w:t>Rent/Service Charge Arrears and Financial</w:t>
      </w:r>
      <w:bookmarkEnd w:id="18"/>
    </w:p>
    <w:p w14:paraId="4E8F3DB2" w14:textId="289A2EA9" w:rsidR="00441626" w:rsidRPr="00F8125C" w:rsidRDefault="00441626" w:rsidP="00441626">
      <w:pPr>
        <w:pStyle w:val="paragraph"/>
        <w:spacing w:before="0" w:beforeAutospacing="0" w:after="0" w:afterAutospacing="0"/>
        <w:textAlignment w:val="baseline"/>
        <w:rPr>
          <w:rFonts w:ascii="Arial" w:hAnsi="Arial" w:cs="Arial"/>
          <w:color w:val="000000"/>
          <w:sz w:val="18"/>
          <w:szCs w:val="18"/>
        </w:rPr>
      </w:pPr>
      <w:r w:rsidRPr="00F8125C">
        <w:rPr>
          <w:rStyle w:val="normaltextrun"/>
          <w:rFonts w:ascii="Arial" w:hAnsi="Arial" w:cs="Arial"/>
          <w:color w:val="000000"/>
        </w:rPr>
        <w:t>All tenants and leaseholders must pay their rent/service charges on time, and we will advise and support those who are struggling to make these payments. We recognise that many vulnerable residents may struggle with money management and will refer tenants and leaseholders who approach us for help or who fall into arrears to our welfare benefits team/financial inclusion advisors.</w:t>
      </w:r>
      <w:r w:rsidRPr="00F8125C">
        <w:rPr>
          <w:rStyle w:val="eop"/>
          <w:rFonts w:ascii="Arial" w:hAnsi="Arial" w:cs="Arial"/>
          <w:color w:val="000000"/>
        </w:rPr>
        <w:t> </w:t>
      </w:r>
    </w:p>
    <w:p w14:paraId="683EA4DC" w14:textId="77777777" w:rsidR="00441626" w:rsidRPr="00F8125C" w:rsidRDefault="00441626" w:rsidP="00441626">
      <w:pPr>
        <w:pStyle w:val="paragraph"/>
        <w:spacing w:before="0" w:beforeAutospacing="0" w:after="0" w:afterAutospacing="0"/>
        <w:textAlignment w:val="baseline"/>
        <w:rPr>
          <w:rFonts w:ascii="Arial" w:hAnsi="Arial" w:cs="Arial"/>
          <w:color w:val="000000"/>
          <w:sz w:val="18"/>
          <w:szCs w:val="18"/>
        </w:rPr>
      </w:pPr>
      <w:r w:rsidRPr="00F8125C">
        <w:rPr>
          <w:rStyle w:val="eop"/>
          <w:rFonts w:ascii="Arial" w:hAnsi="Arial" w:cs="Arial"/>
          <w:color w:val="000000"/>
        </w:rPr>
        <w:t> </w:t>
      </w:r>
    </w:p>
    <w:p w14:paraId="71369190" w14:textId="7D115972" w:rsidR="00441626" w:rsidRDefault="00441626" w:rsidP="00441626">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We also respond to rent arrears as a possible indicator of financial abuse and improve awareness of the support available to residents. </w:t>
      </w:r>
    </w:p>
    <w:p w14:paraId="53F4479C" w14:textId="77777777" w:rsidR="00441626" w:rsidRPr="00441626" w:rsidRDefault="00441626" w:rsidP="00441626">
      <w:pPr>
        <w:pStyle w:val="paragraph"/>
        <w:spacing w:before="0" w:beforeAutospacing="0" w:after="0" w:afterAutospacing="0"/>
        <w:textAlignment w:val="baseline"/>
        <w:rPr>
          <w:lang w:val="en-US"/>
        </w:rPr>
      </w:pPr>
    </w:p>
    <w:p w14:paraId="6BB18079" w14:textId="7BC8EE2C" w:rsidR="00552435" w:rsidRDefault="00441626" w:rsidP="00552435">
      <w:pPr>
        <w:pStyle w:val="Heading2"/>
      </w:pPr>
      <w:bookmarkStart w:id="19" w:name="_Toc216791112"/>
      <w:r>
        <w:t>Repairs</w:t>
      </w:r>
      <w:bookmarkEnd w:id="19"/>
    </w:p>
    <w:p w14:paraId="07120C56" w14:textId="3EA50166" w:rsidR="00441626" w:rsidRDefault="00441626" w:rsidP="00441626">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We recognise that vulnerable residents may find it more difficult to manage if something goes wrong in their home and they need a repair. When a resident reports a repair, our Housing Service Centre advisor will confirm if there are any support needs which should be taken into account. This is recorded on the resident’s record so that the service can be delivered appropriately.</w:t>
      </w:r>
    </w:p>
    <w:p w14:paraId="5A6FE681" w14:textId="77777777" w:rsidR="00441626" w:rsidRPr="003038F2" w:rsidRDefault="00441626" w:rsidP="00441626">
      <w:pPr>
        <w:pStyle w:val="paragraph"/>
        <w:spacing w:before="0" w:beforeAutospacing="0" w:after="0" w:afterAutospacing="0"/>
        <w:textAlignment w:val="baseline"/>
        <w:rPr>
          <w:rFonts w:ascii="Arial" w:hAnsi="Arial" w:cs="Arial"/>
          <w:color w:val="000000"/>
        </w:rPr>
      </w:pPr>
    </w:p>
    <w:p w14:paraId="11EAC399" w14:textId="77777777" w:rsidR="00441626" w:rsidRDefault="00441626" w:rsidP="00441626">
      <w:pPr>
        <w:pStyle w:val="paragraph"/>
        <w:spacing w:before="0" w:beforeAutospacing="0" w:after="0" w:afterAutospacing="0"/>
        <w:textAlignment w:val="baseline"/>
        <w:rPr>
          <w:rStyle w:val="eop"/>
          <w:rFonts w:ascii="Arial" w:hAnsi="Arial" w:cs="Arial"/>
          <w:color w:val="000000"/>
        </w:rPr>
      </w:pPr>
      <w:r w:rsidRPr="00F8125C">
        <w:rPr>
          <w:rStyle w:val="normaltextrun"/>
          <w:rFonts w:ascii="Arial" w:hAnsi="Arial" w:cs="Arial"/>
          <w:color w:val="000000"/>
        </w:rPr>
        <w:t>We require all our contractors to behave sensitively and responsively when visiting a resident’s home, and to identify anything that may give cause for concern. Such as a property that is cluttered or repeatedly requires certain repairs to be carried out. These concerns are reported via the Resident at Risk process and explored further.</w:t>
      </w:r>
    </w:p>
    <w:p w14:paraId="765E8B29" w14:textId="77777777" w:rsidR="00441626" w:rsidRPr="003038F2" w:rsidRDefault="00441626" w:rsidP="00441626">
      <w:pPr>
        <w:pStyle w:val="paragraph"/>
        <w:spacing w:before="0" w:beforeAutospacing="0" w:after="0" w:afterAutospacing="0"/>
        <w:textAlignment w:val="baseline"/>
        <w:rPr>
          <w:rFonts w:ascii="Arial" w:hAnsi="Arial" w:cs="Arial"/>
          <w:color w:val="000000"/>
        </w:rPr>
      </w:pPr>
    </w:p>
    <w:p w14:paraId="73B3FF2F" w14:textId="7CB5E89B" w:rsidR="00441626" w:rsidRDefault="00441626" w:rsidP="00441626">
      <w:pPr>
        <w:pStyle w:val="paragraph"/>
        <w:spacing w:before="0" w:beforeAutospacing="0" w:after="0" w:afterAutospacing="0"/>
        <w:textAlignment w:val="baseline"/>
        <w:rPr>
          <w:rStyle w:val="eop"/>
          <w:rFonts w:ascii="Arial" w:hAnsi="Arial" w:cs="Arial"/>
          <w:color w:val="000000"/>
        </w:rPr>
      </w:pPr>
      <w:r w:rsidRPr="00F8125C">
        <w:rPr>
          <w:rStyle w:val="normaltextrun"/>
          <w:rFonts w:ascii="Arial" w:hAnsi="Arial" w:cs="Arial"/>
          <w:color w:val="000000"/>
        </w:rPr>
        <w:t>Where a resident is identified as being vulnerable, this information is included as an alert on their record to notify services that we may need to alter our approach to suit the resident’s individual needs. For example, allowing more time for an appointment if the resident has mobility issues.</w:t>
      </w:r>
      <w:r w:rsidRPr="00F8125C">
        <w:rPr>
          <w:rStyle w:val="eop"/>
          <w:rFonts w:ascii="Arial" w:hAnsi="Arial" w:cs="Arial"/>
          <w:color w:val="000000"/>
        </w:rPr>
        <w:t> </w:t>
      </w:r>
    </w:p>
    <w:p w14:paraId="2396D4A7" w14:textId="77777777" w:rsidR="00441626" w:rsidRPr="00441626" w:rsidRDefault="00441626" w:rsidP="00441626">
      <w:pPr>
        <w:pStyle w:val="paragraph"/>
        <w:spacing w:before="0" w:beforeAutospacing="0" w:after="0" w:afterAutospacing="0"/>
        <w:textAlignment w:val="baseline"/>
        <w:rPr>
          <w:lang w:val="en-US"/>
        </w:rPr>
      </w:pPr>
    </w:p>
    <w:p w14:paraId="2BADDA0D" w14:textId="4AD6BA8B" w:rsidR="00552435" w:rsidRDefault="00441626" w:rsidP="00552435">
      <w:pPr>
        <w:pStyle w:val="Heading2"/>
      </w:pPr>
      <w:bookmarkStart w:id="20" w:name="_Toc216791113"/>
      <w:r>
        <w:t>Gas Capping</w:t>
      </w:r>
      <w:bookmarkEnd w:id="20"/>
    </w:p>
    <w:p w14:paraId="0B580DA6" w14:textId="05B5CC38"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r w:rsidRPr="00F8125C">
        <w:rPr>
          <w:rStyle w:val="normaltextrun"/>
          <w:rFonts w:ascii="Arial" w:hAnsi="Arial" w:cs="Arial"/>
        </w:rPr>
        <w:t>The annual Landlord gas safety inspection is a responsibility that LBTH must carry out to fulfil its legal duties as a landlord under Regulation 36 of the Gas Safety (Installation and Use) Regulations 1998.  LBTH must take all reasonable steps to carry out the annual gas safety inspection. In order to ensure that such steps are taken consistently with all tenants, THH will follow robust procedures to encourage tenants to arrange an appointment for their annual gas safety inspection.</w:t>
      </w:r>
      <w:r w:rsidRPr="00F8125C">
        <w:rPr>
          <w:rStyle w:val="eop"/>
          <w:rFonts w:ascii="Arial" w:hAnsi="Arial" w:cs="Arial"/>
        </w:rPr>
        <w:t> </w:t>
      </w:r>
    </w:p>
    <w:p w14:paraId="4C1058B2" w14:textId="77777777"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r w:rsidRPr="00F8125C">
        <w:rPr>
          <w:rStyle w:val="eop"/>
          <w:rFonts w:ascii="Arial" w:hAnsi="Arial" w:cs="Arial"/>
        </w:rPr>
        <w:t> </w:t>
      </w:r>
    </w:p>
    <w:p w14:paraId="2A2771C4" w14:textId="77777777"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r w:rsidRPr="00F8125C">
        <w:rPr>
          <w:rStyle w:val="normaltextrun"/>
          <w:rFonts w:ascii="Arial" w:hAnsi="Arial" w:cs="Arial"/>
        </w:rPr>
        <w:t>As part of the gas capping and disconnection process, operatives will make relevant referrals to include any vulnerabilities identified, in conjunction with the Resident at Risk procedure and Access procedure. </w:t>
      </w:r>
      <w:r w:rsidRPr="00F8125C">
        <w:rPr>
          <w:rStyle w:val="eop"/>
          <w:rFonts w:ascii="Arial" w:hAnsi="Arial" w:cs="Arial"/>
        </w:rPr>
        <w:t> </w:t>
      </w:r>
    </w:p>
    <w:p w14:paraId="46444285" w14:textId="77777777"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r w:rsidRPr="00F8125C">
        <w:rPr>
          <w:rStyle w:val="eop"/>
          <w:rFonts w:ascii="Arial" w:hAnsi="Arial" w:cs="Arial"/>
        </w:rPr>
        <w:t> </w:t>
      </w:r>
    </w:p>
    <w:p w14:paraId="43B8CBBF" w14:textId="77777777"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r w:rsidRPr="00F8125C">
        <w:rPr>
          <w:rStyle w:val="normaltextrun"/>
          <w:rFonts w:ascii="Arial" w:hAnsi="Arial" w:cs="Arial"/>
        </w:rPr>
        <w:t>Oversight and ongoing review of properties capped due to identified concerns and vulnerabilities is captured and reported on monthly via compliance reporting </w:t>
      </w:r>
      <w:r w:rsidRPr="00F8125C">
        <w:rPr>
          <w:rStyle w:val="normaltextrun"/>
          <w:rFonts w:ascii="Arial" w:hAnsi="Arial" w:cs="Arial"/>
          <w:color w:val="000000"/>
          <w:shd w:val="clear" w:color="auto" w:fill="FFFFFF"/>
        </w:rPr>
        <w:t>to the Housing Performance Improvement &amp; Compliance Board (HPIC) in respect of gas and heating safety and ensure compliance is being achieved. They will also be notified of any non-compliance issue identified. </w:t>
      </w:r>
      <w:r w:rsidRPr="00F8125C">
        <w:rPr>
          <w:rStyle w:val="eop"/>
          <w:rFonts w:ascii="Arial" w:hAnsi="Arial" w:cs="Arial"/>
          <w:color w:val="000000"/>
        </w:rPr>
        <w:t> </w:t>
      </w:r>
    </w:p>
    <w:p w14:paraId="236D39A7" w14:textId="77777777"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r w:rsidRPr="00F8125C">
        <w:rPr>
          <w:rStyle w:val="eop"/>
          <w:rFonts w:ascii="Arial" w:hAnsi="Arial" w:cs="Arial"/>
          <w:color w:val="000000"/>
        </w:rPr>
        <w:t> </w:t>
      </w:r>
    </w:p>
    <w:p w14:paraId="30497849" w14:textId="77777777"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r w:rsidRPr="00F8125C">
        <w:rPr>
          <w:rStyle w:val="normaltextrun"/>
          <w:rFonts w:ascii="Arial" w:hAnsi="Arial" w:cs="Arial"/>
          <w:color w:val="000000"/>
          <w:shd w:val="clear" w:color="auto" w:fill="FFFFFF"/>
        </w:rPr>
        <w:t>Where vulnerability is identified, reporting mechanisms including the Resident and Risk procedure are adhered to, with appropriate actions taken by respective teams. </w:t>
      </w:r>
      <w:r w:rsidRPr="00F8125C">
        <w:rPr>
          <w:rStyle w:val="eop"/>
          <w:rFonts w:ascii="Arial" w:hAnsi="Arial" w:cs="Arial"/>
          <w:color w:val="000000"/>
        </w:rPr>
        <w:t> </w:t>
      </w:r>
    </w:p>
    <w:p w14:paraId="069DEEB6" w14:textId="0D986057" w:rsidR="00441626" w:rsidRPr="00441626" w:rsidRDefault="00441626" w:rsidP="00441626">
      <w:pPr>
        <w:rPr>
          <w:lang w:val="en-US" w:eastAsia="en-GB"/>
        </w:rPr>
      </w:pPr>
    </w:p>
    <w:p w14:paraId="5D1EC225" w14:textId="6FDA7B11" w:rsidR="00552435" w:rsidRDefault="009E5356" w:rsidP="00552435">
      <w:pPr>
        <w:pStyle w:val="Heading2"/>
      </w:pPr>
      <w:bookmarkStart w:id="21" w:name="_Toc216791114"/>
      <w:r>
        <w:lastRenderedPageBreak/>
        <w:t xml:space="preserve">Anti-Social </w:t>
      </w:r>
      <w:proofErr w:type="spellStart"/>
      <w:r>
        <w:t>Behaviour</w:t>
      </w:r>
      <w:bookmarkEnd w:id="21"/>
      <w:proofErr w:type="spellEnd"/>
    </w:p>
    <w:p w14:paraId="56BBB6EB" w14:textId="004AF8FA" w:rsidR="009E5356" w:rsidRDefault="009E5356" w:rsidP="009E5356">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The Council’s Anti-Social Behaviour (ASB) policy sets out how we prevent and minimise instances of ASB. We are conscious that some residents may act in a manner that can cause harassment, alarm/distress or housing related nuisance due to behaviours related to their vulnerability.</w:t>
      </w:r>
    </w:p>
    <w:p w14:paraId="7A652A7D" w14:textId="77777777"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p>
    <w:p w14:paraId="161BE470" w14:textId="77777777" w:rsidR="009E5356" w:rsidRDefault="009E5356" w:rsidP="009E5356">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We will try to engage them and relevant support services to improve the situation before taking any tenancy or leaseholder enforcement action. However, we do have to balance the safety and wellbeing of the community with the welfare of the vulnerable ASB perpetrator in considering the most appropriate response.</w:t>
      </w:r>
    </w:p>
    <w:p w14:paraId="47176D3C" w14:textId="77777777" w:rsidR="009E5356" w:rsidRPr="00F8125C" w:rsidRDefault="009E5356" w:rsidP="009E5356">
      <w:pPr>
        <w:pStyle w:val="paragraph"/>
        <w:spacing w:before="0" w:beforeAutospacing="0" w:after="0" w:afterAutospacing="0"/>
        <w:textAlignment w:val="baseline"/>
        <w:rPr>
          <w:rFonts w:ascii="Arial" w:hAnsi="Arial" w:cs="Arial"/>
          <w:color w:val="000000"/>
          <w:sz w:val="18"/>
          <w:szCs w:val="18"/>
        </w:rPr>
      </w:pPr>
    </w:p>
    <w:p w14:paraId="209E241C" w14:textId="02D61264" w:rsidR="009E5356" w:rsidRDefault="009E5356" w:rsidP="009E5356">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We are committed to preventing the eviction of vulnerable residents. We try to identify and provide support as early as possible to prevent a termination in tenancy or lease. Whenever we pursue possession proceedings, we review the arrangements put in place to support the vulnerable resident if we move from one stage of possession to the next.</w:t>
      </w:r>
    </w:p>
    <w:p w14:paraId="44F9B558" w14:textId="77777777" w:rsidR="009E5356" w:rsidRPr="009E5356" w:rsidRDefault="009E5356" w:rsidP="009E5356">
      <w:pPr>
        <w:pStyle w:val="paragraph"/>
        <w:spacing w:before="0" w:beforeAutospacing="0" w:after="0" w:afterAutospacing="0"/>
        <w:textAlignment w:val="baseline"/>
        <w:rPr>
          <w:lang w:val="en-US"/>
        </w:rPr>
      </w:pPr>
    </w:p>
    <w:p w14:paraId="55AB60BB" w14:textId="232A8D08" w:rsidR="00552435" w:rsidRDefault="009E5356" w:rsidP="00552435">
      <w:pPr>
        <w:pStyle w:val="Heading2"/>
      </w:pPr>
      <w:bookmarkStart w:id="22" w:name="_Toc216791115"/>
      <w:r>
        <w:t>Tenancy Health Checks</w:t>
      </w:r>
      <w:bookmarkEnd w:id="22"/>
    </w:p>
    <w:p w14:paraId="2DA8D800" w14:textId="53E2D0E2" w:rsidR="009639C1" w:rsidRPr="00F8125C" w:rsidRDefault="009639C1" w:rsidP="009639C1">
      <w:pPr>
        <w:pStyle w:val="paragraph"/>
        <w:spacing w:before="0" w:beforeAutospacing="0" w:after="0" w:afterAutospacing="0"/>
        <w:textAlignment w:val="baseline"/>
        <w:rPr>
          <w:rFonts w:ascii="Arial" w:hAnsi="Arial" w:cs="Arial"/>
          <w:color w:val="000000"/>
          <w:sz w:val="18"/>
          <w:szCs w:val="18"/>
        </w:rPr>
      </w:pPr>
      <w:r w:rsidRPr="00F8125C">
        <w:rPr>
          <w:rStyle w:val="normaltextrun"/>
          <w:rFonts w:ascii="Arial" w:hAnsi="Arial" w:cs="Arial"/>
          <w:color w:val="000000"/>
        </w:rPr>
        <w:t>We aim to undertake health checks in up to of 20% of our housing stock annually. As part of this process, Neighbourhood Housing Officers are expected to identify and document any vulnerabilities which range from health and safety concerns to wellbeing and financial difficulties, make the relevant referrals to support, and agree contact arrangements with the resident. </w:t>
      </w:r>
      <w:r w:rsidRPr="00F8125C">
        <w:rPr>
          <w:rStyle w:val="eop"/>
          <w:rFonts w:ascii="Arial" w:hAnsi="Arial" w:cs="Arial"/>
          <w:color w:val="000000"/>
        </w:rPr>
        <w:t> </w:t>
      </w:r>
    </w:p>
    <w:p w14:paraId="417337FD" w14:textId="77777777" w:rsidR="009639C1" w:rsidRPr="00F8125C" w:rsidRDefault="009639C1" w:rsidP="009639C1">
      <w:pPr>
        <w:pStyle w:val="paragraph"/>
        <w:spacing w:before="0" w:beforeAutospacing="0" w:after="0" w:afterAutospacing="0"/>
        <w:textAlignment w:val="baseline"/>
        <w:rPr>
          <w:rFonts w:ascii="Arial" w:hAnsi="Arial" w:cs="Arial"/>
          <w:color w:val="000000"/>
          <w:sz w:val="18"/>
          <w:szCs w:val="18"/>
        </w:rPr>
      </w:pPr>
      <w:r w:rsidRPr="00F8125C">
        <w:rPr>
          <w:rStyle w:val="eop"/>
          <w:rFonts w:ascii="Arial" w:hAnsi="Arial" w:cs="Arial"/>
          <w:color w:val="000000"/>
        </w:rPr>
        <w:t> </w:t>
      </w:r>
    </w:p>
    <w:p w14:paraId="3D377173" w14:textId="5A1F47CE" w:rsidR="009E5356" w:rsidRDefault="009639C1" w:rsidP="009639C1">
      <w:pPr>
        <w:pStyle w:val="paragraph"/>
        <w:spacing w:before="0" w:beforeAutospacing="0" w:after="0" w:afterAutospacing="0"/>
        <w:textAlignment w:val="baseline"/>
        <w:rPr>
          <w:rStyle w:val="normaltextrun"/>
          <w:rFonts w:ascii="Arial" w:hAnsi="Arial" w:cs="Arial"/>
        </w:rPr>
      </w:pPr>
      <w:r w:rsidRPr="00F8125C">
        <w:rPr>
          <w:rStyle w:val="normaltextrun"/>
          <w:rFonts w:ascii="Arial" w:hAnsi="Arial" w:cs="Arial"/>
        </w:rPr>
        <w:t>Tenancy Health checks are targeted to ensure maximum impact, capturing vulnerabilities, properties more susceptible to damp &amp; mould, utilising data around overcrowding and underoccupancy, tackling tenancy fraud, identifying and reviewing cases of hoarding, gas capping and other measures to ensure best use of LBTH stock and support to our residents.</w:t>
      </w:r>
    </w:p>
    <w:p w14:paraId="4CF5D721" w14:textId="77777777" w:rsidR="009639C1" w:rsidRPr="009E5356" w:rsidRDefault="009639C1" w:rsidP="009639C1">
      <w:pPr>
        <w:pStyle w:val="paragraph"/>
        <w:spacing w:before="0" w:beforeAutospacing="0" w:after="0" w:afterAutospacing="0"/>
        <w:textAlignment w:val="baseline"/>
        <w:rPr>
          <w:lang w:val="en-US"/>
        </w:rPr>
      </w:pPr>
    </w:p>
    <w:p w14:paraId="4FB509E2" w14:textId="6CF74BA9" w:rsidR="00552435" w:rsidRDefault="009639C1" w:rsidP="00552435">
      <w:pPr>
        <w:pStyle w:val="Heading2"/>
      </w:pPr>
      <w:bookmarkStart w:id="23" w:name="_Toc216791116"/>
      <w:r>
        <w:t>Incident Management</w:t>
      </w:r>
      <w:bookmarkEnd w:id="23"/>
    </w:p>
    <w:p w14:paraId="6910757F" w14:textId="0DFC9573" w:rsidR="009639C1" w:rsidRDefault="009639C1" w:rsidP="00B12E07">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Where a resident is at greater risk of harm because of their vulnerability in relation to disrepair or damage to their home, including to its communal parts such as lifts, we give them priority access to our repairs service. Our Repairs Policy sets out how we will support vulnerable households to access repairs as well as criteria for any priority, and how this priority status operates.</w:t>
      </w:r>
    </w:p>
    <w:p w14:paraId="08CD87C0" w14:textId="77777777" w:rsidR="00B12E07" w:rsidRPr="009639C1" w:rsidRDefault="00B12E07" w:rsidP="00B12E07">
      <w:pPr>
        <w:pStyle w:val="paragraph"/>
        <w:spacing w:before="0" w:beforeAutospacing="0" w:after="0" w:afterAutospacing="0"/>
        <w:textAlignment w:val="baseline"/>
        <w:rPr>
          <w:lang w:val="en-US"/>
        </w:rPr>
      </w:pPr>
    </w:p>
    <w:p w14:paraId="06C4D251" w14:textId="3A2A6475" w:rsidR="00552435" w:rsidRDefault="00B12E07" w:rsidP="00552435">
      <w:pPr>
        <w:pStyle w:val="Heading2"/>
      </w:pPr>
      <w:bookmarkStart w:id="24" w:name="_Toc216791117"/>
      <w:r>
        <w:t>Aids and Adaptations</w:t>
      </w:r>
      <w:bookmarkEnd w:id="24"/>
    </w:p>
    <w:p w14:paraId="06FACB9D" w14:textId="13C2338A" w:rsidR="00B12E07" w:rsidRDefault="00B12E07" w:rsidP="00B12E07">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Whenever a resident has a disability or a medical condition, we refer them to an Occupational Therapy (OT) assessment to understand whether adaptations to the home are needed. Where an OT assessment recommends that a tenant requires minor adaptations such as a grab rail, we carry out that work directly. If an OT assessment recommends that a resident requires major adaptations such as a ramp for a wheelchair, we work with social care services to facilitate those changes.</w:t>
      </w:r>
    </w:p>
    <w:p w14:paraId="3B41E345" w14:textId="77777777" w:rsidR="00427955" w:rsidRDefault="00427955" w:rsidP="00B12E07">
      <w:pPr>
        <w:pStyle w:val="paragraph"/>
        <w:spacing w:before="0" w:beforeAutospacing="0" w:after="0" w:afterAutospacing="0"/>
        <w:textAlignment w:val="baseline"/>
        <w:rPr>
          <w:rStyle w:val="normaltextrun"/>
          <w:rFonts w:ascii="Arial" w:hAnsi="Arial" w:cs="Arial"/>
          <w:color w:val="000000"/>
        </w:rPr>
      </w:pPr>
    </w:p>
    <w:p w14:paraId="5BABB041" w14:textId="77777777" w:rsidR="00B12E07" w:rsidRPr="00B12E07" w:rsidRDefault="00B12E07" w:rsidP="00B12E07">
      <w:pPr>
        <w:pStyle w:val="paragraph"/>
        <w:spacing w:before="0" w:beforeAutospacing="0" w:after="0" w:afterAutospacing="0"/>
        <w:textAlignment w:val="baseline"/>
        <w:rPr>
          <w:lang w:val="en-US"/>
        </w:rPr>
      </w:pPr>
    </w:p>
    <w:p w14:paraId="2D93A381" w14:textId="39DA6D00" w:rsidR="00F8125C" w:rsidRPr="00427955" w:rsidRDefault="00427955" w:rsidP="00427955">
      <w:pPr>
        <w:pStyle w:val="Heading2"/>
        <w:rPr>
          <w:rStyle w:val="eop"/>
        </w:rPr>
      </w:pPr>
      <w:bookmarkStart w:id="25" w:name="_Toc216791118"/>
      <w:r>
        <w:rPr>
          <w:rStyle w:val="eop"/>
        </w:rPr>
        <w:lastRenderedPageBreak/>
        <w:t>Fire Safety</w:t>
      </w:r>
      <w:bookmarkEnd w:id="25"/>
    </w:p>
    <w:p w14:paraId="13F448EF" w14:textId="77777777" w:rsidR="00F8125C" w:rsidRDefault="00F8125C" w:rsidP="00F8125C">
      <w:pPr>
        <w:pStyle w:val="paragraph"/>
        <w:spacing w:before="0" w:beforeAutospacing="0" w:after="0" w:afterAutospacing="0"/>
        <w:textAlignment w:val="baseline"/>
        <w:rPr>
          <w:rStyle w:val="eop"/>
          <w:rFonts w:ascii="Arial" w:hAnsi="Arial" w:cs="Arial"/>
          <w:color w:val="000000"/>
        </w:rPr>
      </w:pPr>
      <w:r w:rsidRPr="00F8125C">
        <w:rPr>
          <w:rStyle w:val="normaltextrun"/>
          <w:rFonts w:ascii="Arial" w:hAnsi="Arial" w:cs="Arial"/>
          <w:color w:val="000000"/>
        </w:rPr>
        <w:t>All Council blocks that have either seven or more storeys or are at least 18 metres in height have an up-to-date Personal Emergency Evacuation Plan (PEEP) for all their vulnerable residents. Copies are provided to the local Fire Rescue Service. We have also installed smoke detection systems and adaptations to evacuation routes.</w:t>
      </w:r>
      <w:r w:rsidRPr="00F8125C">
        <w:rPr>
          <w:rStyle w:val="eop"/>
          <w:rFonts w:ascii="Arial" w:hAnsi="Arial" w:cs="Arial"/>
          <w:color w:val="000000"/>
        </w:rPr>
        <w:t> </w:t>
      </w:r>
    </w:p>
    <w:p w14:paraId="6900CB34" w14:textId="77777777" w:rsidR="00427955" w:rsidRDefault="00427955" w:rsidP="00F8125C">
      <w:pPr>
        <w:pStyle w:val="paragraph"/>
        <w:spacing w:before="0" w:beforeAutospacing="0" w:after="0" w:afterAutospacing="0"/>
        <w:textAlignment w:val="baseline"/>
        <w:rPr>
          <w:rStyle w:val="eop"/>
          <w:rFonts w:ascii="Arial" w:hAnsi="Arial" w:cs="Arial"/>
          <w:color w:val="000000"/>
        </w:rPr>
      </w:pPr>
    </w:p>
    <w:p w14:paraId="6B7B752F" w14:textId="4F8A2FAA" w:rsidR="00F8125C" w:rsidRPr="00427955" w:rsidRDefault="00427955" w:rsidP="00427955">
      <w:pPr>
        <w:pStyle w:val="Heading2"/>
      </w:pPr>
      <w:bookmarkStart w:id="26" w:name="_Toc216791119"/>
      <w:r>
        <w:t>Hoarding</w:t>
      </w:r>
      <w:bookmarkEnd w:id="26"/>
    </w:p>
    <w:p w14:paraId="3F03B4F5" w14:textId="63B20CFA" w:rsidR="00F8125C" w:rsidRDefault="00F8125C" w:rsidP="00F8125C">
      <w:pPr>
        <w:pStyle w:val="paragraph"/>
        <w:spacing w:before="0" w:beforeAutospacing="0" w:after="0" w:afterAutospacing="0"/>
        <w:textAlignment w:val="baseline"/>
        <w:rPr>
          <w:rStyle w:val="normaltextrun"/>
          <w:rFonts w:ascii="Arial" w:hAnsi="Arial" w:cs="Arial"/>
          <w:color w:val="000000"/>
        </w:rPr>
      </w:pPr>
      <w:r w:rsidRPr="00F8125C">
        <w:rPr>
          <w:rStyle w:val="normaltextrun"/>
          <w:rFonts w:ascii="Arial" w:hAnsi="Arial" w:cs="Arial"/>
          <w:color w:val="000000"/>
        </w:rPr>
        <w:t>Our </w:t>
      </w:r>
      <w:r w:rsidRPr="00F8125C">
        <w:rPr>
          <w:rStyle w:val="normaltextrun"/>
          <w:rFonts w:ascii="Arial" w:hAnsi="Arial" w:cs="Arial"/>
        </w:rPr>
        <w:t>Safeguarding policy and procedure </w:t>
      </w:r>
      <w:r w:rsidRPr="00F8125C">
        <w:rPr>
          <w:rStyle w:val="normaltextrun"/>
          <w:rFonts w:ascii="Arial" w:hAnsi="Arial" w:cs="Arial"/>
          <w:color w:val="000000"/>
        </w:rPr>
        <w:t>sets out our approach to supporting residents who self-neglect and/or hoard. This is based on a risk management approach and staff dealing with this type of situation are given specific training, supervision and support to help them understand the complexities of this area of work and the interventions available. In addition, a safeguarding referral is made where we believe that a resident self-neglects or hoards and may have statutory care needs, and they are unable to protect themselves because of these needs.</w:t>
      </w:r>
    </w:p>
    <w:p w14:paraId="387B8908" w14:textId="77777777" w:rsidR="00427955" w:rsidRDefault="00427955" w:rsidP="00F8125C">
      <w:pPr>
        <w:pStyle w:val="paragraph"/>
        <w:spacing w:before="0" w:beforeAutospacing="0" w:after="0" w:afterAutospacing="0"/>
        <w:textAlignment w:val="baseline"/>
        <w:rPr>
          <w:rStyle w:val="normaltextrun"/>
          <w:rFonts w:ascii="Arial" w:hAnsi="Arial" w:cs="Arial"/>
          <w:color w:val="000000"/>
        </w:rPr>
      </w:pPr>
    </w:p>
    <w:p w14:paraId="6814D6E9" w14:textId="63B9C2C7" w:rsidR="00DE7D69" w:rsidRPr="00427955" w:rsidRDefault="00427955" w:rsidP="00427955">
      <w:pPr>
        <w:pStyle w:val="Heading2"/>
      </w:pPr>
      <w:bookmarkStart w:id="27" w:name="_Toc216791120"/>
      <w:r>
        <w:t>Cuckooing</w:t>
      </w:r>
      <w:bookmarkEnd w:id="27"/>
    </w:p>
    <w:p w14:paraId="6D221897" w14:textId="77777777" w:rsidR="00F8125C" w:rsidRPr="00F8125C" w:rsidRDefault="00F8125C" w:rsidP="00F8125C">
      <w:pPr>
        <w:pStyle w:val="paragraph"/>
        <w:spacing w:before="0" w:beforeAutospacing="0" w:after="0" w:afterAutospacing="0"/>
        <w:textAlignment w:val="baseline"/>
        <w:rPr>
          <w:rFonts w:ascii="Arial" w:hAnsi="Arial" w:cs="Arial"/>
          <w:color w:val="000000"/>
          <w:sz w:val="18"/>
          <w:szCs w:val="18"/>
        </w:rPr>
      </w:pPr>
      <w:r w:rsidRPr="00F8125C">
        <w:rPr>
          <w:rStyle w:val="normaltextrun"/>
          <w:rFonts w:ascii="Arial" w:hAnsi="Arial" w:cs="Arial"/>
          <w:color w:val="000000"/>
        </w:rPr>
        <w:t>We also acknowledge that vulnerable residents may be more susceptible to or a target of Cuckooing. This is where a person befriends an individual before using the property for exploitative and often illegal purposes. This may include drug-taking/dealing, sexual prostitution, or simply preventing access to parts of the accommodation to the tenant. Intimidating and aggressive behaviour which impacts a person’s ability to access their property is also considered a type of cuckooing. Much like action to address hoarding, our Safeguarding policy and procedure sets out our approach to supporting residents who may be victims of cuckooing. </w:t>
      </w:r>
      <w:r w:rsidRPr="00F8125C">
        <w:rPr>
          <w:rStyle w:val="eop"/>
          <w:rFonts w:ascii="Arial" w:hAnsi="Arial" w:cs="Arial"/>
          <w:color w:val="000000"/>
        </w:rPr>
        <w:t> </w:t>
      </w:r>
    </w:p>
    <w:p w14:paraId="15308F49" w14:textId="50163877" w:rsidR="000020DC" w:rsidRPr="000020DC" w:rsidRDefault="000020DC" w:rsidP="000020DC">
      <w:pPr>
        <w:rPr>
          <w:lang w:val="en-US" w:eastAsia="en-GB"/>
        </w:rPr>
      </w:pPr>
    </w:p>
    <w:p w14:paraId="18A1821E" w14:textId="257E8CEE" w:rsidR="003918DA" w:rsidRDefault="00091DD7" w:rsidP="003918DA">
      <w:pPr>
        <w:pStyle w:val="Heading1"/>
        <w:rPr>
          <w:lang w:val="en-US"/>
        </w:rPr>
      </w:pPr>
      <w:bookmarkStart w:id="28" w:name="_Toc216791121"/>
      <w:r>
        <w:rPr>
          <w:lang w:val="en-US"/>
        </w:rPr>
        <w:t>Consultation</w:t>
      </w:r>
      <w:bookmarkEnd w:id="28"/>
    </w:p>
    <w:p w14:paraId="472AA298" w14:textId="68DD1B0B" w:rsidR="005A7B93" w:rsidRDefault="005A7B93" w:rsidP="005A7B93">
      <w:pPr>
        <w:pStyle w:val="paragraph"/>
        <w:spacing w:before="0" w:beforeAutospacing="0" w:after="0" w:afterAutospacing="0"/>
        <w:textAlignment w:val="baseline"/>
        <w:rPr>
          <w:rStyle w:val="eop"/>
          <w:rFonts w:ascii="Arial" w:hAnsi="Arial" w:cs="Arial"/>
          <w:color w:val="000000"/>
        </w:rPr>
      </w:pPr>
      <w:r w:rsidRPr="005A7B93">
        <w:rPr>
          <w:rFonts w:ascii="Arial" w:hAnsi="Arial" w:cs="Arial"/>
          <w:lang w:val="en-US"/>
        </w:rPr>
        <w:t xml:space="preserve">The </w:t>
      </w:r>
      <w:r w:rsidRPr="005A7B93">
        <w:rPr>
          <w:rStyle w:val="normaltextrun"/>
          <w:rFonts w:ascii="Arial" w:hAnsi="Arial" w:cs="Arial"/>
          <w:color w:val="000000"/>
        </w:rPr>
        <w:t>review process has included an appraisal of other local authorities’ policies and best practice, and engagement with key services across the Council.</w:t>
      </w:r>
    </w:p>
    <w:p w14:paraId="511B93A6" w14:textId="77777777" w:rsidR="005A7B93" w:rsidRPr="005A7B93" w:rsidRDefault="005A7B93" w:rsidP="005A7B93">
      <w:pPr>
        <w:pStyle w:val="paragraph"/>
        <w:spacing w:before="0" w:beforeAutospacing="0" w:after="0" w:afterAutospacing="0"/>
        <w:textAlignment w:val="baseline"/>
        <w:rPr>
          <w:rFonts w:ascii="Arial" w:hAnsi="Arial" w:cs="Arial"/>
          <w:color w:val="000000"/>
          <w:sz w:val="18"/>
          <w:szCs w:val="18"/>
        </w:rPr>
      </w:pPr>
    </w:p>
    <w:p w14:paraId="49AC83F9" w14:textId="4C2270FD" w:rsidR="005A7B93" w:rsidRDefault="005A7B93" w:rsidP="005A7B93">
      <w:pPr>
        <w:pStyle w:val="paragraph"/>
        <w:spacing w:before="0" w:beforeAutospacing="0" w:after="0" w:afterAutospacing="0"/>
        <w:textAlignment w:val="baseline"/>
        <w:rPr>
          <w:rStyle w:val="normaltextrun"/>
          <w:rFonts w:ascii="Arial" w:hAnsi="Arial" w:cs="Arial"/>
        </w:rPr>
      </w:pPr>
      <w:r w:rsidRPr="005A7B93">
        <w:rPr>
          <w:rStyle w:val="normaltextrun"/>
          <w:rFonts w:ascii="Arial" w:hAnsi="Arial" w:cs="Arial"/>
        </w:rPr>
        <w:t>This policy has been presented at Tenants Voice (Tenant’s voice is a group of council tenants and leaseholders set up to hold senior managers accountable for decisions affecting service delivery in key areas of housing management, as well as having the ability to undertake dedicated scrutiny reviews) on 23 January 2025, with the policy and approach largely endorsed by the group.</w:t>
      </w:r>
    </w:p>
    <w:p w14:paraId="484969CD" w14:textId="77777777" w:rsidR="005A7B93" w:rsidRPr="005A7B93" w:rsidRDefault="005A7B93" w:rsidP="005A7B93">
      <w:pPr>
        <w:pStyle w:val="paragraph"/>
        <w:spacing w:before="0" w:beforeAutospacing="0" w:after="0" w:afterAutospacing="0"/>
        <w:textAlignment w:val="baseline"/>
        <w:rPr>
          <w:rFonts w:ascii="Arial" w:hAnsi="Arial" w:cs="Arial"/>
          <w:color w:val="000000"/>
          <w:sz w:val="18"/>
          <w:szCs w:val="18"/>
        </w:rPr>
      </w:pPr>
    </w:p>
    <w:p w14:paraId="7A4FD0BA" w14:textId="3F4AEC82" w:rsidR="005A7B93" w:rsidRDefault="005A7B93" w:rsidP="005A7B93">
      <w:pPr>
        <w:pStyle w:val="paragraph"/>
        <w:spacing w:before="0" w:beforeAutospacing="0" w:after="0" w:afterAutospacing="0"/>
        <w:textAlignment w:val="baseline"/>
        <w:rPr>
          <w:rStyle w:val="normaltextrun"/>
          <w:rFonts w:ascii="Arial" w:hAnsi="Arial" w:cs="Arial"/>
        </w:rPr>
      </w:pPr>
      <w:r w:rsidRPr="005A7B93">
        <w:rPr>
          <w:rStyle w:val="normaltextrun"/>
          <w:rFonts w:ascii="Arial" w:hAnsi="Arial" w:cs="Arial"/>
        </w:rPr>
        <w:t>Key feedback from tenants and leaseholds within Tenants Voice group has included understanding reporting mechanisms for support provided to residents identified as having a vulnerability. Our approach to this has been captured in the monitoring section of this document.</w:t>
      </w:r>
    </w:p>
    <w:p w14:paraId="56D21DFD" w14:textId="77777777" w:rsidR="005A7B93" w:rsidRPr="005A7B93" w:rsidRDefault="005A7B93" w:rsidP="005A7B93">
      <w:pPr>
        <w:pStyle w:val="paragraph"/>
        <w:spacing w:before="0" w:beforeAutospacing="0" w:after="0" w:afterAutospacing="0"/>
        <w:textAlignment w:val="baseline"/>
        <w:rPr>
          <w:rFonts w:ascii="Arial" w:hAnsi="Arial" w:cs="Arial"/>
          <w:color w:val="000000"/>
          <w:sz w:val="18"/>
          <w:szCs w:val="18"/>
        </w:rPr>
      </w:pPr>
    </w:p>
    <w:p w14:paraId="630777A3" w14:textId="77777777" w:rsidR="005A7B93" w:rsidRPr="005A7B93" w:rsidRDefault="005A7B93" w:rsidP="005A7B93">
      <w:pPr>
        <w:pStyle w:val="paragraph"/>
        <w:spacing w:before="0" w:beforeAutospacing="0" w:after="0" w:afterAutospacing="0"/>
        <w:textAlignment w:val="baseline"/>
        <w:rPr>
          <w:rFonts w:ascii="Arial" w:hAnsi="Arial" w:cs="Arial"/>
          <w:color w:val="000000"/>
          <w:sz w:val="18"/>
          <w:szCs w:val="18"/>
        </w:rPr>
      </w:pPr>
      <w:r w:rsidRPr="005A7B93">
        <w:rPr>
          <w:rStyle w:val="normaltextrun"/>
          <w:rFonts w:ascii="Arial" w:hAnsi="Arial" w:cs="Arial"/>
        </w:rPr>
        <w:t>In addition, a resident focus group was held on 30 April 2025 to better understand our residents’ views. Feedback from participants again was an endorsement of the policy by the group.</w:t>
      </w:r>
      <w:r w:rsidRPr="005A7B93">
        <w:rPr>
          <w:rStyle w:val="eop"/>
          <w:rFonts w:ascii="Arial" w:hAnsi="Arial" w:cs="Arial"/>
        </w:rPr>
        <w:t> </w:t>
      </w:r>
    </w:p>
    <w:p w14:paraId="42682106" w14:textId="3085A306" w:rsidR="005A7B93" w:rsidRPr="005A7B93" w:rsidRDefault="005A7B93" w:rsidP="005A7B93">
      <w:pPr>
        <w:rPr>
          <w:lang w:val="en-US" w:eastAsia="en-GB"/>
        </w:rPr>
      </w:pPr>
    </w:p>
    <w:p w14:paraId="6261498C" w14:textId="1EBC35B4" w:rsidR="003918DA" w:rsidRDefault="00091DD7" w:rsidP="003918DA">
      <w:pPr>
        <w:pStyle w:val="Heading1"/>
        <w:rPr>
          <w:lang w:val="en-US"/>
        </w:rPr>
      </w:pPr>
      <w:bookmarkStart w:id="29" w:name="_Toc216791122"/>
      <w:r>
        <w:rPr>
          <w:lang w:val="en-US"/>
        </w:rPr>
        <w:lastRenderedPageBreak/>
        <w:t>Training</w:t>
      </w:r>
      <w:bookmarkEnd w:id="29"/>
    </w:p>
    <w:p w14:paraId="662BD2B9" w14:textId="77777777" w:rsidR="006F40B0" w:rsidRPr="006F40B0" w:rsidRDefault="006F40B0" w:rsidP="006F40B0">
      <w:pPr>
        <w:pStyle w:val="paragraph"/>
        <w:spacing w:before="0" w:beforeAutospacing="0" w:after="0" w:afterAutospacing="0"/>
        <w:textAlignment w:val="baseline"/>
        <w:rPr>
          <w:rFonts w:ascii="Arial" w:hAnsi="Arial" w:cs="Arial"/>
          <w:color w:val="000000"/>
          <w:sz w:val="18"/>
          <w:szCs w:val="18"/>
        </w:rPr>
      </w:pPr>
      <w:r w:rsidRPr="006F40B0">
        <w:rPr>
          <w:rFonts w:ascii="Arial" w:hAnsi="Arial" w:cs="Arial"/>
          <w:lang w:val="en-US"/>
        </w:rPr>
        <w:t xml:space="preserve">The </w:t>
      </w:r>
      <w:r w:rsidRPr="006F40B0">
        <w:rPr>
          <w:rStyle w:val="normaltextrun"/>
          <w:rFonts w:ascii="Arial" w:hAnsi="Arial" w:cs="Arial"/>
          <w:color w:val="000000"/>
        </w:rPr>
        <w:t>Council ensure its staff are equipped with the relevant skills, knowledge and guidance to effectively deal with vulnerabilities through regular training in the following areas: safeguarding and domestic abuse, care duties, mental health awareness, equalities legislation and partnership working.</w:t>
      </w:r>
      <w:r w:rsidRPr="006F40B0">
        <w:rPr>
          <w:rStyle w:val="eop"/>
          <w:rFonts w:ascii="Arial" w:hAnsi="Arial" w:cs="Arial"/>
          <w:color w:val="000000"/>
        </w:rPr>
        <w:t> </w:t>
      </w:r>
    </w:p>
    <w:p w14:paraId="3A3FE164" w14:textId="77777777" w:rsidR="006F40B0" w:rsidRPr="006F40B0" w:rsidRDefault="006F40B0" w:rsidP="006F40B0">
      <w:pPr>
        <w:pStyle w:val="paragraph"/>
        <w:spacing w:before="0" w:beforeAutospacing="0" w:after="0" w:afterAutospacing="0"/>
        <w:textAlignment w:val="baseline"/>
        <w:rPr>
          <w:rFonts w:ascii="Arial" w:hAnsi="Arial" w:cs="Arial"/>
          <w:color w:val="000000"/>
          <w:sz w:val="18"/>
          <w:szCs w:val="18"/>
        </w:rPr>
      </w:pPr>
      <w:r w:rsidRPr="006F40B0">
        <w:rPr>
          <w:rStyle w:val="eop"/>
          <w:rFonts w:ascii="Arial" w:hAnsi="Arial" w:cs="Arial"/>
          <w:color w:val="000000"/>
        </w:rPr>
        <w:t> </w:t>
      </w:r>
    </w:p>
    <w:p w14:paraId="3FB69F88" w14:textId="77777777" w:rsidR="006F40B0" w:rsidRPr="006F40B0" w:rsidRDefault="006F40B0" w:rsidP="006F40B0">
      <w:pPr>
        <w:pStyle w:val="paragraph"/>
        <w:spacing w:before="0" w:beforeAutospacing="0" w:after="0" w:afterAutospacing="0"/>
        <w:textAlignment w:val="baseline"/>
        <w:rPr>
          <w:rFonts w:ascii="Arial" w:hAnsi="Arial" w:cs="Arial"/>
          <w:color w:val="000000"/>
          <w:sz w:val="18"/>
          <w:szCs w:val="18"/>
        </w:rPr>
      </w:pPr>
      <w:r w:rsidRPr="006F40B0">
        <w:rPr>
          <w:rStyle w:val="normaltextrun"/>
          <w:rFonts w:ascii="Arial" w:hAnsi="Arial" w:cs="Arial"/>
        </w:rPr>
        <w:t>A robust induction programme is implemented for new starters and refresher training for current employees to ensure ongoing awareness of identification of vulnerabilities and an understanding of how best to support our residents with vulnerabilities and signposting to relevant support services. </w:t>
      </w:r>
      <w:r w:rsidRPr="006F40B0">
        <w:rPr>
          <w:rStyle w:val="eop"/>
          <w:rFonts w:ascii="Arial" w:hAnsi="Arial" w:cs="Arial"/>
        </w:rPr>
        <w:t> </w:t>
      </w:r>
    </w:p>
    <w:p w14:paraId="5C12F4F4" w14:textId="77777777" w:rsidR="006F40B0" w:rsidRPr="006F40B0" w:rsidRDefault="006F40B0" w:rsidP="006F40B0">
      <w:pPr>
        <w:pStyle w:val="paragraph"/>
        <w:spacing w:before="0" w:beforeAutospacing="0" w:after="0" w:afterAutospacing="0"/>
        <w:textAlignment w:val="baseline"/>
        <w:rPr>
          <w:rFonts w:ascii="Arial" w:hAnsi="Arial" w:cs="Arial"/>
          <w:color w:val="000000"/>
          <w:sz w:val="18"/>
          <w:szCs w:val="18"/>
        </w:rPr>
      </w:pPr>
      <w:r w:rsidRPr="006F40B0">
        <w:rPr>
          <w:rStyle w:val="eop"/>
          <w:rFonts w:ascii="Arial" w:hAnsi="Arial" w:cs="Arial"/>
        </w:rPr>
        <w:t> </w:t>
      </w:r>
    </w:p>
    <w:p w14:paraId="5E4C1898" w14:textId="77777777" w:rsidR="006F40B0" w:rsidRPr="006F40B0" w:rsidRDefault="006F40B0" w:rsidP="006F40B0">
      <w:pPr>
        <w:pStyle w:val="paragraph"/>
        <w:spacing w:before="0" w:beforeAutospacing="0" w:after="0" w:afterAutospacing="0"/>
        <w:textAlignment w:val="baseline"/>
        <w:rPr>
          <w:rFonts w:ascii="Arial" w:hAnsi="Arial" w:cs="Arial"/>
          <w:color w:val="000000"/>
          <w:sz w:val="18"/>
          <w:szCs w:val="18"/>
        </w:rPr>
      </w:pPr>
      <w:r w:rsidRPr="006F40B0">
        <w:rPr>
          <w:rStyle w:val="normaltextrun"/>
          <w:rFonts w:ascii="Arial" w:hAnsi="Arial" w:cs="Arial"/>
        </w:rPr>
        <w:t>In addition, a cross-directorate awareness campaign is to be implemented to all resident facing services to ensure colleagues are able to effectively signpost and support residents with vulnerabilities. </w:t>
      </w:r>
      <w:r w:rsidRPr="006F40B0">
        <w:rPr>
          <w:rStyle w:val="eop"/>
          <w:rFonts w:ascii="Arial" w:hAnsi="Arial" w:cs="Arial"/>
        </w:rPr>
        <w:t> </w:t>
      </w:r>
    </w:p>
    <w:p w14:paraId="285864E6" w14:textId="77777777" w:rsidR="006F40B0" w:rsidRPr="006F40B0" w:rsidRDefault="006F40B0" w:rsidP="006F40B0">
      <w:pPr>
        <w:pStyle w:val="paragraph"/>
        <w:spacing w:before="0" w:beforeAutospacing="0" w:after="0" w:afterAutospacing="0"/>
        <w:textAlignment w:val="baseline"/>
        <w:rPr>
          <w:rFonts w:ascii="Arial" w:hAnsi="Arial" w:cs="Arial"/>
          <w:color w:val="000000"/>
          <w:sz w:val="18"/>
          <w:szCs w:val="18"/>
        </w:rPr>
      </w:pPr>
      <w:r w:rsidRPr="006F40B0">
        <w:rPr>
          <w:rStyle w:val="eop"/>
          <w:rFonts w:ascii="Arial" w:hAnsi="Arial" w:cs="Arial"/>
        </w:rPr>
        <w:t> </w:t>
      </w:r>
    </w:p>
    <w:p w14:paraId="622391B0" w14:textId="77777777" w:rsidR="006F40B0" w:rsidRPr="006F40B0" w:rsidRDefault="006F40B0" w:rsidP="006F40B0">
      <w:pPr>
        <w:pStyle w:val="paragraph"/>
        <w:spacing w:before="0" w:beforeAutospacing="0" w:after="0" w:afterAutospacing="0"/>
        <w:textAlignment w:val="baseline"/>
        <w:rPr>
          <w:rFonts w:ascii="Arial" w:hAnsi="Arial" w:cs="Arial"/>
          <w:color w:val="000000"/>
          <w:sz w:val="18"/>
          <w:szCs w:val="18"/>
        </w:rPr>
      </w:pPr>
      <w:r w:rsidRPr="006F40B0">
        <w:rPr>
          <w:rStyle w:val="normaltextrun"/>
          <w:rFonts w:ascii="Arial" w:hAnsi="Arial" w:cs="Arial"/>
        </w:rPr>
        <w:t>Referral pathways clear and made to other professionals in the context of domestic violence and/or safeguarding are followed up to establish what, if any, further action is required from the referring agency. </w:t>
      </w:r>
      <w:r w:rsidRPr="006F40B0">
        <w:rPr>
          <w:rStyle w:val="eop"/>
          <w:rFonts w:ascii="Arial" w:hAnsi="Arial" w:cs="Arial"/>
        </w:rPr>
        <w:t> </w:t>
      </w:r>
    </w:p>
    <w:p w14:paraId="71FE4EC3" w14:textId="0998E761" w:rsidR="006F40B0" w:rsidRPr="006F40B0" w:rsidRDefault="006F40B0" w:rsidP="006F40B0">
      <w:pPr>
        <w:rPr>
          <w:lang w:val="en-US" w:eastAsia="en-GB"/>
        </w:rPr>
      </w:pPr>
    </w:p>
    <w:p w14:paraId="0A7F428F" w14:textId="1EFFDCD2" w:rsidR="003918DA" w:rsidRDefault="00091DD7" w:rsidP="003918DA">
      <w:pPr>
        <w:pStyle w:val="Heading1"/>
        <w:rPr>
          <w:lang w:val="en-US"/>
        </w:rPr>
      </w:pPr>
      <w:bookmarkStart w:id="30" w:name="_Toc216791123"/>
      <w:r>
        <w:rPr>
          <w:lang w:val="en-US"/>
        </w:rPr>
        <w:t>Data Protection</w:t>
      </w:r>
      <w:bookmarkEnd w:id="30"/>
    </w:p>
    <w:p w14:paraId="201CBA74" w14:textId="4B1F1E75" w:rsidR="001C343C" w:rsidRDefault="006F40B0" w:rsidP="001C343C">
      <w:pPr>
        <w:pStyle w:val="paragraph"/>
        <w:spacing w:before="0" w:beforeAutospacing="0" w:after="0" w:afterAutospacing="0"/>
        <w:ind w:right="870"/>
        <w:textAlignment w:val="baseline"/>
        <w:rPr>
          <w:rStyle w:val="normaltextrun"/>
          <w:rFonts w:ascii="Arial" w:hAnsi="Arial" w:cs="Arial"/>
          <w:color w:val="000000"/>
        </w:rPr>
      </w:pPr>
      <w:r w:rsidRPr="001C343C">
        <w:rPr>
          <w:rFonts w:ascii="Arial" w:hAnsi="Arial" w:cs="Arial"/>
          <w:lang w:val="en-US"/>
        </w:rPr>
        <w:t xml:space="preserve">This </w:t>
      </w:r>
      <w:r w:rsidR="001C343C" w:rsidRPr="001C343C">
        <w:rPr>
          <w:rStyle w:val="normaltextrun"/>
          <w:rFonts w:ascii="Arial" w:hAnsi="Arial" w:cs="Arial"/>
          <w:color w:val="000000"/>
        </w:rPr>
        <w:t xml:space="preserve">policy will be implemented in compliance with the General </w:t>
      </w:r>
      <w:r w:rsidR="00E122D9">
        <w:rPr>
          <w:rStyle w:val="normaltextrun"/>
          <w:rFonts w:ascii="Arial" w:hAnsi="Arial" w:cs="Arial"/>
          <w:color w:val="000000"/>
        </w:rPr>
        <w:t xml:space="preserve">Data Protection </w:t>
      </w:r>
      <w:r w:rsidR="001C343C" w:rsidRPr="001C343C">
        <w:rPr>
          <w:rStyle w:val="normaltextrun"/>
          <w:rFonts w:ascii="Arial" w:hAnsi="Arial" w:cs="Arial"/>
          <w:color w:val="000000"/>
        </w:rPr>
        <w:t>Regulation (GDPR).</w:t>
      </w:r>
    </w:p>
    <w:p w14:paraId="0B2D86B0" w14:textId="77777777" w:rsidR="001C343C" w:rsidRPr="001C343C" w:rsidRDefault="001C343C" w:rsidP="001C343C">
      <w:pPr>
        <w:pStyle w:val="paragraph"/>
        <w:spacing w:before="0" w:beforeAutospacing="0" w:after="0" w:afterAutospacing="0"/>
        <w:ind w:right="870"/>
        <w:textAlignment w:val="baseline"/>
        <w:rPr>
          <w:rFonts w:ascii="Arial" w:hAnsi="Arial" w:cs="Arial"/>
          <w:color w:val="000000"/>
          <w:sz w:val="18"/>
          <w:szCs w:val="18"/>
        </w:rPr>
      </w:pPr>
    </w:p>
    <w:p w14:paraId="0929ABD1" w14:textId="6C94BC8B" w:rsidR="001C343C" w:rsidRDefault="001C343C" w:rsidP="001C343C">
      <w:pPr>
        <w:pStyle w:val="paragraph"/>
        <w:spacing w:before="0" w:beforeAutospacing="0" w:after="0" w:afterAutospacing="0"/>
        <w:ind w:right="870"/>
        <w:textAlignment w:val="baseline"/>
        <w:rPr>
          <w:rStyle w:val="eop"/>
          <w:rFonts w:ascii="Arial" w:hAnsi="Arial" w:cs="Arial"/>
        </w:rPr>
      </w:pPr>
      <w:r w:rsidRPr="001C343C">
        <w:rPr>
          <w:rStyle w:val="normaltextrun"/>
          <w:rFonts w:ascii="Arial" w:hAnsi="Arial" w:cs="Arial"/>
        </w:rPr>
        <w:t>We record and share information appropriately with other professionals and statutory agencies that safeguard adults, children and young people.</w:t>
      </w:r>
    </w:p>
    <w:p w14:paraId="4B5A0478" w14:textId="77777777" w:rsidR="001C343C" w:rsidRPr="001C343C" w:rsidRDefault="001C343C" w:rsidP="001C343C">
      <w:pPr>
        <w:pStyle w:val="paragraph"/>
        <w:spacing w:before="0" w:beforeAutospacing="0" w:after="0" w:afterAutospacing="0"/>
        <w:ind w:right="870"/>
        <w:textAlignment w:val="baseline"/>
        <w:rPr>
          <w:rFonts w:ascii="Arial" w:hAnsi="Arial" w:cs="Arial"/>
          <w:color w:val="000000"/>
          <w:sz w:val="18"/>
          <w:szCs w:val="18"/>
        </w:rPr>
      </w:pPr>
    </w:p>
    <w:p w14:paraId="1EB122D5" w14:textId="22ACE337" w:rsidR="001C343C" w:rsidRDefault="001C343C" w:rsidP="001C343C">
      <w:pPr>
        <w:pStyle w:val="paragraph"/>
        <w:spacing w:before="0" w:beforeAutospacing="0" w:after="0" w:afterAutospacing="0"/>
        <w:ind w:right="870"/>
        <w:textAlignment w:val="baseline"/>
        <w:rPr>
          <w:rStyle w:val="normaltextrun"/>
          <w:rFonts w:ascii="Arial" w:hAnsi="Arial" w:cs="Arial"/>
        </w:rPr>
      </w:pPr>
      <w:r w:rsidRPr="001C343C">
        <w:rPr>
          <w:rStyle w:val="normaltextrun"/>
          <w:rFonts w:ascii="Arial" w:hAnsi="Arial" w:cs="Arial"/>
        </w:rPr>
        <w:t>The wishes of the resident in relation to what information should be shared, and with whom, should be respected where possible. However, we will work in line with the Data Protection Act 2018, which allows for disclosure of personal data without consent where there is good reason to do so, and this is necessary to protect the vital interests of an at-risk individual.</w:t>
      </w:r>
    </w:p>
    <w:p w14:paraId="4A8FA2C0" w14:textId="77777777" w:rsidR="001C343C" w:rsidRPr="001C343C" w:rsidRDefault="001C343C" w:rsidP="001C343C">
      <w:pPr>
        <w:pStyle w:val="paragraph"/>
        <w:spacing w:before="0" w:beforeAutospacing="0" w:after="0" w:afterAutospacing="0"/>
        <w:ind w:right="870"/>
        <w:textAlignment w:val="baseline"/>
        <w:rPr>
          <w:rFonts w:ascii="Arial" w:hAnsi="Arial" w:cs="Arial"/>
          <w:color w:val="000000"/>
          <w:sz w:val="18"/>
          <w:szCs w:val="18"/>
        </w:rPr>
      </w:pPr>
    </w:p>
    <w:p w14:paraId="0C91F7CF" w14:textId="0363752C" w:rsidR="001C343C" w:rsidRPr="001C343C" w:rsidRDefault="001C343C" w:rsidP="001C343C">
      <w:pPr>
        <w:pStyle w:val="paragraph"/>
        <w:spacing w:before="0" w:beforeAutospacing="0" w:after="0" w:afterAutospacing="0"/>
        <w:ind w:right="870"/>
        <w:textAlignment w:val="baseline"/>
        <w:rPr>
          <w:rFonts w:ascii="Arial" w:hAnsi="Arial" w:cs="Arial"/>
          <w:color w:val="000000"/>
          <w:sz w:val="18"/>
          <w:szCs w:val="18"/>
        </w:rPr>
      </w:pPr>
      <w:r w:rsidRPr="001C343C">
        <w:rPr>
          <w:rStyle w:val="normaltextrun"/>
          <w:rFonts w:ascii="Arial" w:hAnsi="Arial" w:cs="Arial"/>
        </w:rPr>
        <w:t>Where there is a concern that the resident may be suffering or is at risk of abuse or neglect, their safety must be the over-riding priority. Information must be shared with statutory authorities where there is any indication of abuse or neglect.</w:t>
      </w:r>
    </w:p>
    <w:p w14:paraId="4DE9A31B" w14:textId="56DC7D0A" w:rsidR="006F40B0" w:rsidRPr="006F40B0" w:rsidRDefault="006F40B0" w:rsidP="006F40B0">
      <w:pPr>
        <w:rPr>
          <w:lang w:val="en-US" w:eastAsia="en-GB"/>
        </w:rPr>
      </w:pPr>
    </w:p>
    <w:p w14:paraId="7FB06D48" w14:textId="4A7CA285" w:rsidR="003918DA" w:rsidRDefault="00091DD7" w:rsidP="003918DA">
      <w:pPr>
        <w:pStyle w:val="Heading1"/>
        <w:rPr>
          <w:lang w:val="en-US"/>
        </w:rPr>
      </w:pPr>
      <w:bookmarkStart w:id="31" w:name="_Toc216791124"/>
      <w:r>
        <w:rPr>
          <w:lang w:val="en-US"/>
        </w:rPr>
        <w:t>Equality &amp; Diversity</w:t>
      </w:r>
      <w:bookmarkEnd w:id="31"/>
    </w:p>
    <w:p w14:paraId="7B0658CF" w14:textId="7A8C2964" w:rsidR="006176E9" w:rsidRPr="006176E9" w:rsidRDefault="006176E9" w:rsidP="006176E9">
      <w:pPr>
        <w:pStyle w:val="paragraph"/>
        <w:spacing w:before="0" w:beforeAutospacing="0" w:after="0" w:afterAutospacing="0"/>
        <w:textAlignment w:val="baseline"/>
        <w:rPr>
          <w:rFonts w:ascii="Arial" w:hAnsi="Arial" w:cs="Arial"/>
          <w:color w:val="000000"/>
          <w:sz w:val="18"/>
          <w:szCs w:val="18"/>
        </w:rPr>
      </w:pPr>
      <w:r w:rsidRPr="006176E9">
        <w:rPr>
          <w:rFonts w:ascii="Arial" w:hAnsi="Arial" w:cs="Arial"/>
          <w:lang w:val="en-US"/>
        </w:rPr>
        <w:t xml:space="preserve">The </w:t>
      </w:r>
      <w:r w:rsidRPr="006176E9">
        <w:rPr>
          <w:rStyle w:val="normaltextrun"/>
          <w:rFonts w:ascii="Arial" w:hAnsi="Arial" w:cs="Arial"/>
          <w:color w:val="000000"/>
        </w:rPr>
        <w:t>Council is committed to providing services to our residents which</w:t>
      </w:r>
      <w:r>
        <w:rPr>
          <w:rStyle w:val="normaltextrun"/>
          <w:rFonts w:ascii="Arial" w:hAnsi="Arial" w:cs="Arial"/>
          <w:color w:val="000000"/>
        </w:rPr>
        <w:t xml:space="preserve"> are </w:t>
      </w:r>
      <w:r w:rsidR="009A250D">
        <w:rPr>
          <w:rStyle w:val="normaltextrun"/>
          <w:rFonts w:ascii="Arial" w:hAnsi="Arial" w:cs="Arial"/>
          <w:color w:val="000000"/>
        </w:rPr>
        <w:t xml:space="preserve">equitable  </w:t>
      </w:r>
      <w:r w:rsidRPr="006176E9">
        <w:rPr>
          <w:rStyle w:val="normaltextrun"/>
          <w:rFonts w:ascii="Arial" w:hAnsi="Arial" w:cs="Arial"/>
          <w:color w:val="000000"/>
        </w:rPr>
        <w:t>for all. We have a legal duty under the Equality Act 2010 to ensure that this policy is applied fairly and consistently without discriminating against any person or group.</w:t>
      </w:r>
      <w:r w:rsidRPr="006176E9">
        <w:rPr>
          <w:rStyle w:val="eop"/>
          <w:rFonts w:ascii="Arial" w:hAnsi="Arial" w:cs="Arial"/>
          <w:color w:val="000000"/>
        </w:rPr>
        <w:t> </w:t>
      </w:r>
    </w:p>
    <w:p w14:paraId="3D89F815" w14:textId="77777777" w:rsidR="006176E9" w:rsidRPr="006176E9" w:rsidRDefault="006176E9" w:rsidP="006176E9">
      <w:pPr>
        <w:pStyle w:val="paragraph"/>
        <w:spacing w:before="0" w:beforeAutospacing="0" w:after="0" w:afterAutospacing="0"/>
        <w:textAlignment w:val="baseline"/>
        <w:rPr>
          <w:rFonts w:ascii="Arial" w:hAnsi="Arial" w:cs="Arial"/>
          <w:color w:val="000000"/>
          <w:sz w:val="18"/>
          <w:szCs w:val="18"/>
        </w:rPr>
      </w:pPr>
      <w:r w:rsidRPr="006176E9">
        <w:rPr>
          <w:rStyle w:val="eop"/>
          <w:rFonts w:ascii="Arial" w:hAnsi="Arial" w:cs="Arial"/>
        </w:rPr>
        <w:t> </w:t>
      </w:r>
    </w:p>
    <w:p w14:paraId="70FF1345" w14:textId="77777777" w:rsidR="006176E9" w:rsidRPr="006176E9" w:rsidRDefault="006176E9" w:rsidP="006176E9">
      <w:pPr>
        <w:pStyle w:val="paragraph"/>
        <w:spacing w:before="0" w:beforeAutospacing="0" w:after="0" w:afterAutospacing="0"/>
        <w:textAlignment w:val="baseline"/>
        <w:rPr>
          <w:rFonts w:ascii="Arial" w:hAnsi="Arial" w:cs="Arial"/>
          <w:color w:val="000000"/>
          <w:sz w:val="18"/>
          <w:szCs w:val="18"/>
        </w:rPr>
      </w:pPr>
      <w:r w:rsidRPr="006176E9">
        <w:rPr>
          <w:rStyle w:val="normaltextrun"/>
          <w:rFonts w:ascii="Arial" w:hAnsi="Arial" w:cs="Arial"/>
        </w:rPr>
        <w:t>A desktop Equalities impact assessment has been carried out in conjunction with the development of this policy. </w:t>
      </w:r>
      <w:r w:rsidRPr="006176E9">
        <w:rPr>
          <w:rStyle w:val="eop"/>
          <w:rFonts w:ascii="Arial" w:hAnsi="Arial" w:cs="Arial"/>
        </w:rPr>
        <w:t> </w:t>
      </w:r>
    </w:p>
    <w:p w14:paraId="347323A3" w14:textId="04932F83" w:rsidR="006176E9" w:rsidRPr="006176E9" w:rsidRDefault="006176E9" w:rsidP="006176E9">
      <w:pPr>
        <w:rPr>
          <w:lang w:val="en-US" w:eastAsia="en-GB"/>
        </w:rPr>
      </w:pPr>
    </w:p>
    <w:p w14:paraId="0E60F30F" w14:textId="5C373399" w:rsidR="003918DA" w:rsidRDefault="00091DD7" w:rsidP="003918DA">
      <w:pPr>
        <w:pStyle w:val="Heading1"/>
        <w:rPr>
          <w:lang w:val="en-US"/>
        </w:rPr>
      </w:pPr>
      <w:bookmarkStart w:id="32" w:name="_Toc216791125"/>
      <w:r>
        <w:rPr>
          <w:lang w:val="en-US"/>
        </w:rPr>
        <w:lastRenderedPageBreak/>
        <w:t>Monitoring</w:t>
      </w:r>
      <w:bookmarkEnd w:id="32"/>
    </w:p>
    <w:p w14:paraId="4FAD599D" w14:textId="592F23BC" w:rsidR="00595157" w:rsidRDefault="004E1C12" w:rsidP="00595157">
      <w:pPr>
        <w:pStyle w:val="paragraph"/>
        <w:spacing w:before="0" w:beforeAutospacing="0" w:after="0" w:afterAutospacing="0"/>
        <w:textAlignment w:val="baseline"/>
        <w:rPr>
          <w:rStyle w:val="eop"/>
          <w:rFonts w:ascii="Arial" w:hAnsi="Arial" w:cs="Arial"/>
          <w:color w:val="000000"/>
        </w:rPr>
      </w:pPr>
      <w:r w:rsidRPr="00595157">
        <w:rPr>
          <w:rFonts w:ascii="Arial" w:hAnsi="Arial" w:cs="Arial"/>
          <w:lang w:val="en-US"/>
        </w:rPr>
        <w:t xml:space="preserve">We </w:t>
      </w:r>
      <w:r w:rsidR="00595157" w:rsidRPr="00595157">
        <w:rPr>
          <w:rStyle w:val="normaltextrun"/>
          <w:rFonts w:ascii="Arial" w:hAnsi="Arial" w:cs="Arial"/>
          <w:color w:val="000000"/>
        </w:rPr>
        <w:t>will review this policy every three years and whenever there are changes to legislation, regulation or practice.</w:t>
      </w:r>
    </w:p>
    <w:p w14:paraId="001E34BC" w14:textId="77777777" w:rsidR="00595157" w:rsidRPr="00595157" w:rsidRDefault="00595157" w:rsidP="00595157">
      <w:pPr>
        <w:pStyle w:val="paragraph"/>
        <w:spacing w:before="0" w:beforeAutospacing="0" w:after="0" w:afterAutospacing="0"/>
        <w:textAlignment w:val="baseline"/>
        <w:rPr>
          <w:rFonts w:ascii="Arial" w:hAnsi="Arial" w:cs="Arial"/>
          <w:color w:val="000000"/>
          <w:sz w:val="18"/>
          <w:szCs w:val="18"/>
        </w:rPr>
      </w:pPr>
    </w:p>
    <w:p w14:paraId="4853C190" w14:textId="54D93E96" w:rsidR="00595157" w:rsidRDefault="00595157" w:rsidP="00595157">
      <w:pPr>
        <w:pStyle w:val="paragraph"/>
        <w:spacing w:before="0" w:beforeAutospacing="0" w:after="0" w:afterAutospacing="0"/>
        <w:textAlignment w:val="baseline"/>
        <w:rPr>
          <w:rStyle w:val="normaltextrun"/>
          <w:rFonts w:ascii="Arial" w:hAnsi="Arial" w:cs="Arial"/>
        </w:rPr>
      </w:pPr>
      <w:r w:rsidRPr="00595157">
        <w:rPr>
          <w:rStyle w:val="normaltextrun"/>
          <w:rFonts w:ascii="Arial" w:hAnsi="Arial" w:cs="Arial"/>
        </w:rPr>
        <w:t>To measure the impact and effectiveness of our intervention when dealing with and supporting our residents with vulnerabilities, we have developed a number of reporting measures such as regular Resident at Risk reporting, capturing the number of concerns raised by LBTH colleagues and contractors working on behalf of LBTH regarding a resident that may be at risk</w:t>
      </w:r>
      <w:r>
        <w:rPr>
          <w:rStyle w:val="normaltextrun"/>
          <w:rFonts w:ascii="Arial" w:hAnsi="Arial" w:cs="Arial"/>
        </w:rPr>
        <w:t>.</w:t>
      </w:r>
    </w:p>
    <w:p w14:paraId="78FDFDB4" w14:textId="77777777" w:rsidR="00595157" w:rsidRPr="00595157" w:rsidRDefault="00595157" w:rsidP="00595157">
      <w:pPr>
        <w:pStyle w:val="paragraph"/>
        <w:spacing w:before="0" w:beforeAutospacing="0" w:after="0" w:afterAutospacing="0"/>
        <w:textAlignment w:val="baseline"/>
        <w:rPr>
          <w:rFonts w:ascii="Arial" w:hAnsi="Arial" w:cs="Arial"/>
          <w:color w:val="000000"/>
          <w:sz w:val="18"/>
          <w:szCs w:val="18"/>
        </w:rPr>
      </w:pPr>
    </w:p>
    <w:p w14:paraId="50358FDF" w14:textId="2BABCBCC" w:rsidR="00595157" w:rsidRDefault="00595157" w:rsidP="00595157">
      <w:pPr>
        <w:pStyle w:val="paragraph"/>
        <w:spacing w:before="0" w:beforeAutospacing="0" w:after="0" w:afterAutospacing="0"/>
        <w:textAlignment w:val="baseline"/>
        <w:rPr>
          <w:rStyle w:val="normaltextrun"/>
          <w:rFonts w:ascii="Arial" w:hAnsi="Arial" w:cs="Arial"/>
        </w:rPr>
      </w:pPr>
      <w:r w:rsidRPr="00595157">
        <w:rPr>
          <w:rStyle w:val="normaltextrun"/>
          <w:rFonts w:ascii="Arial" w:hAnsi="Arial" w:cs="Arial"/>
        </w:rPr>
        <w:t>We are also able to report on the number of onward referrals made as a result of Tenancy Health Checks carried out, as well as any referrals made at point of sign-up, settling in visits and relevant probationary tenancy visits.</w:t>
      </w:r>
    </w:p>
    <w:p w14:paraId="7E6CAB86" w14:textId="77777777" w:rsidR="00595157" w:rsidRPr="00595157" w:rsidRDefault="00595157" w:rsidP="00595157">
      <w:pPr>
        <w:pStyle w:val="paragraph"/>
        <w:spacing w:before="0" w:beforeAutospacing="0" w:after="0" w:afterAutospacing="0"/>
        <w:textAlignment w:val="baseline"/>
        <w:rPr>
          <w:rFonts w:ascii="Arial" w:hAnsi="Arial" w:cs="Arial"/>
          <w:color w:val="000000"/>
          <w:sz w:val="18"/>
          <w:szCs w:val="18"/>
        </w:rPr>
      </w:pPr>
    </w:p>
    <w:p w14:paraId="31DD40B2" w14:textId="6592A86C" w:rsidR="00595157" w:rsidRDefault="00595157" w:rsidP="00595157">
      <w:pPr>
        <w:pStyle w:val="paragraph"/>
        <w:spacing w:before="0" w:beforeAutospacing="0" w:after="0" w:afterAutospacing="0"/>
        <w:textAlignment w:val="baseline"/>
        <w:rPr>
          <w:rStyle w:val="normaltextrun"/>
          <w:rFonts w:ascii="Arial" w:hAnsi="Arial" w:cs="Arial"/>
        </w:rPr>
      </w:pPr>
      <w:r w:rsidRPr="00595157">
        <w:rPr>
          <w:rStyle w:val="normaltextrun"/>
          <w:rFonts w:ascii="Arial" w:hAnsi="Arial" w:cs="Arial"/>
        </w:rPr>
        <w:t>We monitor and report on the number of referrals made to our Financial Inclusion Team, as well as financial gains for resident households as a result of support offered, with a strong focus on tenancy sustainment.</w:t>
      </w:r>
    </w:p>
    <w:p w14:paraId="26C8C1E8" w14:textId="77777777" w:rsidR="00337CF6" w:rsidRPr="00595157" w:rsidRDefault="00337CF6" w:rsidP="00595157">
      <w:pPr>
        <w:pStyle w:val="paragraph"/>
        <w:spacing w:before="0" w:beforeAutospacing="0" w:after="0" w:afterAutospacing="0"/>
        <w:textAlignment w:val="baseline"/>
        <w:rPr>
          <w:rFonts w:ascii="Arial" w:hAnsi="Arial" w:cs="Arial"/>
          <w:color w:val="000000"/>
          <w:sz w:val="18"/>
          <w:szCs w:val="18"/>
        </w:rPr>
      </w:pPr>
    </w:p>
    <w:p w14:paraId="1007A89C" w14:textId="77777777" w:rsidR="00595157" w:rsidRPr="00595157" w:rsidRDefault="00595157" w:rsidP="00595157">
      <w:pPr>
        <w:pStyle w:val="paragraph"/>
        <w:spacing w:before="0" w:beforeAutospacing="0" w:after="0" w:afterAutospacing="0"/>
        <w:textAlignment w:val="baseline"/>
        <w:rPr>
          <w:rFonts w:ascii="Arial" w:hAnsi="Arial" w:cs="Arial"/>
          <w:color w:val="000000"/>
          <w:sz w:val="18"/>
          <w:szCs w:val="18"/>
        </w:rPr>
      </w:pPr>
      <w:r w:rsidRPr="00595157">
        <w:rPr>
          <w:rStyle w:val="normaltextrun"/>
          <w:rFonts w:ascii="Arial" w:hAnsi="Arial" w:cs="Arial"/>
        </w:rPr>
        <w:t>Monitoring and performance data is also reported up to our Council sub-committee as well as key performance, policy and strategy groups via our Internal governance framework. </w:t>
      </w:r>
      <w:r w:rsidRPr="00595157">
        <w:rPr>
          <w:rStyle w:val="eop"/>
          <w:rFonts w:ascii="Arial" w:hAnsi="Arial" w:cs="Arial"/>
        </w:rPr>
        <w:t> </w:t>
      </w:r>
    </w:p>
    <w:p w14:paraId="25477E7C" w14:textId="10DC2824" w:rsidR="004E1C12" w:rsidRPr="004E1C12" w:rsidRDefault="004E1C12" w:rsidP="004E1C12">
      <w:pPr>
        <w:rPr>
          <w:lang w:val="en-US" w:eastAsia="en-GB"/>
        </w:rPr>
      </w:pPr>
    </w:p>
    <w:p w14:paraId="588EBDFD" w14:textId="47F3502C" w:rsidR="003918DA" w:rsidRDefault="00091DD7" w:rsidP="003918DA">
      <w:pPr>
        <w:pStyle w:val="Heading1"/>
        <w:rPr>
          <w:lang w:val="en-US"/>
        </w:rPr>
      </w:pPr>
      <w:bookmarkStart w:id="33" w:name="_Toc216791126"/>
      <w:r>
        <w:rPr>
          <w:lang w:val="en-US"/>
        </w:rPr>
        <w:t>Legal Framework</w:t>
      </w:r>
      <w:bookmarkEnd w:id="33"/>
    </w:p>
    <w:p w14:paraId="3BE997F6" w14:textId="1A1EA3BF" w:rsidR="00337CF6" w:rsidRDefault="00337CF6" w:rsidP="00337CF6">
      <w:pPr>
        <w:pStyle w:val="paragraph"/>
        <w:spacing w:before="0" w:beforeAutospacing="0" w:after="0" w:afterAutospacing="0"/>
        <w:textAlignment w:val="baseline"/>
        <w:rPr>
          <w:rStyle w:val="eop"/>
          <w:rFonts w:ascii="Arial" w:hAnsi="Arial" w:cs="Arial"/>
          <w:color w:val="000000"/>
        </w:rPr>
      </w:pPr>
      <w:r w:rsidRPr="00337CF6">
        <w:rPr>
          <w:rFonts w:ascii="Arial" w:hAnsi="Arial" w:cs="Arial"/>
          <w:lang w:val="en-US"/>
        </w:rPr>
        <w:t xml:space="preserve">We </w:t>
      </w:r>
      <w:r w:rsidRPr="00337CF6">
        <w:rPr>
          <w:rStyle w:val="normaltextrun"/>
          <w:rFonts w:ascii="Arial" w:hAnsi="Arial" w:cs="Arial"/>
          <w:color w:val="000000"/>
        </w:rPr>
        <w:t>will ensure that we implement this policy in accordance with the following:</w:t>
      </w:r>
    </w:p>
    <w:p w14:paraId="5BDB1143" w14:textId="77777777" w:rsidR="00337CF6" w:rsidRPr="00337CF6" w:rsidRDefault="00337CF6" w:rsidP="00337CF6">
      <w:pPr>
        <w:pStyle w:val="paragraph"/>
        <w:spacing w:before="0" w:beforeAutospacing="0" w:after="0" w:afterAutospacing="0"/>
        <w:textAlignment w:val="baseline"/>
        <w:rPr>
          <w:rFonts w:ascii="Arial" w:hAnsi="Arial" w:cs="Arial"/>
          <w:color w:val="000000"/>
          <w:sz w:val="18"/>
          <w:szCs w:val="18"/>
        </w:rPr>
      </w:pPr>
    </w:p>
    <w:p w14:paraId="0B7783D3" w14:textId="77777777" w:rsidR="00337CF6" w:rsidRPr="00337CF6" w:rsidRDefault="00337CF6" w:rsidP="00337CF6">
      <w:pPr>
        <w:pStyle w:val="ListBullet"/>
        <w:rPr>
          <w:szCs w:val="24"/>
        </w:rPr>
      </w:pPr>
      <w:r w:rsidRPr="00337CF6">
        <w:rPr>
          <w:rStyle w:val="normaltextrun"/>
          <w:rFonts w:cs="Arial"/>
          <w:color w:val="000000"/>
        </w:rPr>
        <w:t>Housing Act 1980, 1985, 1988, 1996</w:t>
      </w:r>
      <w:r w:rsidRPr="00337CF6">
        <w:rPr>
          <w:rStyle w:val="eop"/>
          <w:rFonts w:cs="Arial"/>
          <w:color w:val="000000"/>
        </w:rPr>
        <w:t> </w:t>
      </w:r>
    </w:p>
    <w:p w14:paraId="0308E5C3" w14:textId="77777777" w:rsidR="00337CF6" w:rsidRPr="00337CF6" w:rsidRDefault="00337CF6" w:rsidP="00337CF6">
      <w:pPr>
        <w:pStyle w:val="ListBullet"/>
      </w:pPr>
      <w:r w:rsidRPr="00337CF6">
        <w:rPr>
          <w:rStyle w:val="normaltextrun"/>
          <w:rFonts w:cs="Arial"/>
          <w:color w:val="000000"/>
        </w:rPr>
        <w:t>Allocation of Housing (England) Regulations 2000</w:t>
      </w:r>
      <w:r w:rsidRPr="00337CF6">
        <w:rPr>
          <w:rStyle w:val="eop"/>
          <w:rFonts w:cs="Arial"/>
          <w:color w:val="000000"/>
        </w:rPr>
        <w:t> </w:t>
      </w:r>
    </w:p>
    <w:p w14:paraId="07630E7C" w14:textId="77777777" w:rsidR="00337CF6" w:rsidRPr="00337CF6" w:rsidRDefault="00337CF6" w:rsidP="00337CF6">
      <w:pPr>
        <w:pStyle w:val="ListBullet"/>
      </w:pPr>
      <w:r w:rsidRPr="00337CF6">
        <w:rPr>
          <w:rStyle w:val="normaltextrun"/>
          <w:rFonts w:cs="Arial"/>
          <w:color w:val="000000"/>
        </w:rPr>
        <w:t>Homeless Act 2002</w:t>
      </w:r>
      <w:r w:rsidRPr="00337CF6">
        <w:rPr>
          <w:rStyle w:val="eop"/>
          <w:rFonts w:cs="Arial"/>
          <w:color w:val="000000"/>
        </w:rPr>
        <w:t> </w:t>
      </w:r>
    </w:p>
    <w:p w14:paraId="7E2F57B4" w14:textId="77777777" w:rsidR="00337CF6" w:rsidRPr="00337CF6" w:rsidRDefault="00337CF6" w:rsidP="00337CF6">
      <w:pPr>
        <w:pStyle w:val="ListBullet"/>
      </w:pPr>
      <w:r w:rsidRPr="00337CF6">
        <w:rPr>
          <w:rStyle w:val="normaltextrun"/>
          <w:rFonts w:cs="Arial"/>
          <w:color w:val="000000"/>
        </w:rPr>
        <w:t>Mental Capacity Act 2005 </w:t>
      </w:r>
      <w:r w:rsidRPr="00337CF6">
        <w:rPr>
          <w:rStyle w:val="eop"/>
          <w:rFonts w:cs="Arial"/>
          <w:color w:val="000000"/>
        </w:rPr>
        <w:t> </w:t>
      </w:r>
    </w:p>
    <w:p w14:paraId="79448F1C" w14:textId="77777777" w:rsidR="00337CF6" w:rsidRPr="00337CF6" w:rsidRDefault="00337CF6" w:rsidP="00337CF6">
      <w:pPr>
        <w:pStyle w:val="ListBullet"/>
      </w:pPr>
      <w:r w:rsidRPr="00337CF6">
        <w:rPr>
          <w:rStyle w:val="normaltextrun"/>
          <w:rFonts w:cs="Arial"/>
          <w:color w:val="000000"/>
        </w:rPr>
        <w:t>Equality Act 2010</w:t>
      </w:r>
      <w:r w:rsidRPr="00337CF6">
        <w:rPr>
          <w:rStyle w:val="eop"/>
          <w:rFonts w:cs="Arial"/>
          <w:color w:val="000000"/>
        </w:rPr>
        <w:t> </w:t>
      </w:r>
    </w:p>
    <w:p w14:paraId="56332A78" w14:textId="77777777" w:rsidR="00337CF6" w:rsidRPr="00337CF6" w:rsidRDefault="00337CF6" w:rsidP="00337CF6">
      <w:pPr>
        <w:pStyle w:val="ListBullet"/>
      </w:pPr>
      <w:r w:rsidRPr="00337CF6">
        <w:rPr>
          <w:rStyle w:val="normaltextrun"/>
          <w:rFonts w:cs="Arial"/>
          <w:color w:val="000000"/>
        </w:rPr>
        <w:t>Regulator of Social Housing’s Tenancy Standard</w:t>
      </w:r>
      <w:r w:rsidRPr="00337CF6">
        <w:rPr>
          <w:rStyle w:val="eop"/>
          <w:rFonts w:cs="Arial"/>
          <w:color w:val="000000"/>
        </w:rPr>
        <w:t> </w:t>
      </w:r>
    </w:p>
    <w:p w14:paraId="03F11CD5" w14:textId="77777777" w:rsidR="00337CF6" w:rsidRPr="00337CF6" w:rsidRDefault="00337CF6" w:rsidP="00337CF6">
      <w:pPr>
        <w:pStyle w:val="ListBullet"/>
      </w:pPr>
      <w:r w:rsidRPr="00337CF6">
        <w:rPr>
          <w:rStyle w:val="normaltextrun"/>
          <w:rFonts w:cs="Arial"/>
        </w:rPr>
        <w:t>Safeguarding Vulnerable Groups Act 2006</w:t>
      </w:r>
      <w:r w:rsidRPr="00337CF6">
        <w:rPr>
          <w:rStyle w:val="eop"/>
          <w:rFonts w:cs="Arial"/>
        </w:rPr>
        <w:t> </w:t>
      </w:r>
    </w:p>
    <w:p w14:paraId="53EBC5AF" w14:textId="77777777" w:rsidR="00337CF6" w:rsidRPr="00337CF6" w:rsidRDefault="00337CF6" w:rsidP="00337CF6">
      <w:pPr>
        <w:pStyle w:val="ListBullet"/>
      </w:pPr>
      <w:r w:rsidRPr="00337CF6">
        <w:rPr>
          <w:rStyle w:val="normaltextrun"/>
          <w:rFonts w:cs="Arial"/>
        </w:rPr>
        <w:t>Domestic Abuse Act 2021</w:t>
      </w:r>
      <w:r w:rsidRPr="00337CF6">
        <w:rPr>
          <w:rStyle w:val="eop"/>
          <w:rFonts w:cs="Arial"/>
        </w:rPr>
        <w:t> </w:t>
      </w:r>
    </w:p>
    <w:p w14:paraId="170BAE28" w14:textId="77777777" w:rsidR="00337CF6" w:rsidRPr="00337CF6" w:rsidRDefault="00337CF6" w:rsidP="00337CF6">
      <w:pPr>
        <w:pStyle w:val="ListBullet"/>
      </w:pPr>
      <w:r w:rsidRPr="00337CF6">
        <w:rPr>
          <w:rStyle w:val="normaltextrun"/>
          <w:rFonts w:cs="Arial"/>
        </w:rPr>
        <w:t>Children Act 1989</w:t>
      </w:r>
      <w:r w:rsidRPr="00337CF6">
        <w:rPr>
          <w:rStyle w:val="eop"/>
          <w:rFonts w:cs="Arial"/>
        </w:rPr>
        <w:t> </w:t>
      </w:r>
    </w:p>
    <w:p w14:paraId="3624F75E" w14:textId="77777777" w:rsidR="00337CF6" w:rsidRPr="00337CF6" w:rsidRDefault="00337CF6" w:rsidP="00337CF6">
      <w:pPr>
        <w:pStyle w:val="ListBullet"/>
      </w:pPr>
      <w:r w:rsidRPr="00337CF6">
        <w:rPr>
          <w:rStyle w:val="normaltextrun"/>
          <w:rFonts w:cs="Arial"/>
        </w:rPr>
        <w:t>Children and Families Act 2014</w:t>
      </w:r>
      <w:r w:rsidRPr="00337CF6">
        <w:rPr>
          <w:rStyle w:val="eop"/>
          <w:rFonts w:cs="Arial"/>
        </w:rPr>
        <w:t> </w:t>
      </w:r>
    </w:p>
    <w:p w14:paraId="32876D1F" w14:textId="4332ABE3" w:rsidR="00337CF6" w:rsidRPr="00337CF6" w:rsidRDefault="00337CF6" w:rsidP="00337CF6">
      <w:pPr>
        <w:rPr>
          <w:lang w:val="en-US" w:eastAsia="en-GB"/>
        </w:rPr>
      </w:pPr>
    </w:p>
    <w:p w14:paraId="2B0F5193" w14:textId="10F1D0F7" w:rsidR="003918DA" w:rsidRDefault="00091DD7" w:rsidP="003918DA">
      <w:pPr>
        <w:pStyle w:val="Heading1"/>
        <w:rPr>
          <w:lang w:val="en-US"/>
        </w:rPr>
      </w:pPr>
      <w:bookmarkStart w:id="34" w:name="_Toc216791127"/>
      <w:r>
        <w:rPr>
          <w:lang w:val="en-US"/>
        </w:rPr>
        <w:t>Associated Documents</w:t>
      </w:r>
      <w:bookmarkEnd w:id="34"/>
    </w:p>
    <w:p w14:paraId="6E9FA80F" w14:textId="3010E5D4" w:rsidR="00CE1E18" w:rsidRPr="00CE1E18" w:rsidRDefault="00CE1E18" w:rsidP="00CE1E18">
      <w:pPr>
        <w:pStyle w:val="paragraph"/>
        <w:spacing w:before="0" w:beforeAutospacing="0" w:after="0" w:afterAutospacing="0"/>
        <w:textAlignment w:val="baseline"/>
        <w:rPr>
          <w:rFonts w:ascii="Arial" w:hAnsi="Arial" w:cs="Arial"/>
          <w:color w:val="000000"/>
          <w:sz w:val="18"/>
          <w:szCs w:val="18"/>
        </w:rPr>
      </w:pPr>
      <w:r w:rsidRPr="00CE1E18">
        <w:rPr>
          <w:rFonts w:ascii="Arial" w:hAnsi="Arial" w:cs="Arial"/>
          <w:lang w:val="en-US"/>
        </w:rPr>
        <w:t>T</w:t>
      </w:r>
      <w:r w:rsidRPr="00CE1E18">
        <w:rPr>
          <w:rStyle w:val="normaltextrun"/>
          <w:rFonts w:ascii="Arial" w:hAnsi="Arial" w:cs="Arial"/>
          <w:color w:val="000000"/>
        </w:rPr>
        <w:t>his policy is supported by the following:</w:t>
      </w:r>
    </w:p>
    <w:p w14:paraId="7DFF38F6" w14:textId="77777777" w:rsidR="00CE1E18" w:rsidRPr="00CE1E18" w:rsidRDefault="00CE1E18" w:rsidP="00CE1E18">
      <w:pPr>
        <w:pStyle w:val="paragraph"/>
        <w:spacing w:before="0" w:beforeAutospacing="0" w:after="0" w:afterAutospacing="0"/>
        <w:textAlignment w:val="baseline"/>
        <w:rPr>
          <w:rFonts w:ascii="Arial" w:hAnsi="Arial" w:cs="Arial"/>
          <w:color w:val="000000"/>
        </w:rPr>
      </w:pPr>
      <w:r w:rsidRPr="00CE1E18">
        <w:rPr>
          <w:rStyle w:val="normaltextrun"/>
          <w:rFonts w:ascii="Arial" w:hAnsi="Arial" w:cs="Arial"/>
          <w:color w:val="000000"/>
        </w:rPr>
        <w:t>Safeguarding Policy and procedure</w:t>
      </w:r>
      <w:r w:rsidRPr="00CE1E18">
        <w:rPr>
          <w:rStyle w:val="eop"/>
          <w:rFonts w:ascii="Arial" w:hAnsi="Arial" w:cs="Arial"/>
          <w:color w:val="000000"/>
        </w:rPr>
        <w:t> </w:t>
      </w:r>
    </w:p>
    <w:p w14:paraId="43393CC3" w14:textId="77777777" w:rsidR="00CE1E18" w:rsidRPr="00CE1E18" w:rsidRDefault="00CE1E18" w:rsidP="00CE1E18">
      <w:pPr>
        <w:pStyle w:val="paragraph"/>
        <w:spacing w:before="0" w:beforeAutospacing="0" w:after="0" w:afterAutospacing="0"/>
        <w:textAlignment w:val="baseline"/>
        <w:rPr>
          <w:rFonts w:ascii="Arial" w:hAnsi="Arial" w:cs="Arial"/>
          <w:color w:val="000000"/>
        </w:rPr>
      </w:pPr>
      <w:r w:rsidRPr="00CE1E18">
        <w:rPr>
          <w:rStyle w:val="normaltextrun"/>
          <w:rFonts w:ascii="Arial" w:hAnsi="Arial" w:cs="Arial"/>
          <w:color w:val="000000"/>
        </w:rPr>
        <w:t>Lettings Policy</w:t>
      </w:r>
      <w:r w:rsidRPr="00CE1E18">
        <w:rPr>
          <w:rStyle w:val="eop"/>
          <w:rFonts w:ascii="Arial" w:hAnsi="Arial" w:cs="Arial"/>
          <w:color w:val="000000"/>
        </w:rPr>
        <w:t> </w:t>
      </w:r>
    </w:p>
    <w:p w14:paraId="05DCE760" w14:textId="77777777" w:rsidR="00CE1E18" w:rsidRPr="00CE1E18" w:rsidRDefault="00CE1E18" w:rsidP="00CE1E18">
      <w:pPr>
        <w:pStyle w:val="paragraph"/>
        <w:spacing w:before="0" w:beforeAutospacing="0" w:after="0" w:afterAutospacing="0"/>
        <w:textAlignment w:val="baseline"/>
        <w:rPr>
          <w:rFonts w:ascii="Arial" w:hAnsi="Arial" w:cs="Arial"/>
          <w:color w:val="000000"/>
        </w:rPr>
      </w:pPr>
      <w:r w:rsidRPr="00CE1E18">
        <w:rPr>
          <w:rStyle w:val="normaltextrun"/>
          <w:rFonts w:ascii="Arial" w:hAnsi="Arial" w:cs="Arial"/>
          <w:color w:val="000000"/>
        </w:rPr>
        <w:t>Anti-Social Behaviour Policy</w:t>
      </w:r>
      <w:r w:rsidRPr="00CE1E18">
        <w:rPr>
          <w:rStyle w:val="eop"/>
          <w:rFonts w:ascii="Arial" w:hAnsi="Arial" w:cs="Arial"/>
          <w:color w:val="000000"/>
        </w:rPr>
        <w:t> </w:t>
      </w:r>
    </w:p>
    <w:p w14:paraId="06A4FBE3" w14:textId="77777777" w:rsidR="00CE1E18" w:rsidRPr="00CE1E18" w:rsidRDefault="00CE1E18" w:rsidP="00CE1E18">
      <w:pPr>
        <w:pStyle w:val="paragraph"/>
        <w:spacing w:before="0" w:beforeAutospacing="0" w:after="0" w:afterAutospacing="0"/>
        <w:textAlignment w:val="baseline"/>
        <w:rPr>
          <w:rFonts w:ascii="Arial" w:hAnsi="Arial" w:cs="Arial"/>
          <w:color w:val="000000"/>
        </w:rPr>
      </w:pPr>
      <w:r w:rsidRPr="00CE1E18">
        <w:rPr>
          <w:rStyle w:val="normaltextrun"/>
          <w:rFonts w:ascii="Arial" w:hAnsi="Arial" w:cs="Arial"/>
          <w:color w:val="000000"/>
        </w:rPr>
        <w:t>Repairs Policy</w:t>
      </w:r>
      <w:r w:rsidRPr="00CE1E18">
        <w:rPr>
          <w:rStyle w:val="eop"/>
          <w:rFonts w:ascii="Arial" w:hAnsi="Arial" w:cs="Arial"/>
          <w:color w:val="000000"/>
        </w:rPr>
        <w:t> </w:t>
      </w:r>
    </w:p>
    <w:p w14:paraId="025FD4D0" w14:textId="77777777" w:rsidR="00CE1E18" w:rsidRPr="00CE1E18" w:rsidRDefault="00CE1E18" w:rsidP="00CE1E18">
      <w:pPr>
        <w:pStyle w:val="paragraph"/>
        <w:spacing w:before="0" w:beforeAutospacing="0" w:after="0" w:afterAutospacing="0"/>
        <w:textAlignment w:val="baseline"/>
        <w:rPr>
          <w:rFonts w:ascii="Arial" w:hAnsi="Arial" w:cs="Arial"/>
          <w:color w:val="000000"/>
        </w:rPr>
      </w:pPr>
      <w:r w:rsidRPr="00CE1E18">
        <w:rPr>
          <w:rStyle w:val="normaltextrun"/>
          <w:rFonts w:ascii="Arial" w:hAnsi="Arial" w:cs="Arial"/>
          <w:color w:val="000000"/>
        </w:rPr>
        <w:t>Reasonable Adjustments Policy</w:t>
      </w:r>
      <w:r w:rsidRPr="00CE1E18">
        <w:rPr>
          <w:rStyle w:val="eop"/>
          <w:rFonts w:ascii="Arial" w:hAnsi="Arial" w:cs="Arial"/>
          <w:color w:val="000000"/>
        </w:rPr>
        <w:t> </w:t>
      </w:r>
    </w:p>
    <w:p w14:paraId="3173DC85" w14:textId="77777777" w:rsidR="00CE1E18" w:rsidRPr="00CE1E18" w:rsidRDefault="00CE1E18" w:rsidP="00CE1E18">
      <w:pPr>
        <w:pStyle w:val="paragraph"/>
        <w:spacing w:before="0" w:beforeAutospacing="0" w:after="0" w:afterAutospacing="0"/>
        <w:textAlignment w:val="baseline"/>
        <w:rPr>
          <w:rFonts w:ascii="Arial" w:hAnsi="Arial" w:cs="Arial"/>
          <w:color w:val="000000"/>
        </w:rPr>
      </w:pPr>
      <w:r w:rsidRPr="00CE1E18">
        <w:rPr>
          <w:rStyle w:val="normaltextrun"/>
          <w:rFonts w:ascii="Arial" w:hAnsi="Arial" w:cs="Arial"/>
        </w:rPr>
        <w:t>Decants Procedure</w:t>
      </w:r>
      <w:r w:rsidRPr="00CE1E18">
        <w:rPr>
          <w:rStyle w:val="eop"/>
          <w:rFonts w:ascii="Arial" w:hAnsi="Arial" w:cs="Arial"/>
        </w:rPr>
        <w:t> </w:t>
      </w:r>
    </w:p>
    <w:p w14:paraId="44DFB38F" w14:textId="77777777" w:rsidR="00CE1E18" w:rsidRPr="00CE1E18" w:rsidRDefault="00CE1E18" w:rsidP="00CE1E18">
      <w:pPr>
        <w:pStyle w:val="paragraph"/>
        <w:spacing w:before="0" w:beforeAutospacing="0" w:after="0" w:afterAutospacing="0"/>
        <w:textAlignment w:val="baseline"/>
        <w:rPr>
          <w:rFonts w:ascii="Arial" w:hAnsi="Arial" w:cs="Arial"/>
          <w:color w:val="000000"/>
        </w:rPr>
      </w:pPr>
      <w:r w:rsidRPr="00CE1E18">
        <w:rPr>
          <w:rStyle w:val="normaltextrun"/>
          <w:rFonts w:ascii="Arial" w:hAnsi="Arial" w:cs="Arial"/>
        </w:rPr>
        <w:t>Access Procedure</w:t>
      </w:r>
      <w:r w:rsidRPr="00CE1E18">
        <w:rPr>
          <w:rStyle w:val="eop"/>
          <w:rFonts w:ascii="Arial" w:hAnsi="Arial" w:cs="Arial"/>
        </w:rPr>
        <w:t> </w:t>
      </w:r>
    </w:p>
    <w:p w14:paraId="20EEC733" w14:textId="105D6C7F" w:rsidR="00CE1E18" w:rsidRPr="00CE1E18" w:rsidRDefault="00CE1E18" w:rsidP="00CE1E18">
      <w:pPr>
        <w:pStyle w:val="paragraph"/>
        <w:spacing w:before="0" w:beforeAutospacing="0" w:after="0" w:afterAutospacing="0"/>
        <w:textAlignment w:val="baseline"/>
        <w:rPr>
          <w:lang w:val="en-US"/>
        </w:rPr>
      </w:pPr>
      <w:r w:rsidRPr="00CE1E18">
        <w:rPr>
          <w:rStyle w:val="normaltextrun"/>
          <w:rFonts w:ascii="Arial" w:hAnsi="Arial" w:cs="Arial"/>
        </w:rPr>
        <w:t>Working Together to Safeguard Children key guidance document.</w:t>
      </w:r>
      <w:r w:rsidRPr="00CE1E18">
        <w:rPr>
          <w:rStyle w:val="eop"/>
          <w:rFonts w:ascii="Arial" w:hAnsi="Arial" w:cs="Arial"/>
        </w:rPr>
        <w:t> </w:t>
      </w:r>
    </w:p>
    <w:sectPr w:rsidR="00CE1E18" w:rsidRPr="00CE1E18" w:rsidSect="006462B8">
      <w:headerReference w:type="even" r:id="rId12"/>
      <w:headerReference w:type="default" r:id="rId13"/>
      <w:footerReference w:type="default" r:id="rId14"/>
      <w:headerReference w:type="first" r:id="rId15"/>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82F4" w14:textId="77777777" w:rsidR="00124A95" w:rsidRDefault="00124A95" w:rsidP="00DC0AA1">
      <w:pPr>
        <w:spacing w:after="0"/>
      </w:pPr>
      <w:r>
        <w:separator/>
      </w:r>
    </w:p>
  </w:endnote>
  <w:endnote w:type="continuationSeparator" w:id="0">
    <w:p w14:paraId="63BD2B6E" w14:textId="77777777" w:rsidR="00124A95" w:rsidRDefault="00124A95" w:rsidP="00DC0AA1">
      <w:pPr>
        <w:spacing w:after="0"/>
      </w:pPr>
      <w:r>
        <w:continuationSeparator/>
      </w:r>
    </w:p>
  </w:endnote>
  <w:endnote w:type="continuationNotice" w:id="1">
    <w:p w14:paraId="600A07DD" w14:textId="77777777" w:rsidR="00124A95" w:rsidRDefault="00124A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62" w14:textId="3D51E46F" w:rsidR="00316ED1" w:rsidRPr="00931C93" w:rsidRDefault="00766CCD" w:rsidP="007C32E3">
    <w:pPr>
      <w:pStyle w:val="Footer"/>
    </w:pPr>
    <w:r>
      <w:t>Vulnerable Tenants and Leaseholders Policy</w:t>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fldSimple w:instr=" NUMPAGES  \* Arabic  \* MERGEFORMAT ">
      <w:r w:rsidR="00DC0AA1" w:rsidRPr="00931C93">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3060" w14:textId="77777777" w:rsidR="00124A95" w:rsidRDefault="00124A95" w:rsidP="00DC0AA1">
      <w:pPr>
        <w:spacing w:after="0"/>
      </w:pPr>
      <w:r>
        <w:separator/>
      </w:r>
    </w:p>
  </w:footnote>
  <w:footnote w:type="continuationSeparator" w:id="0">
    <w:p w14:paraId="53CA36B8" w14:textId="77777777" w:rsidR="00124A95" w:rsidRDefault="00124A95" w:rsidP="00DC0AA1">
      <w:pPr>
        <w:spacing w:after="0"/>
      </w:pPr>
      <w:r>
        <w:continuationSeparator/>
      </w:r>
    </w:p>
  </w:footnote>
  <w:footnote w:type="continuationNotice" w:id="1">
    <w:p w14:paraId="570D86E8" w14:textId="77777777" w:rsidR="00124A95" w:rsidRDefault="00124A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842"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3850" w14:textId="77777777" w:rsidR="00316ED1" w:rsidRPr="00777D19" w:rsidRDefault="00316ED1" w:rsidP="00777D19"/>
  <w:p w14:paraId="5DF42695" w14:textId="77777777" w:rsidR="00316ED1" w:rsidRDefault="00316ED1" w:rsidP="00FE5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E812"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7B145A"/>
    <w:multiLevelType w:val="multilevel"/>
    <w:tmpl w:val="38D0EE12"/>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 w15:restartNumberingAfterBreak="0">
    <w:nsid w:val="30184FEE"/>
    <w:multiLevelType w:val="hybridMultilevel"/>
    <w:tmpl w:val="677457DA"/>
    <w:lvl w:ilvl="0" w:tplc="98B83FCA">
      <w:start w:val="1"/>
      <w:numFmt w:val="lowerRoman"/>
      <w:pStyle w:val="RomanNumerals"/>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5578E"/>
    <w:multiLevelType w:val="hybridMultilevel"/>
    <w:tmpl w:val="30C0A596"/>
    <w:lvl w:ilvl="0" w:tplc="DF2C48BC">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10225D"/>
    <w:multiLevelType w:val="hybridMultilevel"/>
    <w:tmpl w:val="5C7465FE"/>
    <w:lvl w:ilvl="0" w:tplc="23E2F7F0">
      <w:start w:val="1"/>
      <w:numFmt w:val="lowerLetter"/>
      <w:pStyle w:val="abc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960777">
    <w:abstractNumId w:val="1"/>
  </w:num>
  <w:num w:numId="2" w16cid:durableId="1705208553">
    <w:abstractNumId w:val="0"/>
  </w:num>
  <w:num w:numId="3" w16cid:durableId="748619934">
    <w:abstractNumId w:val="2"/>
  </w:num>
  <w:num w:numId="4" w16cid:durableId="1175612746">
    <w:abstractNumId w:val="4"/>
  </w:num>
  <w:num w:numId="5" w16cid:durableId="1507580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3"/>
    <w:rsid w:val="000020DC"/>
    <w:rsid w:val="000170A7"/>
    <w:rsid w:val="00042CE3"/>
    <w:rsid w:val="00045607"/>
    <w:rsid w:val="00050AF7"/>
    <w:rsid w:val="00050E1F"/>
    <w:rsid w:val="00061541"/>
    <w:rsid w:val="00062AAD"/>
    <w:rsid w:val="0006671A"/>
    <w:rsid w:val="00076C28"/>
    <w:rsid w:val="0008384C"/>
    <w:rsid w:val="00091DD7"/>
    <w:rsid w:val="00097F1E"/>
    <w:rsid w:val="000C7F53"/>
    <w:rsid w:val="000D62B1"/>
    <w:rsid w:val="000F027E"/>
    <w:rsid w:val="000F4D8B"/>
    <w:rsid w:val="00114192"/>
    <w:rsid w:val="00124A95"/>
    <w:rsid w:val="0013455F"/>
    <w:rsid w:val="0013514C"/>
    <w:rsid w:val="00142076"/>
    <w:rsid w:val="00154C29"/>
    <w:rsid w:val="00184E25"/>
    <w:rsid w:val="00186A92"/>
    <w:rsid w:val="00195072"/>
    <w:rsid w:val="001A2C94"/>
    <w:rsid w:val="001C2084"/>
    <w:rsid w:val="001C29F6"/>
    <w:rsid w:val="001C343C"/>
    <w:rsid w:val="001D06DC"/>
    <w:rsid w:val="001D1BFD"/>
    <w:rsid w:val="001D66A2"/>
    <w:rsid w:val="001E4CC6"/>
    <w:rsid w:val="001F4309"/>
    <w:rsid w:val="002144E5"/>
    <w:rsid w:val="0021651B"/>
    <w:rsid w:val="00216994"/>
    <w:rsid w:val="00222E6A"/>
    <w:rsid w:val="00224595"/>
    <w:rsid w:val="0022705C"/>
    <w:rsid w:val="00257E27"/>
    <w:rsid w:val="00266F71"/>
    <w:rsid w:val="00290A61"/>
    <w:rsid w:val="00290D26"/>
    <w:rsid w:val="002951C5"/>
    <w:rsid w:val="00296F84"/>
    <w:rsid w:val="002B0D22"/>
    <w:rsid w:val="002D2F0B"/>
    <w:rsid w:val="002D3CF6"/>
    <w:rsid w:val="002E5F89"/>
    <w:rsid w:val="002F2B09"/>
    <w:rsid w:val="002F4369"/>
    <w:rsid w:val="003006E5"/>
    <w:rsid w:val="00300861"/>
    <w:rsid w:val="00301853"/>
    <w:rsid w:val="003038F2"/>
    <w:rsid w:val="00316ED1"/>
    <w:rsid w:val="0032442E"/>
    <w:rsid w:val="00324E1D"/>
    <w:rsid w:val="00324FCD"/>
    <w:rsid w:val="00337CF6"/>
    <w:rsid w:val="00340A5E"/>
    <w:rsid w:val="00354C28"/>
    <w:rsid w:val="00380ED9"/>
    <w:rsid w:val="00387221"/>
    <w:rsid w:val="00390FFD"/>
    <w:rsid w:val="003918DA"/>
    <w:rsid w:val="003A1621"/>
    <w:rsid w:val="003B294A"/>
    <w:rsid w:val="003B5BD1"/>
    <w:rsid w:val="003B6599"/>
    <w:rsid w:val="003C7E3F"/>
    <w:rsid w:val="003E2238"/>
    <w:rsid w:val="003E75E8"/>
    <w:rsid w:val="003F0F5D"/>
    <w:rsid w:val="003F373D"/>
    <w:rsid w:val="00427955"/>
    <w:rsid w:val="0043101F"/>
    <w:rsid w:val="00434FDB"/>
    <w:rsid w:val="0044064C"/>
    <w:rsid w:val="00441626"/>
    <w:rsid w:val="00447908"/>
    <w:rsid w:val="00467183"/>
    <w:rsid w:val="00485688"/>
    <w:rsid w:val="00495E66"/>
    <w:rsid w:val="004B4E78"/>
    <w:rsid w:val="004C259A"/>
    <w:rsid w:val="004D7FB8"/>
    <w:rsid w:val="004E1C12"/>
    <w:rsid w:val="004F5DE1"/>
    <w:rsid w:val="004F725B"/>
    <w:rsid w:val="0054289E"/>
    <w:rsid w:val="005443D5"/>
    <w:rsid w:val="00550665"/>
    <w:rsid w:val="00552435"/>
    <w:rsid w:val="00564CE8"/>
    <w:rsid w:val="00570FA0"/>
    <w:rsid w:val="00581AD7"/>
    <w:rsid w:val="0058686A"/>
    <w:rsid w:val="00595157"/>
    <w:rsid w:val="005A618C"/>
    <w:rsid w:val="005A7B93"/>
    <w:rsid w:val="005B7EE3"/>
    <w:rsid w:val="005C7D2F"/>
    <w:rsid w:val="005D25D4"/>
    <w:rsid w:val="005D398A"/>
    <w:rsid w:val="005E3E2F"/>
    <w:rsid w:val="005F4AF3"/>
    <w:rsid w:val="00601041"/>
    <w:rsid w:val="006176E9"/>
    <w:rsid w:val="00641A05"/>
    <w:rsid w:val="006462B8"/>
    <w:rsid w:val="006605C0"/>
    <w:rsid w:val="006616D1"/>
    <w:rsid w:val="0066664D"/>
    <w:rsid w:val="00672420"/>
    <w:rsid w:val="00677F1F"/>
    <w:rsid w:val="006B30DA"/>
    <w:rsid w:val="006B7A44"/>
    <w:rsid w:val="006B7A79"/>
    <w:rsid w:val="006C0A0D"/>
    <w:rsid w:val="006C16DD"/>
    <w:rsid w:val="006D0010"/>
    <w:rsid w:val="006D21A3"/>
    <w:rsid w:val="006D312C"/>
    <w:rsid w:val="006E1C8C"/>
    <w:rsid w:val="006E35EE"/>
    <w:rsid w:val="006F40B0"/>
    <w:rsid w:val="006F51CD"/>
    <w:rsid w:val="0070334B"/>
    <w:rsid w:val="007235F3"/>
    <w:rsid w:val="007302CA"/>
    <w:rsid w:val="00733F4D"/>
    <w:rsid w:val="00744284"/>
    <w:rsid w:val="007632B7"/>
    <w:rsid w:val="00766CCD"/>
    <w:rsid w:val="007914A8"/>
    <w:rsid w:val="007B449A"/>
    <w:rsid w:val="007D2518"/>
    <w:rsid w:val="00803E0D"/>
    <w:rsid w:val="0081073A"/>
    <w:rsid w:val="00826643"/>
    <w:rsid w:val="0084766C"/>
    <w:rsid w:val="0085234F"/>
    <w:rsid w:val="008572FF"/>
    <w:rsid w:val="00860613"/>
    <w:rsid w:val="00896FCB"/>
    <w:rsid w:val="008C41DF"/>
    <w:rsid w:val="008F386A"/>
    <w:rsid w:val="00900578"/>
    <w:rsid w:val="009008FA"/>
    <w:rsid w:val="00903C23"/>
    <w:rsid w:val="009051A4"/>
    <w:rsid w:val="00911B0A"/>
    <w:rsid w:val="00924E3F"/>
    <w:rsid w:val="00925EC8"/>
    <w:rsid w:val="00932F8A"/>
    <w:rsid w:val="0096042A"/>
    <w:rsid w:val="009639C1"/>
    <w:rsid w:val="00973C9D"/>
    <w:rsid w:val="009874B2"/>
    <w:rsid w:val="00992771"/>
    <w:rsid w:val="00996487"/>
    <w:rsid w:val="009A250D"/>
    <w:rsid w:val="009C2383"/>
    <w:rsid w:val="009E3268"/>
    <w:rsid w:val="009E5356"/>
    <w:rsid w:val="009F43CD"/>
    <w:rsid w:val="00A03AC5"/>
    <w:rsid w:val="00A06234"/>
    <w:rsid w:val="00A16FC0"/>
    <w:rsid w:val="00A254F4"/>
    <w:rsid w:val="00A25A09"/>
    <w:rsid w:val="00A324A6"/>
    <w:rsid w:val="00A37112"/>
    <w:rsid w:val="00A37161"/>
    <w:rsid w:val="00A42952"/>
    <w:rsid w:val="00A519C1"/>
    <w:rsid w:val="00A52A24"/>
    <w:rsid w:val="00A611F2"/>
    <w:rsid w:val="00A62058"/>
    <w:rsid w:val="00A63781"/>
    <w:rsid w:val="00A72EDC"/>
    <w:rsid w:val="00A87133"/>
    <w:rsid w:val="00A9345F"/>
    <w:rsid w:val="00AB5E2A"/>
    <w:rsid w:val="00AD353B"/>
    <w:rsid w:val="00AE3D55"/>
    <w:rsid w:val="00AF45F0"/>
    <w:rsid w:val="00B12E07"/>
    <w:rsid w:val="00B2645F"/>
    <w:rsid w:val="00B267ED"/>
    <w:rsid w:val="00B30334"/>
    <w:rsid w:val="00B34A07"/>
    <w:rsid w:val="00B37C25"/>
    <w:rsid w:val="00B41DA4"/>
    <w:rsid w:val="00B511F2"/>
    <w:rsid w:val="00B541A2"/>
    <w:rsid w:val="00B551A1"/>
    <w:rsid w:val="00B57CEC"/>
    <w:rsid w:val="00B819D7"/>
    <w:rsid w:val="00B81CAE"/>
    <w:rsid w:val="00B846CB"/>
    <w:rsid w:val="00B9007E"/>
    <w:rsid w:val="00B93946"/>
    <w:rsid w:val="00B9401F"/>
    <w:rsid w:val="00BA26D0"/>
    <w:rsid w:val="00BA4EDA"/>
    <w:rsid w:val="00BC4D0D"/>
    <w:rsid w:val="00BC5B2E"/>
    <w:rsid w:val="00BE0BCE"/>
    <w:rsid w:val="00C10561"/>
    <w:rsid w:val="00C128C8"/>
    <w:rsid w:val="00C14F50"/>
    <w:rsid w:val="00C31CA7"/>
    <w:rsid w:val="00C66F34"/>
    <w:rsid w:val="00C716B1"/>
    <w:rsid w:val="00C772B1"/>
    <w:rsid w:val="00C83793"/>
    <w:rsid w:val="00C96A26"/>
    <w:rsid w:val="00CA10D9"/>
    <w:rsid w:val="00CC1D7B"/>
    <w:rsid w:val="00CD6288"/>
    <w:rsid w:val="00CE1E18"/>
    <w:rsid w:val="00CF2687"/>
    <w:rsid w:val="00CF4ADE"/>
    <w:rsid w:val="00CF7D3C"/>
    <w:rsid w:val="00D11448"/>
    <w:rsid w:val="00D25E12"/>
    <w:rsid w:val="00D42166"/>
    <w:rsid w:val="00D454CA"/>
    <w:rsid w:val="00D46BF2"/>
    <w:rsid w:val="00D52438"/>
    <w:rsid w:val="00D731F4"/>
    <w:rsid w:val="00D76D9B"/>
    <w:rsid w:val="00DA51BD"/>
    <w:rsid w:val="00DB0198"/>
    <w:rsid w:val="00DB3315"/>
    <w:rsid w:val="00DB5458"/>
    <w:rsid w:val="00DC0AA1"/>
    <w:rsid w:val="00DC1BF1"/>
    <w:rsid w:val="00DC2350"/>
    <w:rsid w:val="00DD705B"/>
    <w:rsid w:val="00DE7D69"/>
    <w:rsid w:val="00E02115"/>
    <w:rsid w:val="00E122D9"/>
    <w:rsid w:val="00E129BA"/>
    <w:rsid w:val="00E2160C"/>
    <w:rsid w:val="00E27357"/>
    <w:rsid w:val="00E3313B"/>
    <w:rsid w:val="00E42380"/>
    <w:rsid w:val="00E4412C"/>
    <w:rsid w:val="00E5238E"/>
    <w:rsid w:val="00E622CA"/>
    <w:rsid w:val="00E62B29"/>
    <w:rsid w:val="00E635EA"/>
    <w:rsid w:val="00E65B85"/>
    <w:rsid w:val="00E92F42"/>
    <w:rsid w:val="00E93EDE"/>
    <w:rsid w:val="00EA3594"/>
    <w:rsid w:val="00EB198D"/>
    <w:rsid w:val="00EB5F76"/>
    <w:rsid w:val="00EC585B"/>
    <w:rsid w:val="00EC65DE"/>
    <w:rsid w:val="00EE2B0F"/>
    <w:rsid w:val="00EE5FDF"/>
    <w:rsid w:val="00EE6215"/>
    <w:rsid w:val="00EF0DE6"/>
    <w:rsid w:val="00EF5BC0"/>
    <w:rsid w:val="00F03DDC"/>
    <w:rsid w:val="00F04838"/>
    <w:rsid w:val="00F34B40"/>
    <w:rsid w:val="00F431ED"/>
    <w:rsid w:val="00F74AB4"/>
    <w:rsid w:val="00F8125C"/>
    <w:rsid w:val="00F81271"/>
    <w:rsid w:val="00F97417"/>
    <w:rsid w:val="00FA4E6B"/>
    <w:rsid w:val="00FB6D86"/>
    <w:rsid w:val="00FD35AA"/>
    <w:rsid w:val="00FE6667"/>
    <w:rsid w:val="00FF2B51"/>
    <w:rsid w:val="00FF3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AE5C"/>
  <w15:chartTrackingRefBased/>
  <w15:docId w15:val="{47DB815A-A399-4826-B902-84B2B41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552435"/>
    <w:pPr>
      <w:keepNext/>
      <w:keepLines/>
      <w:numPr>
        <w:ilvl w:val="1"/>
        <w:numId w:val="1"/>
      </w:numPr>
      <w:tabs>
        <w:tab w:val="left" w:pos="567"/>
      </w:tabs>
      <w:spacing w:after="120"/>
      <w:ind w:left="113" w:firstLine="0"/>
      <w:outlineLvl w:val="1"/>
    </w:pPr>
    <w:rPr>
      <w:rFonts w:eastAsia="Times New Roman" w:cs="Times New Roman"/>
      <w:b/>
      <w:color w:val="008800"/>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552435"/>
    <w:rPr>
      <w:rFonts w:ascii="Arial" w:eastAsia="Times New Roman" w:hAnsi="Arial" w:cs="Times New Roman"/>
      <w:b/>
      <w:color w:val="008800"/>
      <w:kern w:val="0"/>
      <w:sz w:val="24"/>
      <w:szCs w:val="24"/>
      <w:lang w:val="en-US"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paragraph" w:styleId="Header">
    <w:name w:val="header"/>
    <w:basedOn w:val="Normal"/>
    <w:link w:val="HeaderChar"/>
    <w:uiPriority w:val="99"/>
    <w:semiHidden/>
    <w:unhideWhenUsed/>
    <w:locked/>
    <w:rsid w:val="007914A8"/>
    <w:pPr>
      <w:tabs>
        <w:tab w:val="center" w:pos="4513"/>
        <w:tab w:val="right" w:pos="9026"/>
      </w:tabs>
      <w:spacing w:after="0"/>
    </w:pPr>
  </w:style>
  <w:style w:type="character" w:customStyle="1" w:styleId="HeaderChar">
    <w:name w:val="Header Char"/>
    <w:basedOn w:val="DefaultParagraphFont"/>
    <w:link w:val="Header"/>
    <w:uiPriority w:val="99"/>
    <w:semiHidden/>
    <w:rsid w:val="007914A8"/>
    <w:rPr>
      <w:rFonts w:ascii="Arial" w:hAnsi="Arial" w:cstheme="majorBidi"/>
      <w:color w:val="000000" w:themeColor="text1"/>
      <w:kern w:val="0"/>
      <w:sz w:val="24"/>
      <w:szCs w:val="32"/>
      <w14:ligatures w14:val="none"/>
    </w:rPr>
  </w:style>
  <w:style w:type="character" w:styleId="CommentReference">
    <w:name w:val="annotation reference"/>
    <w:basedOn w:val="DefaultParagraphFont"/>
    <w:uiPriority w:val="99"/>
    <w:semiHidden/>
    <w:unhideWhenUsed/>
    <w:rsid w:val="00495E66"/>
    <w:rPr>
      <w:sz w:val="16"/>
      <w:szCs w:val="16"/>
    </w:rPr>
  </w:style>
  <w:style w:type="paragraph" w:styleId="CommentText">
    <w:name w:val="annotation text"/>
    <w:basedOn w:val="Normal"/>
    <w:link w:val="CommentTextChar"/>
    <w:uiPriority w:val="99"/>
    <w:unhideWhenUsed/>
    <w:rsid w:val="00495E66"/>
    <w:rPr>
      <w:sz w:val="20"/>
      <w:szCs w:val="20"/>
    </w:rPr>
  </w:style>
  <w:style w:type="character" w:customStyle="1" w:styleId="CommentTextChar">
    <w:name w:val="Comment Text Char"/>
    <w:basedOn w:val="DefaultParagraphFont"/>
    <w:link w:val="CommentText"/>
    <w:uiPriority w:val="99"/>
    <w:rsid w:val="00495E66"/>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E66"/>
    <w:rPr>
      <w:b/>
      <w:bCs/>
    </w:rPr>
  </w:style>
  <w:style w:type="character" w:customStyle="1" w:styleId="CommentSubjectChar">
    <w:name w:val="Comment Subject Char"/>
    <w:basedOn w:val="CommentTextChar"/>
    <w:link w:val="CommentSubject"/>
    <w:uiPriority w:val="99"/>
    <w:semiHidden/>
    <w:rsid w:val="00495E66"/>
    <w:rPr>
      <w:rFonts w:ascii="Arial" w:hAnsi="Arial" w:cstheme="majorBidi"/>
      <w:b/>
      <w:bCs/>
      <w:color w:val="000000" w:themeColor="text1"/>
      <w:kern w:val="0"/>
      <w:sz w:val="20"/>
      <w:szCs w:val="20"/>
      <w14:ligatures w14:val="none"/>
    </w:rPr>
  </w:style>
  <w:style w:type="paragraph" w:styleId="NormalWeb">
    <w:name w:val="Normal (Web)"/>
    <w:basedOn w:val="Normal"/>
    <w:uiPriority w:val="99"/>
    <w:unhideWhenUsed/>
    <w:locked/>
    <w:rsid w:val="00A16FC0"/>
    <w:pPr>
      <w:spacing w:before="100" w:beforeAutospacing="1" w:after="100" w:afterAutospacing="1"/>
    </w:pPr>
    <w:rPr>
      <w:rFonts w:ascii="Times New Roman" w:eastAsia="Times New Roman" w:hAnsi="Times New Roman" w:cs="Times New Roman"/>
      <w:color w:val="auto"/>
      <w:szCs w:val="24"/>
      <w:lang w:eastAsia="en-GB"/>
    </w:rPr>
  </w:style>
  <w:style w:type="paragraph" w:customStyle="1" w:styleId="paragraph">
    <w:name w:val="paragraph"/>
    <w:basedOn w:val="Normal"/>
    <w:rsid w:val="004F5DE1"/>
    <w:pPr>
      <w:spacing w:before="100" w:beforeAutospacing="1" w:after="100" w:afterAutospacing="1"/>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4F5DE1"/>
  </w:style>
  <w:style w:type="character" w:customStyle="1" w:styleId="eop">
    <w:name w:val="eop"/>
    <w:basedOn w:val="DefaultParagraphFont"/>
    <w:rsid w:val="004F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F96B12EC9E277847A9068EEFAA42A88A" ma:contentTypeVersion="17" ma:contentTypeDescription="Template for creating both new Policies &amp; Procedures Documents." ma:contentTypeScope="" ma:versionID="3196fdfced66c2335842691077ba97b9">
  <xsd:schema xmlns:xsd="http://www.w3.org/2001/XMLSchema" xmlns:xs="http://www.w3.org/2001/XMLSchema" xmlns:p="http://schemas.microsoft.com/office/2006/metadata/properties" xmlns:ns1="http://schemas.microsoft.com/sharepoint/v3" xmlns:ns2="beb44f32-11e0-4c3f-a51c-b161ad23a77b" xmlns:ns3="63a41b16-6feb-49be-a44c-c1e291ffd80a" xmlns:ns4="http://schemas.microsoft.com/sharepoint/v3/fields" targetNamespace="http://schemas.microsoft.com/office/2006/metadata/properties" ma:root="true" ma:fieldsID="0f953292d19dcc6a313bc6dddbd02262" ns1:_="" ns2:_="" ns3:_="" ns4:_="">
    <xsd:import namespace="http://schemas.microsoft.com/sharepoint/v3"/>
    <xsd:import namespace="beb44f32-11e0-4c3f-a51c-b161ad23a77b"/>
    <xsd:import namespace="63a41b16-6feb-49be-a44c-c1e291ffd80a"/>
    <xsd:import namespace="http://schemas.microsoft.com/sharepoint/v3/fields"/>
    <xsd:element name="properties">
      <xsd:complexType>
        <xsd:sequence>
          <xsd:element name="documentManagement">
            <xsd:complexType>
              <xsd:all>
                <xsd:element ref="ns2:Function"/>
                <xsd:element ref="ns1:_ExtendedDescription" minOccurs="0"/>
                <xsd:element ref="ns3:Document_x0020_Type"/>
                <xsd:element ref="ns4:_Status"/>
                <xsd:element ref="ns3:Owner"/>
                <xsd:element ref="ns3:Approval_x0020_Level" minOccurs="0"/>
                <xsd:element ref="ns3:Audience"/>
                <xsd:element ref="ns3:EQIA"/>
                <xsd:element ref="ns3:Resident_x0020_Consultation"/>
                <xsd:element ref="ns3:Planned_x0020_Review_x0020_Date"/>
                <xsd:element ref="ns3:Review_x0020_Cycl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44f32-11e0-4c3f-a51c-b161ad23a77b"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Community Partnerships"/>
          <xsd:enumeration value="Environmental Services"/>
          <xsd:enumeration value="Leasehold Services"/>
          <xsd:enumeration value="Neighbourhoods"/>
          <xsd:enumeration value="Rents"/>
          <xsd:enumeration value="HSC"/>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4"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6"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7"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8" ma:displayName="Audience" ma:format="Dropdown" ma:internalName="Audience">
      <xsd:simpleType>
        <xsd:restriction base="dms:Choice">
          <xsd:enumeration value="Internal"/>
          <xsd:enumeration value="External"/>
          <xsd:enumeration value="Internal &amp; External"/>
        </xsd:restriction>
      </xsd:simpleType>
    </xsd:element>
    <xsd:element name="EQIA" ma:index="9"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10"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1" ma:displayName="Planned Review Date" ma:format="DateOnly" ma:internalName="Planned_x0020_Review_x0020_Date">
      <xsd:simpleType>
        <xsd:restriction base="dms:DateTime"/>
      </xsd:simpleType>
    </xsd:element>
    <xsd:element name="Review_x0020_Cycle" ma:index="12"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QIA xmlns="63a41b16-6feb-49be-a44c-c1e291ffd80a">Yes</EQIA>
    <Document_x0020_Type xmlns="63a41b16-6feb-49be-a44c-c1e291ffd80a">Policy</Document_x0020_Type>
    <Review_x0020_Cycle xmlns="63a41b16-6feb-49be-a44c-c1e291ffd80a">3 Years</Review_x0020_Cycle>
    <Audience xmlns="63a41b16-6feb-49be-a44c-c1e291ffd80a">Internal &amp; External</Audience>
    <Approval_x0020_Level xmlns="63a41b16-6feb-49be-a44c-c1e291ffd80a">
      <Value>N/A</Value>
    </Approval_x0020_Level>
    <_Status xmlns="http://schemas.microsoft.com/sharepoint/v3/fields">Published</_Status>
    <_ExtendedDescription xmlns="http://schemas.microsoft.com/sharepoint/v3" xsi:nil="true"/>
    <Owner xmlns="63a41b16-6feb-49be-a44c-c1e291ffd80a">
      <UserInfo>
        <DisplayName>Gulam Hussain</DisplayName>
        <AccountId>39</AccountId>
        <AccountType/>
      </UserInfo>
    </Owner>
    <Function xmlns="beb44f32-11e0-4c3f-a51c-b161ad23a77b">Neighbourhoods</Function>
    <Planned_x0020_Review_x0020_Date xmlns="63a41b16-6feb-49be-a44c-c1e291ffd80a">2028-08-31T23:00:00+00:00</Planned_x0020_Review_x0020_Date>
    <Resident_x0020_Consultation xmlns="63a41b16-6feb-49be-a44c-c1e291ffd80a">N/A</Resident_x0020_Consult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3DD0-5F8B-4326-A498-C0D22EA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b44f32-11e0-4c3f-a51c-b161ad23a77b"/>
    <ds:schemaRef ds:uri="63a41b16-6feb-49be-a44c-c1e291ffd8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9A73A-70A6-4792-9FED-5CF00C51BD8D}">
  <ds:schemaRefs>
    <ds:schemaRef ds:uri="http://schemas.microsoft.com/office/2006/metadata/properties"/>
    <ds:schemaRef ds:uri="http://schemas.microsoft.com/office/infopath/2007/PartnerControls"/>
    <ds:schemaRef ds:uri="63a41b16-6feb-49be-a44c-c1e291ffd80a"/>
    <ds:schemaRef ds:uri="http://schemas.microsoft.com/sharepoint/v3/fields"/>
    <ds:schemaRef ds:uri="http://schemas.microsoft.com/sharepoint/v3"/>
    <ds:schemaRef ds:uri="beb44f32-11e0-4c3f-a51c-b161ad23a77b"/>
  </ds:schemaRefs>
</ds:datastoreItem>
</file>

<file path=customXml/itemProps3.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4.xml><?xml version="1.0" encoding="utf-8"?>
<ds:datastoreItem xmlns:ds="http://schemas.openxmlformats.org/officeDocument/2006/customXml" ds:itemID="{E574D664-5597-4A31-9BE7-093343AF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13</Pages>
  <Words>4142</Words>
  <Characters>23905</Characters>
  <Application>Microsoft Office Word</Application>
  <DocSecurity>0</DocSecurity>
  <Lines>1838</Lines>
  <Paragraphs>779</Paragraphs>
  <ScaleCrop>false</ScaleCrop>
  <HeadingPairs>
    <vt:vector size="2" baseType="variant">
      <vt:variant>
        <vt:lpstr>Title</vt:lpstr>
      </vt:variant>
      <vt:variant>
        <vt:i4>1</vt:i4>
      </vt:variant>
    </vt:vector>
  </HeadingPairs>
  <TitlesOfParts>
    <vt:vector size="1" baseType="lpstr">
      <vt:lpstr>Vulnerable Tenants and Leaseholders Policy</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Vulnerable Tenants and Leaseholders Policy</dc:title>
  <dc:subject/>
  <dc:creator>Tyran Pierre</dc:creator>
  <cp:keywords/>
  <dc:description/>
  <cp:lastModifiedBy>Lisa Sykes</cp:lastModifiedBy>
  <cp:revision>85</cp:revision>
  <dcterms:created xsi:type="dcterms:W3CDTF">2025-12-15T10:58:00Z</dcterms:created>
  <dcterms:modified xsi:type="dcterms:W3CDTF">2025-12-16T15:24:00Z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0x0101001C71EB6EB42EF242ADEEEF0D01C9D84600F96B12EC9E277847A9068EEFAA42A88A</vt:lpwstr>
  </property>
</Properties>
</file>