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DE9" w:rsidRPr="00A300A7" w:rsidRDefault="00140DE9">
      <w:pPr>
        <w:rPr>
          <w:rFonts w:cs="Arial"/>
          <w:sz w:val="23"/>
          <w:szCs w:val="23"/>
        </w:rPr>
      </w:pPr>
    </w:p>
    <w:p w:rsidR="005B77EE" w:rsidRPr="00A300A7" w:rsidRDefault="005B77EE">
      <w:pPr>
        <w:rPr>
          <w:rFonts w:cs="Arial"/>
          <w:sz w:val="23"/>
          <w:szCs w:val="23"/>
        </w:rPr>
      </w:pPr>
    </w:p>
    <w:p w:rsidR="005B77EE" w:rsidRPr="00A300A7" w:rsidRDefault="005B77EE">
      <w:pPr>
        <w:rPr>
          <w:rFonts w:cs="Arial"/>
          <w:sz w:val="23"/>
          <w:szCs w:val="23"/>
        </w:rPr>
      </w:pPr>
    </w:p>
    <w:tbl>
      <w:tblPr>
        <w:tblStyle w:val="TableGrid"/>
        <w:tblW w:w="0" w:type="auto"/>
        <w:tblLook w:val="04A0" w:firstRow="1" w:lastRow="0" w:firstColumn="1" w:lastColumn="0" w:noHBand="0" w:noVBand="1"/>
      </w:tblPr>
      <w:tblGrid>
        <w:gridCol w:w="2130"/>
        <w:gridCol w:w="3648"/>
        <w:gridCol w:w="5670"/>
        <w:gridCol w:w="2410"/>
      </w:tblGrid>
      <w:tr w:rsidR="0092543F" w:rsidRPr="0092543F" w:rsidTr="00FE23CE">
        <w:tc>
          <w:tcPr>
            <w:tcW w:w="13858" w:type="dxa"/>
            <w:gridSpan w:val="4"/>
          </w:tcPr>
          <w:p w:rsidR="0092543F" w:rsidRDefault="0092543F" w:rsidP="0032021E">
            <w:pPr>
              <w:spacing w:before="60" w:after="60"/>
              <w:rPr>
                <w:rFonts w:cs="Arial"/>
                <w:b/>
                <w:sz w:val="23"/>
                <w:szCs w:val="23"/>
              </w:rPr>
            </w:pPr>
            <w:r w:rsidRPr="0092543F">
              <w:rPr>
                <w:rFonts w:cs="Arial"/>
                <w:b/>
                <w:sz w:val="23"/>
                <w:szCs w:val="23"/>
              </w:rPr>
              <w:t xml:space="preserve">TOWER HAMLETS –KEY ACTIONS FROM ICO AUDIT </w:t>
            </w:r>
          </w:p>
          <w:p w:rsidR="0092543F" w:rsidRPr="0092543F" w:rsidRDefault="0092543F" w:rsidP="0032021E">
            <w:pPr>
              <w:spacing w:before="60" w:after="60"/>
              <w:rPr>
                <w:rFonts w:cs="Arial"/>
                <w:b/>
                <w:sz w:val="23"/>
                <w:szCs w:val="23"/>
              </w:rPr>
            </w:pPr>
          </w:p>
        </w:tc>
      </w:tr>
      <w:tr w:rsidR="005B77EE" w:rsidRPr="00A300A7" w:rsidTr="00A300A7">
        <w:tc>
          <w:tcPr>
            <w:tcW w:w="2130" w:type="dxa"/>
          </w:tcPr>
          <w:p w:rsidR="005B77EE" w:rsidRPr="00A300A7" w:rsidRDefault="003073C9" w:rsidP="0032021E">
            <w:pPr>
              <w:spacing w:before="60" w:after="60"/>
              <w:rPr>
                <w:rFonts w:cs="Arial"/>
                <w:sz w:val="23"/>
                <w:szCs w:val="23"/>
              </w:rPr>
            </w:pPr>
            <w:r w:rsidRPr="00A300A7">
              <w:rPr>
                <w:rFonts w:cs="Arial"/>
                <w:sz w:val="23"/>
                <w:szCs w:val="23"/>
              </w:rPr>
              <w:t>Topic</w:t>
            </w:r>
          </w:p>
        </w:tc>
        <w:tc>
          <w:tcPr>
            <w:tcW w:w="3648" w:type="dxa"/>
          </w:tcPr>
          <w:p w:rsidR="005B77EE" w:rsidRPr="00A300A7" w:rsidRDefault="003073C9" w:rsidP="0032021E">
            <w:pPr>
              <w:spacing w:before="60" w:after="60"/>
              <w:rPr>
                <w:rFonts w:cs="Arial"/>
                <w:sz w:val="23"/>
                <w:szCs w:val="23"/>
              </w:rPr>
            </w:pPr>
            <w:r w:rsidRPr="00A300A7">
              <w:rPr>
                <w:rFonts w:cs="Arial"/>
                <w:sz w:val="23"/>
                <w:szCs w:val="23"/>
              </w:rPr>
              <w:t>Recommendation</w:t>
            </w:r>
          </w:p>
        </w:tc>
        <w:tc>
          <w:tcPr>
            <w:tcW w:w="5670" w:type="dxa"/>
          </w:tcPr>
          <w:p w:rsidR="005B77EE" w:rsidRPr="00A300A7" w:rsidRDefault="003073C9" w:rsidP="0032021E">
            <w:pPr>
              <w:spacing w:before="60" w:after="60"/>
              <w:rPr>
                <w:rFonts w:cs="Arial"/>
                <w:sz w:val="23"/>
                <w:szCs w:val="23"/>
              </w:rPr>
            </w:pPr>
            <w:r w:rsidRPr="00A300A7">
              <w:rPr>
                <w:rFonts w:cs="Arial"/>
                <w:sz w:val="23"/>
                <w:szCs w:val="23"/>
              </w:rPr>
              <w:t>Action Plan</w:t>
            </w:r>
          </w:p>
        </w:tc>
        <w:tc>
          <w:tcPr>
            <w:tcW w:w="2410" w:type="dxa"/>
          </w:tcPr>
          <w:p w:rsidR="005B77EE" w:rsidRPr="00A300A7" w:rsidRDefault="003073C9" w:rsidP="0032021E">
            <w:pPr>
              <w:spacing w:before="60" w:after="60"/>
              <w:rPr>
                <w:rFonts w:cs="Arial"/>
                <w:sz w:val="23"/>
                <w:szCs w:val="23"/>
              </w:rPr>
            </w:pPr>
            <w:r w:rsidRPr="00A300A7">
              <w:rPr>
                <w:rFonts w:cs="Arial"/>
                <w:sz w:val="23"/>
                <w:szCs w:val="23"/>
              </w:rPr>
              <w:t>Who and when</w:t>
            </w:r>
          </w:p>
        </w:tc>
      </w:tr>
      <w:tr w:rsidR="005B77EE" w:rsidRPr="00A300A7" w:rsidTr="00A300A7">
        <w:tc>
          <w:tcPr>
            <w:tcW w:w="2130" w:type="dxa"/>
          </w:tcPr>
          <w:p w:rsidR="005B77EE" w:rsidRPr="00A300A7" w:rsidRDefault="005B77EE" w:rsidP="0032021E">
            <w:pPr>
              <w:spacing w:before="60" w:after="60"/>
              <w:rPr>
                <w:rFonts w:cs="Arial"/>
                <w:sz w:val="23"/>
                <w:szCs w:val="23"/>
              </w:rPr>
            </w:pPr>
            <w:r w:rsidRPr="00A300A7">
              <w:rPr>
                <w:rFonts w:cs="Arial"/>
                <w:sz w:val="23"/>
                <w:szCs w:val="23"/>
              </w:rPr>
              <w:t>Information Asset Register</w:t>
            </w:r>
          </w:p>
          <w:p w:rsidR="00E42951" w:rsidRPr="00A300A7" w:rsidRDefault="00E42951" w:rsidP="0032021E">
            <w:pPr>
              <w:spacing w:before="60" w:after="60"/>
              <w:rPr>
                <w:rFonts w:cs="Arial"/>
                <w:sz w:val="23"/>
                <w:szCs w:val="23"/>
              </w:rPr>
            </w:pPr>
          </w:p>
          <w:p w:rsidR="00E42951" w:rsidRPr="00A300A7" w:rsidRDefault="00E42951" w:rsidP="0032021E">
            <w:pPr>
              <w:spacing w:before="60" w:after="60"/>
              <w:rPr>
                <w:rFonts w:cs="Arial"/>
                <w:sz w:val="23"/>
                <w:szCs w:val="23"/>
              </w:rPr>
            </w:pPr>
          </w:p>
        </w:tc>
        <w:tc>
          <w:tcPr>
            <w:tcW w:w="3648" w:type="dxa"/>
          </w:tcPr>
          <w:p w:rsidR="005B77EE" w:rsidRPr="00A300A7" w:rsidRDefault="00871231" w:rsidP="0032021E">
            <w:pPr>
              <w:spacing w:before="60" w:after="60"/>
              <w:rPr>
                <w:rFonts w:cs="Arial"/>
                <w:sz w:val="23"/>
                <w:szCs w:val="23"/>
              </w:rPr>
            </w:pPr>
            <w:r w:rsidRPr="00A300A7">
              <w:rPr>
                <w:rFonts w:cs="Arial"/>
                <w:sz w:val="23"/>
                <w:szCs w:val="23"/>
              </w:rPr>
              <w:t>Further development of the Information Asset Register is required, to include manual records, and be linked to the Council's retention schedules. This will enable these assets to be identified, have owners and be appropriately monitored.</w:t>
            </w:r>
          </w:p>
        </w:tc>
        <w:tc>
          <w:tcPr>
            <w:tcW w:w="5670" w:type="dxa"/>
          </w:tcPr>
          <w:p w:rsidR="0083043E" w:rsidRPr="00A300A7" w:rsidRDefault="000B4F3F" w:rsidP="0032021E">
            <w:pPr>
              <w:spacing w:before="60" w:after="60"/>
              <w:rPr>
                <w:rFonts w:cs="Arial"/>
                <w:sz w:val="23"/>
                <w:szCs w:val="23"/>
              </w:rPr>
            </w:pPr>
            <w:r>
              <w:rPr>
                <w:rFonts w:cs="Arial"/>
                <w:sz w:val="23"/>
                <w:szCs w:val="23"/>
              </w:rPr>
              <w:t xml:space="preserve">Complete </w:t>
            </w:r>
            <w:r w:rsidR="0083043E" w:rsidRPr="00A300A7">
              <w:rPr>
                <w:rFonts w:cs="Arial"/>
                <w:sz w:val="23"/>
                <w:szCs w:val="23"/>
              </w:rPr>
              <w:t xml:space="preserve">the </w:t>
            </w:r>
            <w:r w:rsidR="00FF4371" w:rsidRPr="00A300A7">
              <w:rPr>
                <w:rFonts w:cs="Arial"/>
                <w:sz w:val="23"/>
                <w:szCs w:val="23"/>
              </w:rPr>
              <w:t>Information Asset Register</w:t>
            </w:r>
            <w:r>
              <w:rPr>
                <w:rFonts w:cs="Arial"/>
                <w:sz w:val="23"/>
                <w:szCs w:val="23"/>
              </w:rPr>
              <w:t xml:space="preserve"> in accordance with the current work plan, preparing</w:t>
            </w:r>
            <w:r w:rsidR="0083043E" w:rsidRPr="00A300A7">
              <w:rPr>
                <w:rFonts w:cs="Arial"/>
                <w:sz w:val="23"/>
                <w:szCs w:val="23"/>
              </w:rPr>
              <w:t xml:space="preserve"> a single Information Asset Register which combines the Council’s electronic and paper records. The register </w:t>
            </w:r>
            <w:r w:rsidR="00A300A7" w:rsidRPr="00A300A7">
              <w:rPr>
                <w:rFonts w:cs="Arial"/>
                <w:sz w:val="23"/>
                <w:szCs w:val="23"/>
              </w:rPr>
              <w:t>will</w:t>
            </w:r>
            <w:r w:rsidR="0083043E" w:rsidRPr="00A300A7">
              <w:rPr>
                <w:rFonts w:cs="Arial"/>
                <w:sz w:val="23"/>
                <w:szCs w:val="23"/>
              </w:rPr>
              <w:t xml:space="preserve"> have an owner, be regularly reviewed and include details of who is responsible for the assets, where they are stored, who has access to them and what (if any) personal data they contain</w:t>
            </w:r>
            <w:r w:rsidR="003E42C9" w:rsidRPr="00A300A7">
              <w:rPr>
                <w:rFonts w:cs="Arial"/>
                <w:sz w:val="23"/>
                <w:szCs w:val="23"/>
              </w:rPr>
              <w:t>.</w:t>
            </w:r>
          </w:p>
          <w:p w:rsidR="003E42C9" w:rsidRPr="00A300A7" w:rsidRDefault="003E42C9" w:rsidP="0032021E">
            <w:pPr>
              <w:spacing w:before="60" w:after="60"/>
              <w:rPr>
                <w:rFonts w:cs="Arial"/>
                <w:sz w:val="23"/>
                <w:szCs w:val="23"/>
              </w:rPr>
            </w:pPr>
          </w:p>
        </w:tc>
        <w:tc>
          <w:tcPr>
            <w:tcW w:w="2410" w:type="dxa"/>
          </w:tcPr>
          <w:p w:rsidR="0083043E" w:rsidRPr="00A300A7" w:rsidRDefault="0083043E" w:rsidP="0032021E">
            <w:pPr>
              <w:spacing w:before="60" w:after="60"/>
              <w:rPr>
                <w:rFonts w:cs="Arial"/>
                <w:sz w:val="23"/>
                <w:szCs w:val="23"/>
              </w:rPr>
            </w:pPr>
            <w:r w:rsidRPr="00A300A7">
              <w:rPr>
                <w:rFonts w:cs="Arial"/>
                <w:sz w:val="23"/>
                <w:szCs w:val="23"/>
              </w:rPr>
              <w:t>31 March 2015   Service Head - Legal Services</w:t>
            </w:r>
          </w:p>
          <w:p w:rsidR="003E42C9" w:rsidRPr="00A300A7" w:rsidRDefault="003E42C9" w:rsidP="0032021E">
            <w:pPr>
              <w:spacing w:before="60" w:after="60"/>
              <w:rPr>
                <w:rFonts w:cs="Arial"/>
                <w:sz w:val="23"/>
                <w:szCs w:val="23"/>
              </w:rPr>
            </w:pPr>
          </w:p>
        </w:tc>
      </w:tr>
      <w:tr w:rsidR="000B4F3F" w:rsidRPr="00A300A7" w:rsidTr="00A300A7">
        <w:tc>
          <w:tcPr>
            <w:tcW w:w="2130" w:type="dxa"/>
          </w:tcPr>
          <w:p w:rsidR="000B4F3F" w:rsidRPr="00A300A7" w:rsidRDefault="000B4F3F" w:rsidP="000B4F3F">
            <w:pPr>
              <w:spacing w:before="60" w:after="60"/>
              <w:rPr>
                <w:rFonts w:cs="Arial"/>
                <w:sz w:val="23"/>
                <w:szCs w:val="23"/>
              </w:rPr>
            </w:pPr>
          </w:p>
        </w:tc>
        <w:tc>
          <w:tcPr>
            <w:tcW w:w="3648" w:type="dxa"/>
          </w:tcPr>
          <w:p w:rsidR="000B4F3F" w:rsidRPr="00A300A7" w:rsidRDefault="000B4F3F" w:rsidP="000B4F3F">
            <w:pPr>
              <w:spacing w:before="60" w:after="60"/>
              <w:rPr>
                <w:rFonts w:cs="Arial"/>
                <w:sz w:val="23"/>
                <w:szCs w:val="23"/>
              </w:rPr>
            </w:pPr>
          </w:p>
        </w:tc>
        <w:tc>
          <w:tcPr>
            <w:tcW w:w="5670" w:type="dxa"/>
          </w:tcPr>
          <w:p w:rsidR="000B4F3F" w:rsidRPr="00A300A7" w:rsidDel="000B4F3F" w:rsidRDefault="000B4F3F" w:rsidP="000B4F3F">
            <w:pPr>
              <w:spacing w:before="60" w:after="60"/>
              <w:rPr>
                <w:rFonts w:cs="Arial"/>
                <w:sz w:val="23"/>
                <w:szCs w:val="23"/>
              </w:rPr>
            </w:pPr>
            <w:r>
              <w:rPr>
                <w:rFonts w:cs="Arial"/>
                <w:sz w:val="23"/>
                <w:szCs w:val="23"/>
              </w:rPr>
              <w:t>C</w:t>
            </w:r>
            <w:r w:rsidRPr="00A300A7">
              <w:rPr>
                <w:rFonts w:cs="Arial"/>
                <w:sz w:val="23"/>
                <w:szCs w:val="23"/>
              </w:rPr>
              <w:t xml:space="preserve">ontinue </w:t>
            </w:r>
            <w:r>
              <w:rPr>
                <w:rFonts w:cs="Arial"/>
                <w:sz w:val="23"/>
                <w:szCs w:val="23"/>
              </w:rPr>
              <w:t>the</w:t>
            </w:r>
            <w:r w:rsidRPr="00A300A7">
              <w:rPr>
                <w:rFonts w:cs="Arial"/>
                <w:sz w:val="23"/>
                <w:szCs w:val="23"/>
              </w:rPr>
              <w:t xml:space="preserve"> work of interlinking the Information Asset Register with systems information.</w:t>
            </w:r>
          </w:p>
        </w:tc>
        <w:tc>
          <w:tcPr>
            <w:tcW w:w="2410" w:type="dxa"/>
          </w:tcPr>
          <w:p w:rsidR="000B4F3F" w:rsidRPr="00A300A7" w:rsidRDefault="000B4F3F" w:rsidP="000B4F3F">
            <w:pPr>
              <w:spacing w:before="60" w:after="60"/>
              <w:rPr>
                <w:rFonts w:cs="Arial"/>
                <w:sz w:val="23"/>
                <w:szCs w:val="23"/>
              </w:rPr>
            </w:pPr>
            <w:r w:rsidRPr="00A300A7">
              <w:rPr>
                <w:rFonts w:cs="Arial"/>
                <w:sz w:val="23"/>
                <w:szCs w:val="23"/>
              </w:rPr>
              <w:t>31 March 2015   Service Head - ICT</w:t>
            </w:r>
          </w:p>
        </w:tc>
      </w:tr>
      <w:tr w:rsidR="0083043E" w:rsidRPr="00A300A7" w:rsidTr="00A300A7">
        <w:tc>
          <w:tcPr>
            <w:tcW w:w="2130" w:type="dxa"/>
          </w:tcPr>
          <w:p w:rsidR="0083043E" w:rsidRPr="00A300A7" w:rsidRDefault="0083043E" w:rsidP="0032021E">
            <w:pPr>
              <w:spacing w:before="60" w:after="60"/>
              <w:rPr>
                <w:rFonts w:cs="Arial"/>
                <w:sz w:val="23"/>
                <w:szCs w:val="23"/>
              </w:rPr>
            </w:pPr>
            <w:r w:rsidRPr="00A300A7">
              <w:rPr>
                <w:rFonts w:cs="Arial"/>
                <w:sz w:val="23"/>
                <w:szCs w:val="23"/>
              </w:rPr>
              <w:t>Records Management</w:t>
            </w:r>
          </w:p>
          <w:p w:rsidR="0083043E" w:rsidRPr="00A300A7" w:rsidRDefault="0083043E" w:rsidP="0032021E">
            <w:pPr>
              <w:spacing w:before="60" w:after="60"/>
              <w:rPr>
                <w:rFonts w:cs="Arial"/>
                <w:sz w:val="23"/>
                <w:szCs w:val="23"/>
              </w:rPr>
            </w:pPr>
          </w:p>
          <w:p w:rsidR="0083043E" w:rsidRPr="00A300A7" w:rsidRDefault="0083043E" w:rsidP="0032021E">
            <w:pPr>
              <w:spacing w:before="60" w:after="60"/>
              <w:rPr>
                <w:rFonts w:cs="Arial"/>
                <w:sz w:val="23"/>
                <w:szCs w:val="23"/>
              </w:rPr>
            </w:pPr>
            <w:r w:rsidRPr="00A300A7">
              <w:rPr>
                <w:rFonts w:cs="Arial"/>
                <w:sz w:val="23"/>
                <w:szCs w:val="23"/>
              </w:rPr>
              <w:t>Performance measures and risk</w:t>
            </w:r>
          </w:p>
          <w:p w:rsidR="0083043E" w:rsidRPr="00A300A7" w:rsidRDefault="0083043E" w:rsidP="0032021E">
            <w:pPr>
              <w:spacing w:before="60" w:after="60"/>
              <w:rPr>
                <w:rFonts w:cs="Arial"/>
                <w:sz w:val="23"/>
                <w:szCs w:val="23"/>
              </w:rPr>
            </w:pPr>
          </w:p>
        </w:tc>
        <w:tc>
          <w:tcPr>
            <w:tcW w:w="3648" w:type="dxa"/>
          </w:tcPr>
          <w:p w:rsidR="0083043E" w:rsidRPr="00A300A7" w:rsidRDefault="0083043E" w:rsidP="0032021E">
            <w:pPr>
              <w:spacing w:before="60" w:after="60"/>
              <w:rPr>
                <w:rFonts w:cs="Arial"/>
                <w:sz w:val="23"/>
                <w:szCs w:val="23"/>
              </w:rPr>
            </w:pPr>
            <w:r w:rsidRPr="00A300A7">
              <w:rPr>
                <w:rFonts w:cs="Arial"/>
                <w:sz w:val="23"/>
                <w:szCs w:val="23"/>
              </w:rPr>
              <w:t xml:space="preserve">The Complaints and Information team and the </w:t>
            </w:r>
            <w:r w:rsidR="00FF4371" w:rsidRPr="00A300A7">
              <w:rPr>
                <w:rFonts w:cs="Arial"/>
                <w:sz w:val="23"/>
                <w:szCs w:val="23"/>
              </w:rPr>
              <w:t>I</w:t>
            </w:r>
            <w:r w:rsidR="00FF4371">
              <w:rPr>
                <w:rFonts w:cs="Arial"/>
                <w:sz w:val="23"/>
                <w:szCs w:val="23"/>
              </w:rPr>
              <w:t xml:space="preserve">nformation </w:t>
            </w:r>
            <w:r w:rsidRPr="00A300A7">
              <w:rPr>
                <w:rFonts w:cs="Arial"/>
                <w:sz w:val="23"/>
                <w:szCs w:val="23"/>
              </w:rPr>
              <w:t>G</w:t>
            </w:r>
            <w:r w:rsidR="00FF4371">
              <w:rPr>
                <w:rFonts w:cs="Arial"/>
                <w:sz w:val="23"/>
                <w:szCs w:val="23"/>
              </w:rPr>
              <w:t xml:space="preserve">overnance </w:t>
            </w:r>
            <w:r w:rsidRPr="00A300A7">
              <w:rPr>
                <w:rFonts w:cs="Arial"/>
                <w:sz w:val="23"/>
                <w:szCs w:val="23"/>
              </w:rPr>
              <w:t>G</w:t>
            </w:r>
            <w:r w:rsidR="00FF4371">
              <w:rPr>
                <w:rFonts w:cs="Arial"/>
                <w:sz w:val="23"/>
                <w:szCs w:val="23"/>
              </w:rPr>
              <w:t>roup</w:t>
            </w:r>
            <w:r w:rsidRPr="00A300A7">
              <w:rPr>
                <w:rFonts w:cs="Arial"/>
                <w:sz w:val="23"/>
                <w:szCs w:val="23"/>
              </w:rPr>
              <w:t xml:space="preserve"> provide the focus on the records management function. However, this could be improved by identifying performance measures that reflect their records management responsibilities and ascertain the risks that non-compliance with </w:t>
            </w:r>
            <w:r w:rsidRPr="00A300A7">
              <w:rPr>
                <w:rFonts w:cs="Arial"/>
                <w:sz w:val="23"/>
                <w:szCs w:val="23"/>
              </w:rPr>
              <w:lastRenderedPageBreak/>
              <w:t>the Lord Chancellors Code of Practice on Records Management may present to the authority. Both performance measures and risks which have been identified should be documented and regularly reported to the Information Governance Group.</w:t>
            </w:r>
          </w:p>
        </w:tc>
        <w:tc>
          <w:tcPr>
            <w:tcW w:w="5670" w:type="dxa"/>
          </w:tcPr>
          <w:p w:rsidR="0083043E" w:rsidRPr="00A300A7" w:rsidRDefault="0083043E" w:rsidP="0032021E">
            <w:pPr>
              <w:spacing w:before="60" w:after="60"/>
              <w:rPr>
                <w:rFonts w:cs="Arial"/>
                <w:sz w:val="23"/>
                <w:szCs w:val="23"/>
              </w:rPr>
            </w:pPr>
            <w:r w:rsidRPr="00A300A7">
              <w:rPr>
                <w:rFonts w:cs="Arial"/>
                <w:sz w:val="23"/>
                <w:szCs w:val="23"/>
              </w:rPr>
              <w:lastRenderedPageBreak/>
              <w:t>Adapt R</w:t>
            </w:r>
            <w:r w:rsidR="00A300A7">
              <w:rPr>
                <w:rFonts w:cs="Arial"/>
                <w:sz w:val="23"/>
                <w:szCs w:val="23"/>
              </w:rPr>
              <w:t xml:space="preserve">ecords </w:t>
            </w:r>
            <w:r w:rsidRPr="00A300A7">
              <w:rPr>
                <w:rFonts w:cs="Arial"/>
                <w:sz w:val="23"/>
                <w:szCs w:val="23"/>
              </w:rPr>
              <w:t>M</w:t>
            </w:r>
            <w:r w:rsidR="00A300A7">
              <w:rPr>
                <w:rFonts w:cs="Arial"/>
                <w:sz w:val="23"/>
                <w:szCs w:val="23"/>
              </w:rPr>
              <w:t>anagement</w:t>
            </w:r>
            <w:r w:rsidRPr="00A300A7">
              <w:rPr>
                <w:rFonts w:cs="Arial"/>
                <w:sz w:val="23"/>
                <w:szCs w:val="23"/>
              </w:rPr>
              <w:t xml:space="preserve"> policy to specify how compliance with the policy and the supporting standards, procedures and guidelines will be monitored and stipulate suitable performance measures</w:t>
            </w:r>
          </w:p>
          <w:p w:rsidR="0083043E" w:rsidRPr="00A300A7" w:rsidRDefault="0083043E" w:rsidP="0032021E">
            <w:pPr>
              <w:spacing w:before="60" w:after="60"/>
              <w:rPr>
                <w:rFonts w:cs="Arial"/>
                <w:sz w:val="23"/>
                <w:szCs w:val="23"/>
              </w:rPr>
            </w:pPr>
          </w:p>
          <w:p w:rsidR="0083043E" w:rsidRPr="00A300A7" w:rsidRDefault="0083043E" w:rsidP="0032021E">
            <w:pPr>
              <w:spacing w:before="60" w:after="60"/>
              <w:rPr>
                <w:rFonts w:cs="Arial"/>
                <w:sz w:val="23"/>
                <w:szCs w:val="23"/>
              </w:rPr>
            </w:pPr>
          </w:p>
          <w:p w:rsidR="0083043E" w:rsidRPr="00A300A7" w:rsidRDefault="0083043E" w:rsidP="0032021E">
            <w:pPr>
              <w:spacing w:before="60" w:after="60"/>
              <w:rPr>
                <w:rFonts w:cs="Arial"/>
                <w:sz w:val="23"/>
                <w:szCs w:val="23"/>
              </w:rPr>
            </w:pPr>
            <w:r w:rsidRPr="00A300A7">
              <w:rPr>
                <w:rFonts w:cs="Arial"/>
                <w:sz w:val="23"/>
                <w:szCs w:val="23"/>
              </w:rPr>
              <w:t>.</w:t>
            </w:r>
          </w:p>
        </w:tc>
        <w:tc>
          <w:tcPr>
            <w:tcW w:w="2410" w:type="dxa"/>
          </w:tcPr>
          <w:p w:rsidR="0083043E" w:rsidRDefault="0083043E" w:rsidP="0032021E">
            <w:pPr>
              <w:spacing w:before="60" w:after="60"/>
              <w:rPr>
                <w:rFonts w:cs="Arial"/>
                <w:sz w:val="23"/>
                <w:szCs w:val="23"/>
              </w:rPr>
            </w:pPr>
            <w:r w:rsidRPr="00A300A7">
              <w:rPr>
                <w:rFonts w:cs="Arial"/>
                <w:sz w:val="23"/>
                <w:szCs w:val="23"/>
              </w:rPr>
              <w:t xml:space="preserve">31 December 2014 </w:t>
            </w:r>
          </w:p>
          <w:p w:rsidR="0032021E" w:rsidRPr="00A300A7" w:rsidRDefault="0032021E" w:rsidP="0032021E">
            <w:pPr>
              <w:spacing w:before="60" w:after="60"/>
              <w:rPr>
                <w:rFonts w:cs="Arial"/>
                <w:sz w:val="23"/>
                <w:szCs w:val="23"/>
              </w:rPr>
            </w:pPr>
            <w:r w:rsidRPr="00A300A7">
              <w:rPr>
                <w:rFonts w:cs="Arial"/>
                <w:sz w:val="23"/>
                <w:szCs w:val="23"/>
              </w:rPr>
              <w:t>Service Head - Legal Services</w:t>
            </w:r>
          </w:p>
          <w:p w:rsidR="0083043E" w:rsidRPr="00A300A7" w:rsidRDefault="0083043E" w:rsidP="0032021E">
            <w:pPr>
              <w:spacing w:before="60" w:after="60"/>
              <w:rPr>
                <w:rFonts w:cs="Arial"/>
                <w:sz w:val="23"/>
                <w:szCs w:val="23"/>
              </w:rPr>
            </w:pPr>
          </w:p>
          <w:p w:rsidR="0083043E" w:rsidRDefault="0083043E" w:rsidP="0032021E">
            <w:pPr>
              <w:spacing w:before="60" w:after="60"/>
              <w:rPr>
                <w:rFonts w:cs="Arial"/>
                <w:sz w:val="23"/>
                <w:szCs w:val="23"/>
              </w:rPr>
            </w:pPr>
          </w:p>
          <w:p w:rsidR="00A300A7" w:rsidRDefault="00A300A7" w:rsidP="0032021E">
            <w:pPr>
              <w:spacing w:before="60" w:after="60"/>
              <w:rPr>
                <w:rFonts w:cs="Arial"/>
                <w:sz w:val="23"/>
                <w:szCs w:val="23"/>
              </w:rPr>
            </w:pPr>
          </w:p>
          <w:p w:rsidR="00A300A7" w:rsidRPr="00A300A7" w:rsidRDefault="00A300A7" w:rsidP="0032021E">
            <w:pPr>
              <w:spacing w:before="60" w:after="60"/>
              <w:rPr>
                <w:rFonts w:cs="Arial"/>
                <w:sz w:val="23"/>
                <w:szCs w:val="23"/>
              </w:rPr>
            </w:pPr>
          </w:p>
          <w:p w:rsidR="00FF4371" w:rsidRDefault="00FF4371" w:rsidP="0032021E">
            <w:pPr>
              <w:spacing w:before="60" w:after="60"/>
              <w:rPr>
                <w:rFonts w:cs="Arial"/>
                <w:sz w:val="23"/>
                <w:szCs w:val="23"/>
              </w:rPr>
            </w:pPr>
          </w:p>
          <w:p w:rsidR="0083043E" w:rsidRPr="00A300A7" w:rsidRDefault="0083043E" w:rsidP="0032021E">
            <w:pPr>
              <w:spacing w:before="60" w:after="60"/>
              <w:rPr>
                <w:rFonts w:cs="Arial"/>
                <w:sz w:val="23"/>
                <w:szCs w:val="23"/>
              </w:rPr>
            </w:pPr>
          </w:p>
          <w:p w:rsidR="0083043E" w:rsidRPr="00A300A7" w:rsidRDefault="0083043E" w:rsidP="0032021E">
            <w:pPr>
              <w:spacing w:before="60" w:after="60"/>
              <w:rPr>
                <w:rFonts w:cs="Arial"/>
                <w:sz w:val="23"/>
                <w:szCs w:val="23"/>
              </w:rPr>
            </w:pPr>
          </w:p>
        </w:tc>
      </w:tr>
      <w:tr w:rsidR="000B4F3F" w:rsidRPr="00A300A7" w:rsidTr="00A300A7">
        <w:tc>
          <w:tcPr>
            <w:tcW w:w="2130" w:type="dxa"/>
          </w:tcPr>
          <w:p w:rsidR="000B4F3F" w:rsidRPr="00A300A7" w:rsidRDefault="000B4F3F" w:rsidP="000B4F3F">
            <w:pPr>
              <w:spacing w:before="60" w:after="60"/>
              <w:rPr>
                <w:rFonts w:cs="Arial"/>
                <w:sz w:val="23"/>
                <w:szCs w:val="23"/>
              </w:rPr>
            </w:pPr>
          </w:p>
        </w:tc>
        <w:tc>
          <w:tcPr>
            <w:tcW w:w="3648" w:type="dxa"/>
          </w:tcPr>
          <w:p w:rsidR="000B4F3F" w:rsidRPr="00A300A7" w:rsidRDefault="000B4F3F" w:rsidP="000B4F3F">
            <w:pPr>
              <w:spacing w:before="60" w:after="60"/>
              <w:rPr>
                <w:rFonts w:cs="Arial"/>
                <w:sz w:val="23"/>
                <w:szCs w:val="23"/>
              </w:rPr>
            </w:pPr>
          </w:p>
        </w:tc>
        <w:tc>
          <w:tcPr>
            <w:tcW w:w="5670" w:type="dxa"/>
          </w:tcPr>
          <w:p w:rsidR="000B4F3F" w:rsidRPr="00A300A7" w:rsidRDefault="000B4F3F" w:rsidP="000B4F3F">
            <w:pPr>
              <w:spacing w:before="60" w:after="60"/>
              <w:rPr>
                <w:rFonts w:cs="Arial"/>
                <w:sz w:val="23"/>
                <w:szCs w:val="23"/>
              </w:rPr>
            </w:pPr>
            <w:r>
              <w:rPr>
                <w:rFonts w:cs="Arial"/>
                <w:sz w:val="23"/>
                <w:szCs w:val="23"/>
              </w:rPr>
              <w:t>Confirm and formalise which</w:t>
            </w:r>
            <w:r w:rsidRPr="00A300A7">
              <w:rPr>
                <w:rFonts w:cs="Arial"/>
                <w:sz w:val="23"/>
                <w:szCs w:val="23"/>
              </w:rPr>
              <w:t xml:space="preserve"> staff </w:t>
            </w:r>
            <w:r>
              <w:rPr>
                <w:rFonts w:cs="Arial"/>
                <w:sz w:val="23"/>
                <w:szCs w:val="23"/>
              </w:rPr>
              <w:t>hold</w:t>
            </w:r>
            <w:r w:rsidRPr="00A300A7">
              <w:rPr>
                <w:rFonts w:cs="Arial"/>
                <w:sz w:val="23"/>
                <w:szCs w:val="23"/>
              </w:rPr>
              <w:t xml:space="preserve"> specific responsibility for records management in each Directorate </w:t>
            </w:r>
            <w:r>
              <w:rPr>
                <w:rFonts w:cs="Arial"/>
                <w:sz w:val="23"/>
                <w:szCs w:val="23"/>
              </w:rPr>
              <w:t>and update job descriptions</w:t>
            </w:r>
          </w:p>
        </w:tc>
        <w:tc>
          <w:tcPr>
            <w:tcW w:w="2410" w:type="dxa"/>
          </w:tcPr>
          <w:p w:rsidR="000B4F3F" w:rsidRPr="00A300A7" w:rsidRDefault="000B4F3F" w:rsidP="000B4F3F">
            <w:pPr>
              <w:spacing w:before="60" w:after="60"/>
              <w:rPr>
                <w:rFonts w:cs="Arial"/>
                <w:sz w:val="23"/>
                <w:szCs w:val="23"/>
              </w:rPr>
            </w:pPr>
            <w:r w:rsidRPr="00A300A7">
              <w:rPr>
                <w:rFonts w:cs="Arial"/>
                <w:sz w:val="23"/>
                <w:szCs w:val="23"/>
              </w:rPr>
              <w:t>31 March 2015</w:t>
            </w:r>
          </w:p>
          <w:p w:rsidR="000B4F3F" w:rsidRPr="00A300A7" w:rsidRDefault="000B4F3F" w:rsidP="000B4F3F">
            <w:pPr>
              <w:spacing w:before="60" w:after="60"/>
              <w:rPr>
                <w:rFonts w:cs="Arial"/>
                <w:sz w:val="23"/>
                <w:szCs w:val="23"/>
              </w:rPr>
            </w:pPr>
            <w:r w:rsidRPr="00A300A7">
              <w:rPr>
                <w:rFonts w:cs="Arial"/>
                <w:sz w:val="23"/>
                <w:szCs w:val="23"/>
              </w:rPr>
              <w:t>Service Head - Legal Services</w:t>
            </w:r>
          </w:p>
        </w:tc>
      </w:tr>
      <w:tr w:rsidR="0032021E" w:rsidRPr="00A300A7" w:rsidTr="006F35BE">
        <w:tc>
          <w:tcPr>
            <w:tcW w:w="2130" w:type="dxa"/>
          </w:tcPr>
          <w:p w:rsidR="0032021E" w:rsidRPr="00A300A7" w:rsidRDefault="0032021E" w:rsidP="000B4F3F">
            <w:pPr>
              <w:spacing w:before="60" w:after="60"/>
              <w:rPr>
                <w:rFonts w:cs="Arial"/>
                <w:sz w:val="23"/>
                <w:szCs w:val="23"/>
              </w:rPr>
            </w:pPr>
          </w:p>
        </w:tc>
        <w:tc>
          <w:tcPr>
            <w:tcW w:w="3648" w:type="dxa"/>
          </w:tcPr>
          <w:p w:rsidR="0032021E" w:rsidRPr="00A300A7" w:rsidRDefault="0032021E" w:rsidP="000B4F3F">
            <w:pPr>
              <w:spacing w:before="60" w:after="60"/>
              <w:rPr>
                <w:rFonts w:cs="Arial"/>
                <w:sz w:val="23"/>
                <w:szCs w:val="23"/>
              </w:rPr>
            </w:pPr>
          </w:p>
        </w:tc>
        <w:tc>
          <w:tcPr>
            <w:tcW w:w="5670" w:type="dxa"/>
          </w:tcPr>
          <w:p w:rsidR="0032021E" w:rsidRPr="00A300A7" w:rsidRDefault="0032021E" w:rsidP="000B4F3F">
            <w:pPr>
              <w:spacing w:before="60" w:after="60"/>
              <w:rPr>
                <w:rFonts w:cs="Arial"/>
                <w:sz w:val="23"/>
                <w:szCs w:val="23"/>
              </w:rPr>
            </w:pPr>
            <w:r w:rsidRPr="00A300A7">
              <w:rPr>
                <w:rFonts w:cs="Arial"/>
                <w:sz w:val="23"/>
                <w:szCs w:val="23"/>
              </w:rPr>
              <w:t xml:space="preserve">Run a regular report of </w:t>
            </w:r>
            <w:r>
              <w:rPr>
                <w:rFonts w:cs="Arial"/>
                <w:sz w:val="23"/>
                <w:szCs w:val="23"/>
              </w:rPr>
              <w:t xml:space="preserve">archive </w:t>
            </w:r>
            <w:r w:rsidRPr="00A300A7">
              <w:rPr>
                <w:rFonts w:cs="Arial"/>
                <w:sz w:val="23"/>
                <w:szCs w:val="23"/>
              </w:rPr>
              <w:t>boxes that have not been returned to storage after a reasonable time limit to ensure all boxes out on loan are still required and have a named owner</w:t>
            </w:r>
          </w:p>
        </w:tc>
        <w:tc>
          <w:tcPr>
            <w:tcW w:w="2410" w:type="dxa"/>
            <w:shd w:val="clear" w:color="auto" w:fill="D6E3BC" w:themeFill="accent3" w:themeFillTint="66"/>
          </w:tcPr>
          <w:p w:rsidR="0032021E" w:rsidRDefault="0032021E" w:rsidP="00E06258">
            <w:pPr>
              <w:spacing w:before="60" w:after="60"/>
              <w:rPr>
                <w:rFonts w:cs="Arial"/>
                <w:sz w:val="23"/>
                <w:szCs w:val="23"/>
              </w:rPr>
            </w:pPr>
            <w:r>
              <w:rPr>
                <w:rFonts w:cs="Arial"/>
                <w:sz w:val="23"/>
                <w:szCs w:val="23"/>
              </w:rPr>
              <w:t>30 November 2014</w:t>
            </w:r>
            <w:r w:rsidR="006F35BE">
              <w:rPr>
                <w:rFonts w:cs="Arial"/>
                <w:sz w:val="23"/>
                <w:szCs w:val="23"/>
              </w:rPr>
              <w:t xml:space="preserve"> and monthly thereafter</w:t>
            </w:r>
          </w:p>
          <w:p w:rsidR="0032021E" w:rsidRPr="00A300A7" w:rsidRDefault="0032021E" w:rsidP="000B4F3F">
            <w:pPr>
              <w:spacing w:before="60" w:after="60"/>
              <w:rPr>
                <w:rFonts w:cs="Arial"/>
                <w:sz w:val="23"/>
                <w:szCs w:val="23"/>
              </w:rPr>
            </w:pPr>
            <w:r w:rsidRPr="00A300A7">
              <w:rPr>
                <w:rFonts w:cs="Arial"/>
                <w:sz w:val="23"/>
                <w:szCs w:val="23"/>
              </w:rPr>
              <w:t>Service Head – Corporate Property</w:t>
            </w:r>
          </w:p>
        </w:tc>
      </w:tr>
      <w:tr w:rsidR="0032021E" w:rsidRPr="00A300A7" w:rsidTr="006F35BE">
        <w:tc>
          <w:tcPr>
            <w:tcW w:w="2130" w:type="dxa"/>
          </w:tcPr>
          <w:p w:rsidR="0032021E" w:rsidRPr="00A300A7" w:rsidRDefault="0032021E" w:rsidP="000B4F3F">
            <w:pPr>
              <w:spacing w:before="60" w:after="60"/>
              <w:rPr>
                <w:rFonts w:cs="Arial"/>
                <w:sz w:val="23"/>
                <w:szCs w:val="23"/>
              </w:rPr>
            </w:pPr>
          </w:p>
        </w:tc>
        <w:tc>
          <w:tcPr>
            <w:tcW w:w="3648" w:type="dxa"/>
          </w:tcPr>
          <w:p w:rsidR="0032021E" w:rsidRPr="00A300A7" w:rsidRDefault="0032021E" w:rsidP="000B4F3F">
            <w:pPr>
              <w:spacing w:before="60" w:after="60"/>
              <w:rPr>
                <w:rFonts w:cs="Arial"/>
                <w:sz w:val="23"/>
                <w:szCs w:val="23"/>
              </w:rPr>
            </w:pPr>
          </w:p>
        </w:tc>
        <w:tc>
          <w:tcPr>
            <w:tcW w:w="5670" w:type="dxa"/>
          </w:tcPr>
          <w:p w:rsidR="0032021E" w:rsidRPr="00A300A7" w:rsidRDefault="0032021E" w:rsidP="000B4F3F">
            <w:pPr>
              <w:spacing w:before="60" w:after="60"/>
              <w:rPr>
                <w:rFonts w:cs="Arial"/>
                <w:sz w:val="23"/>
                <w:szCs w:val="23"/>
              </w:rPr>
            </w:pPr>
            <w:r w:rsidRPr="00A300A7">
              <w:rPr>
                <w:rFonts w:cs="Arial"/>
                <w:sz w:val="23"/>
                <w:szCs w:val="23"/>
              </w:rPr>
              <w:t>Report key performance indicators on the management of the archive contract regularly to the Information Governance Group under a standing agenda item</w:t>
            </w:r>
          </w:p>
        </w:tc>
        <w:tc>
          <w:tcPr>
            <w:tcW w:w="2410" w:type="dxa"/>
            <w:shd w:val="clear" w:color="auto" w:fill="D6E3BC" w:themeFill="accent3" w:themeFillTint="66"/>
          </w:tcPr>
          <w:p w:rsidR="0032021E" w:rsidRDefault="006F35BE" w:rsidP="006F35BE">
            <w:pPr>
              <w:shd w:val="clear" w:color="auto" w:fill="D6E3BC" w:themeFill="accent3" w:themeFillTint="66"/>
              <w:spacing w:before="60" w:after="60"/>
              <w:rPr>
                <w:rFonts w:cs="Arial"/>
                <w:sz w:val="23"/>
                <w:szCs w:val="23"/>
              </w:rPr>
            </w:pPr>
            <w:r>
              <w:rPr>
                <w:rFonts w:cs="Arial"/>
                <w:sz w:val="23"/>
                <w:szCs w:val="23"/>
              </w:rPr>
              <w:t xml:space="preserve">Established </w:t>
            </w:r>
            <w:r w:rsidR="0032021E">
              <w:rPr>
                <w:rFonts w:cs="Arial"/>
                <w:sz w:val="23"/>
                <w:szCs w:val="23"/>
              </w:rPr>
              <w:t>30 November 2014</w:t>
            </w:r>
            <w:r>
              <w:rPr>
                <w:rFonts w:cs="Arial"/>
                <w:sz w:val="23"/>
                <w:szCs w:val="23"/>
              </w:rPr>
              <w:t>, then every 6 weeks</w:t>
            </w:r>
          </w:p>
          <w:p w:rsidR="0032021E" w:rsidRPr="00A300A7" w:rsidRDefault="0032021E" w:rsidP="006F35BE">
            <w:pPr>
              <w:shd w:val="clear" w:color="auto" w:fill="D6E3BC" w:themeFill="accent3" w:themeFillTint="66"/>
              <w:spacing w:before="60" w:after="60"/>
              <w:rPr>
                <w:rFonts w:cs="Arial"/>
                <w:sz w:val="23"/>
                <w:szCs w:val="23"/>
              </w:rPr>
            </w:pPr>
            <w:r w:rsidRPr="00A300A7">
              <w:rPr>
                <w:rFonts w:cs="Arial"/>
                <w:sz w:val="23"/>
                <w:szCs w:val="23"/>
              </w:rPr>
              <w:t>Service Head – Corporate Property</w:t>
            </w:r>
          </w:p>
        </w:tc>
      </w:tr>
      <w:tr w:rsidR="0032021E" w:rsidRPr="00A300A7" w:rsidTr="004A3CA6">
        <w:tc>
          <w:tcPr>
            <w:tcW w:w="2130" w:type="dxa"/>
          </w:tcPr>
          <w:p w:rsidR="0032021E" w:rsidRPr="00A300A7" w:rsidRDefault="0032021E" w:rsidP="0032021E">
            <w:pPr>
              <w:spacing w:before="60" w:after="60"/>
              <w:rPr>
                <w:rFonts w:cs="Arial"/>
                <w:sz w:val="23"/>
                <w:szCs w:val="23"/>
              </w:rPr>
            </w:pPr>
            <w:r w:rsidRPr="00A300A7">
              <w:rPr>
                <w:rFonts w:cs="Arial"/>
                <w:sz w:val="23"/>
                <w:szCs w:val="23"/>
              </w:rPr>
              <w:t>Internal Audit</w:t>
            </w:r>
          </w:p>
          <w:p w:rsidR="0032021E" w:rsidRPr="00A300A7" w:rsidRDefault="0032021E" w:rsidP="0032021E">
            <w:pPr>
              <w:spacing w:before="60" w:after="60"/>
              <w:rPr>
                <w:rFonts w:cs="Arial"/>
                <w:sz w:val="23"/>
                <w:szCs w:val="23"/>
              </w:rPr>
            </w:pPr>
          </w:p>
          <w:p w:rsidR="0032021E" w:rsidRPr="00A300A7" w:rsidRDefault="0032021E" w:rsidP="0032021E">
            <w:pPr>
              <w:spacing w:before="60" w:after="60"/>
              <w:rPr>
                <w:rFonts w:cs="Arial"/>
                <w:sz w:val="23"/>
                <w:szCs w:val="23"/>
              </w:rPr>
            </w:pPr>
          </w:p>
        </w:tc>
        <w:tc>
          <w:tcPr>
            <w:tcW w:w="3648" w:type="dxa"/>
          </w:tcPr>
          <w:p w:rsidR="0032021E" w:rsidRPr="00A300A7" w:rsidRDefault="0032021E" w:rsidP="0032021E">
            <w:pPr>
              <w:spacing w:before="60" w:after="60"/>
              <w:rPr>
                <w:rFonts w:cs="Arial"/>
                <w:sz w:val="23"/>
                <w:szCs w:val="23"/>
              </w:rPr>
            </w:pPr>
            <w:r w:rsidRPr="00A300A7">
              <w:rPr>
                <w:rFonts w:cs="Arial"/>
                <w:sz w:val="23"/>
                <w:szCs w:val="23"/>
              </w:rPr>
              <w:t>The Council should make greater use of their Internal Audit function to independently review the effectiveness of policies and procedures concerning I</w:t>
            </w:r>
            <w:r>
              <w:rPr>
                <w:rFonts w:cs="Arial"/>
                <w:sz w:val="23"/>
                <w:szCs w:val="23"/>
              </w:rPr>
              <w:t xml:space="preserve">nformation </w:t>
            </w:r>
            <w:r w:rsidRPr="00A300A7">
              <w:rPr>
                <w:rFonts w:cs="Arial"/>
                <w:sz w:val="23"/>
                <w:szCs w:val="23"/>
              </w:rPr>
              <w:t>G</w:t>
            </w:r>
            <w:r>
              <w:rPr>
                <w:rFonts w:cs="Arial"/>
                <w:sz w:val="23"/>
                <w:szCs w:val="23"/>
              </w:rPr>
              <w:t>overnance</w:t>
            </w:r>
            <w:r w:rsidRPr="00A300A7">
              <w:rPr>
                <w:rFonts w:cs="Arial"/>
                <w:sz w:val="23"/>
                <w:szCs w:val="23"/>
              </w:rPr>
              <w:t xml:space="preserve">, data </w:t>
            </w:r>
            <w:r w:rsidRPr="00A300A7">
              <w:rPr>
                <w:rFonts w:cs="Arial"/>
                <w:sz w:val="23"/>
                <w:szCs w:val="23"/>
              </w:rPr>
              <w:lastRenderedPageBreak/>
              <w:t>protection, IT security and records management. These reports should be routinely made available for review and consideration at I</w:t>
            </w:r>
            <w:r>
              <w:rPr>
                <w:rFonts w:cs="Arial"/>
                <w:sz w:val="23"/>
                <w:szCs w:val="23"/>
              </w:rPr>
              <w:t xml:space="preserve">nformation </w:t>
            </w:r>
            <w:r w:rsidRPr="00A300A7">
              <w:rPr>
                <w:rFonts w:cs="Arial"/>
                <w:sz w:val="23"/>
                <w:szCs w:val="23"/>
              </w:rPr>
              <w:t>G</w:t>
            </w:r>
            <w:r>
              <w:rPr>
                <w:rFonts w:cs="Arial"/>
                <w:sz w:val="23"/>
                <w:szCs w:val="23"/>
              </w:rPr>
              <w:t>overnance</w:t>
            </w:r>
            <w:r w:rsidRPr="00A300A7">
              <w:rPr>
                <w:rFonts w:cs="Arial"/>
                <w:sz w:val="23"/>
                <w:szCs w:val="23"/>
              </w:rPr>
              <w:t xml:space="preserve"> Group meetings.</w:t>
            </w:r>
          </w:p>
        </w:tc>
        <w:tc>
          <w:tcPr>
            <w:tcW w:w="5670" w:type="dxa"/>
          </w:tcPr>
          <w:p w:rsidR="0032021E" w:rsidRPr="00A300A7" w:rsidRDefault="0032021E" w:rsidP="0032021E">
            <w:pPr>
              <w:spacing w:before="60" w:after="60"/>
              <w:rPr>
                <w:rFonts w:cs="Arial"/>
                <w:sz w:val="23"/>
                <w:szCs w:val="23"/>
              </w:rPr>
            </w:pPr>
            <w:r w:rsidRPr="00A300A7">
              <w:rPr>
                <w:rFonts w:cs="Arial"/>
                <w:sz w:val="23"/>
                <w:szCs w:val="23"/>
              </w:rPr>
              <w:lastRenderedPageBreak/>
              <w:t>The I</w:t>
            </w:r>
            <w:r>
              <w:rPr>
                <w:rFonts w:cs="Arial"/>
                <w:sz w:val="23"/>
                <w:szCs w:val="23"/>
              </w:rPr>
              <w:t xml:space="preserve">nformation </w:t>
            </w:r>
            <w:r w:rsidRPr="00A300A7">
              <w:rPr>
                <w:rFonts w:cs="Arial"/>
                <w:sz w:val="23"/>
                <w:szCs w:val="23"/>
              </w:rPr>
              <w:t>G</w:t>
            </w:r>
            <w:r>
              <w:rPr>
                <w:rFonts w:cs="Arial"/>
                <w:sz w:val="23"/>
                <w:szCs w:val="23"/>
              </w:rPr>
              <w:t xml:space="preserve">overnance </w:t>
            </w:r>
            <w:r w:rsidRPr="00A300A7">
              <w:rPr>
                <w:rFonts w:cs="Arial"/>
                <w:sz w:val="23"/>
                <w:szCs w:val="23"/>
              </w:rPr>
              <w:t>G</w:t>
            </w:r>
            <w:r>
              <w:rPr>
                <w:rFonts w:cs="Arial"/>
                <w:sz w:val="23"/>
                <w:szCs w:val="23"/>
              </w:rPr>
              <w:t>roup</w:t>
            </w:r>
            <w:r w:rsidRPr="00A300A7">
              <w:rPr>
                <w:rFonts w:cs="Arial"/>
                <w:sz w:val="23"/>
                <w:szCs w:val="23"/>
              </w:rPr>
              <w:t xml:space="preserve"> </w:t>
            </w:r>
            <w:r w:rsidR="00093563">
              <w:rPr>
                <w:rFonts w:cs="Arial"/>
                <w:sz w:val="23"/>
                <w:szCs w:val="23"/>
              </w:rPr>
              <w:t xml:space="preserve">(IGG) </w:t>
            </w:r>
            <w:r w:rsidRPr="00A300A7">
              <w:rPr>
                <w:rFonts w:cs="Arial"/>
                <w:sz w:val="23"/>
                <w:szCs w:val="23"/>
              </w:rPr>
              <w:t>should receive a summary of any audits with substantive data protection implications to better facilitate corporate oversight and monitor improvements.</w:t>
            </w:r>
          </w:p>
        </w:tc>
        <w:tc>
          <w:tcPr>
            <w:tcW w:w="2410" w:type="dxa"/>
            <w:shd w:val="clear" w:color="auto" w:fill="D6E3BC" w:themeFill="accent3" w:themeFillTint="66"/>
          </w:tcPr>
          <w:p w:rsidR="004A3CA6" w:rsidRDefault="006F35BE" w:rsidP="0032021E">
            <w:pPr>
              <w:spacing w:before="60" w:after="60"/>
              <w:rPr>
                <w:rFonts w:cs="Arial"/>
                <w:sz w:val="23"/>
                <w:szCs w:val="23"/>
              </w:rPr>
            </w:pPr>
            <w:r>
              <w:rPr>
                <w:rFonts w:cs="Arial"/>
                <w:sz w:val="23"/>
                <w:szCs w:val="23"/>
              </w:rPr>
              <w:t>Established</w:t>
            </w:r>
          </w:p>
          <w:p w:rsidR="0032021E" w:rsidRPr="00A300A7" w:rsidRDefault="0032021E" w:rsidP="0032021E">
            <w:pPr>
              <w:spacing w:before="60" w:after="60"/>
              <w:rPr>
                <w:rFonts w:cs="Arial"/>
                <w:sz w:val="23"/>
                <w:szCs w:val="23"/>
              </w:rPr>
            </w:pPr>
            <w:r>
              <w:rPr>
                <w:rFonts w:cs="Arial"/>
                <w:sz w:val="23"/>
                <w:szCs w:val="23"/>
              </w:rPr>
              <w:t>19 November 2014</w:t>
            </w:r>
            <w:r w:rsidR="00093563">
              <w:rPr>
                <w:rFonts w:cs="Arial"/>
                <w:sz w:val="23"/>
                <w:szCs w:val="23"/>
              </w:rPr>
              <w:t xml:space="preserve">. Standing item </w:t>
            </w:r>
            <w:r>
              <w:rPr>
                <w:rFonts w:cs="Arial"/>
                <w:sz w:val="23"/>
                <w:szCs w:val="23"/>
              </w:rPr>
              <w:t xml:space="preserve">every </w:t>
            </w:r>
            <w:r w:rsidR="00093563">
              <w:rPr>
                <w:rFonts w:cs="Arial"/>
                <w:sz w:val="23"/>
                <w:szCs w:val="23"/>
              </w:rPr>
              <w:t>6 weeks at IGG</w:t>
            </w:r>
            <w:r w:rsidRPr="00A300A7">
              <w:rPr>
                <w:rFonts w:cs="Arial"/>
                <w:sz w:val="23"/>
                <w:szCs w:val="23"/>
              </w:rPr>
              <w:t xml:space="preserve"> </w:t>
            </w:r>
          </w:p>
          <w:p w:rsidR="0032021E" w:rsidRPr="00A300A7" w:rsidRDefault="0032021E" w:rsidP="0032021E">
            <w:pPr>
              <w:spacing w:before="60" w:after="60"/>
              <w:rPr>
                <w:rFonts w:cs="Arial"/>
                <w:sz w:val="23"/>
                <w:szCs w:val="23"/>
              </w:rPr>
            </w:pPr>
            <w:r w:rsidRPr="00A300A7">
              <w:rPr>
                <w:rFonts w:cs="Arial"/>
                <w:sz w:val="23"/>
                <w:szCs w:val="23"/>
              </w:rPr>
              <w:t xml:space="preserve">Service Head – </w:t>
            </w:r>
            <w:r>
              <w:rPr>
                <w:rFonts w:cs="Arial"/>
                <w:sz w:val="23"/>
                <w:szCs w:val="23"/>
              </w:rPr>
              <w:t>A</w:t>
            </w:r>
            <w:r w:rsidRPr="00A300A7">
              <w:rPr>
                <w:rFonts w:cs="Arial"/>
                <w:sz w:val="23"/>
                <w:szCs w:val="23"/>
              </w:rPr>
              <w:t xml:space="preserve">udit and Risk </w:t>
            </w:r>
            <w:r w:rsidRPr="00A300A7">
              <w:rPr>
                <w:rFonts w:cs="Arial"/>
                <w:sz w:val="23"/>
                <w:szCs w:val="23"/>
              </w:rPr>
              <w:lastRenderedPageBreak/>
              <w:t>Management</w:t>
            </w:r>
          </w:p>
        </w:tc>
      </w:tr>
      <w:tr w:rsidR="0032021E" w:rsidRPr="00A300A7" w:rsidTr="004A3CA6">
        <w:tc>
          <w:tcPr>
            <w:tcW w:w="2130" w:type="dxa"/>
          </w:tcPr>
          <w:p w:rsidR="0032021E" w:rsidRPr="00A300A7" w:rsidRDefault="0032021E" w:rsidP="0032021E">
            <w:pPr>
              <w:spacing w:before="60" w:after="60"/>
              <w:rPr>
                <w:rFonts w:cs="Arial"/>
                <w:sz w:val="23"/>
                <w:szCs w:val="23"/>
              </w:rPr>
            </w:pPr>
            <w:r w:rsidRPr="00A300A7">
              <w:rPr>
                <w:rFonts w:cs="Arial"/>
                <w:sz w:val="23"/>
                <w:szCs w:val="23"/>
              </w:rPr>
              <w:lastRenderedPageBreak/>
              <w:t>Starters / Leavers</w:t>
            </w:r>
          </w:p>
          <w:p w:rsidR="0032021E" w:rsidRPr="00A300A7" w:rsidRDefault="0032021E" w:rsidP="0032021E">
            <w:pPr>
              <w:spacing w:before="60" w:after="60"/>
              <w:rPr>
                <w:rFonts w:cs="Arial"/>
                <w:sz w:val="23"/>
                <w:szCs w:val="23"/>
              </w:rPr>
            </w:pPr>
          </w:p>
          <w:p w:rsidR="0032021E" w:rsidRPr="00A300A7" w:rsidRDefault="0032021E" w:rsidP="0032021E">
            <w:pPr>
              <w:spacing w:before="60" w:after="60"/>
              <w:rPr>
                <w:rFonts w:cs="Arial"/>
                <w:sz w:val="23"/>
                <w:szCs w:val="23"/>
              </w:rPr>
            </w:pPr>
            <w:r w:rsidRPr="00A300A7">
              <w:rPr>
                <w:rFonts w:cs="Arial"/>
                <w:sz w:val="23"/>
                <w:szCs w:val="23"/>
              </w:rPr>
              <w:t>Link HR / ICT / standalone ICT systems</w:t>
            </w:r>
          </w:p>
          <w:p w:rsidR="0032021E" w:rsidRPr="00A300A7" w:rsidRDefault="0032021E" w:rsidP="0032021E">
            <w:pPr>
              <w:spacing w:before="60" w:after="60"/>
              <w:rPr>
                <w:rFonts w:cs="Arial"/>
                <w:sz w:val="23"/>
                <w:szCs w:val="23"/>
              </w:rPr>
            </w:pPr>
          </w:p>
          <w:p w:rsidR="0032021E" w:rsidRPr="00A300A7" w:rsidRDefault="0032021E" w:rsidP="0032021E">
            <w:pPr>
              <w:spacing w:before="60" w:after="60"/>
              <w:rPr>
                <w:rFonts w:cs="Arial"/>
                <w:sz w:val="23"/>
                <w:szCs w:val="23"/>
              </w:rPr>
            </w:pPr>
          </w:p>
          <w:p w:rsidR="0032021E" w:rsidRPr="00A300A7" w:rsidRDefault="0032021E" w:rsidP="0032021E">
            <w:pPr>
              <w:spacing w:before="60" w:after="60"/>
              <w:rPr>
                <w:rFonts w:cs="Arial"/>
                <w:sz w:val="23"/>
                <w:szCs w:val="23"/>
              </w:rPr>
            </w:pPr>
          </w:p>
        </w:tc>
        <w:tc>
          <w:tcPr>
            <w:tcW w:w="3648" w:type="dxa"/>
          </w:tcPr>
          <w:p w:rsidR="0032021E" w:rsidRPr="00A300A7" w:rsidRDefault="0032021E" w:rsidP="0032021E">
            <w:pPr>
              <w:spacing w:before="60" w:after="60"/>
              <w:rPr>
                <w:rFonts w:cs="Arial"/>
                <w:sz w:val="23"/>
                <w:szCs w:val="23"/>
              </w:rPr>
            </w:pPr>
            <w:r w:rsidRPr="00A300A7">
              <w:rPr>
                <w:rFonts w:cs="Arial"/>
                <w:sz w:val="23"/>
                <w:szCs w:val="23"/>
              </w:rPr>
              <w:t>It is recognised that arrangements around starters / movers / leavers are in place but may benefit from being further enhanced. Procedures should be implemented to ensure HR provide a regular list of these staff to the IT service desk, Social Care IT and Facilities Management and spot checks should be performed to ensure procedures are working satisfactorily.</w:t>
            </w:r>
          </w:p>
        </w:tc>
        <w:tc>
          <w:tcPr>
            <w:tcW w:w="5670" w:type="dxa"/>
          </w:tcPr>
          <w:p w:rsidR="0032021E" w:rsidRPr="00A300A7" w:rsidRDefault="0032021E" w:rsidP="0032021E">
            <w:pPr>
              <w:spacing w:before="60" w:after="60"/>
              <w:rPr>
                <w:rFonts w:cs="Arial"/>
                <w:sz w:val="23"/>
                <w:szCs w:val="23"/>
              </w:rPr>
            </w:pPr>
            <w:r w:rsidRPr="00A300A7">
              <w:rPr>
                <w:rFonts w:cs="Arial"/>
                <w:sz w:val="23"/>
                <w:szCs w:val="23"/>
              </w:rPr>
              <w:t xml:space="preserve">Approved </w:t>
            </w:r>
            <w:proofErr w:type="gramStart"/>
            <w:r w:rsidRPr="00A300A7">
              <w:rPr>
                <w:rFonts w:cs="Arial"/>
                <w:sz w:val="23"/>
                <w:szCs w:val="23"/>
              </w:rPr>
              <w:t>staff from relevant services have</w:t>
            </w:r>
            <w:proofErr w:type="gramEnd"/>
            <w:r w:rsidRPr="00A300A7">
              <w:rPr>
                <w:rFonts w:cs="Arial"/>
                <w:sz w:val="23"/>
                <w:szCs w:val="23"/>
              </w:rPr>
              <w:t xml:space="preserve"> access to the Human Resources starters / leavers list which is updated weekly. </w:t>
            </w:r>
          </w:p>
          <w:p w:rsidR="0032021E" w:rsidRPr="00A300A7" w:rsidRDefault="0032021E" w:rsidP="0032021E">
            <w:pPr>
              <w:spacing w:before="60" w:after="60"/>
              <w:rPr>
                <w:rFonts w:cs="Arial"/>
                <w:sz w:val="23"/>
                <w:szCs w:val="23"/>
              </w:rPr>
            </w:pPr>
          </w:p>
        </w:tc>
        <w:tc>
          <w:tcPr>
            <w:tcW w:w="2410" w:type="dxa"/>
            <w:shd w:val="clear" w:color="auto" w:fill="D6E3BC" w:themeFill="accent3" w:themeFillTint="66"/>
          </w:tcPr>
          <w:p w:rsidR="004A3CA6" w:rsidRDefault="006F35BE" w:rsidP="0032021E">
            <w:pPr>
              <w:spacing w:before="60" w:after="60"/>
              <w:rPr>
                <w:rFonts w:cs="Arial"/>
                <w:sz w:val="23"/>
                <w:szCs w:val="23"/>
              </w:rPr>
            </w:pPr>
            <w:r>
              <w:rPr>
                <w:rFonts w:cs="Arial"/>
                <w:sz w:val="23"/>
                <w:szCs w:val="23"/>
              </w:rPr>
              <w:t>Establish</w:t>
            </w:r>
            <w:r w:rsidR="00093563">
              <w:rPr>
                <w:rFonts w:cs="Arial"/>
                <w:sz w:val="23"/>
                <w:szCs w:val="23"/>
              </w:rPr>
              <w:t xml:space="preserve">ed </w:t>
            </w:r>
          </w:p>
          <w:p w:rsidR="00093563" w:rsidRDefault="00093563" w:rsidP="0032021E">
            <w:pPr>
              <w:spacing w:before="60" w:after="60"/>
              <w:rPr>
                <w:rFonts w:cs="Arial"/>
                <w:sz w:val="23"/>
                <w:szCs w:val="23"/>
              </w:rPr>
            </w:pPr>
            <w:r>
              <w:rPr>
                <w:rFonts w:cs="Arial"/>
                <w:sz w:val="23"/>
                <w:szCs w:val="23"/>
              </w:rPr>
              <w:t>5 September 2014.</w:t>
            </w:r>
            <w:r w:rsidR="006F35BE">
              <w:rPr>
                <w:rFonts w:cs="Arial"/>
                <w:sz w:val="23"/>
                <w:szCs w:val="23"/>
              </w:rPr>
              <w:t xml:space="preserve"> (weekly ongoing process) </w:t>
            </w:r>
          </w:p>
          <w:p w:rsidR="0032021E" w:rsidRPr="00A300A7" w:rsidRDefault="0032021E" w:rsidP="0032021E">
            <w:pPr>
              <w:spacing w:before="60" w:after="60"/>
              <w:rPr>
                <w:rFonts w:cs="Arial"/>
                <w:sz w:val="23"/>
                <w:szCs w:val="23"/>
              </w:rPr>
            </w:pPr>
            <w:r w:rsidRPr="00A300A7">
              <w:rPr>
                <w:rFonts w:cs="Arial"/>
                <w:sz w:val="23"/>
                <w:szCs w:val="23"/>
              </w:rPr>
              <w:t>Service Head - Human Resources</w:t>
            </w:r>
            <w:r w:rsidDel="0032021E">
              <w:rPr>
                <w:rFonts w:cs="Arial"/>
                <w:sz w:val="23"/>
                <w:szCs w:val="23"/>
              </w:rPr>
              <w:t xml:space="preserve"> </w:t>
            </w:r>
          </w:p>
          <w:p w:rsidR="0032021E" w:rsidRPr="00A300A7" w:rsidRDefault="0032021E" w:rsidP="0032021E">
            <w:pPr>
              <w:spacing w:before="60" w:after="60"/>
              <w:rPr>
                <w:rFonts w:cs="Arial"/>
                <w:sz w:val="23"/>
                <w:szCs w:val="23"/>
              </w:rPr>
            </w:pPr>
          </w:p>
        </w:tc>
      </w:tr>
      <w:tr w:rsidR="0032021E" w:rsidRPr="00A300A7" w:rsidTr="004A3CA6">
        <w:tc>
          <w:tcPr>
            <w:tcW w:w="2130" w:type="dxa"/>
          </w:tcPr>
          <w:p w:rsidR="0032021E" w:rsidRPr="00A300A7" w:rsidRDefault="0032021E" w:rsidP="000B4F3F">
            <w:pPr>
              <w:spacing w:before="60" w:after="60"/>
              <w:rPr>
                <w:rFonts w:cs="Arial"/>
                <w:sz w:val="23"/>
                <w:szCs w:val="23"/>
              </w:rPr>
            </w:pPr>
          </w:p>
        </w:tc>
        <w:tc>
          <w:tcPr>
            <w:tcW w:w="3648" w:type="dxa"/>
          </w:tcPr>
          <w:p w:rsidR="0032021E" w:rsidRPr="00A300A7" w:rsidRDefault="0032021E" w:rsidP="000B4F3F">
            <w:pPr>
              <w:spacing w:before="60" w:after="60"/>
              <w:rPr>
                <w:rFonts w:cs="Arial"/>
                <w:sz w:val="23"/>
                <w:szCs w:val="23"/>
              </w:rPr>
            </w:pPr>
          </w:p>
        </w:tc>
        <w:tc>
          <w:tcPr>
            <w:tcW w:w="5670" w:type="dxa"/>
          </w:tcPr>
          <w:p w:rsidR="0032021E" w:rsidRPr="00A300A7" w:rsidRDefault="0032021E" w:rsidP="000B4F3F">
            <w:pPr>
              <w:spacing w:before="60" w:after="60"/>
              <w:rPr>
                <w:rFonts w:cs="Arial"/>
                <w:sz w:val="23"/>
                <w:szCs w:val="23"/>
              </w:rPr>
            </w:pPr>
            <w:r w:rsidRPr="00A300A7">
              <w:rPr>
                <w:rFonts w:cs="Arial"/>
                <w:sz w:val="23"/>
                <w:szCs w:val="23"/>
              </w:rPr>
              <w:t>ICT sign-in access is removed when leaver’s forms are completed. Regular checks on access to stand-alone software are conducted.</w:t>
            </w:r>
          </w:p>
        </w:tc>
        <w:tc>
          <w:tcPr>
            <w:tcW w:w="2410" w:type="dxa"/>
            <w:shd w:val="clear" w:color="auto" w:fill="D6E3BC" w:themeFill="accent3" w:themeFillTint="66"/>
          </w:tcPr>
          <w:p w:rsidR="0032021E" w:rsidRDefault="006F35BE" w:rsidP="000B4F3F">
            <w:pPr>
              <w:spacing w:before="60" w:after="60"/>
              <w:rPr>
                <w:rFonts w:cs="Arial"/>
                <w:sz w:val="23"/>
                <w:szCs w:val="23"/>
              </w:rPr>
            </w:pPr>
            <w:r>
              <w:rPr>
                <w:rFonts w:cs="Arial"/>
                <w:sz w:val="23"/>
                <w:szCs w:val="23"/>
              </w:rPr>
              <w:t>E</w:t>
            </w:r>
            <w:r>
              <w:rPr>
                <w:rFonts w:cs="Arial"/>
                <w:sz w:val="23"/>
                <w:szCs w:val="23"/>
              </w:rPr>
              <w:t>stablished</w:t>
            </w:r>
            <w:r w:rsidR="00093563">
              <w:rPr>
                <w:rFonts w:cs="Arial"/>
                <w:sz w:val="23"/>
                <w:szCs w:val="23"/>
              </w:rPr>
              <w:t xml:space="preserve"> </w:t>
            </w:r>
            <w:r w:rsidR="004364F0">
              <w:rPr>
                <w:rFonts w:cs="Arial"/>
                <w:sz w:val="23"/>
                <w:szCs w:val="23"/>
              </w:rPr>
              <w:t xml:space="preserve"> </w:t>
            </w:r>
            <w:bookmarkStart w:id="0" w:name="_GoBack"/>
            <w:bookmarkEnd w:id="0"/>
            <w:r w:rsidR="00093563">
              <w:rPr>
                <w:rFonts w:cs="Arial"/>
                <w:sz w:val="23"/>
                <w:szCs w:val="23"/>
              </w:rPr>
              <w:t>5 September 201</w:t>
            </w:r>
            <w:r w:rsidR="004A3CA6">
              <w:rPr>
                <w:rFonts w:cs="Arial"/>
                <w:sz w:val="23"/>
                <w:szCs w:val="23"/>
              </w:rPr>
              <w:t>4</w:t>
            </w:r>
            <w:r w:rsidR="00093563">
              <w:rPr>
                <w:rFonts w:cs="Arial"/>
                <w:sz w:val="23"/>
                <w:szCs w:val="23"/>
              </w:rPr>
              <w:t xml:space="preserve"> Monthly </w:t>
            </w:r>
            <w:r w:rsidR="004A3CA6">
              <w:rPr>
                <w:rFonts w:cs="Arial"/>
                <w:sz w:val="23"/>
                <w:szCs w:val="23"/>
              </w:rPr>
              <w:t xml:space="preserve">reports </w:t>
            </w:r>
          </w:p>
          <w:p w:rsidR="0032021E" w:rsidRDefault="0032021E" w:rsidP="004A3CA6">
            <w:pPr>
              <w:spacing w:before="60" w:after="60"/>
              <w:rPr>
                <w:rFonts w:cs="Arial"/>
                <w:sz w:val="23"/>
                <w:szCs w:val="23"/>
              </w:rPr>
            </w:pPr>
            <w:r w:rsidRPr="00A300A7">
              <w:rPr>
                <w:rFonts w:cs="Arial"/>
                <w:sz w:val="23"/>
                <w:szCs w:val="23"/>
              </w:rPr>
              <w:t xml:space="preserve">Service Head - </w:t>
            </w:r>
            <w:r>
              <w:rPr>
                <w:rFonts w:cs="Arial"/>
                <w:sz w:val="23"/>
                <w:szCs w:val="23"/>
              </w:rPr>
              <w:t>ESCW Resources</w:t>
            </w:r>
            <w:r w:rsidRPr="00A300A7">
              <w:rPr>
                <w:rFonts w:cs="Arial"/>
                <w:sz w:val="23"/>
                <w:szCs w:val="23"/>
              </w:rPr>
              <w:t xml:space="preserve"> </w:t>
            </w:r>
          </w:p>
        </w:tc>
      </w:tr>
      <w:tr w:rsidR="0032021E" w:rsidRPr="00A300A7" w:rsidTr="006F35BE">
        <w:tc>
          <w:tcPr>
            <w:tcW w:w="2130" w:type="dxa"/>
          </w:tcPr>
          <w:p w:rsidR="0032021E" w:rsidRPr="00A300A7" w:rsidRDefault="0032021E" w:rsidP="000B4F3F">
            <w:pPr>
              <w:spacing w:before="60" w:after="60"/>
              <w:rPr>
                <w:rFonts w:cs="Arial"/>
                <w:sz w:val="23"/>
                <w:szCs w:val="23"/>
              </w:rPr>
            </w:pPr>
          </w:p>
        </w:tc>
        <w:tc>
          <w:tcPr>
            <w:tcW w:w="3648" w:type="dxa"/>
          </w:tcPr>
          <w:p w:rsidR="0032021E" w:rsidRPr="00A300A7" w:rsidRDefault="0032021E" w:rsidP="000B4F3F">
            <w:pPr>
              <w:spacing w:before="60" w:after="60"/>
              <w:rPr>
                <w:rFonts w:cs="Arial"/>
                <w:sz w:val="23"/>
                <w:szCs w:val="23"/>
              </w:rPr>
            </w:pPr>
          </w:p>
        </w:tc>
        <w:tc>
          <w:tcPr>
            <w:tcW w:w="5670" w:type="dxa"/>
          </w:tcPr>
          <w:p w:rsidR="0032021E" w:rsidRPr="00A300A7" w:rsidRDefault="0032021E" w:rsidP="000B4F3F">
            <w:pPr>
              <w:spacing w:before="60" w:after="60"/>
              <w:rPr>
                <w:rFonts w:cs="Arial"/>
                <w:sz w:val="23"/>
                <w:szCs w:val="23"/>
              </w:rPr>
            </w:pPr>
            <w:r w:rsidRPr="00A300A7">
              <w:rPr>
                <w:rFonts w:cs="Arial"/>
                <w:sz w:val="23"/>
                <w:szCs w:val="23"/>
              </w:rPr>
              <w:t>Working group meetings are currently in place between Information Governance, Human Resources and Facilities Management regarding the implementation of new security access systems.</w:t>
            </w:r>
          </w:p>
        </w:tc>
        <w:tc>
          <w:tcPr>
            <w:tcW w:w="2410" w:type="dxa"/>
            <w:shd w:val="clear" w:color="auto" w:fill="D6E3BC" w:themeFill="accent3" w:themeFillTint="66"/>
          </w:tcPr>
          <w:p w:rsidR="0032021E" w:rsidRPr="00A300A7" w:rsidRDefault="006F35BE" w:rsidP="000B4F3F">
            <w:pPr>
              <w:spacing w:before="60" w:after="60"/>
              <w:rPr>
                <w:rFonts w:cs="Arial"/>
                <w:sz w:val="23"/>
                <w:szCs w:val="23"/>
              </w:rPr>
            </w:pPr>
            <w:r>
              <w:rPr>
                <w:rFonts w:cs="Arial"/>
                <w:sz w:val="23"/>
                <w:szCs w:val="23"/>
              </w:rPr>
              <w:t xml:space="preserve">Established </w:t>
            </w:r>
            <w:r w:rsidR="0032021E" w:rsidRPr="00A300A7">
              <w:rPr>
                <w:rFonts w:cs="Arial"/>
                <w:sz w:val="23"/>
                <w:szCs w:val="23"/>
              </w:rPr>
              <w:t>30 November 2014</w:t>
            </w:r>
          </w:p>
          <w:p w:rsidR="0032021E" w:rsidRDefault="0032021E" w:rsidP="000B4F3F">
            <w:pPr>
              <w:spacing w:before="60" w:after="60"/>
              <w:rPr>
                <w:rFonts w:cs="Arial"/>
                <w:sz w:val="23"/>
                <w:szCs w:val="23"/>
              </w:rPr>
            </w:pPr>
            <w:r w:rsidRPr="00A300A7">
              <w:rPr>
                <w:rFonts w:cs="Arial"/>
                <w:sz w:val="23"/>
                <w:szCs w:val="23"/>
              </w:rPr>
              <w:t xml:space="preserve">Service Heads - Human Resources and Corporate </w:t>
            </w:r>
            <w:r w:rsidRPr="00A300A7">
              <w:rPr>
                <w:rFonts w:cs="Arial"/>
                <w:sz w:val="23"/>
                <w:szCs w:val="23"/>
              </w:rPr>
              <w:lastRenderedPageBreak/>
              <w:t>Property</w:t>
            </w:r>
          </w:p>
        </w:tc>
      </w:tr>
      <w:tr w:rsidR="0032021E" w:rsidRPr="00A300A7" w:rsidTr="004364F0">
        <w:tc>
          <w:tcPr>
            <w:tcW w:w="2130" w:type="dxa"/>
          </w:tcPr>
          <w:p w:rsidR="0032021E" w:rsidRPr="00A300A7" w:rsidRDefault="0032021E" w:rsidP="0032021E">
            <w:pPr>
              <w:spacing w:before="60" w:after="60"/>
              <w:rPr>
                <w:rFonts w:cs="Arial"/>
                <w:sz w:val="23"/>
                <w:szCs w:val="23"/>
              </w:rPr>
            </w:pPr>
            <w:r w:rsidRPr="00A300A7">
              <w:rPr>
                <w:rFonts w:cs="Arial"/>
                <w:sz w:val="23"/>
                <w:szCs w:val="23"/>
              </w:rPr>
              <w:lastRenderedPageBreak/>
              <w:t>Confidential waste</w:t>
            </w:r>
          </w:p>
          <w:p w:rsidR="0032021E" w:rsidRPr="00A300A7" w:rsidRDefault="0032021E" w:rsidP="0032021E">
            <w:pPr>
              <w:spacing w:before="60" w:after="60"/>
              <w:rPr>
                <w:rFonts w:cs="Arial"/>
                <w:sz w:val="23"/>
                <w:szCs w:val="23"/>
              </w:rPr>
            </w:pPr>
          </w:p>
          <w:p w:rsidR="0032021E" w:rsidRPr="00A300A7" w:rsidRDefault="0032021E" w:rsidP="0032021E">
            <w:pPr>
              <w:spacing w:before="60" w:after="60"/>
              <w:rPr>
                <w:rFonts w:cs="Arial"/>
                <w:sz w:val="23"/>
                <w:szCs w:val="23"/>
              </w:rPr>
            </w:pPr>
          </w:p>
          <w:p w:rsidR="0032021E" w:rsidRPr="00A300A7" w:rsidRDefault="0032021E" w:rsidP="0032021E">
            <w:pPr>
              <w:spacing w:before="60" w:after="60"/>
              <w:rPr>
                <w:rFonts w:cs="Arial"/>
                <w:sz w:val="23"/>
                <w:szCs w:val="23"/>
              </w:rPr>
            </w:pPr>
          </w:p>
        </w:tc>
        <w:tc>
          <w:tcPr>
            <w:tcW w:w="3648" w:type="dxa"/>
          </w:tcPr>
          <w:p w:rsidR="0032021E" w:rsidRPr="00A300A7" w:rsidRDefault="0032021E" w:rsidP="0032021E">
            <w:pPr>
              <w:spacing w:before="60" w:after="60"/>
              <w:rPr>
                <w:rFonts w:cs="Arial"/>
                <w:sz w:val="23"/>
                <w:szCs w:val="23"/>
              </w:rPr>
            </w:pPr>
            <w:r w:rsidRPr="00A300A7">
              <w:rPr>
                <w:rFonts w:cs="Arial"/>
                <w:sz w:val="23"/>
                <w:szCs w:val="23"/>
              </w:rPr>
              <w:t>A single Council-wide process for collection, storage and disposal of confidential waste should be introduced which will help provide assurance that waste is being managed securely. The Council should review the type of containers being used in offices to store confidential waste before disposal and the security of areas holding bulk confidential waste before collection by the contractors.</w:t>
            </w:r>
          </w:p>
        </w:tc>
        <w:tc>
          <w:tcPr>
            <w:tcW w:w="5670" w:type="dxa"/>
          </w:tcPr>
          <w:p w:rsidR="0032021E" w:rsidRDefault="0032021E" w:rsidP="0032021E">
            <w:pPr>
              <w:spacing w:before="60" w:after="60"/>
              <w:rPr>
                <w:rFonts w:cs="Arial"/>
                <w:sz w:val="23"/>
                <w:szCs w:val="23"/>
              </w:rPr>
            </w:pPr>
            <w:r>
              <w:rPr>
                <w:rFonts w:cs="Arial"/>
                <w:sz w:val="23"/>
                <w:szCs w:val="23"/>
              </w:rPr>
              <w:t>D</w:t>
            </w:r>
            <w:r w:rsidRPr="00A300A7">
              <w:rPr>
                <w:rFonts w:cs="Arial"/>
                <w:sz w:val="23"/>
                <w:szCs w:val="23"/>
              </w:rPr>
              <w:t xml:space="preserve">evelop </w:t>
            </w:r>
            <w:r>
              <w:rPr>
                <w:rFonts w:cs="Arial"/>
                <w:sz w:val="23"/>
                <w:szCs w:val="23"/>
              </w:rPr>
              <w:t xml:space="preserve">a single, multi-site </w:t>
            </w:r>
            <w:r w:rsidRPr="00A300A7">
              <w:rPr>
                <w:rFonts w:cs="Arial"/>
                <w:sz w:val="23"/>
                <w:szCs w:val="23"/>
              </w:rPr>
              <w:t xml:space="preserve">process for collecting </w:t>
            </w:r>
            <w:r>
              <w:rPr>
                <w:rFonts w:cs="Arial"/>
                <w:sz w:val="23"/>
                <w:szCs w:val="23"/>
              </w:rPr>
              <w:t>confidential waste</w:t>
            </w:r>
            <w:r w:rsidRPr="00A300A7">
              <w:rPr>
                <w:rFonts w:cs="Arial"/>
                <w:sz w:val="23"/>
                <w:szCs w:val="23"/>
              </w:rPr>
              <w:t xml:space="preserve"> sacks as they are filled for storage in centrally secured storage area</w:t>
            </w:r>
            <w:r>
              <w:rPr>
                <w:rFonts w:cs="Arial"/>
                <w:sz w:val="23"/>
                <w:szCs w:val="23"/>
              </w:rPr>
              <w:t>. Communicate this to staff and reiterate</w:t>
            </w:r>
            <w:r w:rsidRPr="00A300A7">
              <w:rPr>
                <w:rFonts w:cs="Arial"/>
                <w:sz w:val="23"/>
                <w:szCs w:val="23"/>
              </w:rPr>
              <w:t xml:space="preserve"> their responsibilities</w:t>
            </w:r>
            <w:r>
              <w:rPr>
                <w:rFonts w:cs="Arial"/>
                <w:sz w:val="23"/>
                <w:szCs w:val="23"/>
              </w:rPr>
              <w:t>.</w:t>
            </w:r>
          </w:p>
          <w:p w:rsidR="004364F0" w:rsidRDefault="004364F0" w:rsidP="0032021E">
            <w:pPr>
              <w:spacing w:before="60" w:after="60"/>
              <w:rPr>
                <w:rFonts w:cs="Arial"/>
                <w:sz w:val="23"/>
                <w:szCs w:val="23"/>
              </w:rPr>
            </w:pPr>
          </w:p>
          <w:p w:rsidR="004364F0" w:rsidRPr="00A300A7" w:rsidRDefault="004364F0" w:rsidP="0032021E">
            <w:pPr>
              <w:spacing w:before="60" w:after="60"/>
              <w:rPr>
                <w:rFonts w:cs="Arial"/>
                <w:sz w:val="23"/>
                <w:szCs w:val="23"/>
              </w:rPr>
            </w:pPr>
            <w:r>
              <w:rPr>
                <w:rFonts w:cs="Arial"/>
                <w:sz w:val="23"/>
                <w:szCs w:val="23"/>
              </w:rPr>
              <w:t>.</w:t>
            </w:r>
          </w:p>
          <w:p w:rsidR="0032021E" w:rsidRPr="00A300A7" w:rsidRDefault="0032021E" w:rsidP="0032021E">
            <w:pPr>
              <w:spacing w:before="60" w:after="60"/>
              <w:rPr>
                <w:rFonts w:cs="Arial"/>
                <w:sz w:val="23"/>
                <w:szCs w:val="23"/>
              </w:rPr>
            </w:pPr>
          </w:p>
        </w:tc>
        <w:tc>
          <w:tcPr>
            <w:tcW w:w="2410" w:type="dxa"/>
            <w:shd w:val="clear" w:color="auto" w:fill="D6E3BC" w:themeFill="accent3" w:themeFillTint="66"/>
          </w:tcPr>
          <w:p w:rsidR="0032021E" w:rsidRPr="00A300A7" w:rsidRDefault="006F35BE" w:rsidP="0032021E">
            <w:pPr>
              <w:spacing w:before="60" w:after="60"/>
              <w:rPr>
                <w:rFonts w:cs="Arial"/>
                <w:sz w:val="23"/>
                <w:szCs w:val="23"/>
              </w:rPr>
            </w:pPr>
            <w:r>
              <w:rPr>
                <w:rFonts w:cs="Arial"/>
                <w:sz w:val="23"/>
                <w:szCs w:val="23"/>
              </w:rPr>
              <w:t xml:space="preserve">30 </w:t>
            </w:r>
            <w:r w:rsidR="0032021E" w:rsidRPr="00A300A7">
              <w:rPr>
                <w:rFonts w:cs="Arial"/>
                <w:sz w:val="23"/>
                <w:szCs w:val="23"/>
              </w:rPr>
              <w:t>November 2014</w:t>
            </w:r>
          </w:p>
          <w:p w:rsidR="0032021E" w:rsidRPr="00A300A7" w:rsidRDefault="0032021E" w:rsidP="0032021E">
            <w:pPr>
              <w:spacing w:before="60" w:after="60"/>
              <w:rPr>
                <w:rFonts w:cs="Arial"/>
                <w:sz w:val="23"/>
                <w:szCs w:val="23"/>
              </w:rPr>
            </w:pPr>
            <w:r w:rsidRPr="00A300A7">
              <w:rPr>
                <w:rFonts w:cs="Arial"/>
                <w:sz w:val="23"/>
                <w:szCs w:val="23"/>
              </w:rPr>
              <w:t xml:space="preserve">Service Head – Corporate Property </w:t>
            </w:r>
          </w:p>
          <w:p w:rsidR="0032021E" w:rsidRPr="00A300A7" w:rsidRDefault="0032021E" w:rsidP="0032021E">
            <w:pPr>
              <w:spacing w:before="60" w:after="60"/>
              <w:rPr>
                <w:rFonts w:cs="Arial"/>
                <w:sz w:val="23"/>
                <w:szCs w:val="23"/>
              </w:rPr>
            </w:pPr>
          </w:p>
        </w:tc>
      </w:tr>
      <w:tr w:rsidR="0032021E" w:rsidRPr="00A300A7" w:rsidTr="004A3CA6">
        <w:tc>
          <w:tcPr>
            <w:tcW w:w="2130" w:type="dxa"/>
          </w:tcPr>
          <w:p w:rsidR="0032021E" w:rsidRPr="00A300A7" w:rsidRDefault="0032021E" w:rsidP="000B4F3F">
            <w:pPr>
              <w:spacing w:before="60" w:after="60"/>
              <w:rPr>
                <w:rFonts w:cs="Arial"/>
                <w:sz w:val="23"/>
                <w:szCs w:val="23"/>
              </w:rPr>
            </w:pPr>
          </w:p>
        </w:tc>
        <w:tc>
          <w:tcPr>
            <w:tcW w:w="3648" w:type="dxa"/>
          </w:tcPr>
          <w:p w:rsidR="0032021E" w:rsidRPr="00A300A7" w:rsidRDefault="0032021E" w:rsidP="000B4F3F">
            <w:pPr>
              <w:spacing w:before="60" w:after="60"/>
              <w:rPr>
                <w:rFonts w:cs="Arial"/>
                <w:sz w:val="23"/>
                <w:szCs w:val="23"/>
              </w:rPr>
            </w:pPr>
          </w:p>
        </w:tc>
        <w:tc>
          <w:tcPr>
            <w:tcW w:w="5670" w:type="dxa"/>
          </w:tcPr>
          <w:p w:rsidR="0032021E" w:rsidRPr="00A300A7" w:rsidDel="000B4F3F" w:rsidRDefault="0032021E" w:rsidP="000B4F3F">
            <w:pPr>
              <w:spacing w:before="60" w:after="60"/>
              <w:rPr>
                <w:rFonts w:cs="Arial"/>
                <w:sz w:val="23"/>
                <w:szCs w:val="23"/>
              </w:rPr>
            </w:pPr>
            <w:r w:rsidRPr="00A300A7">
              <w:rPr>
                <w:rFonts w:cs="Arial"/>
                <w:sz w:val="23"/>
                <w:szCs w:val="23"/>
              </w:rPr>
              <w:t xml:space="preserve">Enhance security in the office surrounding archive boxes awaiting transfer to off-site storage. </w:t>
            </w:r>
            <w:r>
              <w:rPr>
                <w:rFonts w:cs="Arial"/>
                <w:sz w:val="23"/>
                <w:szCs w:val="23"/>
              </w:rPr>
              <w:t>The external</w:t>
            </w:r>
            <w:r w:rsidRPr="00A300A7">
              <w:rPr>
                <w:rFonts w:cs="Arial"/>
                <w:sz w:val="23"/>
                <w:szCs w:val="23"/>
              </w:rPr>
              <w:t xml:space="preserve"> door is already secured automatically </w:t>
            </w:r>
            <w:r>
              <w:rPr>
                <w:rFonts w:cs="Arial"/>
                <w:sz w:val="23"/>
                <w:szCs w:val="23"/>
              </w:rPr>
              <w:t>and</w:t>
            </w:r>
            <w:r w:rsidRPr="00A300A7">
              <w:rPr>
                <w:rFonts w:cs="Arial"/>
                <w:sz w:val="23"/>
                <w:szCs w:val="23"/>
              </w:rPr>
              <w:t xml:space="preserve"> </w:t>
            </w:r>
            <w:r>
              <w:rPr>
                <w:rFonts w:cs="Arial"/>
                <w:sz w:val="23"/>
                <w:szCs w:val="23"/>
              </w:rPr>
              <w:t>only</w:t>
            </w:r>
            <w:r w:rsidRPr="00A300A7">
              <w:rPr>
                <w:rFonts w:cs="Arial"/>
                <w:sz w:val="23"/>
                <w:szCs w:val="23"/>
              </w:rPr>
              <w:t xml:space="preserve"> unlocked </w:t>
            </w:r>
            <w:r>
              <w:rPr>
                <w:rFonts w:cs="Arial"/>
                <w:sz w:val="23"/>
                <w:szCs w:val="23"/>
              </w:rPr>
              <w:t>when boxes are being transferred</w:t>
            </w:r>
            <w:r w:rsidRPr="00A300A7">
              <w:rPr>
                <w:rFonts w:cs="Arial"/>
                <w:sz w:val="23"/>
                <w:szCs w:val="23"/>
              </w:rPr>
              <w:t>. CCTV is also positioned to cover this area</w:t>
            </w:r>
            <w:r>
              <w:rPr>
                <w:rFonts w:cs="Arial"/>
                <w:sz w:val="23"/>
                <w:szCs w:val="23"/>
              </w:rPr>
              <w:t xml:space="preserve">. </w:t>
            </w:r>
            <w:r w:rsidRPr="00A300A7">
              <w:rPr>
                <w:rFonts w:cs="Arial"/>
                <w:sz w:val="23"/>
                <w:szCs w:val="23"/>
              </w:rPr>
              <w:t xml:space="preserve">The storage area </w:t>
            </w:r>
            <w:r>
              <w:rPr>
                <w:rFonts w:cs="Arial"/>
                <w:sz w:val="23"/>
                <w:szCs w:val="23"/>
              </w:rPr>
              <w:t xml:space="preserve">internal </w:t>
            </w:r>
            <w:r w:rsidRPr="00A300A7">
              <w:rPr>
                <w:rFonts w:cs="Arial"/>
                <w:sz w:val="23"/>
                <w:szCs w:val="23"/>
              </w:rPr>
              <w:t>entrance has been fitted with a new access card entry system and new protocols have been issued to staff regarding use of the area.</w:t>
            </w:r>
          </w:p>
        </w:tc>
        <w:tc>
          <w:tcPr>
            <w:tcW w:w="2410" w:type="dxa"/>
            <w:shd w:val="clear" w:color="auto" w:fill="D6E3BC" w:themeFill="accent3" w:themeFillTint="66"/>
          </w:tcPr>
          <w:p w:rsidR="0032021E" w:rsidRPr="00A300A7" w:rsidRDefault="004A3CA6" w:rsidP="000B4F3F">
            <w:pPr>
              <w:spacing w:before="60" w:after="60"/>
              <w:rPr>
                <w:rFonts w:cs="Arial"/>
                <w:sz w:val="23"/>
                <w:szCs w:val="23"/>
              </w:rPr>
            </w:pPr>
            <w:r>
              <w:rPr>
                <w:rFonts w:cs="Arial"/>
                <w:sz w:val="23"/>
                <w:szCs w:val="23"/>
              </w:rPr>
              <w:t>Completed 4 September 2014</w:t>
            </w:r>
          </w:p>
          <w:p w:rsidR="0032021E" w:rsidRPr="00A300A7" w:rsidRDefault="0032021E" w:rsidP="000B4F3F">
            <w:pPr>
              <w:spacing w:before="60" w:after="60"/>
              <w:rPr>
                <w:rFonts w:cs="Arial"/>
                <w:sz w:val="23"/>
                <w:szCs w:val="23"/>
              </w:rPr>
            </w:pPr>
            <w:r w:rsidRPr="00A300A7">
              <w:rPr>
                <w:rFonts w:cs="Arial"/>
                <w:sz w:val="23"/>
                <w:szCs w:val="23"/>
              </w:rPr>
              <w:t>Service Head – Corporate Property</w:t>
            </w:r>
          </w:p>
        </w:tc>
      </w:tr>
      <w:tr w:rsidR="0032021E" w:rsidRPr="00A300A7" w:rsidTr="006F35BE">
        <w:tc>
          <w:tcPr>
            <w:tcW w:w="2130" w:type="dxa"/>
          </w:tcPr>
          <w:p w:rsidR="0032021E" w:rsidRPr="00A300A7" w:rsidRDefault="0032021E" w:rsidP="000B4F3F">
            <w:pPr>
              <w:spacing w:before="60" w:after="60"/>
              <w:rPr>
                <w:rFonts w:cs="Arial"/>
                <w:sz w:val="23"/>
                <w:szCs w:val="23"/>
              </w:rPr>
            </w:pPr>
          </w:p>
        </w:tc>
        <w:tc>
          <w:tcPr>
            <w:tcW w:w="3648" w:type="dxa"/>
          </w:tcPr>
          <w:p w:rsidR="0032021E" w:rsidRPr="00A300A7" w:rsidRDefault="0032021E" w:rsidP="000B4F3F">
            <w:pPr>
              <w:spacing w:before="60" w:after="60"/>
              <w:rPr>
                <w:rFonts w:cs="Arial"/>
                <w:sz w:val="23"/>
                <w:szCs w:val="23"/>
              </w:rPr>
            </w:pPr>
          </w:p>
        </w:tc>
        <w:tc>
          <w:tcPr>
            <w:tcW w:w="5670" w:type="dxa"/>
          </w:tcPr>
          <w:p w:rsidR="0032021E" w:rsidRPr="00A300A7" w:rsidRDefault="0032021E" w:rsidP="000B4F3F">
            <w:pPr>
              <w:spacing w:before="60" w:after="60"/>
              <w:rPr>
                <w:rFonts w:cs="Arial"/>
                <w:sz w:val="23"/>
                <w:szCs w:val="23"/>
              </w:rPr>
            </w:pPr>
            <w:r w:rsidRPr="00A300A7">
              <w:rPr>
                <w:rFonts w:cs="Arial"/>
                <w:sz w:val="23"/>
                <w:szCs w:val="23"/>
              </w:rPr>
              <w:t>Update Data Disposal Procedure</w:t>
            </w:r>
            <w:r>
              <w:rPr>
                <w:rFonts w:cs="Arial"/>
                <w:sz w:val="23"/>
                <w:szCs w:val="23"/>
              </w:rPr>
              <w:t>. T</w:t>
            </w:r>
            <w:r w:rsidRPr="00A300A7">
              <w:rPr>
                <w:rFonts w:cs="Arial"/>
                <w:sz w:val="23"/>
                <w:szCs w:val="23"/>
              </w:rPr>
              <w:t xml:space="preserve">his was part of the current year </w:t>
            </w:r>
            <w:r>
              <w:rPr>
                <w:rFonts w:cs="Arial"/>
                <w:sz w:val="23"/>
                <w:szCs w:val="23"/>
              </w:rPr>
              <w:t>work-plan</w:t>
            </w:r>
            <w:r w:rsidRPr="00A300A7">
              <w:rPr>
                <w:rFonts w:cs="Arial"/>
                <w:sz w:val="23"/>
                <w:szCs w:val="23"/>
              </w:rPr>
              <w:t>. The process has been reviewed and updated it will be submitted to IGG for comment</w:t>
            </w:r>
          </w:p>
        </w:tc>
        <w:tc>
          <w:tcPr>
            <w:tcW w:w="2410" w:type="dxa"/>
            <w:shd w:val="clear" w:color="auto" w:fill="FFFF99"/>
          </w:tcPr>
          <w:p w:rsidR="0032021E" w:rsidRPr="00A300A7" w:rsidRDefault="006F35BE" w:rsidP="000B4F3F">
            <w:pPr>
              <w:spacing w:before="60" w:after="60"/>
              <w:rPr>
                <w:rFonts w:cs="Arial"/>
                <w:sz w:val="23"/>
                <w:szCs w:val="23"/>
              </w:rPr>
            </w:pPr>
            <w:r>
              <w:rPr>
                <w:rFonts w:cs="Arial"/>
                <w:sz w:val="23"/>
                <w:szCs w:val="23"/>
              </w:rPr>
              <w:t xml:space="preserve">Drafted 30 </w:t>
            </w:r>
            <w:r w:rsidR="0032021E" w:rsidRPr="00A300A7">
              <w:rPr>
                <w:rFonts w:cs="Arial"/>
                <w:sz w:val="23"/>
                <w:szCs w:val="23"/>
              </w:rPr>
              <w:t>November 2014</w:t>
            </w:r>
            <w:r>
              <w:rPr>
                <w:rFonts w:cs="Arial"/>
                <w:sz w:val="23"/>
                <w:szCs w:val="23"/>
              </w:rPr>
              <w:t>, to be reviewed and submitted to IGG January 2015</w:t>
            </w:r>
          </w:p>
          <w:p w:rsidR="0032021E" w:rsidRPr="00A300A7" w:rsidRDefault="0032021E" w:rsidP="000B4F3F">
            <w:pPr>
              <w:spacing w:before="60" w:after="60"/>
              <w:rPr>
                <w:rFonts w:cs="Arial"/>
                <w:sz w:val="23"/>
                <w:szCs w:val="23"/>
              </w:rPr>
            </w:pPr>
            <w:r w:rsidRPr="00A300A7">
              <w:rPr>
                <w:rFonts w:cs="Arial"/>
                <w:sz w:val="23"/>
                <w:szCs w:val="23"/>
              </w:rPr>
              <w:t>Service Head – Legal Services</w:t>
            </w:r>
          </w:p>
        </w:tc>
      </w:tr>
    </w:tbl>
    <w:p w:rsidR="005B77EE" w:rsidRPr="00A300A7" w:rsidRDefault="005B77EE">
      <w:pPr>
        <w:rPr>
          <w:rFonts w:cs="Arial"/>
          <w:sz w:val="23"/>
          <w:szCs w:val="23"/>
        </w:rPr>
      </w:pPr>
    </w:p>
    <w:sectPr w:rsidR="005B77EE" w:rsidRPr="00A300A7" w:rsidSect="00DA0FA5">
      <w:headerReference w:type="default" r:id="rId7"/>
      <w:footerReference w:type="default" r:id="rId8"/>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43F" w:rsidRDefault="0092543F" w:rsidP="0092543F">
      <w:r>
        <w:separator/>
      </w:r>
    </w:p>
  </w:endnote>
  <w:endnote w:type="continuationSeparator" w:id="0">
    <w:p w:rsidR="0092543F" w:rsidRDefault="0092543F" w:rsidP="0092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469"/>
      <w:gridCol w:w="12705"/>
    </w:tblGrid>
    <w:tr w:rsidR="0092543F">
      <w:tc>
        <w:tcPr>
          <w:tcW w:w="918" w:type="dxa"/>
        </w:tcPr>
        <w:p w:rsidR="0092543F" w:rsidRDefault="0092543F">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4364F0" w:rsidRPr="004364F0">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2543F" w:rsidRDefault="0092543F">
          <w:pPr>
            <w:pStyle w:val="Footer"/>
          </w:pPr>
        </w:p>
      </w:tc>
    </w:tr>
  </w:tbl>
  <w:p w:rsidR="0092543F" w:rsidRDefault="00925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43F" w:rsidRDefault="0092543F" w:rsidP="0092543F">
      <w:r>
        <w:separator/>
      </w:r>
    </w:p>
  </w:footnote>
  <w:footnote w:type="continuationSeparator" w:id="0">
    <w:p w:rsidR="0092543F" w:rsidRDefault="0092543F" w:rsidP="00925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CA6" w:rsidRDefault="004A3CA6" w:rsidP="0037270D">
    <w:pPr>
      <w:pStyle w:val="Header"/>
      <w:jc w:val="right"/>
    </w:pPr>
    <w:r>
      <w:t>Position at 5 December 2014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7EE"/>
    <w:rsid w:val="00076538"/>
    <w:rsid w:val="00093563"/>
    <w:rsid w:val="000B4F3F"/>
    <w:rsid w:val="00140DE9"/>
    <w:rsid w:val="003073C9"/>
    <w:rsid w:val="0032021E"/>
    <w:rsid w:val="0037270D"/>
    <w:rsid w:val="003E42C9"/>
    <w:rsid w:val="004364F0"/>
    <w:rsid w:val="004A3CA6"/>
    <w:rsid w:val="005B4700"/>
    <w:rsid w:val="005B77EE"/>
    <w:rsid w:val="006F35BE"/>
    <w:rsid w:val="00820757"/>
    <w:rsid w:val="0083043E"/>
    <w:rsid w:val="00871231"/>
    <w:rsid w:val="0092543F"/>
    <w:rsid w:val="009711FC"/>
    <w:rsid w:val="00A300A7"/>
    <w:rsid w:val="00D960A9"/>
    <w:rsid w:val="00D97BE6"/>
    <w:rsid w:val="00DA0FA5"/>
    <w:rsid w:val="00E42951"/>
    <w:rsid w:val="00FF4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A0FA5"/>
    <w:rPr>
      <w:rFonts w:ascii="Tahoma" w:hAnsi="Tahoma" w:cs="Tahoma"/>
      <w:sz w:val="16"/>
      <w:szCs w:val="16"/>
    </w:rPr>
  </w:style>
  <w:style w:type="character" w:customStyle="1" w:styleId="BalloonTextChar">
    <w:name w:val="Balloon Text Char"/>
    <w:basedOn w:val="DefaultParagraphFont"/>
    <w:link w:val="BalloonText"/>
    <w:rsid w:val="00DA0FA5"/>
    <w:rPr>
      <w:rFonts w:ascii="Tahoma" w:hAnsi="Tahoma" w:cs="Tahoma"/>
      <w:sz w:val="16"/>
      <w:szCs w:val="16"/>
    </w:rPr>
  </w:style>
  <w:style w:type="paragraph" w:styleId="Header">
    <w:name w:val="header"/>
    <w:basedOn w:val="Normal"/>
    <w:link w:val="HeaderChar"/>
    <w:rsid w:val="0092543F"/>
    <w:pPr>
      <w:tabs>
        <w:tab w:val="center" w:pos="4513"/>
        <w:tab w:val="right" w:pos="9026"/>
      </w:tabs>
    </w:pPr>
  </w:style>
  <w:style w:type="character" w:customStyle="1" w:styleId="HeaderChar">
    <w:name w:val="Header Char"/>
    <w:basedOn w:val="DefaultParagraphFont"/>
    <w:link w:val="Header"/>
    <w:rsid w:val="0092543F"/>
    <w:rPr>
      <w:rFonts w:ascii="Arial" w:hAnsi="Arial"/>
      <w:sz w:val="24"/>
      <w:szCs w:val="24"/>
    </w:rPr>
  </w:style>
  <w:style w:type="paragraph" w:styleId="Footer">
    <w:name w:val="footer"/>
    <w:basedOn w:val="Normal"/>
    <w:link w:val="FooterChar"/>
    <w:uiPriority w:val="99"/>
    <w:rsid w:val="0092543F"/>
    <w:pPr>
      <w:tabs>
        <w:tab w:val="center" w:pos="4513"/>
        <w:tab w:val="right" w:pos="9026"/>
      </w:tabs>
    </w:pPr>
  </w:style>
  <w:style w:type="character" w:customStyle="1" w:styleId="FooterChar">
    <w:name w:val="Footer Char"/>
    <w:basedOn w:val="DefaultParagraphFont"/>
    <w:link w:val="Footer"/>
    <w:uiPriority w:val="99"/>
    <w:rsid w:val="0092543F"/>
    <w:rPr>
      <w:rFonts w:ascii="Arial" w:hAnsi="Arial"/>
      <w:sz w:val="24"/>
      <w:szCs w:val="24"/>
    </w:rPr>
  </w:style>
  <w:style w:type="character" w:styleId="CommentReference">
    <w:name w:val="annotation reference"/>
    <w:basedOn w:val="DefaultParagraphFont"/>
    <w:rsid w:val="000B4F3F"/>
    <w:rPr>
      <w:sz w:val="16"/>
      <w:szCs w:val="16"/>
    </w:rPr>
  </w:style>
  <w:style w:type="paragraph" w:styleId="CommentText">
    <w:name w:val="annotation text"/>
    <w:basedOn w:val="Normal"/>
    <w:link w:val="CommentTextChar"/>
    <w:rsid w:val="000B4F3F"/>
    <w:rPr>
      <w:sz w:val="20"/>
      <w:szCs w:val="20"/>
    </w:rPr>
  </w:style>
  <w:style w:type="character" w:customStyle="1" w:styleId="CommentTextChar">
    <w:name w:val="Comment Text Char"/>
    <w:basedOn w:val="DefaultParagraphFont"/>
    <w:link w:val="CommentText"/>
    <w:rsid w:val="000B4F3F"/>
    <w:rPr>
      <w:rFonts w:ascii="Arial" w:hAnsi="Arial"/>
    </w:rPr>
  </w:style>
  <w:style w:type="paragraph" w:styleId="CommentSubject">
    <w:name w:val="annotation subject"/>
    <w:basedOn w:val="CommentText"/>
    <w:next w:val="CommentText"/>
    <w:link w:val="CommentSubjectChar"/>
    <w:rsid w:val="000B4F3F"/>
    <w:rPr>
      <w:b/>
      <w:bCs/>
    </w:rPr>
  </w:style>
  <w:style w:type="character" w:customStyle="1" w:styleId="CommentSubjectChar">
    <w:name w:val="Comment Subject Char"/>
    <w:basedOn w:val="CommentTextChar"/>
    <w:link w:val="CommentSubject"/>
    <w:rsid w:val="000B4F3F"/>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7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A0FA5"/>
    <w:rPr>
      <w:rFonts w:ascii="Tahoma" w:hAnsi="Tahoma" w:cs="Tahoma"/>
      <w:sz w:val="16"/>
      <w:szCs w:val="16"/>
    </w:rPr>
  </w:style>
  <w:style w:type="character" w:customStyle="1" w:styleId="BalloonTextChar">
    <w:name w:val="Balloon Text Char"/>
    <w:basedOn w:val="DefaultParagraphFont"/>
    <w:link w:val="BalloonText"/>
    <w:rsid w:val="00DA0FA5"/>
    <w:rPr>
      <w:rFonts w:ascii="Tahoma" w:hAnsi="Tahoma" w:cs="Tahoma"/>
      <w:sz w:val="16"/>
      <w:szCs w:val="16"/>
    </w:rPr>
  </w:style>
  <w:style w:type="paragraph" w:styleId="Header">
    <w:name w:val="header"/>
    <w:basedOn w:val="Normal"/>
    <w:link w:val="HeaderChar"/>
    <w:rsid w:val="0092543F"/>
    <w:pPr>
      <w:tabs>
        <w:tab w:val="center" w:pos="4513"/>
        <w:tab w:val="right" w:pos="9026"/>
      </w:tabs>
    </w:pPr>
  </w:style>
  <w:style w:type="character" w:customStyle="1" w:styleId="HeaderChar">
    <w:name w:val="Header Char"/>
    <w:basedOn w:val="DefaultParagraphFont"/>
    <w:link w:val="Header"/>
    <w:rsid w:val="0092543F"/>
    <w:rPr>
      <w:rFonts w:ascii="Arial" w:hAnsi="Arial"/>
      <w:sz w:val="24"/>
      <w:szCs w:val="24"/>
    </w:rPr>
  </w:style>
  <w:style w:type="paragraph" w:styleId="Footer">
    <w:name w:val="footer"/>
    <w:basedOn w:val="Normal"/>
    <w:link w:val="FooterChar"/>
    <w:uiPriority w:val="99"/>
    <w:rsid w:val="0092543F"/>
    <w:pPr>
      <w:tabs>
        <w:tab w:val="center" w:pos="4513"/>
        <w:tab w:val="right" w:pos="9026"/>
      </w:tabs>
    </w:pPr>
  </w:style>
  <w:style w:type="character" w:customStyle="1" w:styleId="FooterChar">
    <w:name w:val="Footer Char"/>
    <w:basedOn w:val="DefaultParagraphFont"/>
    <w:link w:val="Footer"/>
    <w:uiPriority w:val="99"/>
    <w:rsid w:val="0092543F"/>
    <w:rPr>
      <w:rFonts w:ascii="Arial" w:hAnsi="Arial"/>
      <w:sz w:val="24"/>
      <w:szCs w:val="24"/>
    </w:rPr>
  </w:style>
  <w:style w:type="character" w:styleId="CommentReference">
    <w:name w:val="annotation reference"/>
    <w:basedOn w:val="DefaultParagraphFont"/>
    <w:rsid w:val="000B4F3F"/>
    <w:rPr>
      <w:sz w:val="16"/>
      <w:szCs w:val="16"/>
    </w:rPr>
  </w:style>
  <w:style w:type="paragraph" w:styleId="CommentText">
    <w:name w:val="annotation text"/>
    <w:basedOn w:val="Normal"/>
    <w:link w:val="CommentTextChar"/>
    <w:rsid w:val="000B4F3F"/>
    <w:rPr>
      <w:sz w:val="20"/>
      <w:szCs w:val="20"/>
    </w:rPr>
  </w:style>
  <w:style w:type="character" w:customStyle="1" w:styleId="CommentTextChar">
    <w:name w:val="Comment Text Char"/>
    <w:basedOn w:val="DefaultParagraphFont"/>
    <w:link w:val="CommentText"/>
    <w:rsid w:val="000B4F3F"/>
    <w:rPr>
      <w:rFonts w:ascii="Arial" w:hAnsi="Arial"/>
    </w:rPr>
  </w:style>
  <w:style w:type="paragraph" w:styleId="CommentSubject">
    <w:name w:val="annotation subject"/>
    <w:basedOn w:val="CommentText"/>
    <w:next w:val="CommentText"/>
    <w:link w:val="CommentSubjectChar"/>
    <w:rsid w:val="000B4F3F"/>
    <w:rPr>
      <w:b/>
      <w:bCs/>
    </w:rPr>
  </w:style>
  <w:style w:type="character" w:customStyle="1" w:styleId="CommentSubjectChar">
    <w:name w:val="Comment Subject Char"/>
    <w:basedOn w:val="CommentTextChar"/>
    <w:link w:val="CommentSubject"/>
    <w:rsid w:val="000B4F3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828</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5625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Dowden</dc:creator>
  <cp:lastModifiedBy>Ruth Dowden</cp:lastModifiedBy>
  <cp:revision>2</cp:revision>
  <cp:lastPrinted>2014-11-14T08:14:00Z</cp:lastPrinted>
  <dcterms:created xsi:type="dcterms:W3CDTF">2014-12-02T10:28:00Z</dcterms:created>
  <dcterms:modified xsi:type="dcterms:W3CDTF">2014-12-02T10:28:00Z</dcterms:modified>
</cp:coreProperties>
</file>