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FB" w:rsidRDefault="00A87DFB" w:rsidP="00A87DFB">
      <w:pPr>
        <w:pStyle w:val="Default"/>
      </w:pPr>
    </w:p>
    <w:p w:rsidR="00A87DFB" w:rsidRPr="00B10553" w:rsidRDefault="00A87DFB" w:rsidP="00A87DFB">
      <w:pPr>
        <w:pStyle w:val="Default"/>
        <w:rPr>
          <w:color w:val="auto"/>
          <w:sz w:val="32"/>
          <w:szCs w:val="32"/>
        </w:rPr>
      </w:pPr>
      <w:r w:rsidRPr="00B10553">
        <w:rPr>
          <w:b/>
          <w:bCs/>
          <w:color w:val="auto"/>
          <w:sz w:val="32"/>
          <w:szCs w:val="32"/>
        </w:rPr>
        <w:t xml:space="preserve">TPO Representation Guidance </w:t>
      </w:r>
    </w:p>
    <w:p w:rsidR="00A87DFB" w:rsidRPr="00B10553" w:rsidRDefault="00A87DFB" w:rsidP="00A87DFB">
      <w:pPr>
        <w:pStyle w:val="Default"/>
        <w:rPr>
          <w:color w:val="auto"/>
          <w:sz w:val="32"/>
          <w:szCs w:val="32"/>
        </w:rPr>
      </w:pPr>
      <w:r w:rsidRPr="00B10553">
        <w:rPr>
          <w:b/>
          <w:bCs/>
          <w:color w:val="auto"/>
          <w:sz w:val="32"/>
          <w:szCs w:val="32"/>
        </w:rPr>
        <w:t xml:space="preserve">Land </w:t>
      </w:r>
      <w:r w:rsidRPr="00B10553">
        <w:rPr>
          <w:b/>
          <w:bCs/>
          <w:color w:val="auto"/>
          <w:sz w:val="32"/>
          <w:szCs w:val="32"/>
        </w:rPr>
        <w:t>Tree Preservation Order 201</w:t>
      </w:r>
      <w:r w:rsidRPr="00B10553">
        <w:rPr>
          <w:b/>
          <w:bCs/>
          <w:color w:val="auto"/>
          <w:sz w:val="32"/>
          <w:szCs w:val="32"/>
        </w:rPr>
        <w:t>7</w:t>
      </w:r>
      <w:r w:rsidRPr="00B10553">
        <w:rPr>
          <w:b/>
          <w:bCs/>
          <w:color w:val="auto"/>
          <w:sz w:val="32"/>
          <w:szCs w:val="32"/>
        </w:rPr>
        <w:t xml:space="preserve">/1 </w:t>
      </w:r>
    </w:p>
    <w:p w:rsidR="00A87DFB" w:rsidRPr="00B10553" w:rsidRDefault="00A87DFB" w:rsidP="00A87DFB">
      <w:pPr>
        <w:pStyle w:val="Default"/>
        <w:rPr>
          <w:rFonts w:ascii="Times New Roman" w:hAnsi="Times New Roman" w:cs="Times New Roman"/>
          <w:color w:val="auto"/>
          <w:sz w:val="22"/>
          <w:szCs w:val="22"/>
        </w:rPr>
      </w:pPr>
    </w:p>
    <w:p w:rsidR="00E07C5B" w:rsidRPr="00B10553" w:rsidRDefault="00E07C5B" w:rsidP="00E07C5B">
      <w:pPr>
        <w:rPr>
          <w:rFonts w:asciiTheme="minorHAnsi" w:hAnsiTheme="minorHAnsi"/>
        </w:rPr>
      </w:pPr>
      <w:r w:rsidRPr="00B10553">
        <w:rPr>
          <w:rFonts w:asciiTheme="minorHAnsi" w:hAnsiTheme="minorHAnsi"/>
        </w:rPr>
        <w:t>On the 28</w:t>
      </w:r>
      <w:r w:rsidRPr="00B10553">
        <w:rPr>
          <w:rFonts w:asciiTheme="minorHAnsi" w:hAnsiTheme="minorHAnsi"/>
          <w:vertAlign w:val="superscript"/>
        </w:rPr>
        <w:t>th</w:t>
      </w:r>
      <w:r w:rsidRPr="00B10553">
        <w:rPr>
          <w:rFonts w:asciiTheme="minorHAnsi" w:hAnsiTheme="minorHAnsi"/>
        </w:rPr>
        <w:t xml:space="preserve"> February 2</w:t>
      </w:r>
      <w:r w:rsidRPr="00B10553">
        <w:rPr>
          <w:rFonts w:asciiTheme="minorHAnsi" w:hAnsiTheme="minorHAnsi"/>
        </w:rPr>
        <w:t>017 t</w:t>
      </w:r>
      <w:r w:rsidR="00A87DFB" w:rsidRPr="00B10553">
        <w:rPr>
          <w:rFonts w:asciiTheme="minorHAnsi" w:hAnsiTheme="minorHAnsi"/>
        </w:rPr>
        <w:t xml:space="preserve">rees of all species, including 11 Sycamore and 3 Elder on land to the rear of 69-72 </w:t>
      </w:r>
      <w:proofErr w:type="spellStart"/>
      <w:r w:rsidR="00A87DFB" w:rsidRPr="00B10553">
        <w:rPr>
          <w:rFonts w:asciiTheme="minorHAnsi" w:hAnsiTheme="minorHAnsi"/>
        </w:rPr>
        <w:t>Cadogan</w:t>
      </w:r>
      <w:proofErr w:type="spellEnd"/>
      <w:r w:rsidR="00A87DFB" w:rsidRPr="00B10553">
        <w:rPr>
          <w:rFonts w:asciiTheme="minorHAnsi" w:hAnsiTheme="minorHAnsi"/>
        </w:rPr>
        <w:t xml:space="preserve"> Terrace</w:t>
      </w:r>
      <w:r w:rsidR="00A87DFB" w:rsidRPr="00B10553">
        <w:rPr>
          <w:rFonts w:asciiTheme="minorHAnsi" w:hAnsiTheme="minorHAnsi"/>
        </w:rPr>
        <w:t xml:space="preserve"> </w:t>
      </w:r>
      <w:r w:rsidRPr="00B10553">
        <w:rPr>
          <w:rFonts w:asciiTheme="minorHAnsi" w:hAnsiTheme="minorHAnsi"/>
        </w:rPr>
        <w:t>were</w:t>
      </w:r>
      <w:r w:rsidR="00A87DFB" w:rsidRPr="00B10553">
        <w:rPr>
          <w:rFonts w:asciiTheme="minorHAnsi" w:hAnsiTheme="minorHAnsi"/>
        </w:rPr>
        <w:t xml:space="preserve"> protected by a</w:t>
      </w:r>
      <w:r w:rsidRPr="00B10553">
        <w:rPr>
          <w:rFonts w:asciiTheme="minorHAnsi" w:hAnsiTheme="minorHAnsi"/>
        </w:rPr>
        <w:t>n interim</w:t>
      </w:r>
      <w:r w:rsidR="00A87DFB" w:rsidRPr="00B10553">
        <w:rPr>
          <w:rFonts w:asciiTheme="minorHAnsi" w:hAnsiTheme="minorHAnsi"/>
        </w:rPr>
        <w:t xml:space="preserve"> Tree Protection Order under the powers conferred to the London Borough of Tower Hamlets in Section 198 of the Town and Country Planning Act 1990.</w:t>
      </w:r>
      <w:r w:rsidRPr="00B10553">
        <w:rPr>
          <w:rFonts w:asciiTheme="minorHAnsi" w:hAnsiTheme="minorHAnsi"/>
        </w:rPr>
        <w:t xml:space="preserve"> </w:t>
      </w:r>
    </w:p>
    <w:p w:rsidR="00E07C5B" w:rsidRPr="00B10553" w:rsidRDefault="00E07C5B" w:rsidP="00E07C5B">
      <w:pPr>
        <w:rPr>
          <w:rFonts w:asciiTheme="minorHAnsi" w:hAnsiTheme="minorHAnsi"/>
        </w:rPr>
      </w:pPr>
    </w:p>
    <w:p w:rsidR="00E07C5B" w:rsidRPr="00B10553" w:rsidRDefault="00E07C5B" w:rsidP="00E07C5B">
      <w:pPr>
        <w:rPr>
          <w:rFonts w:asciiTheme="minorHAnsi" w:hAnsiTheme="minorHAnsi"/>
        </w:rPr>
      </w:pPr>
      <w:r w:rsidRPr="00B10553">
        <w:rPr>
          <w:rFonts w:asciiTheme="minorHAnsi" w:hAnsiTheme="minorHAnsi"/>
        </w:rPr>
        <w:t xml:space="preserve">There is now a period of 28 days </w:t>
      </w:r>
      <w:r w:rsidR="00B10553" w:rsidRPr="00B10553">
        <w:rPr>
          <w:rFonts w:asciiTheme="minorHAnsi" w:hAnsiTheme="minorHAnsi"/>
        </w:rPr>
        <w:t xml:space="preserve">in </w:t>
      </w:r>
      <w:r w:rsidRPr="00B10553">
        <w:rPr>
          <w:rFonts w:asciiTheme="minorHAnsi" w:hAnsiTheme="minorHAnsi"/>
        </w:rPr>
        <w:t xml:space="preserve">which to make representations / comment on this designation to the Council.    </w:t>
      </w:r>
    </w:p>
    <w:p w:rsidR="00A87DFB" w:rsidRPr="00B10553" w:rsidRDefault="00A87DFB" w:rsidP="00A87DFB">
      <w:pPr>
        <w:rPr>
          <w:rFonts w:asciiTheme="minorHAnsi" w:hAnsiTheme="minorHAnsi"/>
        </w:rPr>
      </w:pPr>
    </w:p>
    <w:p w:rsidR="00A87DFB" w:rsidRPr="00B10553" w:rsidRDefault="00A87DFB" w:rsidP="00A87DFB">
      <w:pPr>
        <w:pStyle w:val="Default"/>
        <w:rPr>
          <w:rFonts w:asciiTheme="minorHAnsi" w:hAnsiTheme="minorHAnsi"/>
          <w:color w:val="auto"/>
          <w:sz w:val="22"/>
          <w:szCs w:val="22"/>
        </w:rPr>
      </w:pPr>
      <w:r w:rsidRPr="00B10553">
        <w:rPr>
          <w:rFonts w:asciiTheme="minorHAnsi" w:hAnsiTheme="minorHAnsi"/>
          <w:color w:val="auto"/>
          <w:sz w:val="22"/>
          <w:szCs w:val="22"/>
        </w:rPr>
        <w:t xml:space="preserve">The reasons for making the order are that the trees in this area [A1] including 11 Sycamore trees (Acer </w:t>
      </w:r>
      <w:proofErr w:type="spellStart"/>
      <w:r w:rsidRPr="00B10553">
        <w:rPr>
          <w:rFonts w:asciiTheme="minorHAnsi" w:hAnsiTheme="minorHAnsi"/>
          <w:color w:val="auto"/>
          <w:sz w:val="22"/>
          <w:szCs w:val="22"/>
        </w:rPr>
        <w:t>Pseudoplatanus</w:t>
      </w:r>
      <w:proofErr w:type="spellEnd"/>
      <w:r w:rsidRPr="00B10553">
        <w:rPr>
          <w:rFonts w:asciiTheme="minorHAnsi" w:hAnsiTheme="minorHAnsi"/>
          <w:color w:val="auto"/>
          <w:sz w:val="22"/>
          <w:szCs w:val="22"/>
        </w:rPr>
        <w:t>) and 3 Elder (</w:t>
      </w:r>
      <w:proofErr w:type="spellStart"/>
      <w:r w:rsidRPr="00B10553">
        <w:rPr>
          <w:rFonts w:asciiTheme="minorHAnsi" w:hAnsiTheme="minorHAnsi"/>
          <w:color w:val="auto"/>
          <w:sz w:val="22"/>
          <w:szCs w:val="22"/>
        </w:rPr>
        <w:t>Sambucas</w:t>
      </w:r>
      <w:proofErr w:type="spellEnd"/>
      <w:r w:rsidRPr="00B10553">
        <w:rPr>
          <w:rFonts w:asciiTheme="minorHAnsi" w:hAnsiTheme="minorHAnsi"/>
          <w:color w:val="auto"/>
          <w:sz w:val="22"/>
          <w:szCs w:val="22"/>
        </w:rPr>
        <w:t xml:space="preserve"> </w:t>
      </w:r>
      <w:proofErr w:type="spellStart"/>
      <w:r w:rsidRPr="00B10553">
        <w:rPr>
          <w:rFonts w:asciiTheme="minorHAnsi" w:hAnsiTheme="minorHAnsi"/>
          <w:color w:val="auto"/>
          <w:sz w:val="22"/>
          <w:szCs w:val="22"/>
        </w:rPr>
        <w:t>Nigra</w:t>
      </w:r>
      <w:proofErr w:type="spellEnd"/>
      <w:r w:rsidRPr="00B10553">
        <w:rPr>
          <w:rFonts w:asciiTheme="minorHAnsi" w:hAnsiTheme="minorHAnsi"/>
          <w:color w:val="auto"/>
          <w:sz w:val="22"/>
          <w:szCs w:val="22"/>
        </w:rPr>
        <w:t xml:space="preserve">) provide an important visual amenity screening the East Cross Route from the properties on </w:t>
      </w:r>
      <w:proofErr w:type="spellStart"/>
      <w:r w:rsidRPr="00B10553">
        <w:rPr>
          <w:rFonts w:asciiTheme="minorHAnsi" w:hAnsiTheme="minorHAnsi"/>
          <w:color w:val="auto"/>
          <w:sz w:val="22"/>
          <w:szCs w:val="22"/>
        </w:rPr>
        <w:t>Cadogan</w:t>
      </w:r>
      <w:proofErr w:type="spellEnd"/>
      <w:r w:rsidRPr="00B10553">
        <w:rPr>
          <w:rFonts w:asciiTheme="minorHAnsi" w:hAnsiTheme="minorHAnsi"/>
          <w:color w:val="auto"/>
          <w:sz w:val="22"/>
          <w:szCs w:val="22"/>
        </w:rPr>
        <w:t xml:space="preserve"> Terrace, form part of a site of importance for nature conservation (SINC) are frequented by bats and provide a buffer to the road and a green space visible from </w:t>
      </w:r>
      <w:proofErr w:type="spellStart"/>
      <w:r w:rsidRPr="00B10553">
        <w:rPr>
          <w:rFonts w:asciiTheme="minorHAnsi" w:hAnsiTheme="minorHAnsi"/>
          <w:color w:val="auto"/>
          <w:sz w:val="22"/>
          <w:szCs w:val="22"/>
        </w:rPr>
        <w:t>Cadogan</w:t>
      </w:r>
      <w:proofErr w:type="spellEnd"/>
      <w:r w:rsidRPr="00B10553">
        <w:rPr>
          <w:rFonts w:asciiTheme="minorHAnsi" w:hAnsiTheme="minorHAnsi"/>
          <w:color w:val="auto"/>
          <w:sz w:val="22"/>
          <w:szCs w:val="22"/>
        </w:rPr>
        <w:t xml:space="preserve"> Close.  They offer amenity value to the local area and provide a green setting to the edge of the conservation area, which is focussed upon Victoria Park.</w:t>
      </w:r>
    </w:p>
    <w:p w:rsidR="00A87DFB" w:rsidRPr="00B10553" w:rsidRDefault="00A87DFB" w:rsidP="00A87DFB">
      <w:pPr>
        <w:pStyle w:val="Default"/>
        <w:rPr>
          <w:color w:val="auto"/>
          <w:sz w:val="22"/>
          <w:szCs w:val="22"/>
        </w:rPr>
      </w:pPr>
    </w:p>
    <w:p w:rsidR="00A87DFB" w:rsidRPr="00B10553" w:rsidRDefault="00A87DFB" w:rsidP="00A87DFB">
      <w:pPr>
        <w:pStyle w:val="Default"/>
        <w:rPr>
          <w:color w:val="auto"/>
          <w:sz w:val="22"/>
          <w:szCs w:val="22"/>
        </w:rPr>
      </w:pPr>
      <w:r w:rsidRPr="00B10553">
        <w:rPr>
          <w:color w:val="auto"/>
          <w:sz w:val="22"/>
          <w:szCs w:val="22"/>
        </w:rPr>
        <w:t>It is anticipated that this order will be confirmed as it is, with variations, or alternatively revoked within six months of the date of this order (</w:t>
      </w:r>
      <w:r w:rsidR="00B10553">
        <w:rPr>
          <w:color w:val="auto"/>
          <w:sz w:val="22"/>
          <w:szCs w:val="22"/>
        </w:rPr>
        <w:t xml:space="preserve">before </w:t>
      </w:r>
      <w:r w:rsidRPr="00B10553">
        <w:rPr>
          <w:color w:val="auto"/>
          <w:sz w:val="22"/>
          <w:szCs w:val="22"/>
        </w:rPr>
        <w:t>the 2</w:t>
      </w:r>
      <w:r w:rsidRPr="00B10553">
        <w:rPr>
          <w:color w:val="auto"/>
          <w:sz w:val="22"/>
          <w:szCs w:val="22"/>
        </w:rPr>
        <w:t>8</w:t>
      </w:r>
      <w:r w:rsidRPr="00B10553">
        <w:rPr>
          <w:color w:val="auto"/>
          <w:sz w:val="22"/>
          <w:szCs w:val="22"/>
          <w:vertAlign w:val="superscript"/>
        </w:rPr>
        <w:t>th</w:t>
      </w:r>
      <w:r w:rsidRPr="00B10553">
        <w:rPr>
          <w:color w:val="auto"/>
          <w:sz w:val="22"/>
          <w:szCs w:val="22"/>
        </w:rPr>
        <w:t xml:space="preserve"> August</w:t>
      </w:r>
      <w:r w:rsidRPr="00B10553">
        <w:rPr>
          <w:color w:val="auto"/>
          <w:sz w:val="22"/>
          <w:szCs w:val="22"/>
        </w:rPr>
        <w:t xml:space="preserve">), following consideration of any objections and representations duly made in respect of it and not withdrawn. </w:t>
      </w:r>
    </w:p>
    <w:p w:rsidR="00A87DFB" w:rsidRPr="00B10553" w:rsidRDefault="00A87DFB" w:rsidP="00A87DFB">
      <w:pPr>
        <w:pStyle w:val="Default"/>
        <w:rPr>
          <w:color w:val="auto"/>
          <w:sz w:val="22"/>
          <w:szCs w:val="22"/>
        </w:rPr>
      </w:pPr>
    </w:p>
    <w:p w:rsidR="00A87DFB" w:rsidRPr="00B10553" w:rsidRDefault="00A87DFB" w:rsidP="00A87DFB">
      <w:pPr>
        <w:pStyle w:val="Default"/>
        <w:rPr>
          <w:b/>
          <w:bCs/>
          <w:color w:val="auto"/>
          <w:sz w:val="22"/>
          <w:szCs w:val="22"/>
        </w:rPr>
      </w:pPr>
      <w:r w:rsidRPr="00B10553">
        <w:rPr>
          <w:color w:val="auto"/>
          <w:sz w:val="22"/>
          <w:szCs w:val="22"/>
        </w:rPr>
        <w:t xml:space="preserve">Objections or other representations with respect to the group of trees specified in this order may be made to the authority for a period of at least 28 days from the service of this notice. With this in mind </w:t>
      </w:r>
      <w:r w:rsidRPr="00B10553">
        <w:rPr>
          <w:b/>
          <w:bCs/>
          <w:color w:val="auto"/>
          <w:sz w:val="22"/>
          <w:szCs w:val="22"/>
        </w:rPr>
        <w:t xml:space="preserve">the deadline for the receipt of representations / objections is </w:t>
      </w:r>
      <w:bookmarkStart w:id="0" w:name="_GoBack"/>
      <w:bookmarkEnd w:id="0"/>
      <w:r w:rsidRPr="00B10553">
        <w:rPr>
          <w:b/>
          <w:bCs/>
          <w:color w:val="auto"/>
          <w:sz w:val="22"/>
          <w:szCs w:val="22"/>
        </w:rPr>
        <w:t xml:space="preserve">Friday </w:t>
      </w:r>
      <w:r w:rsidRPr="00B10553">
        <w:rPr>
          <w:b/>
          <w:bCs/>
          <w:color w:val="auto"/>
          <w:sz w:val="22"/>
          <w:szCs w:val="22"/>
        </w:rPr>
        <w:t>14</w:t>
      </w:r>
      <w:r w:rsidRPr="00B10553">
        <w:rPr>
          <w:b/>
          <w:bCs/>
          <w:color w:val="auto"/>
          <w:sz w:val="22"/>
          <w:szCs w:val="22"/>
          <w:vertAlign w:val="superscript"/>
        </w:rPr>
        <w:t>th</w:t>
      </w:r>
      <w:r w:rsidRPr="00B10553">
        <w:rPr>
          <w:b/>
          <w:bCs/>
          <w:color w:val="auto"/>
          <w:sz w:val="22"/>
          <w:szCs w:val="22"/>
        </w:rPr>
        <w:t xml:space="preserve"> April 2017</w:t>
      </w:r>
      <w:r w:rsidRPr="00B10553">
        <w:rPr>
          <w:b/>
          <w:bCs/>
          <w:color w:val="auto"/>
          <w:sz w:val="22"/>
          <w:szCs w:val="22"/>
        </w:rPr>
        <w:t xml:space="preserve">. </w:t>
      </w:r>
    </w:p>
    <w:p w:rsidR="00B10553" w:rsidRPr="00B10553" w:rsidRDefault="00B10553" w:rsidP="00A87DFB">
      <w:pPr>
        <w:pStyle w:val="Default"/>
        <w:rPr>
          <w:color w:val="auto"/>
          <w:sz w:val="22"/>
          <w:szCs w:val="22"/>
        </w:rPr>
      </w:pPr>
    </w:p>
    <w:p w:rsidR="00A87DFB" w:rsidRPr="00B10553" w:rsidRDefault="00A87DFB" w:rsidP="00A87DFB">
      <w:pPr>
        <w:pStyle w:val="Default"/>
        <w:rPr>
          <w:color w:val="auto"/>
          <w:sz w:val="22"/>
          <w:szCs w:val="22"/>
        </w:rPr>
      </w:pPr>
      <w:r w:rsidRPr="00B10553">
        <w:rPr>
          <w:color w:val="auto"/>
          <w:sz w:val="22"/>
          <w:szCs w:val="22"/>
        </w:rPr>
        <w:t>Objections and representations should be made in accordance with the Town and Country Planning (Tree Preservation</w:t>
      </w:r>
      <w:proofErr w:type="gramStart"/>
      <w:r w:rsidRPr="00B10553">
        <w:rPr>
          <w:color w:val="auto"/>
          <w:sz w:val="22"/>
          <w:szCs w:val="22"/>
        </w:rPr>
        <w:t>)(</w:t>
      </w:r>
      <w:proofErr w:type="gramEnd"/>
      <w:r w:rsidRPr="00B10553">
        <w:rPr>
          <w:color w:val="auto"/>
          <w:sz w:val="22"/>
          <w:szCs w:val="22"/>
        </w:rPr>
        <w:t xml:space="preserve">England) Regulations 2012. The relevant paragraph is copied below for ease of reference. </w:t>
      </w:r>
    </w:p>
    <w:p w:rsidR="00A87DFB" w:rsidRPr="00B10553" w:rsidRDefault="00A87DFB" w:rsidP="00A87DFB">
      <w:pPr>
        <w:pStyle w:val="Default"/>
        <w:rPr>
          <w:color w:val="auto"/>
          <w:sz w:val="22"/>
          <w:szCs w:val="22"/>
        </w:rPr>
      </w:pPr>
    </w:p>
    <w:p w:rsidR="00A87DFB" w:rsidRPr="00B10553" w:rsidRDefault="00A87DFB" w:rsidP="00A87DFB">
      <w:pPr>
        <w:pStyle w:val="Default"/>
        <w:rPr>
          <w:color w:val="auto"/>
          <w:sz w:val="22"/>
          <w:szCs w:val="22"/>
        </w:rPr>
      </w:pPr>
      <w:r w:rsidRPr="00B10553">
        <w:rPr>
          <w:color w:val="auto"/>
          <w:sz w:val="22"/>
          <w:szCs w:val="22"/>
        </w:rPr>
        <w:t xml:space="preserve">OBJECTIONS AND REPRESENTATIONS </w:t>
      </w:r>
    </w:p>
    <w:p w:rsidR="00A87DFB" w:rsidRPr="00B10553" w:rsidRDefault="00A87DFB" w:rsidP="00A87DFB">
      <w:pPr>
        <w:pStyle w:val="Default"/>
        <w:rPr>
          <w:color w:val="auto"/>
          <w:sz w:val="22"/>
          <w:szCs w:val="22"/>
        </w:rPr>
      </w:pPr>
      <w:r w:rsidRPr="00B10553">
        <w:rPr>
          <w:b/>
          <w:bCs/>
          <w:i/>
          <w:iCs/>
          <w:color w:val="auto"/>
          <w:sz w:val="22"/>
          <w:szCs w:val="22"/>
        </w:rPr>
        <w:t>6.</w:t>
      </w:r>
      <w:r w:rsidRPr="00B10553">
        <w:rPr>
          <w:i/>
          <w:iCs/>
          <w:color w:val="auto"/>
          <w:sz w:val="22"/>
          <w:szCs w:val="22"/>
        </w:rPr>
        <w:t xml:space="preserve">—(1) Subject to paragraph (2), objections and representations— </w:t>
      </w:r>
    </w:p>
    <w:p w:rsidR="00A87DFB" w:rsidRPr="00B10553" w:rsidRDefault="00A87DFB" w:rsidP="00A87DFB">
      <w:pPr>
        <w:pStyle w:val="Default"/>
        <w:rPr>
          <w:color w:val="auto"/>
          <w:sz w:val="22"/>
          <w:szCs w:val="22"/>
        </w:rPr>
      </w:pPr>
      <w:r w:rsidRPr="00B10553">
        <w:rPr>
          <w:i/>
          <w:iCs/>
          <w:color w:val="auto"/>
          <w:sz w:val="22"/>
          <w:szCs w:val="22"/>
        </w:rPr>
        <w:t xml:space="preserve">(a) </w:t>
      </w:r>
      <w:proofErr w:type="gramStart"/>
      <w:r w:rsidRPr="00B10553">
        <w:rPr>
          <w:i/>
          <w:iCs/>
          <w:color w:val="auto"/>
          <w:sz w:val="22"/>
          <w:szCs w:val="22"/>
        </w:rPr>
        <w:t>shall</w:t>
      </w:r>
      <w:proofErr w:type="gramEnd"/>
      <w:r w:rsidRPr="00B10553">
        <w:rPr>
          <w:i/>
          <w:iCs/>
          <w:color w:val="auto"/>
          <w:sz w:val="22"/>
          <w:szCs w:val="22"/>
        </w:rPr>
        <w:t xml:space="preserve"> be made in writing and— </w:t>
      </w:r>
    </w:p>
    <w:p w:rsidR="00A87DFB" w:rsidRPr="00B10553" w:rsidRDefault="00A87DFB" w:rsidP="00A87DFB">
      <w:pPr>
        <w:pStyle w:val="Default"/>
        <w:rPr>
          <w:color w:val="auto"/>
          <w:sz w:val="22"/>
          <w:szCs w:val="22"/>
        </w:rPr>
      </w:pPr>
      <w:r w:rsidRPr="00B10553">
        <w:rPr>
          <w:i/>
          <w:iCs/>
          <w:color w:val="auto"/>
          <w:sz w:val="22"/>
          <w:szCs w:val="22"/>
        </w:rPr>
        <w:t>(</w:t>
      </w:r>
      <w:proofErr w:type="spellStart"/>
      <w:r w:rsidRPr="00B10553">
        <w:rPr>
          <w:i/>
          <w:iCs/>
          <w:color w:val="auto"/>
          <w:sz w:val="22"/>
          <w:szCs w:val="22"/>
        </w:rPr>
        <w:t>i</w:t>
      </w:r>
      <w:proofErr w:type="spellEnd"/>
      <w:r w:rsidRPr="00B10553">
        <w:rPr>
          <w:i/>
          <w:iCs/>
          <w:color w:val="auto"/>
          <w:sz w:val="22"/>
          <w:szCs w:val="22"/>
        </w:rPr>
        <w:t xml:space="preserve">) </w:t>
      </w:r>
      <w:proofErr w:type="gramStart"/>
      <w:r w:rsidRPr="00B10553">
        <w:rPr>
          <w:i/>
          <w:iCs/>
          <w:color w:val="auto"/>
          <w:sz w:val="22"/>
          <w:szCs w:val="22"/>
        </w:rPr>
        <w:t>delivered</w:t>
      </w:r>
      <w:proofErr w:type="gramEnd"/>
      <w:r w:rsidRPr="00B10553">
        <w:rPr>
          <w:i/>
          <w:iCs/>
          <w:color w:val="auto"/>
          <w:sz w:val="22"/>
          <w:szCs w:val="22"/>
        </w:rPr>
        <w:t xml:space="preserve"> to the authority not later than the date specified by them under regulation </w:t>
      </w:r>
    </w:p>
    <w:p w:rsidR="00A87DFB" w:rsidRPr="00B10553" w:rsidRDefault="00A87DFB" w:rsidP="00A87DFB">
      <w:pPr>
        <w:pStyle w:val="Default"/>
        <w:rPr>
          <w:color w:val="auto"/>
          <w:sz w:val="22"/>
          <w:szCs w:val="22"/>
        </w:rPr>
      </w:pPr>
      <w:r w:rsidRPr="00B10553">
        <w:rPr>
          <w:i/>
          <w:iCs/>
          <w:color w:val="auto"/>
          <w:sz w:val="22"/>
          <w:szCs w:val="22"/>
        </w:rPr>
        <w:t>5(2</w:t>
      </w:r>
      <w:proofErr w:type="gramStart"/>
      <w:r w:rsidRPr="00B10553">
        <w:rPr>
          <w:i/>
          <w:iCs/>
          <w:color w:val="auto"/>
          <w:sz w:val="22"/>
          <w:szCs w:val="22"/>
        </w:rPr>
        <w:t>)(</w:t>
      </w:r>
      <w:proofErr w:type="gramEnd"/>
      <w:r w:rsidRPr="00B10553">
        <w:rPr>
          <w:i/>
          <w:iCs/>
          <w:color w:val="auto"/>
          <w:sz w:val="22"/>
          <w:szCs w:val="22"/>
        </w:rPr>
        <w:t xml:space="preserve">c); or </w:t>
      </w:r>
    </w:p>
    <w:p w:rsidR="00A87DFB" w:rsidRPr="00B10553" w:rsidRDefault="00A87DFB" w:rsidP="00A87DFB">
      <w:pPr>
        <w:pStyle w:val="Default"/>
        <w:rPr>
          <w:color w:val="auto"/>
          <w:sz w:val="22"/>
          <w:szCs w:val="22"/>
        </w:rPr>
      </w:pPr>
      <w:r w:rsidRPr="00B10553">
        <w:rPr>
          <w:i/>
          <w:iCs/>
          <w:color w:val="auto"/>
          <w:sz w:val="22"/>
          <w:szCs w:val="22"/>
        </w:rPr>
        <w:t xml:space="preserve">(ii) </w:t>
      </w:r>
      <w:proofErr w:type="gramStart"/>
      <w:r w:rsidRPr="00B10553">
        <w:rPr>
          <w:i/>
          <w:iCs/>
          <w:color w:val="auto"/>
          <w:sz w:val="22"/>
          <w:szCs w:val="22"/>
        </w:rPr>
        <w:t>sent</w:t>
      </w:r>
      <w:proofErr w:type="gramEnd"/>
      <w:r w:rsidRPr="00B10553">
        <w:rPr>
          <w:i/>
          <w:iCs/>
          <w:color w:val="auto"/>
          <w:sz w:val="22"/>
          <w:szCs w:val="22"/>
        </w:rPr>
        <w:t xml:space="preserve"> to the authority in a properly addressed and pre-paid letter posted at such </w:t>
      </w:r>
      <w:proofErr w:type="spellStart"/>
      <w:r w:rsidRPr="00B10553">
        <w:rPr>
          <w:i/>
          <w:iCs/>
          <w:color w:val="auto"/>
          <w:sz w:val="22"/>
          <w:szCs w:val="22"/>
        </w:rPr>
        <w:t>timethat</w:t>
      </w:r>
      <w:proofErr w:type="spellEnd"/>
      <w:r w:rsidRPr="00B10553">
        <w:rPr>
          <w:i/>
          <w:iCs/>
          <w:color w:val="auto"/>
          <w:sz w:val="22"/>
          <w:szCs w:val="22"/>
        </w:rPr>
        <w:t xml:space="preserve">, in the ordinary course of post, it would be delivered to them not later than that date; </w:t>
      </w:r>
    </w:p>
    <w:p w:rsidR="00A87DFB" w:rsidRPr="00B10553" w:rsidRDefault="00A87DFB" w:rsidP="00A87DFB">
      <w:pPr>
        <w:pStyle w:val="Default"/>
        <w:rPr>
          <w:color w:val="auto"/>
          <w:sz w:val="22"/>
          <w:szCs w:val="22"/>
        </w:rPr>
      </w:pPr>
      <w:r w:rsidRPr="00B10553">
        <w:rPr>
          <w:i/>
          <w:iCs/>
          <w:color w:val="auto"/>
          <w:sz w:val="22"/>
          <w:szCs w:val="22"/>
        </w:rPr>
        <w:t xml:space="preserve">(b) shall specify the particular trees, groups of trees or woodlands (as the case may be) in respect of which such objections and representations are made; and </w:t>
      </w:r>
    </w:p>
    <w:p w:rsidR="00A87DFB" w:rsidRPr="00B10553" w:rsidRDefault="00A87DFB" w:rsidP="00A87DFB">
      <w:pPr>
        <w:pStyle w:val="Default"/>
        <w:rPr>
          <w:color w:val="auto"/>
          <w:sz w:val="22"/>
          <w:szCs w:val="22"/>
        </w:rPr>
      </w:pPr>
      <w:r w:rsidRPr="00B10553">
        <w:rPr>
          <w:i/>
          <w:iCs/>
          <w:color w:val="auto"/>
          <w:sz w:val="22"/>
          <w:szCs w:val="22"/>
        </w:rPr>
        <w:t xml:space="preserve">(c) </w:t>
      </w:r>
      <w:proofErr w:type="gramStart"/>
      <w:r w:rsidRPr="00B10553">
        <w:rPr>
          <w:i/>
          <w:iCs/>
          <w:color w:val="auto"/>
          <w:sz w:val="22"/>
          <w:szCs w:val="22"/>
        </w:rPr>
        <w:t>in</w:t>
      </w:r>
      <w:proofErr w:type="gramEnd"/>
      <w:r w:rsidRPr="00B10553">
        <w:rPr>
          <w:i/>
          <w:iCs/>
          <w:color w:val="auto"/>
          <w:sz w:val="22"/>
          <w:szCs w:val="22"/>
        </w:rPr>
        <w:t xml:space="preserve"> the case of an objection, shall state the reasons for the objection. </w:t>
      </w:r>
    </w:p>
    <w:p w:rsidR="00A87DFB" w:rsidRPr="00B10553" w:rsidRDefault="00A87DFB" w:rsidP="00A87DFB">
      <w:pPr>
        <w:pStyle w:val="Default"/>
        <w:rPr>
          <w:color w:val="auto"/>
          <w:sz w:val="22"/>
          <w:szCs w:val="22"/>
        </w:rPr>
      </w:pPr>
      <w:r w:rsidRPr="00B10553">
        <w:rPr>
          <w:i/>
          <w:iCs/>
          <w:color w:val="auto"/>
          <w:sz w:val="22"/>
          <w:szCs w:val="22"/>
        </w:rPr>
        <w:t xml:space="preserve">(2) The authority may treat as duly made objections and representations which do not comply with the requirements of paragraph (1) if, in the particular case, they are satisfied that compliance with those requirements could not reasonably have been expected. </w:t>
      </w:r>
    </w:p>
    <w:p w:rsidR="00A87DFB" w:rsidRPr="00B10553" w:rsidRDefault="00A87DFB" w:rsidP="00A87DFB">
      <w:pPr>
        <w:pStyle w:val="Default"/>
        <w:rPr>
          <w:color w:val="auto"/>
          <w:sz w:val="22"/>
          <w:szCs w:val="22"/>
        </w:rPr>
      </w:pPr>
    </w:p>
    <w:p w:rsidR="00A87DFB" w:rsidRPr="00B10553" w:rsidRDefault="00A87DFB" w:rsidP="00A87DFB">
      <w:pPr>
        <w:pStyle w:val="Default"/>
        <w:rPr>
          <w:color w:val="auto"/>
          <w:sz w:val="22"/>
          <w:szCs w:val="22"/>
        </w:rPr>
      </w:pPr>
      <w:r w:rsidRPr="00B10553">
        <w:rPr>
          <w:color w:val="auto"/>
          <w:sz w:val="22"/>
          <w:szCs w:val="22"/>
        </w:rPr>
        <w:t xml:space="preserve">Comments should be sent to: </w:t>
      </w:r>
    </w:p>
    <w:p w:rsidR="00A87DFB" w:rsidRPr="00B10553" w:rsidRDefault="00A87DFB" w:rsidP="00A87DFB">
      <w:pPr>
        <w:pStyle w:val="Default"/>
        <w:rPr>
          <w:color w:val="auto"/>
          <w:sz w:val="22"/>
          <w:szCs w:val="22"/>
        </w:rPr>
      </w:pPr>
      <w:r w:rsidRPr="00B10553">
        <w:rPr>
          <w:color w:val="auto"/>
          <w:sz w:val="22"/>
          <w:szCs w:val="22"/>
        </w:rPr>
        <w:t xml:space="preserve">Vicki Lambert </w:t>
      </w:r>
    </w:p>
    <w:p w:rsidR="00A87DFB" w:rsidRPr="00B10553" w:rsidRDefault="00A87DFB" w:rsidP="00A87DFB">
      <w:pPr>
        <w:pStyle w:val="Default"/>
        <w:rPr>
          <w:color w:val="auto"/>
          <w:sz w:val="22"/>
          <w:szCs w:val="22"/>
        </w:rPr>
      </w:pPr>
      <w:r w:rsidRPr="00B10553">
        <w:rPr>
          <w:color w:val="auto"/>
          <w:sz w:val="22"/>
          <w:szCs w:val="22"/>
        </w:rPr>
        <w:t xml:space="preserve">Development and Renewal </w:t>
      </w:r>
    </w:p>
    <w:p w:rsidR="00A87DFB" w:rsidRPr="00B10553" w:rsidRDefault="00A87DFB" w:rsidP="00A87DFB">
      <w:pPr>
        <w:pStyle w:val="Default"/>
        <w:rPr>
          <w:color w:val="auto"/>
          <w:sz w:val="22"/>
          <w:szCs w:val="22"/>
        </w:rPr>
      </w:pPr>
      <w:r w:rsidRPr="00B10553">
        <w:rPr>
          <w:color w:val="auto"/>
          <w:sz w:val="22"/>
          <w:szCs w:val="22"/>
        </w:rPr>
        <w:t xml:space="preserve">Tower Hamlets Town Hall </w:t>
      </w:r>
    </w:p>
    <w:p w:rsidR="00A87DFB" w:rsidRPr="00B10553" w:rsidRDefault="00A87DFB" w:rsidP="00A87DFB">
      <w:pPr>
        <w:pStyle w:val="Default"/>
        <w:rPr>
          <w:color w:val="auto"/>
          <w:sz w:val="22"/>
          <w:szCs w:val="22"/>
        </w:rPr>
      </w:pPr>
      <w:r w:rsidRPr="00B10553">
        <w:rPr>
          <w:color w:val="auto"/>
          <w:sz w:val="22"/>
          <w:szCs w:val="22"/>
        </w:rPr>
        <w:t xml:space="preserve">Mulberry Place </w:t>
      </w:r>
    </w:p>
    <w:p w:rsidR="00A87DFB" w:rsidRPr="00B10553" w:rsidRDefault="00A87DFB" w:rsidP="00A87DFB">
      <w:pPr>
        <w:pStyle w:val="Default"/>
        <w:rPr>
          <w:color w:val="auto"/>
          <w:sz w:val="22"/>
          <w:szCs w:val="22"/>
        </w:rPr>
      </w:pPr>
      <w:r w:rsidRPr="00B10553">
        <w:rPr>
          <w:color w:val="auto"/>
          <w:sz w:val="22"/>
          <w:szCs w:val="22"/>
        </w:rPr>
        <w:t xml:space="preserve">5 Clove Crescent </w:t>
      </w:r>
    </w:p>
    <w:p w:rsidR="00A87DFB" w:rsidRPr="00B10553" w:rsidRDefault="00A87DFB" w:rsidP="00A87DFB">
      <w:pPr>
        <w:pStyle w:val="Default"/>
        <w:rPr>
          <w:color w:val="auto"/>
          <w:sz w:val="22"/>
          <w:szCs w:val="22"/>
        </w:rPr>
      </w:pPr>
      <w:r w:rsidRPr="00B10553">
        <w:rPr>
          <w:color w:val="auto"/>
          <w:sz w:val="22"/>
          <w:szCs w:val="22"/>
        </w:rPr>
        <w:lastRenderedPageBreak/>
        <w:t xml:space="preserve">London E14 2BG </w:t>
      </w:r>
    </w:p>
    <w:p w:rsidR="00A87DFB" w:rsidRPr="00B10553" w:rsidRDefault="00A87DFB" w:rsidP="00A87DFB">
      <w:pPr>
        <w:pStyle w:val="Default"/>
        <w:rPr>
          <w:color w:val="auto"/>
          <w:sz w:val="22"/>
          <w:szCs w:val="22"/>
        </w:rPr>
      </w:pPr>
    </w:p>
    <w:p w:rsidR="00A87DFB" w:rsidRPr="00B10553" w:rsidRDefault="00A87DFB" w:rsidP="00A87DFB">
      <w:pPr>
        <w:pStyle w:val="Default"/>
        <w:rPr>
          <w:color w:val="auto"/>
          <w:sz w:val="22"/>
          <w:szCs w:val="22"/>
        </w:rPr>
      </w:pPr>
      <w:r w:rsidRPr="00B10553">
        <w:rPr>
          <w:color w:val="auto"/>
          <w:sz w:val="22"/>
          <w:szCs w:val="22"/>
        </w:rPr>
        <w:t xml:space="preserve">Or can be e-mailed to:- </w:t>
      </w:r>
    </w:p>
    <w:p w:rsidR="00A87DFB" w:rsidRPr="00B10553" w:rsidRDefault="00A87DFB" w:rsidP="00A87DFB">
      <w:pPr>
        <w:pStyle w:val="Default"/>
        <w:rPr>
          <w:color w:val="auto"/>
          <w:sz w:val="22"/>
          <w:szCs w:val="22"/>
        </w:rPr>
      </w:pPr>
      <w:r w:rsidRPr="00B10553">
        <w:rPr>
          <w:color w:val="auto"/>
          <w:sz w:val="22"/>
          <w:szCs w:val="22"/>
        </w:rPr>
        <w:t xml:space="preserve">vicki.lambert@towerhamlets.gov.uk </w:t>
      </w:r>
    </w:p>
    <w:p w:rsidR="005657B5" w:rsidRDefault="00A87DFB" w:rsidP="00A87DFB">
      <w:r w:rsidRPr="00B10553">
        <w:t xml:space="preserve">If you have any queries </w:t>
      </w:r>
      <w:r>
        <w:t>you can contact Vicki on 0207 364 5373</w:t>
      </w:r>
    </w:p>
    <w:sectPr w:rsidR="00565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FB"/>
    <w:rsid w:val="004B7EDE"/>
    <w:rsid w:val="005657B5"/>
    <w:rsid w:val="00A1268F"/>
    <w:rsid w:val="00A87DFB"/>
    <w:rsid w:val="00B10553"/>
    <w:rsid w:val="00E0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DF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D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7132">
      <w:bodyDiv w:val="1"/>
      <w:marLeft w:val="0"/>
      <w:marRight w:val="0"/>
      <w:marTop w:val="0"/>
      <w:marBottom w:val="0"/>
      <w:divBdr>
        <w:top w:val="none" w:sz="0" w:space="0" w:color="auto"/>
        <w:left w:val="none" w:sz="0" w:space="0" w:color="auto"/>
        <w:bottom w:val="none" w:sz="0" w:space="0" w:color="auto"/>
        <w:right w:val="none" w:sz="0" w:space="0" w:color="auto"/>
      </w:divBdr>
    </w:div>
    <w:div w:id="703095694">
      <w:bodyDiv w:val="1"/>
      <w:marLeft w:val="0"/>
      <w:marRight w:val="0"/>
      <w:marTop w:val="0"/>
      <w:marBottom w:val="0"/>
      <w:divBdr>
        <w:top w:val="none" w:sz="0" w:space="0" w:color="auto"/>
        <w:left w:val="none" w:sz="0" w:space="0" w:color="auto"/>
        <w:bottom w:val="none" w:sz="0" w:space="0" w:color="auto"/>
        <w:right w:val="none" w:sz="0" w:space="0" w:color="auto"/>
      </w:divBdr>
    </w:div>
    <w:div w:id="20807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Lambert</dc:creator>
  <cp:lastModifiedBy>Vicki Lambert</cp:lastModifiedBy>
  <cp:revision>1</cp:revision>
  <dcterms:created xsi:type="dcterms:W3CDTF">2017-03-17T10:19:00Z</dcterms:created>
  <dcterms:modified xsi:type="dcterms:W3CDTF">2017-03-17T10:45:00Z</dcterms:modified>
</cp:coreProperties>
</file>