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E460C" w14:textId="389B0829" w:rsidR="00AA79F3" w:rsidRPr="007C4F08" w:rsidRDefault="00701382" w:rsidP="007C4F08">
      <w:pPr>
        <w:pStyle w:val="Title"/>
      </w:pPr>
      <w:sdt>
        <w:sdtPr>
          <w:alias w:val="Title"/>
          <w:tag w:val=""/>
          <w:id w:val="1960826847"/>
          <w:placeholder>
            <w:docPart w:val="7A8D457499A043A886AD5923AC85325C"/>
          </w:placeholder>
          <w:dataBinding w:prefixMappings="xmlns:ns0='http://purl.org/dc/elements/1.1/' xmlns:ns1='http://schemas.openxmlformats.org/package/2006/metadata/core-properties' " w:xpath="/ns1:coreProperties[1]/ns0:title[1]" w:storeItemID="{6C3C8BC8-F283-45AE-878A-BAB7291924A1}"/>
          <w:text/>
        </w:sdtPr>
        <w:sdtEndPr/>
        <w:sdtContent>
          <w:r w:rsidR="000B4C6B">
            <w:t>Infrastructure 2024-25</w:t>
          </w:r>
        </w:sdtContent>
      </w:sdt>
    </w:p>
    <w:p w14:paraId="4B137493" w14:textId="7AE86DB9" w:rsidR="00CC4CE1" w:rsidRPr="00BE6FB3" w:rsidRDefault="00CD7FA2" w:rsidP="00AA79F3">
      <w:pPr>
        <w:pStyle w:val="Subtitle"/>
        <w:rPr>
          <w:szCs w:val="28"/>
        </w:rPr>
      </w:pPr>
      <w:r>
        <w:rPr>
          <w:szCs w:val="28"/>
        </w:rPr>
        <w:t>Infrastructure Funding Statement 2024-2025</w:t>
      </w:r>
    </w:p>
    <w:p w14:paraId="47651AF4" w14:textId="77777777" w:rsidR="00070438" w:rsidRPr="00070438" w:rsidRDefault="00070438" w:rsidP="00070438"/>
    <w:sdt>
      <w:sdtPr>
        <w:alias w:val="Publish Date"/>
        <w:tag w:val=""/>
        <w:id w:val="1260947853"/>
        <w:placeholder>
          <w:docPart w:val="D5D8574D89F448F1BFD367AD467FF069"/>
        </w:placeholder>
        <w:dataBinding w:prefixMappings="xmlns:ns0='http://schemas.microsoft.com/office/2006/coverPageProps' " w:xpath="/ns0:CoverPageProperties[1]/ns0:PublishDate[1]" w:storeItemID="{55AF091B-3C7A-41E3-B477-F2FDAA23CFDA}"/>
        <w:date w:fullDate="2025-12-15T00:00:00Z">
          <w:dateFormat w:val="dd/MM/yyyy"/>
          <w:lid w:val="en-GB"/>
          <w:storeMappedDataAs w:val="dateTime"/>
          <w:calendar w:val="gregorian"/>
        </w:date>
      </w:sdtPr>
      <w:sdtEndPr/>
      <w:sdtContent>
        <w:p w14:paraId="491545AC" w14:textId="26E6362F" w:rsidR="00CC4CE1" w:rsidRPr="00CC4CE1" w:rsidRDefault="003E6F70" w:rsidP="00101F8B">
          <w:r>
            <w:t>15/12/2025</w:t>
          </w:r>
        </w:p>
      </w:sdtContent>
    </w:sdt>
    <w:p w14:paraId="16189B94" w14:textId="77777777" w:rsidR="00CC4CE1" w:rsidRDefault="00CC4CE1" w:rsidP="00101F8B"/>
    <w:p w14:paraId="3F4EFDBD" w14:textId="0DF42411" w:rsidR="00CC4CE1" w:rsidRDefault="00CC4CE1" w:rsidP="00534043">
      <w:pPr>
        <w:pStyle w:val="NoSpacing"/>
        <w:sectPr w:rsidR="00CC4CE1" w:rsidSect="00EC32C3">
          <w:headerReference w:type="default" r:id="rId12"/>
          <w:pgSz w:w="11906" w:h="16838"/>
          <w:pgMar w:top="1134" w:right="1440" w:bottom="1440" w:left="1440" w:header="708" w:footer="708" w:gutter="0"/>
          <w:cols w:space="708"/>
          <w:docGrid w:linePitch="360"/>
        </w:sectPr>
      </w:pPr>
    </w:p>
    <w:p w14:paraId="5E764A78" w14:textId="77777777" w:rsidR="008158A3" w:rsidRDefault="008158A3" w:rsidP="00101F8B"/>
    <w:p w14:paraId="4E500039" w14:textId="57173628" w:rsidR="00CD7FA2" w:rsidRPr="00E03370" w:rsidRDefault="00CD7FA2" w:rsidP="732A479B">
      <w:pPr>
        <w:rPr>
          <w:sz w:val="22"/>
          <w:szCs w:val="22"/>
        </w:rPr>
      </w:pPr>
      <w:r w:rsidRPr="732A479B">
        <w:rPr>
          <w:b/>
          <w:bCs/>
          <w:sz w:val="22"/>
          <w:szCs w:val="22"/>
        </w:rPr>
        <w:t>Disclaimer:</w:t>
      </w:r>
      <w:r>
        <w:br/>
      </w:r>
      <w:r w:rsidRPr="732A479B">
        <w:rPr>
          <w:sz w:val="22"/>
          <w:szCs w:val="22"/>
        </w:rPr>
        <w:t>The Council is committed to transparency and the continuous improvement of data quality. This report has been produced using a range of historical and current data sources, and every effort has been made to ensure the accuracy and reliability of the information presented.</w:t>
      </w:r>
    </w:p>
    <w:p w14:paraId="6E2565D1" w14:textId="6F687913" w:rsidR="00CD7FA2" w:rsidRPr="00E03370" w:rsidRDefault="00CD7FA2" w:rsidP="732A479B">
      <w:pPr>
        <w:rPr>
          <w:sz w:val="22"/>
          <w:szCs w:val="22"/>
        </w:rPr>
      </w:pPr>
      <w:r w:rsidRPr="732A479B">
        <w:rPr>
          <w:sz w:val="22"/>
          <w:szCs w:val="22"/>
        </w:rPr>
        <w:t>It is correct at the time of publication, however due to the nature of the data and the evolving status of projects and funding, some information may be subject to future updates or refinements</w:t>
      </w:r>
      <w:r w:rsidR="586AB4F9" w:rsidRPr="732A479B">
        <w:rPr>
          <w:sz w:val="22"/>
          <w:szCs w:val="22"/>
        </w:rPr>
        <w:t>. T</w:t>
      </w:r>
      <w:r w:rsidRPr="732A479B">
        <w:rPr>
          <w:sz w:val="22"/>
          <w:szCs w:val="22"/>
        </w:rPr>
        <w:t>he report is intended to support public understanding and engagement and is provided for general information purposes.</w:t>
      </w:r>
    </w:p>
    <w:p w14:paraId="2BBFFE56" w14:textId="77777777" w:rsidR="00CD7FA2" w:rsidRDefault="00CD7FA2" w:rsidP="00CD7FA2">
      <w:pPr>
        <w:rPr>
          <w:i/>
          <w:iCs/>
          <w:sz w:val="22"/>
          <w:szCs w:val="22"/>
        </w:rPr>
      </w:pPr>
      <w:r>
        <w:rPr>
          <w:i/>
          <w:iCs/>
          <w:sz w:val="22"/>
          <w:szCs w:val="22"/>
        </w:rPr>
        <w:br w:type="page"/>
      </w:r>
    </w:p>
    <w:sdt>
      <w:sdtPr>
        <w:rPr>
          <w:rFonts w:ascii="Arial" w:eastAsiaTheme="minorEastAsia" w:hAnsi="Arial" w:cs="Arial"/>
          <w:color w:val="auto"/>
          <w:sz w:val="24"/>
          <w:szCs w:val="24"/>
          <w:lang w:val="en-GB" w:eastAsia="en-GB"/>
        </w:rPr>
        <w:id w:val="-1106272395"/>
        <w:docPartObj>
          <w:docPartGallery w:val="Table of Contents"/>
          <w:docPartUnique/>
        </w:docPartObj>
      </w:sdtPr>
      <w:sdtEndPr>
        <w:rPr>
          <w:b/>
          <w:bCs/>
          <w:noProof/>
        </w:rPr>
      </w:sdtEndPr>
      <w:sdtContent>
        <w:p w14:paraId="4555F2BC" w14:textId="1511982F" w:rsidR="00392057" w:rsidRDefault="00392057">
          <w:pPr>
            <w:pStyle w:val="TOCHeading"/>
            <w:rPr>
              <w:rFonts w:ascii="Arial" w:eastAsiaTheme="minorEastAsia" w:hAnsi="Arial" w:cs="Arial"/>
              <w:b/>
              <w:bCs/>
              <w:color w:val="0062AE"/>
              <w:sz w:val="36"/>
              <w:szCs w:val="36"/>
              <w:lang w:val="en-GB" w:eastAsia="en-GB"/>
            </w:rPr>
          </w:pPr>
          <w:r w:rsidRPr="00392057">
            <w:rPr>
              <w:rFonts w:ascii="Arial" w:eastAsiaTheme="minorEastAsia" w:hAnsi="Arial" w:cs="Arial"/>
              <w:b/>
              <w:bCs/>
              <w:color w:val="0062AE"/>
              <w:sz w:val="36"/>
              <w:szCs w:val="36"/>
              <w:lang w:val="en-GB" w:eastAsia="en-GB"/>
            </w:rPr>
            <w:t>Table of Contents</w:t>
          </w:r>
        </w:p>
        <w:p w14:paraId="565942E9" w14:textId="77777777" w:rsidR="00392057" w:rsidRPr="00392057" w:rsidRDefault="00392057" w:rsidP="00392057"/>
        <w:p w14:paraId="557484D1" w14:textId="4E0F7B96" w:rsidR="00392057" w:rsidRDefault="00392057">
          <w:pPr>
            <w:pStyle w:val="TOC1"/>
            <w:tabs>
              <w:tab w:val="right" w:leader="dot" w:pos="9174"/>
            </w:tabs>
            <w:rPr>
              <w:rFonts w:asciiTheme="minorHAnsi" w:hAnsiTheme="minorHAnsi" w:cstheme="minorBidi"/>
              <w:noProof/>
              <w:kern w:val="2"/>
              <w14:ligatures w14:val="standardContextual"/>
            </w:rPr>
          </w:pPr>
          <w:r>
            <w:fldChar w:fldCharType="begin"/>
          </w:r>
          <w:r>
            <w:instrText xml:space="preserve"> TOC \o "1-3" \h \z \u </w:instrText>
          </w:r>
          <w:r>
            <w:fldChar w:fldCharType="separate"/>
          </w:r>
          <w:hyperlink w:anchor="_Toc216258119" w:history="1">
            <w:r w:rsidRPr="000D2384">
              <w:rPr>
                <w:rStyle w:val="Hyperlink"/>
                <w:noProof/>
              </w:rPr>
              <w:t>1.0 Introduction to the Infrastructure Funding Statement</w:t>
            </w:r>
            <w:r>
              <w:rPr>
                <w:noProof/>
                <w:webHidden/>
              </w:rPr>
              <w:tab/>
            </w:r>
            <w:r>
              <w:rPr>
                <w:noProof/>
                <w:webHidden/>
              </w:rPr>
              <w:fldChar w:fldCharType="begin"/>
            </w:r>
            <w:r>
              <w:rPr>
                <w:noProof/>
                <w:webHidden/>
              </w:rPr>
              <w:instrText xml:space="preserve"> PAGEREF _Toc216258119 \h </w:instrText>
            </w:r>
            <w:r>
              <w:rPr>
                <w:noProof/>
                <w:webHidden/>
              </w:rPr>
            </w:r>
            <w:r>
              <w:rPr>
                <w:noProof/>
                <w:webHidden/>
              </w:rPr>
              <w:fldChar w:fldCharType="separate"/>
            </w:r>
            <w:r>
              <w:rPr>
                <w:noProof/>
                <w:webHidden/>
              </w:rPr>
              <w:t>4</w:t>
            </w:r>
            <w:r>
              <w:rPr>
                <w:noProof/>
                <w:webHidden/>
              </w:rPr>
              <w:fldChar w:fldCharType="end"/>
            </w:r>
          </w:hyperlink>
        </w:p>
        <w:p w14:paraId="72183471" w14:textId="346BADE3" w:rsidR="00392057" w:rsidRDefault="00392057">
          <w:pPr>
            <w:pStyle w:val="TOC1"/>
            <w:tabs>
              <w:tab w:val="right" w:leader="dot" w:pos="9174"/>
            </w:tabs>
            <w:rPr>
              <w:rFonts w:asciiTheme="minorHAnsi" w:hAnsiTheme="minorHAnsi" w:cstheme="minorBidi"/>
              <w:noProof/>
              <w:kern w:val="2"/>
              <w14:ligatures w14:val="standardContextual"/>
            </w:rPr>
          </w:pPr>
          <w:hyperlink w:anchor="_Toc216258120" w:history="1">
            <w:r w:rsidRPr="000D2384">
              <w:rPr>
                <w:rStyle w:val="Hyperlink"/>
                <w:noProof/>
              </w:rPr>
              <w:t>2.0 Section 106 Report</w:t>
            </w:r>
            <w:r>
              <w:rPr>
                <w:noProof/>
                <w:webHidden/>
              </w:rPr>
              <w:tab/>
            </w:r>
            <w:r>
              <w:rPr>
                <w:noProof/>
                <w:webHidden/>
              </w:rPr>
              <w:fldChar w:fldCharType="begin"/>
            </w:r>
            <w:r>
              <w:rPr>
                <w:noProof/>
                <w:webHidden/>
              </w:rPr>
              <w:instrText xml:space="preserve"> PAGEREF _Toc216258120 \h </w:instrText>
            </w:r>
            <w:r>
              <w:rPr>
                <w:noProof/>
                <w:webHidden/>
              </w:rPr>
            </w:r>
            <w:r>
              <w:rPr>
                <w:noProof/>
                <w:webHidden/>
              </w:rPr>
              <w:fldChar w:fldCharType="separate"/>
            </w:r>
            <w:r>
              <w:rPr>
                <w:noProof/>
                <w:webHidden/>
              </w:rPr>
              <w:t>5</w:t>
            </w:r>
            <w:r>
              <w:rPr>
                <w:noProof/>
                <w:webHidden/>
              </w:rPr>
              <w:fldChar w:fldCharType="end"/>
            </w:r>
          </w:hyperlink>
        </w:p>
        <w:p w14:paraId="25A0D02F" w14:textId="267D095E" w:rsidR="00392057" w:rsidRDefault="00392057">
          <w:pPr>
            <w:pStyle w:val="TOC1"/>
            <w:tabs>
              <w:tab w:val="right" w:leader="dot" w:pos="9174"/>
            </w:tabs>
            <w:rPr>
              <w:rFonts w:asciiTheme="minorHAnsi" w:hAnsiTheme="minorHAnsi" w:cstheme="minorBidi"/>
              <w:noProof/>
              <w:kern w:val="2"/>
              <w14:ligatures w14:val="standardContextual"/>
            </w:rPr>
          </w:pPr>
          <w:hyperlink w:anchor="_Toc216258121" w:history="1">
            <w:r w:rsidRPr="000D2384">
              <w:rPr>
                <w:rStyle w:val="Hyperlink"/>
                <w:noProof/>
              </w:rPr>
              <w:t>3.0 Community Infrastructure Levy (CIL) Report</w:t>
            </w:r>
            <w:r>
              <w:rPr>
                <w:noProof/>
                <w:webHidden/>
              </w:rPr>
              <w:tab/>
            </w:r>
            <w:r>
              <w:rPr>
                <w:noProof/>
                <w:webHidden/>
              </w:rPr>
              <w:fldChar w:fldCharType="begin"/>
            </w:r>
            <w:r>
              <w:rPr>
                <w:noProof/>
                <w:webHidden/>
              </w:rPr>
              <w:instrText xml:space="preserve"> PAGEREF _Toc216258121 \h </w:instrText>
            </w:r>
            <w:r>
              <w:rPr>
                <w:noProof/>
                <w:webHidden/>
              </w:rPr>
            </w:r>
            <w:r>
              <w:rPr>
                <w:noProof/>
                <w:webHidden/>
              </w:rPr>
              <w:fldChar w:fldCharType="separate"/>
            </w:r>
            <w:r>
              <w:rPr>
                <w:noProof/>
                <w:webHidden/>
              </w:rPr>
              <w:t>9</w:t>
            </w:r>
            <w:r>
              <w:rPr>
                <w:noProof/>
                <w:webHidden/>
              </w:rPr>
              <w:fldChar w:fldCharType="end"/>
            </w:r>
          </w:hyperlink>
        </w:p>
        <w:p w14:paraId="255F5BBD" w14:textId="31524A93" w:rsidR="00392057" w:rsidRDefault="00392057">
          <w:pPr>
            <w:pStyle w:val="TOC1"/>
            <w:tabs>
              <w:tab w:val="right" w:leader="dot" w:pos="9174"/>
            </w:tabs>
            <w:rPr>
              <w:rFonts w:asciiTheme="minorHAnsi" w:hAnsiTheme="minorHAnsi" w:cstheme="minorBidi"/>
              <w:noProof/>
              <w:kern w:val="2"/>
              <w14:ligatures w14:val="standardContextual"/>
            </w:rPr>
          </w:pPr>
          <w:hyperlink w:anchor="_Toc216258122" w:history="1">
            <w:r w:rsidRPr="000D2384">
              <w:rPr>
                <w:rStyle w:val="Hyperlink"/>
                <w:noProof/>
              </w:rPr>
              <w:t>4.0 London Legacy Development Corporation (LLDC)</w:t>
            </w:r>
            <w:r>
              <w:rPr>
                <w:noProof/>
                <w:webHidden/>
              </w:rPr>
              <w:tab/>
            </w:r>
            <w:r>
              <w:rPr>
                <w:noProof/>
                <w:webHidden/>
              </w:rPr>
              <w:fldChar w:fldCharType="begin"/>
            </w:r>
            <w:r>
              <w:rPr>
                <w:noProof/>
                <w:webHidden/>
              </w:rPr>
              <w:instrText xml:space="preserve"> PAGEREF _Toc216258122 \h </w:instrText>
            </w:r>
            <w:r>
              <w:rPr>
                <w:noProof/>
                <w:webHidden/>
              </w:rPr>
            </w:r>
            <w:r>
              <w:rPr>
                <w:noProof/>
                <w:webHidden/>
              </w:rPr>
              <w:fldChar w:fldCharType="separate"/>
            </w:r>
            <w:r>
              <w:rPr>
                <w:noProof/>
                <w:webHidden/>
              </w:rPr>
              <w:t>11</w:t>
            </w:r>
            <w:r>
              <w:rPr>
                <w:noProof/>
                <w:webHidden/>
              </w:rPr>
              <w:fldChar w:fldCharType="end"/>
            </w:r>
          </w:hyperlink>
        </w:p>
        <w:p w14:paraId="564F3222" w14:textId="55154B4E" w:rsidR="00392057" w:rsidRDefault="00392057">
          <w:pPr>
            <w:pStyle w:val="TOC1"/>
            <w:tabs>
              <w:tab w:val="right" w:leader="dot" w:pos="9174"/>
            </w:tabs>
            <w:rPr>
              <w:rFonts w:asciiTheme="minorHAnsi" w:hAnsiTheme="minorHAnsi" w:cstheme="minorBidi"/>
              <w:noProof/>
              <w:kern w:val="2"/>
              <w14:ligatures w14:val="standardContextual"/>
            </w:rPr>
          </w:pPr>
          <w:hyperlink w:anchor="_Toc216258123" w:history="1">
            <w:r w:rsidRPr="000D2384">
              <w:rPr>
                <w:rStyle w:val="Hyperlink"/>
                <w:noProof/>
              </w:rPr>
              <w:t>5.0 The Infrastructure List and Future Spending Priorities</w:t>
            </w:r>
            <w:r>
              <w:rPr>
                <w:noProof/>
                <w:webHidden/>
              </w:rPr>
              <w:tab/>
            </w:r>
            <w:r>
              <w:rPr>
                <w:noProof/>
                <w:webHidden/>
              </w:rPr>
              <w:fldChar w:fldCharType="begin"/>
            </w:r>
            <w:r>
              <w:rPr>
                <w:noProof/>
                <w:webHidden/>
              </w:rPr>
              <w:instrText xml:space="preserve"> PAGEREF _Toc216258123 \h </w:instrText>
            </w:r>
            <w:r>
              <w:rPr>
                <w:noProof/>
                <w:webHidden/>
              </w:rPr>
            </w:r>
            <w:r>
              <w:rPr>
                <w:noProof/>
                <w:webHidden/>
              </w:rPr>
              <w:fldChar w:fldCharType="separate"/>
            </w:r>
            <w:r>
              <w:rPr>
                <w:noProof/>
                <w:webHidden/>
              </w:rPr>
              <w:t>13</w:t>
            </w:r>
            <w:r>
              <w:rPr>
                <w:noProof/>
                <w:webHidden/>
              </w:rPr>
              <w:fldChar w:fldCharType="end"/>
            </w:r>
          </w:hyperlink>
        </w:p>
        <w:p w14:paraId="0D4DDE26" w14:textId="2CF6D9E3" w:rsidR="00392057" w:rsidRDefault="00392057">
          <w:r>
            <w:rPr>
              <w:b/>
              <w:bCs/>
              <w:noProof/>
            </w:rPr>
            <w:fldChar w:fldCharType="end"/>
          </w:r>
        </w:p>
      </w:sdtContent>
    </w:sdt>
    <w:p w14:paraId="5AEDC5A7" w14:textId="77777777" w:rsidR="00CD7FA2" w:rsidRDefault="00CD7FA2" w:rsidP="00CD7FA2">
      <w:pPr>
        <w:rPr>
          <w:i/>
          <w:iCs/>
          <w:sz w:val="22"/>
          <w:szCs w:val="22"/>
        </w:rPr>
      </w:pPr>
      <w:r>
        <w:rPr>
          <w:i/>
          <w:iCs/>
          <w:sz w:val="22"/>
          <w:szCs w:val="22"/>
        </w:rPr>
        <w:br w:type="page"/>
      </w:r>
    </w:p>
    <w:p w14:paraId="6EC4704E" w14:textId="77777777" w:rsidR="00CD7FA2" w:rsidRPr="00274DFB" w:rsidRDefault="00CD7FA2" w:rsidP="00CD7FA2">
      <w:pPr>
        <w:pStyle w:val="Heading1"/>
      </w:pPr>
      <w:bookmarkStart w:id="0" w:name="_Toc215736101"/>
      <w:bookmarkStart w:id="1" w:name="_Toc215739259"/>
      <w:bookmarkStart w:id="2" w:name="_Toc216258119"/>
      <w:r w:rsidRPr="00274DFB">
        <w:lastRenderedPageBreak/>
        <w:t>1.0 Introduction to the Infrastructure Funding Statement</w:t>
      </w:r>
      <w:bookmarkEnd w:id="0"/>
      <w:bookmarkEnd w:id="1"/>
      <w:bookmarkEnd w:id="2"/>
      <w:r w:rsidRPr="00274DFB">
        <w:t xml:space="preserve"> </w:t>
      </w:r>
    </w:p>
    <w:p w14:paraId="0C5FBD93" w14:textId="77777777" w:rsidR="00CD7FA2" w:rsidRPr="00274DFB" w:rsidRDefault="00CD7FA2" w:rsidP="00CD7FA2">
      <w:pPr>
        <w:rPr>
          <w:sz w:val="22"/>
          <w:szCs w:val="22"/>
        </w:rPr>
      </w:pPr>
    </w:p>
    <w:p w14:paraId="01155BF9" w14:textId="6D292050" w:rsidR="00CD7FA2" w:rsidRPr="00274DFB" w:rsidRDefault="00CD7FA2" w:rsidP="00CD7FA2">
      <w:pPr>
        <w:rPr>
          <w:sz w:val="22"/>
          <w:szCs w:val="22"/>
        </w:rPr>
      </w:pPr>
      <w:r w:rsidRPr="00274DFB">
        <w:rPr>
          <w:sz w:val="22"/>
          <w:szCs w:val="22"/>
        </w:rPr>
        <w:t xml:space="preserve">Tower Hamlets is a unique and dynamic borough and at the time of the most recent census in March 2021, Tower Hamlets had a population of 310,300 with the fastest-growing population of any local authority area across England and Wales. The borough is experiencing significant levels of growth in terms of homes, jobs, and this places pressure on existing infrastructure and the need for additional infrastructure to be delivered in the right place and at the right time. </w:t>
      </w:r>
    </w:p>
    <w:p w14:paraId="2B7607D8" w14:textId="77777777" w:rsidR="00CD7FA2" w:rsidRPr="00274DFB" w:rsidRDefault="00CD7FA2" w:rsidP="00CD7FA2">
      <w:pPr>
        <w:rPr>
          <w:sz w:val="22"/>
          <w:szCs w:val="22"/>
        </w:rPr>
      </w:pPr>
      <w:r w:rsidRPr="00274DFB">
        <w:rPr>
          <w:sz w:val="22"/>
          <w:szCs w:val="22"/>
        </w:rPr>
        <w:t xml:space="preserve">The council needs to ensure that we plan for and deliver a range of infrastructure to meet the needs of our diverse and growing population and to ensure that we are well equipped with schools, health centres and quality open spaces, whilst also ensuring we are served by good transport links and the necessary physical infrastructure, such as utilities. </w:t>
      </w:r>
    </w:p>
    <w:p w14:paraId="6A17BFA3" w14:textId="1D34EF16" w:rsidR="00CD7FA2" w:rsidRPr="00274DFB" w:rsidRDefault="00CD7FA2" w:rsidP="00CD7FA2">
      <w:pPr>
        <w:rPr>
          <w:sz w:val="22"/>
          <w:szCs w:val="22"/>
        </w:rPr>
      </w:pPr>
      <w:r w:rsidRPr="732A479B">
        <w:rPr>
          <w:sz w:val="22"/>
          <w:szCs w:val="22"/>
        </w:rPr>
        <w:t>The council uses various funding sources to fund the infrastructure that is required including contributions secured from developers such as the Community Infrastructure Levy (CIL) and Section 106 (</w:t>
      </w:r>
      <w:r w:rsidR="5630F64A" w:rsidRPr="732A479B">
        <w:rPr>
          <w:sz w:val="22"/>
          <w:szCs w:val="22"/>
        </w:rPr>
        <w:t>s</w:t>
      </w:r>
      <w:r w:rsidRPr="732A479B">
        <w:rPr>
          <w:sz w:val="22"/>
          <w:szCs w:val="22"/>
        </w:rPr>
        <w:t>106) planning obligations. The Capital Programme sets out where the council is investing in capital schemes, such as new schools and health facilities using the various funding sources.</w:t>
      </w:r>
    </w:p>
    <w:p w14:paraId="2C1FB136" w14:textId="721030E0" w:rsidR="00CD7FA2" w:rsidRPr="00274DFB" w:rsidRDefault="00CD7FA2" w:rsidP="732A479B">
      <w:pPr>
        <w:rPr>
          <w:sz w:val="22"/>
          <w:szCs w:val="22"/>
        </w:rPr>
      </w:pPr>
      <w:r w:rsidRPr="732A479B">
        <w:rPr>
          <w:sz w:val="22"/>
          <w:szCs w:val="22"/>
        </w:rPr>
        <w:t>The London Borough of Tower Hamlets Infrastructure Funding Statement (IFS) provides our annual report on developer contributions that we use to address the impacts of new development across the borough. The I</w:t>
      </w:r>
      <w:r w:rsidR="59E9BCD0" w:rsidRPr="732A479B">
        <w:rPr>
          <w:sz w:val="22"/>
          <w:szCs w:val="22"/>
        </w:rPr>
        <w:t>FS</w:t>
      </w:r>
      <w:r w:rsidRPr="732A479B">
        <w:rPr>
          <w:sz w:val="22"/>
          <w:szCs w:val="22"/>
        </w:rPr>
        <w:t xml:space="preserve"> provides information about what income is collected through developer contributions and how it will be allocated and used to support new developments and infrastructure in the borough. </w:t>
      </w:r>
    </w:p>
    <w:p w14:paraId="56DE3072" w14:textId="77777777" w:rsidR="00CD7FA2" w:rsidRPr="00274DFB" w:rsidRDefault="00CD7FA2" w:rsidP="00CD7FA2">
      <w:pPr>
        <w:rPr>
          <w:sz w:val="22"/>
          <w:szCs w:val="22"/>
        </w:rPr>
      </w:pPr>
      <w:r w:rsidRPr="00274DFB">
        <w:rPr>
          <w:sz w:val="22"/>
          <w:szCs w:val="22"/>
        </w:rPr>
        <w:t xml:space="preserve">Local Planning Authorities (LPA’s) are required to publish an IFS on their website each year under the </w:t>
      </w:r>
      <w:hyperlink r:id="rId13" w:history="1">
        <w:r w:rsidRPr="00274DFB">
          <w:rPr>
            <w:rStyle w:val="Hyperlink"/>
            <w:sz w:val="22"/>
            <w:szCs w:val="22"/>
          </w:rPr>
          <w:t>CIL Regulations 2010 (as amended)</w:t>
        </w:r>
      </w:hyperlink>
      <w:r w:rsidRPr="00274DFB">
        <w:rPr>
          <w:sz w:val="22"/>
          <w:szCs w:val="22"/>
        </w:rPr>
        <w:t xml:space="preserve"> however, there are wider benefits of producing the IFS because:</w:t>
      </w:r>
    </w:p>
    <w:p w14:paraId="24F5585D" w14:textId="77777777" w:rsidR="00CD7FA2" w:rsidRPr="00274DFB" w:rsidRDefault="00CD7FA2" w:rsidP="00CD7FA2">
      <w:pPr>
        <w:pStyle w:val="ListParagraph"/>
        <w:numPr>
          <w:ilvl w:val="0"/>
          <w:numId w:val="4"/>
        </w:numPr>
        <w:rPr>
          <w:rFonts w:ascii="Arial" w:hAnsi="Arial" w:cs="Arial"/>
          <w:sz w:val="22"/>
          <w:szCs w:val="22"/>
        </w:rPr>
      </w:pPr>
      <w:r w:rsidRPr="00274DFB">
        <w:rPr>
          <w:rFonts w:ascii="Arial" w:hAnsi="Arial" w:cs="Arial"/>
          <w:sz w:val="22"/>
          <w:szCs w:val="22"/>
        </w:rPr>
        <w:t xml:space="preserve">it reports on the delivery and provision of infrastructure in the reported year. </w:t>
      </w:r>
    </w:p>
    <w:p w14:paraId="734B9E2E" w14:textId="77777777" w:rsidR="00CD7FA2" w:rsidRPr="00274DFB" w:rsidRDefault="00CD7FA2" w:rsidP="00CD7FA2">
      <w:pPr>
        <w:pStyle w:val="ListParagraph"/>
        <w:numPr>
          <w:ilvl w:val="0"/>
          <w:numId w:val="4"/>
        </w:numPr>
        <w:rPr>
          <w:rFonts w:ascii="Arial" w:hAnsi="Arial" w:cs="Arial"/>
          <w:sz w:val="22"/>
          <w:szCs w:val="22"/>
        </w:rPr>
      </w:pPr>
      <w:r w:rsidRPr="00274DFB">
        <w:rPr>
          <w:rFonts w:ascii="Arial" w:hAnsi="Arial" w:cs="Arial"/>
          <w:sz w:val="22"/>
          <w:szCs w:val="22"/>
        </w:rPr>
        <w:t xml:space="preserve">it helps ensure residents are informed about the work the council is undertaking to ensure the provision of new and improved infrastructure meets the needs of their local areas. </w:t>
      </w:r>
    </w:p>
    <w:p w14:paraId="370045F8" w14:textId="77777777" w:rsidR="00CD7FA2" w:rsidRPr="00274DFB" w:rsidRDefault="00CD7FA2" w:rsidP="00CD7FA2">
      <w:pPr>
        <w:pStyle w:val="ListParagraph"/>
        <w:numPr>
          <w:ilvl w:val="0"/>
          <w:numId w:val="4"/>
        </w:numPr>
        <w:rPr>
          <w:rFonts w:ascii="Arial" w:hAnsi="Arial" w:cs="Arial"/>
          <w:sz w:val="22"/>
          <w:szCs w:val="22"/>
        </w:rPr>
      </w:pPr>
      <w:r w:rsidRPr="00274DFB">
        <w:rPr>
          <w:rFonts w:ascii="Arial" w:hAnsi="Arial" w:cs="Arial"/>
          <w:sz w:val="22"/>
          <w:szCs w:val="22"/>
        </w:rPr>
        <w:t xml:space="preserve">it gives developers confidence that we are administering, managing, and utilising their developer contributions in a timely way for the purposes they were intended. </w:t>
      </w:r>
    </w:p>
    <w:p w14:paraId="04C37A37" w14:textId="5D1B8607" w:rsidR="00CD7FA2" w:rsidRPr="00274DFB" w:rsidRDefault="00CD7FA2" w:rsidP="00CD7FA2">
      <w:pPr>
        <w:pStyle w:val="ListParagraph"/>
        <w:numPr>
          <w:ilvl w:val="0"/>
          <w:numId w:val="4"/>
        </w:numPr>
        <w:rPr>
          <w:rFonts w:ascii="Arial" w:hAnsi="Arial" w:cs="Arial"/>
          <w:sz w:val="22"/>
          <w:szCs w:val="22"/>
        </w:rPr>
      </w:pPr>
      <w:r w:rsidRPr="00274DFB">
        <w:rPr>
          <w:rFonts w:ascii="Arial" w:hAnsi="Arial" w:cs="Arial"/>
          <w:sz w:val="22"/>
          <w:szCs w:val="22"/>
        </w:rPr>
        <w:t xml:space="preserve">it gives policy makers, both locally and nationally, better insights into how developer contributions re supporting new developments and infrastructure in Tower Hamlets. </w:t>
      </w:r>
    </w:p>
    <w:p w14:paraId="6A226D54" w14:textId="7B5B9498" w:rsidR="00327A22" w:rsidRPr="00327A22" w:rsidRDefault="00CD7FA2" w:rsidP="732A479B">
      <w:pPr>
        <w:pStyle w:val="ListParagraph"/>
        <w:numPr>
          <w:ilvl w:val="0"/>
          <w:numId w:val="4"/>
        </w:numPr>
        <w:rPr>
          <w:i/>
          <w:iCs/>
          <w:sz w:val="22"/>
          <w:szCs w:val="22"/>
        </w:rPr>
      </w:pPr>
      <w:r w:rsidRPr="732A479B">
        <w:rPr>
          <w:rFonts w:ascii="Arial" w:hAnsi="Arial" w:cs="Arial"/>
          <w:i/>
          <w:iCs/>
          <w:sz w:val="22"/>
          <w:szCs w:val="22"/>
        </w:rPr>
        <w:t xml:space="preserve">it recognises and celebrates partnership working between Tower Hamlets Council, developers, communities, and the voluntary sectors. it shows alignment with </w:t>
      </w:r>
      <w:hyperlink r:id="rId14">
        <w:r w:rsidRPr="732A479B">
          <w:rPr>
            <w:rStyle w:val="Hyperlink"/>
            <w:rFonts w:ascii="Arial" w:hAnsi="Arial" w:cs="Arial"/>
            <w:i/>
            <w:iCs/>
            <w:sz w:val="22"/>
            <w:szCs w:val="22"/>
          </w:rPr>
          <w:t>Tower Hamlets Strategic Plan 2022-2026</w:t>
        </w:r>
      </w:hyperlink>
      <w:r w:rsidRPr="732A479B">
        <w:rPr>
          <w:rFonts w:ascii="Arial" w:hAnsi="Arial" w:cs="Arial"/>
          <w:i/>
          <w:iCs/>
          <w:sz w:val="22"/>
          <w:szCs w:val="22"/>
        </w:rPr>
        <w:t xml:space="preserve"> and its objectives</w:t>
      </w:r>
      <w:r w:rsidRPr="732A479B">
        <w:rPr>
          <w:i/>
          <w:iCs/>
          <w:sz w:val="22"/>
          <w:szCs w:val="22"/>
        </w:rPr>
        <w:t xml:space="preserve">. </w:t>
      </w:r>
    </w:p>
    <w:p w14:paraId="6A1F7CFA" w14:textId="2A2F0D6A" w:rsidR="50409518" w:rsidRDefault="50409518" w:rsidP="732A479B">
      <w:pPr>
        <w:rPr>
          <w:b/>
          <w:bCs/>
          <w:sz w:val="22"/>
          <w:szCs w:val="22"/>
        </w:rPr>
      </w:pPr>
      <w:r w:rsidRPr="732A479B">
        <w:rPr>
          <w:b/>
          <w:bCs/>
          <w:sz w:val="22"/>
          <w:szCs w:val="22"/>
        </w:rPr>
        <w:t>Key Income and Expenditure Headlines for 2024/2025</w:t>
      </w:r>
    </w:p>
    <w:tbl>
      <w:tblPr>
        <w:tblpPr w:leftFromText="180" w:rightFromText="180" w:vertAnchor="text" w:horzAnchor="margin" w:tblpY="709"/>
        <w:tblW w:w="8307" w:type="dxa"/>
        <w:tblLook w:val="04A0" w:firstRow="1" w:lastRow="0" w:firstColumn="1" w:lastColumn="0" w:noHBand="0" w:noVBand="1"/>
      </w:tblPr>
      <w:tblGrid>
        <w:gridCol w:w="2061"/>
        <w:gridCol w:w="2210"/>
        <w:gridCol w:w="2018"/>
        <w:gridCol w:w="2018"/>
      </w:tblGrid>
      <w:tr w:rsidR="00D314A6" w:rsidRPr="00CA03AE" w14:paraId="125C0531" w14:textId="77777777" w:rsidTr="00327A22">
        <w:trPr>
          <w:trHeight w:val="337"/>
        </w:trPr>
        <w:tc>
          <w:tcPr>
            <w:tcW w:w="2061" w:type="dxa"/>
            <w:tcBorders>
              <w:top w:val="single" w:sz="8" w:space="0" w:color="auto"/>
              <w:left w:val="single" w:sz="8" w:space="0" w:color="auto"/>
              <w:bottom w:val="single" w:sz="8" w:space="0" w:color="auto"/>
              <w:right w:val="single" w:sz="8" w:space="0" w:color="auto"/>
            </w:tcBorders>
            <w:shd w:val="clear" w:color="auto" w:fill="00B0F0"/>
            <w:vAlign w:val="center"/>
            <w:hideMark/>
          </w:tcPr>
          <w:p w14:paraId="7A7FC0A4" w14:textId="77777777" w:rsidR="00D314A6" w:rsidRPr="00274DFB" w:rsidRDefault="00D314A6" w:rsidP="00D314A6">
            <w:pPr>
              <w:spacing w:after="0"/>
              <w:rPr>
                <w:rFonts w:eastAsia="Times New Roman"/>
                <w:b/>
                <w:bCs/>
                <w:i/>
                <w:iCs/>
                <w:color w:val="000000"/>
                <w:sz w:val="22"/>
                <w:szCs w:val="22"/>
              </w:rPr>
            </w:pPr>
            <w:r w:rsidRPr="00274DFB">
              <w:rPr>
                <w:rFonts w:eastAsia="Times New Roman"/>
                <w:b/>
                <w:bCs/>
                <w:i/>
                <w:iCs/>
                <w:color w:val="000000"/>
                <w:sz w:val="22"/>
                <w:szCs w:val="22"/>
              </w:rPr>
              <w:t>Type</w:t>
            </w:r>
          </w:p>
        </w:tc>
        <w:tc>
          <w:tcPr>
            <w:tcW w:w="2210" w:type="dxa"/>
            <w:tcBorders>
              <w:top w:val="single" w:sz="8" w:space="0" w:color="auto"/>
              <w:left w:val="nil"/>
              <w:bottom w:val="single" w:sz="8" w:space="0" w:color="auto"/>
              <w:right w:val="single" w:sz="8" w:space="0" w:color="auto"/>
            </w:tcBorders>
            <w:shd w:val="clear" w:color="auto" w:fill="00B0F0"/>
            <w:vAlign w:val="center"/>
            <w:hideMark/>
          </w:tcPr>
          <w:p w14:paraId="120E5E6C" w14:textId="5560A60C" w:rsidR="00D314A6" w:rsidRPr="00274DFB" w:rsidRDefault="021CB9E2" w:rsidP="732A479B">
            <w:pPr>
              <w:spacing w:after="0"/>
              <w:jc w:val="right"/>
              <w:rPr>
                <w:rFonts w:eastAsia="Times New Roman"/>
                <w:b/>
                <w:bCs/>
                <w:i/>
                <w:iCs/>
                <w:color w:val="000000"/>
                <w:sz w:val="22"/>
                <w:szCs w:val="22"/>
              </w:rPr>
            </w:pPr>
            <w:r w:rsidRPr="732A479B">
              <w:rPr>
                <w:rFonts w:eastAsia="Times New Roman"/>
                <w:b/>
                <w:bCs/>
                <w:i/>
                <w:iCs/>
                <w:color w:val="000000" w:themeColor="text1"/>
                <w:sz w:val="22"/>
                <w:szCs w:val="22"/>
              </w:rPr>
              <w:t>s</w:t>
            </w:r>
            <w:r w:rsidR="46DC7E65" w:rsidRPr="732A479B">
              <w:rPr>
                <w:rFonts w:eastAsia="Times New Roman"/>
                <w:b/>
                <w:bCs/>
                <w:i/>
                <w:iCs/>
                <w:color w:val="000000" w:themeColor="text1"/>
                <w:sz w:val="22"/>
                <w:szCs w:val="22"/>
              </w:rPr>
              <w:t>106</w:t>
            </w:r>
          </w:p>
        </w:tc>
        <w:tc>
          <w:tcPr>
            <w:tcW w:w="2018" w:type="dxa"/>
            <w:tcBorders>
              <w:top w:val="single" w:sz="8" w:space="0" w:color="auto"/>
              <w:left w:val="nil"/>
              <w:bottom w:val="single" w:sz="8" w:space="0" w:color="auto"/>
              <w:right w:val="single" w:sz="8" w:space="0" w:color="auto"/>
            </w:tcBorders>
            <w:shd w:val="clear" w:color="auto" w:fill="00B0F0"/>
            <w:vAlign w:val="center"/>
            <w:hideMark/>
          </w:tcPr>
          <w:p w14:paraId="4C491F0A" w14:textId="77777777" w:rsidR="00D314A6" w:rsidRPr="00274DFB" w:rsidRDefault="00D314A6" w:rsidP="00D314A6">
            <w:pPr>
              <w:spacing w:after="0"/>
              <w:jc w:val="right"/>
              <w:rPr>
                <w:rFonts w:eastAsia="Times New Roman"/>
                <w:b/>
                <w:bCs/>
                <w:i/>
                <w:iCs/>
                <w:color w:val="000000"/>
                <w:sz w:val="22"/>
                <w:szCs w:val="22"/>
              </w:rPr>
            </w:pPr>
            <w:r w:rsidRPr="00274DFB">
              <w:rPr>
                <w:rFonts w:eastAsia="Times New Roman"/>
                <w:b/>
                <w:bCs/>
                <w:i/>
                <w:iCs/>
                <w:color w:val="000000"/>
                <w:sz w:val="22"/>
                <w:szCs w:val="22"/>
              </w:rPr>
              <w:t>CIL</w:t>
            </w:r>
          </w:p>
        </w:tc>
        <w:tc>
          <w:tcPr>
            <w:tcW w:w="2018" w:type="dxa"/>
            <w:tcBorders>
              <w:top w:val="single" w:sz="8" w:space="0" w:color="auto"/>
              <w:left w:val="nil"/>
              <w:bottom w:val="single" w:sz="8" w:space="0" w:color="auto"/>
              <w:right w:val="single" w:sz="8" w:space="0" w:color="auto"/>
            </w:tcBorders>
            <w:shd w:val="clear" w:color="auto" w:fill="00B0F0"/>
            <w:vAlign w:val="center"/>
            <w:hideMark/>
          </w:tcPr>
          <w:p w14:paraId="2C389940" w14:textId="77777777" w:rsidR="00D314A6" w:rsidRPr="00274DFB" w:rsidRDefault="00D314A6" w:rsidP="00D314A6">
            <w:pPr>
              <w:spacing w:after="0"/>
              <w:jc w:val="right"/>
              <w:rPr>
                <w:rFonts w:eastAsia="Times New Roman"/>
                <w:b/>
                <w:bCs/>
                <w:i/>
                <w:iCs/>
                <w:color w:val="000000"/>
                <w:sz w:val="22"/>
                <w:szCs w:val="22"/>
              </w:rPr>
            </w:pPr>
            <w:r w:rsidRPr="00274DFB">
              <w:rPr>
                <w:rFonts w:eastAsia="Times New Roman"/>
                <w:b/>
                <w:bCs/>
                <w:i/>
                <w:iCs/>
                <w:color w:val="000000"/>
                <w:sz w:val="22"/>
                <w:szCs w:val="22"/>
              </w:rPr>
              <w:t>NCIL</w:t>
            </w:r>
          </w:p>
        </w:tc>
      </w:tr>
      <w:tr w:rsidR="00327A22" w:rsidRPr="00CA03AE" w14:paraId="066872EE" w14:textId="77777777" w:rsidTr="00327A22">
        <w:trPr>
          <w:trHeight w:val="43"/>
        </w:trPr>
        <w:tc>
          <w:tcPr>
            <w:tcW w:w="2061" w:type="dxa"/>
            <w:tcBorders>
              <w:top w:val="single" w:sz="4" w:space="0" w:color="auto"/>
              <w:left w:val="single" w:sz="4" w:space="0" w:color="auto"/>
              <w:bottom w:val="single" w:sz="8" w:space="0" w:color="000000" w:themeColor="text1"/>
              <w:right w:val="single" w:sz="8" w:space="0" w:color="auto"/>
            </w:tcBorders>
            <w:vAlign w:val="center"/>
          </w:tcPr>
          <w:p w14:paraId="785A0AB6" w14:textId="45D427A0" w:rsidR="00327A22" w:rsidRPr="00327A22" w:rsidRDefault="00327A22" w:rsidP="00D314A6">
            <w:pPr>
              <w:spacing w:after="0"/>
              <w:rPr>
                <w:rFonts w:eastAsia="Times New Roman"/>
                <w:b/>
                <w:bCs/>
                <w:color w:val="000000"/>
                <w:sz w:val="22"/>
                <w:szCs w:val="22"/>
              </w:rPr>
            </w:pPr>
            <w:r w:rsidRPr="00327A22">
              <w:rPr>
                <w:rFonts w:eastAsia="Times New Roman"/>
                <w:b/>
                <w:bCs/>
                <w:color w:val="000000"/>
                <w:sz w:val="22"/>
                <w:szCs w:val="22"/>
              </w:rPr>
              <w:t>Income</w:t>
            </w:r>
          </w:p>
        </w:tc>
        <w:tc>
          <w:tcPr>
            <w:tcW w:w="2210" w:type="dxa"/>
            <w:tcBorders>
              <w:top w:val="single" w:sz="4" w:space="0" w:color="auto"/>
              <w:left w:val="single" w:sz="8" w:space="0" w:color="auto"/>
              <w:bottom w:val="single" w:sz="8" w:space="0" w:color="000000" w:themeColor="text1"/>
              <w:right w:val="single" w:sz="8" w:space="0" w:color="auto"/>
            </w:tcBorders>
            <w:vAlign w:val="center"/>
          </w:tcPr>
          <w:p w14:paraId="3159E3D3" w14:textId="56334964" w:rsidR="00327A22" w:rsidRPr="00274DFB" w:rsidRDefault="00F37804" w:rsidP="00D314A6">
            <w:pPr>
              <w:spacing w:after="0"/>
              <w:rPr>
                <w:rFonts w:eastAsia="Times New Roman"/>
                <w:i/>
                <w:iCs/>
                <w:color w:val="000000"/>
                <w:sz w:val="22"/>
                <w:szCs w:val="22"/>
              </w:rPr>
            </w:pPr>
            <w:r>
              <w:rPr>
                <w:rFonts w:eastAsia="Times New Roman"/>
                <w:i/>
                <w:iCs/>
                <w:color w:val="000000"/>
                <w:sz w:val="22"/>
                <w:szCs w:val="22"/>
              </w:rPr>
              <w:t xml:space="preserve">            </w:t>
            </w:r>
            <w:r w:rsidR="00327A22" w:rsidRPr="0062760F">
              <w:rPr>
                <w:rFonts w:eastAsia="Times New Roman"/>
                <w:i/>
                <w:iCs/>
                <w:color w:val="000000"/>
                <w:sz w:val="22"/>
                <w:szCs w:val="22"/>
              </w:rPr>
              <w:t>£15,660,54</w:t>
            </w:r>
            <w:r w:rsidR="00327A22">
              <w:rPr>
                <w:rFonts w:eastAsia="Times New Roman"/>
                <w:i/>
                <w:iCs/>
                <w:color w:val="000000"/>
                <w:sz w:val="22"/>
                <w:szCs w:val="22"/>
              </w:rPr>
              <w:t>5</w:t>
            </w:r>
          </w:p>
        </w:tc>
        <w:tc>
          <w:tcPr>
            <w:tcW w:w="2018" w:type="dxa"/>
            <w:tcBorders>
              <w:top w:val="single" w:sz="4" w:space="0" w:color="auto"/>
              <w:left w:val="single" w:sz="8" w:space="0" w:color="auto"/>
              <w:bottom w:val="single" w:sz="8" w:space="0" w:color="000000" w:themeColor="text1"/>
              <w:right w:val="single" w:sz="4" w:space="0" w:color="auto"/>
            </w:tcBorders>
            <w:vAlign w:val="center"/>
          </w:tcPr>
          <w:p w14:paraId="6085EB4B" w14:textId="767956D4" w:rsidR="00327A22" w:rsidRPr="00274DFB" w:rsidRDefault="00F37804" w:rsidP="00D314A6">
            <w:pPr>
              <w:spacing w:after="0"/>
              <w:rPr>
                <w:rFonts w:eastAsia="Times New Roman"/>
                <w:i/>
                <w:iCs/>
                <w:color w:val="000000"/>
                <w:sz w:val="22"/>
                <w:szCs w:val="22"/>
              </w:rPr>
            </w:pPr>
            <w:r>
              <w:rPr>
                <w:rFonts w:eastAsia="Times New Roman"/>
                <w:i/>
                <w:iCs/>
                <w:color w:val="000000"/>
                <w:sz w:val="22"/>
                <w:szCs w:val="22"/>
              </w:rPr>
              <w:t xml:space="preserve">         </w:t>
            </w:r>
            <w:r w:rsidR="00327A22" w:rsidRPr="00274DFB">
              <w:rPr>
                <w:rFonts w:eastAsia="Times New Roman"/>
                <w:i/>
                <w:iCs/>
                <w:color w:val="000000"/>
                <w:sz w:val="22"/>
                <w:szCs w:val="22"/>
              </w:rPr>
              <w:t>£14,084,329</w:t>
            </w:r>
          </w:p>
        </w:tc>
        <w:tc>
          <w:tcPr>
            <w:tcW w:w="2018" w:type="dxa"/>
            <w:tcBorders>
              <w:top w:val="single" w:sz="4" w:space="0" w:color="auto"/>
              <w:left w:val="single" w:sz="4" w:space="0" w:color="auto"/>
              <w:bottom w:val="single" w:sz="8" w:space="0" w:color="auto"/>
              <w:right w:val="single" w:sz="8" w:space="0" w:color="auto"/>
            </w:tcBorders>
            <w:vAlign w:val="center"/>
          </w:tcPr>
          <w:p w14:paraId="0CA08DB1" w14:textId="612038A2" w:rsidR="00327A22" w:rsidRPr="00274DFB" w:rsidRDefault="00327A22" w:rsidP="00D314A6">
            <w:pPr>
              <w:spacing w:after="0"/>
              <w:jc w:val="right"/>
              <w:rPr>
                <w:rFonts w:eastAsia="Times New Roman"/>
                <w:i/>
                <w:iCs/>
                <w:color w:val="000000"/>
                <w:sz w:val="22"/>
                <w:szCs w:val="22"/>
              </w:rPr>
            </w:pPr>
            <w:r w:rsidRPr="00274DFB">
              <w:rPr>
                <w:rFonts w:eastAsia="Times New Roman"/>
                <w:i/>
                <w:iCs/>
                <w:color w:val="000000"/>
                <w:sz w:val="22"/>
                <w:szCs w:val="22"/>
              </w:rPr>
              <w:t>included in CIL income of £14,084,329</w:t>
            </w:r>
          </w:p>
        </w:tc>
      </w:tr>
      <w:tr w:rsidR="00D314A6" w:rsidRPr="00CA03AE" w14:paraId="16141396" w14:textId="77777777" w:rsidTr="00327A22">
        <w:trPr>
          <w:trHeight w:val="337"/>
        </w:trPr>
        <w:tc>
          <w:tcPr>
            <w:tcW w:w="2061" w:type="dxa"/>
            <w:tcBorders>
              <w:top w:val="single" w:sz="8" w:space="0" w:color="000000" w:themeColor="text1"/>
              <w:left w:val="single" w:sz="4" w:space="0" w:color="auto"/>
              <w:bottom w:val="single" w:sz="8" w:space="0" w:color="auto"/>
              <w:right w:val="single" w:sz="4" w:space="0" w:color="auto"/>
            </w:tcBorders>
            <w:vAlign w:val="center"/>
            <w:hideMark/>
          </w:tcPr>
          <w:p w14:paraId="5DA6787F" w14:textId="77777777" w:rsidR="00D314A6" w:rsidRPr="00274DFB" w:rsidRDefault="00D314A6" w:rsidP="00D314A6">
            <w:pPr>
              <w:spacing w:after="0"/>
              <w:rPr>
                <w:rFonts w:eastAsia="Times New Roman"/>
                <w:b/>
                <w:bCs/>
                <w:i/>
                <w:iCs/>
                <w:color w:val="000000"/>
                <w:sz w:val="22"/>
                <w:szCs w:val="22"/>
              </w:rPr>
            </w:pPr>
            <w:r w:rsidRPr="00274DFB">
              <w:rPr>
                <w:rFonts w:eastAsia="Times New Roman"/>
                <w:b/>
                <w:bCs/>
                <w:i/>
                <w:iCs/>
                <w:color w:val="000000"/>
                <w:sz w:val="22"/>
                <w:szCs w:val="22"/>
              </w:rPr>
              <w:t>Expenditure</w:t>
            </w:r>
          </w:p>
        </w:tc>
        <w:tc>
          <w:tcPr>
            <w:tcW w:w="2210" w:type="dxa"/>
            <w:tcBorders>
              <w:top w:val="single" w:sz="8" w:space="0" w:color="000000" w:themeColor="text1"/>
              <w:left w:val="single" w:sz="4" w:space="0" w:color="auto"/>
              <w:bottom w:val="single" w:sz="8" w:space="0" w:color="auto"/>
              <w:right w:val="single" w:sz="4" w:space="0" w:color="auto"/>
            </w:tcBorders>
            <w:vAlign w:val="center"/>
            <w:hideMark/>
          </w:tcPr>
          <w:p w14:paraId="56698224" w14:textId="77777777" w:rsidR="00D314A6" w:rsidRPr="00274DFB" w:rsidRDefault="00D314A6" w:rsidP="00D314A6">
            <w:pPr>
              <w:spacing w:after="0"/>
              <w:jc w:val="right"/>
              <w:rPr>
                <w:rFonts w:eastAsia="Times New Roman"/>
                <w:i/>
                <w:iCs/>
                <w:color w:val="000000"/>
                <w:sz w:val="22"/>
                <w:szCs w:val="22"/>
              </w:rPr>
            </w:pPr>
            <w:r w:rsidRPr="00274DFB">
              <w:rPr>
                <w:rFonts w:eastAsia="Times New Roman"/>
                <w:i/>
                <w:iCs/>
                <w:color w:val="000000"/>
                <w:sz w:val="22"/>
                <w:szCs w:val="22"/>
              </w:rPr>
              <w:t>£19,645,825</w:t>
            </w:r>
          </w:p>
        </w:tc>
        <w:tc>
          <w:tcPr>
            <w:tcW w:w="2018" w:type="dxa"/>
            <w:tcBorders>
              <w:top w:val="single" w:sz="8" w:space="0" w:color="000000" w:themeColor="text1"/>
              <w:left w:val="single" w:sz="4" w:space="0" w:color="auto"/>
              <w:bottom w:val="single" w:sz="8" w:space="0" w:color="auto"/>
              <w:right w:val="single" w:sz="8" w:space="0" w:color="auto"/>
            </w:tcBorders>
            <w:vAlign w:val="center"/>
            <w:hideMark/>
          </w:tcPr>
          <w:p w14:paraId="28B28F66" w14:textId="77777777" w:rsidR="00D314A6" w:rsidRPr="00274DFB" w:rsidRDefault="00D314A6" w:rsidP="00D314A6">
            <w:pPr>
              <w:spacing w:after="0"/>
              <w:jc w:val="right"/>
              <w:rPr>
                <w:rFonts w:eastAsia="Times New Roman"/>
                <w:i/>
                <w:iCs/>
                <w:color w:val="000000"/>
                <w:sz w:val="22"/>
                <w:szCs w:val="22"/>
              </w:rPr>
            </w:pPr>
            <w:r w:rsidRPr="00274DFB">
              <w:rPr>
                <w:rFonts w:eastAsia="Times New Roman"/>
                <w:i/>
                <w:iCs/>
                <w:color w:val="000000"/>
                <w:sz w:val="22"/>
                <w:szCs w:val="22"/>
              </w:rPr>
              <w:t>£4,861,751</w:t>
            </w:r>
          </w:p>
        </w:tc>
        <w:tc>
          <w:tcPr>
            <w:tcW w:w="2018" w:type="dxa"/>
            <w:tcBorders>
              <w:top w:val="nil"/>
              <w:left w:val="nil"/>
              <w:bottom w:val="single" w:sz="8" w:space="0" w:color="auto"/>
              <w:right w:val="single" w:sz="8" w:space="0" w:color="auto"/>
            </w:tcBorders>
            <w:vAlign w:val="center"/>
            <w:hideMark/>
          </w:tcPr>
          <w:p w14:paraId="6533FA3E" w14:textId="77777777" w:rsidR="00D314A6" w:rsidRPr="00274DFB" w:rsidRDefault="00D314A6" w:rsidP="00D314A6">
            <w:pPr>
              <w:spacing w:after="0"/>
              <w:jc w:val="right"/>
              <w:rPr>
                <w:rFonts w:eastAsia="Times New Roman"/>
                <w:i/>
                <w:iCs/>
                <w:color w:val="000000"/>
                <w:sz w:val="22"/>
                <w:szCs w:val="22"/>
              </w:rPr>
            </w:pPr>
            <w:r w:rsidRPr="00274DFB">
              <w:rPr>
                <w:rFonts w:eastAsia="Times New Roman"/>
                <w:i/>
                <w:iCs/>
                <w:color w:val="000000"/>
                <w:sz w:val="22"/>
                <w:szCs w:val="22"/>
              </w:rPr>
              <w:t>£4,539,253  </w:t>
            </w:r>
          </w:p>
        </w:tc>
      </w:tr>
    </w:tbl>
    <w:p w14:paraId="49C2F36A" w14:textId="77777777" w:rsidR="00CD7FA2" w:rsidRDefault="00CD7FA2" w:rsidP="00CD7FA2">
      <w:pPr>
        <w:rPr>
          <w:b/>
          <w:bCs/>
          <w:i/>
          <w:iCs/>
        </w:rPr>
      </w:pPr>
      <w:r>
        <w:rPr>
          <w:b/>
          <w:bCs/>
          <w:i/>
          <w:iCs/>
        </w:rPr>
        <w:br w:type="page"/>
      </w:r>
    </w:p>
    <w:p w14:paraId="0DADFF8E" w14:textId="14024B8B" w:rsidR="00CD7FA2" w:rsidRPr="00274DFB" w:rsidRDefault="0044063F" w:rsidP="00CD7FA2">
      <w:pPr>
        <w:pStyle w:val="Heading1"/>
      </w:pPr>
      <w:bookmarkStart w:id="3" w:name="_Toc199758363"/>
      <w:bookmarkStart w:id="4" w:name="_Toc215736104"/>
      <w:bookmarkStart w:id="5" w:name="_Toc215739262"/>
      <w:bookmarkStart w:id="6" w:name="_Toc216258120"/>
      <w:r>
        <w:lastRenderedPageBreak/>
        <w:t>2</w:t>
      </w:r>
      <w:r w:rsidR="00CD7FA2" w:rsidRPr="00274DFB">
        <w:t xml:space="preserve">.0 Section 106 </w:t>
      </w:r>
      <w:bookmarkEnd w:id="3"/>
      <w:bookmarkEnd w:id="4"/>
      <w:bookmarkEnd w:id="5"/>
      <w:r w:rsidR="00FF7512">
        <w:t>Report</w:t>
      </w:r>
      <w:bookmarkEnd w:id="6"/>
    </w:p>
    <w:p w14:paraId="72997190" w14:textId="77777777" w:rsidR="00274DFB" w:rsidRPr="00274DFB" w:rsidRDefault="00274DFB" w:rsidP="00274DFB"/>
    <w:p w14:paraId="2E168AB0" w14:textId="2E9AFEB7" w:rsidR="00CD7FA2" w:rsidRDefault="49FA8BC4" w:rsidP="732A479B">
      <w:pPr>
        <w:rPr>
          <w:b/>
          <w:bCs/>
          <w:i/>
          <w:iCs/>
          <w:sz w:val="22"/>
          <w:szCs w:val="22"/>
        </w:rPr>
      </w:pPr>
      <w:r w:rsidRPr="732A479B">
        <w:rPr>
          <w:b/>
          <w:bCs/>
          <w:sz w:val="22"/>
          <w:szCs w:val="22"/>
        </w:rPr>
        <w:t xml:space="preserve">Table 2.1 - </w:t>
      </w:r>
      <w:r w:rsidR="00CD7FA2" w:rsidRPr="732A479B">
        <w:rPr>
          <w:b/>
          <w:bCs/>
          <w:sz w:val="22"/>
          <w:szCs w:val="22"/>
        </w:rPr>
        <w:t>Summary of s106 financial and non-financial obligations that were agreed, received, allocated and spent during the reported year 2024/2025</w:t>
      </w:r>
      <w:r w:rsidR="00CD7FA2" w:rsidRPr="732A479B">
        <w:rPr>
          <w:b/>
          <w:bCs/>
          <w:i/>
          <w:iCs/>
          <w:sz w:val="22"/>
          <w:szCs w:val="22"/>
        </w:rPr>
        <w:t>.</w:t>
      </w:r>
    </w:p>
    <w:tbl>
      <w:tblPr>
        <w:tblW w:w="9493" w:type="dxa"/>
        <w:tblLook w:val="04A0" w:firstRow="1" w:lastRow="0" w:firstColumn="1" w:lastColumn="0" w:noHBand="0" w:noVBand="1"/>
      </w:tblPr>
      <w:tblGrid>
        <w:gridCol w:w="820"/>
        <w:gridCol w:w="5129"/>
        <w:gridCol w:w="3544"/>
      </w:tblGrid>
      <w:tr w:rsidR="00CD7FA2" w:rsidRPr="006014E4" w14:paraId="31359ADB" w14:textId="77777777" w:rsidTr="0044063F">
        <w:trPr>
          <w:trHeight w:val="321"/>
        </w:trPr>
        <w:tc>
          <w:tcPr>
            <w:tcW w:w="820"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31D36059" w14:textId="77777777" w:rsidR="00CD7FA2" w:rsidRPr="006014E4" w:rsidRDefault="00CD7FA2" w:rsidP="00470D85">
            <w:pPr>
              <w:spacing w:after="0"/>
              <w:rPr>
                <w:rFonts w:eastAsia="Times New Roman"/>
                <w:b/>
                <w:bCs/>
                <w:color w:val="000000"/>
                <w:sz w:val="20"/>
                <w:szCs w:val="20"/>
              </w:rPr>
            </w:pPr>
            <w:r w:rsidRPr="006014E4">
              <w:rPr>
                <w:rFonts w:eastAsia="Times New Roman"/>
                <w:b/>
                <w:bCs/>
                <w:color w:val="000000" w:themeColor="text1"/>
                <w:sz w:val="20"/>
                <w:szCs w:val="20"/>
              </w:rPr>
              <w:t> </w:t>
            </w:r>
          </w:p>
        </w:tc>
        <w:tc>
          <w:tcPr>
            <w:tcW w:w="5129" w:type="dxa"/>
            <w:tcBorders>
              <w:top w:val="single" w:sz="4" w:space="0" w:color="auto"/>
              <w:left w:val="nil"/>
              <w:bottom w:val="single" w:sz="4" w:space="0" w:color="auto"/>
              <w:right w:val="single" w:sz="4" w:space="0" w:color="auto"/>
            </w:tcBorders>
            <w:shd w:val="clear" w:color="000000" w:fill="00B0F0"/>
            <w:vAlign w:val="center"/>
            <w:hideMark/>
          </w:tcPr>
          <w:p w14:paraId="3934DA4F" w14:textId="77777777" w:rsidR="00CD7FA2" w:rsidRDefault="00CD7FA2" w:rsidP="00470D85">
            <w:pPr>
              <w:spacing w:after="0"/>
              <w:rPr>
                <w:rFonts w:eastAsia="Times New Roman"/>
                <w:b/>
                <w:bCs/>
                <w:color w:val="000000" w:themeColor="text1"/>
                <w:sz w:val="20"/>
                <w:szCs w:val="20"/>
              </w:rPr>
            </w:pPr>
            <w:r w:rsidRPr="006014E4">
              <w:rPr>
                <w:rFonts w:eastAsia="Times New Roman"/>
                <w:b/>
                <w:bCs/>
                <w:color w:val="000000" w:themeColor="text1"/>
                <w:sz w:val="20"/>
                <w:szCs w:val="20"/>
              </w:rPr>
              <w:t>Description</w:t>
            </w:r>
          </w:p>
          <w:p w14:paraId="15240B14" w14:textId="77777777" w:rsidR="006014E4" w:rsidRPr="006014E4" w:rsidRDefault="006014E4" w:rsidP="00470D85">
            <w:pPr>
              <w:spacing w:after="0"/>
              <w:rPr>
                <w:rFonts w:eastAsia="Times New Roman"/>
                <w:b/>
                <w:bCs/>
                <w:color w:val="000000"/>
                <w:sz w:val="20"/>
                <w:szCs w:val="20"/>
              </w:rPr>
            </w:pPr>
          </w:p>
        </w:tc>
        <w:tc>
          <w:tcPr>
            <w:tcW w:w="3544" w:type="dxa"/>
            <w:tcBorders>
              <w:top w:val="single" w:sz="4" w:space="0" w:color="auto"/>
              <w:left w:val="nil"/>
              <w:bottom w:val="single" w:sz="4" w:space="0" w:color="auto"/>
              <w:right w:val="single" w:sz="4" w:space="0" w:color="auto"/>
            </w:tcBorders>
            <w:shd w:val="clear" w:color="000000" w:fill="00B0F0"/>
            <w:vAlign w:val="center"/>
            <w:hideMark/>
          </w:tcPr>
          <w:p w14:paraId="22C9C274" w14:textId="77777777" w:rsidR="00CD7FA2" w:rsidRPr="006014E4" w:rsidRDefault="00CD7FA2" w:rsidP="00470D85">
            <w:pPr>
              <w:spacing w:after="0"/>
              <w:jc w:val="right"/>
              <w:rPr>
                <w:rFonts w:eastAsia="Times New Roman"/>
                <w:b/>
                <w:bCs/>
                <w:color w:val="000000"/>
                <w:sz w:val="20"/>
                <w:szCs w:val="20"/>
              </w:rPr>
            </w:pPr>
            <w:r w:rsidRPr="006014E4">
              <w:rPr>
                <w:rFonts w:eastAsia="Times New Roman"/>
                <w:b/>
                <w:bCs/>
                <w:color w:val="000000" w:themeColor="text1"/>
                <w:sz w:val="20"/>
                <w:szCs w:val="20"/>
              </w:rPr>
              <w:t xml:space="preserve"> Amount 2024/2025</w:t>
            </w:r>
          </w:p>
        </w:tc>
      </w:tr>
      <w:tr w:rsidR="00CD7FA2" w:rsidRPr="006014E4" w14:paraId="4ED831E9" w14:textId="77777777" w:rsidTr="00470D85">
        <w:trPr>
          <w:trHeight w:val="580"/>
        </w:trPr>
        <w:tc>
          <w:tcPr>
            <w:tcW w:w="820" w:type="dxa"/>
            <w:vMerge w:val="restart"/>
            <w:tcBorders>
              <w:top w:val="nil"/>
              <w:left w:val="single" w:sz="4" w:space="0" w:color="auto"/>
              <w:bottom w:val="single" w:sz="4" w:space="0" w:color="auto"/>
              <w:right w:val="single" w:sz="4" w:space="0" w:color="auto"/>
            </w:tcBorders>
            <w:hideMark/>
          </w:tcPr>
          <w:p w14:paraId="70829EAB" w14:textId="77777777" w:rsidR="00CD7FA2" w:rsidRPr="006014E4" w:rsidRDefault="00CD7FA2" w:rsidP="00470D85">
            <w:pPr>
              <w:spacing w:after="0"/>
              <w:rPr>
                <w:rFonts w:eastAsia="Times New Roman"/>
                <w:color w:val="000000"/>
                <w:sz w:val="20"/>
                <w:szCs w:val="20"/>
              </w:rPr>
            </w:pPr>
            <w:r w:rsidRPr="006014E4">
              <w:rPr>
                <w:rFonts w:eastAsia="Times New Roman"/>
                <w:color w:val="000000" w:themeColor="text1"/>
                <w:sz w:val="20"/>
                <w:szCs w:val="20"/>
              </w:rPr>
              <w:t>A</w:t>
            </w:r>
          </w:p>
        </w:tc>
        <w:tc>
          <w:tcPr>
            <w:tcW w:w="5129" w:type="dxa"/>
            <w:tcBorders>
              <w:top w:val="nil"/>
              <w:left w:val="nil"/>
              <w:bottom w:val="single" w:sz="4" w:space="0" w:color="auto"/>
              <w:right w:val="single" w:sz="4" w:space="0" w:color="auto"/>
            </w:tcBorders>
            <w:hideMark/>
          </w:tcPr>
          <w:p w14:paraId="5E0E0187" w14:textId="0146F8E5" w:rsidR="00CD7FA2" w:rsidRPr="006014E4" w:rsidRDefault="00CD7FA2" w:rsidP="00470D85">
            <w:pPr>
              <w:spacing w:after="0"/>
              <w:rPr>
                <w:rFonts w:eastAsia="Times New Roman"/>
                <w:color w:val="000000"/>
                <w:sz w:val="20"/>
                <w:szCs w:val="20"/>
              </w:rPr>
            </w:pPr>
            <w:r w:rsidRPr="006014E4">
              <w:rPr>
                <w:rFonts w:eastAsia="Times New Roman"/>
                <w:color w:val="000000" w:themeColor="text1"/>
                <w:sz w:val="20"/>
                <w:szCs w:val="20"/>
              </w:rPr>
              <w:t>(i) - total amount of money secured in s106 agreements entered into during the reported year</w:t>
            </w:r>
            <w:r w:rsidR="00157E34">
              <w:rPr>
                <w:rFonts w:eastAsia="Times New Roman"/>
                <w:color w:val="000000" w:themeColor="text1"/>
                <w:sz w:val="20"/>
                <w:szCs w:val="20"/>
              </w:rPr>
              <w:t>*</w:t>
            </w:r>
          </w:p>
        </w:tc>
        <w:tc>
          <w:tcPr>
            <w:tcW w:w="3544" w:type="dxa"/>
            <w:tcBorders>
              <w:top w:val="nil"/>
              <w:left w:val="nil"/>
              <w:bottom w:val="single" w:sz="4" w:space="0" w:color="auto"/>
              <w:right w:val="single" w:sz="4" w:space="0" w:color="auto"/>
            </w:tcBorders>
            <w:hideMark/>
          </w:tcPr>
          <w:p w14:paraId="5A5D782D" w14:textId="77777777" w:rsidR="00CD7FA2" w:rsidRPr="006014E4" w:rsidRDefault="00CD7FA2" w:rsidP="00470D85">
            <w:pPr>
              <w:spacing w:after="0"/>
              <w:jc w:val="right"/>
              <w:rPr>
                <w:rFonts w:eastAsia="Times New Roman"/>
                <w:color w:val="000000"/>
                <w:sz w:val="20"/>
                <w:szCs w:val="20"/>
              </w:rPr>
            </w:pPr>
            <w:r w:rsidRPr="006014E4">
              <w:rPr>
                <w:rFonts w:eastAsia="Times New Roman"/>
                <w:color w:val="000000"/>
                <w:sz w:val="20"/>
                <w:szCs w:val="20"/>
              </w:rPr>
              <w:t xml:space="preserve"> (i) £16,109,932</w:t>
            </w:r>
          </w:p>
        </w:tc>
      </w:tr>
      <w:tr w:rsidR="00CD7FA2" w:rsidRPr="006014E4" w14:paraId="30AA4F60" w14:textId="77777777" w:rsidTr="00470D85">
        <w:trPr>
          <w:trHeight w:val="580"/>
        </w:trPr>
        <w:tc>
          <w:tcPr>
            <w:tcW w:w="820" w:type="dxa"/>
            <w:vMerge/>
            <w:tcBorders>
              <w:top w:val="nil"/>
              <w:left w:val="single" w:sz="4" w:space="0" w:color="auto"/>
              <w:bottom w:val="single" w:sz="4" w:space="0" w:color="auto"/>
              <w:right w:val="single" w:sz="4" w:space="0" w:color="auto"/>
            </w:tcBorders>
            <w:vAlign w:val="center"/>
            <w:hideMark/>
          </w:tcPr>
          <w:p w14:paraId="56FF9022" w14:textId="77777777" w:rsidR="00CD7FA2" w:rsidRPr="006014E4" w:rsidRDefault="00CD7FA2" w:rsidP="00470D85">
            <w:pPr>
              <w:spacing w:after="0"/>
              <w:rPr>
                <w:rFonts w:eastAsia="Times New Roman"/>
                <w:color w:val="000000"/>
                <w:sz w:val="20"/>
                <w:szCs w:val="20"/>
              </w:rPr>
            </w:pPr>
          </w:p>
        </w:tc>
        <w:tc>
          <w:tcPr>
            <w:tcW w:w="5129" w:type="dxa"/>
            <w:tcBorders>
              <w:top w:val="nil"/>
              <w:left w:val="nil"/>
              <w:bottom w:val="single" w:sz="4" w:space="0" w:color="auto"/>
              <w:right w:val="single" w:sz="4" w:space="0" w:color="auto"/>
            </w:tcBorders>
            <w:hideMark/>
          </w:tcPr>
          <w:p w14:paraId="2549560C" w14:textId="39E1AB9B" w:rsidR="00CD7FA2" w:rsidRPr="006014E4" w:rsidRDefault="00CD7FA2" w:rsidP="00470D85">
            <w:pPr>
              <w:spacing w:after="0"/>
              <w:rPr>
                <w:rFonts w:eastAsia="Times New Roman"/>
                <w:color w:val="000000"/>
                <w:sz w:val="20"/>
                <w:szCs w:val="20"/>
              </w:rPr>
            </w:pPr>
            <w:r w:rsidRPr="006014E4">
              <w:rPr>
                <w:rFonts w:eastAsia="Times New Roman"/>
                <w:color w:val="000000" w:themeColor="text1"/>
                <w:sz w:val="20"/>
                <w:szCs w:val="20"/>
              </w:rPr>
              <w:t xml:space="preserve">(ii) - total amount received from developers during the reported year </w:t>
            </w:r>
          </w:p>
        </w:tc>
        <w:tc>
          <w:tcPr>
            <w:tcW w:w="3544" w:type="dxa"/>
            <w:tcBorders>
              <w:top w:val="nil"/>
              <w:left w:val="nil"/>
              <w:bottom w:val="single" w:sz="4" w:space="0" w:color="auto"/>
              <w:right w:val="single" w:sz="4" w:space="0" w:color="auto"/>
            </w:tcBorders>
            <w:hideMark/>
          </w:tcPr>
          <w:p w14:paraId="0976E134" w14:textId="27A653AF" w:rsidR="00CD7FA2" w:rsidRPr="006014E4" w:rsidRDefault="00CD7FA2" w:rsidP="00470D85">
            <w:pPr>
              <w:spacing w:after="0"/>
              <w:jc w:val="right"/>
              <w:rPr>
                <w:rFonts w:eastAsia="Times New Roman"/>
                <w:color w:val="000000"/>
                <w:sz w:val="20"/>
                <w:szCs w:val="20"/>
              </w:rPr>
            </w:pPr>
            <w:r w:rsidRPr="006014E4">
              <w:rPr>
                <w:rFonts w:eastAsia="Times New Roman"/>
                <w:color w:val="000000"/>
                <w:sz w:val="20"/>
                <w:szCs w:val="20"/>
              </w:rPr>
              <w:t>(ii)</w:t>
            </w:r>
            <w:r w:rsidR="00A34B2B" w:rsidRPr="006014E4">
              <w:rPr>
                <w:rFonts w:eastAsia="Times New Roman"/>
                <w:color w:val="000000"/>
                <w:sz w:val="20"/>
                <w:szCs w:val="20"/>
              </w:rPr>
              <w:t>£15,660,545</w:t>
            </w:r>
          </w:p>
        </w:tc>
      </w:tr>
      <w:tr w:rsidR="00CD7FA2" w:rsidRPr="006014E4" w14:paraId="2DB237F7" w14:textId="77777777" w:rsidTr="00A52917">
        <w:trPr>
          <w:trHeight w:val="1103"/>
        </w:trPr>
        <w:tc>
          <w:tcPr>
            <w:tcW w:w="820" w:type="dxa"/>
            <w:vMerge/>
            <w:tcBorders>
              <w:top w:val="nil"/>
              <w:left w:val="single" w:sz="4" w:space="0" w:color="auto"/>
              <w:bottom w:val="single" w:sz="4" w:space="0" w:color="auto"/>
              <w:right w:val="single" w:sz="4" w:space="0" w:color="auto"/>
            </w:tcBorders>
            <w:vAlign w:val="center"/>
            <w:hideMark/>
          </w:tcPr>
          <w:p w14:paraId="10B3D44B" w14:textId="77777777" w:rsidR="00CD7FA2" w:rsidRPr="006014E4" w:rsidRDefault="00CD7FA2" w:rsidP="00470D85">
            <w:pPr>
              <w:spacing w:after="0"/>
              <w:rPr>
                <w:rFonts w:eastAsia="Times New Roman"/>
                <w:color w:val="000000"/>
                <w:sz w:val="20"/>
                <w:szCs w:val="20"/>
              </w:rPr>
            </w:pPr>
          </w:p>
        </w:tc>
        <w:tc>
          <w:tcPr>
            <w:tcW w:w="5129" w:type="dxa"/>
            <w:tcBorders>
              <w:top w:val="nil"/>
              <w:left w:val="nil"/>
              <w:bottom w:val="single" w:sz="4" w:space="0" w:color="auto"/>
              <w:right w:val="single" w:sz="4" w:space="0" w:color="auto"/>
            </w:tcBorders>
            <w:hideMark/>
          </w:tcPr>
          <w:p w14:paraId="5DE4007C" w14:textId="77777777" w:rsidR="00CD7FA2" w:rsidRPr="006014E4" w:rsidRDefault="00CD7FA2" w:rsidP="00470D85">
            <w:pPr>
              <w:spacing w:after="0"/>
              <w:rPr>
                <w:rFonts w:eastAsia="Times New Roman"/>
                <w:color w:val="000000"/>
                <w:sz w:val="20"/>
                <w:szCs w:val="20"/>
              </w:rPr>
            </w:pPr>
            <w:r w:rsidRPr="006014E4">
              <w:rPr>
                <w:rFonts w:eastAsia="Times New Roman"/>
                <w:color w:val="000000" w:themeColor="text1"/>
                <w:sz w:val="20"/>
                <w:szCs w:val="20"/>
              </w:rPr>
              <w:t>(iii) - total amount of money under any planning obligations which was received before the reported year which has not been allocated by the authority</w:t>
            </w:r>
          </w:p>
        </w:tc>
        <w:tc>
          <w:tcPr>
            <w:tcW w:w="3544" w:type="dxa"/>
            <w:tcBorders>
              <w:top w:val="nil"/>
              <w:left w:val="nil"/>
              <w:bottom w:val="single" w:sz="4" w:space="0" w:color="auto"/>
              <w:right w:val="single" w:sz="4" w:space="0" w:color="auto"/>
            </w:tcBorders>
            <w:hideMark/>
          </w:tcPr>
          <w:p w14:paraId="0EF37A94" w14:textId="77777777" w:rsidR="00CD7FA2" w:rsidRPr="006014E4" w:rsidRDefault="00CD7FA2" w:rsidP="00470D85">
            <w:pPr>
              <w:spacing w:after="0"/>
              <w:jc w:val="right"/>
              <w:rPr>
                <w:rFonts w:eastAsia="Times New Roman"/>
                <w:color w:val="000000"/>
                <w:sz w:val="20"/>
                <w:szCs w:val="20"/>
              </w:rPr>
            </w:pPr>
            <w:r w:rsidRPr="006014E4">
              <w:rPr>
                <w:rFonts w:eastAsia="Times New Roman"/>
                <w:color w:val="000000" w:themeColor="text1"/>
                <w:sz w:val="20"/>
                <w:szCs w:val="20"/>
              </w:rPr>
              <w:t>(iii) £52,656,719</w:t>
            </w:r>
          </w:p>
        </w:tc>
      </w:tr>
      <w:tr w:rsidR="00CD7FA2" w:rsidRPr="006014E4" w14:paraId="19C31690" w14:textId="77777777" w:rsidTr="00470D85">
        <w:trPr>
          <w:trHeight w:val="870"/>
        </w:trPr>
        <w:tc>
          <w:tcPr>
            <w:tcW w:w="820" w:type="dxa"/>
            <w:tcBorders>
              <w:top w:val="nil"/>
              <w:left w:val="single" w:sz="4" w:space="0" w:color="auto"/>
              <w:bottom w:val="single" w:sz="4" w:space="0" w:color="auto"/>
              <w:right w:val="single" w:sz="4" w:space="0" w:color="auto"/>
            </w:tcBorders>
            <w:hideMark/>
          </w:tcPr>
          <w:p w14:paraId="2919BB0D" w14:textId="77777777" w:rsidR="00CD7FA2" w:rsidRPr="006014E4" w:rsidRDefault="00CD7FA2" w:rsidP="00470D85">
            <w:pPr>
              <w:spacing w:after="0"/>
              <w:rPr>
                <w:rFonts w:eastAsia="Times New Roman"/>
                <w:color w:val="000000"/>
                <w:sz w:val="20"/>
                <w:szCs w:val="20"/>
              </w:rPr>
            </w:pPr>
            <w:r w:rsidRPr="006014E4">
              <w:rPr>
                <w:rFonts w:eastAsia="Times New Roman"/>
                <w:color w:val="000000" w:themeColor="text1"/>
                <w:sz w:val="20"/>
                <w:szCs w:val="20"/>
              </w:rPr>
              <w:t>B</w:t>
            </w:r>
          </w:p>
        </w:tc>
        <w:tc>
          <w:tcPr>
            <w:tcW w:w="5129" w:type="dxa"/>
            <w:tcBorders>
              <w:top w:val="nil"/>
              <w:left w:val="nil"/>
              <w:bottom w:val="single" w:sz="4" w:space="0" w:color="auto"/>
              <w:right w:val="single" w:sz="4" w:space="0" w:color="auto"/>
            </w:tcBorders>
            <w:hideMark/>
          </w:tcPr>
          <w:p w14:paraId="5B299DAA" w14:textId="6D7E5B4A" w:rsidR="00CD7FA2" w:rsidRPr="006014E4" w:rsidRDefault="00CD7FA2" w:rsidP="00470D85">
            <w:pPr>
              <w:spacing w:after="0"/>
              <w:rPr>
                <w:rFonts w:eastAsia="Times New Roman"/>
                <w:color w:val="000000"/>
                <w:sz w:val="20"/>
                <w:szCs w:val="20"/>
              </w:rPr>
            </w:pPr>
            <w:r w:rsidRPr="006014E4">
              <w:rPr>
                <w:rFonts w:eastAsia="Times New Roman"/>
                <w:color w:val="000000" w:themeColor="text1"/>
                <w:sz w:val="20"/>
                <w:szCs w:val="20"/>
              </w:rPr>
              <w:t>summary details of non-</w:t>
            </w:r>
            <w:r w:rsidR="0033322E">
              <w:rPr>
                <w:rFonts w:eastAsia="Times New Roman"/>
                <w:color w:val="000000" w:themeColor="text1"/>
                <w:sz w:val="20"/>
                <w:szCs w:val="20"/>
              </w:rPr>
              <w:t>financial</w:t>
            </w:r>
            <w:r w:rsidRPr="006014E4">
              <w:rPr>
                <w:rFonts w:eastAsia="Times New Roman"/>
                <w:color w:val="000000" w:themeColor="text1"/>
                <w:sz w:val="20"/>
                <w:szCs w:val="20"/>
              </w:rPr>
              <w:t xml:space="preserve"> contributions entered during the reported year</w:t>
            </w:r>
          </w:p>
        </w:tc>
        <w:tc>
          <w:tcPr>
            <w:tcW w:w="3544" w:type="dxa"/>
            <w:tcBorders>
              <w:top w:val="nil"/>
              <w:left w:val="nil"/>
              <w:bottom w:val="single" w:sz="4" w:space="0" w:color="auto"/>
              <w:right w:val="single" w:sz="4" w:space="0" w:color="auto"/>
            </w:tcBorders>
            <w:hideMark/>
          </w:tcPr>
          <w:p w14:paraId="66926895" w14:textId="3A047B20" w:rsidR="00CD7FA2" w:rsidRPr="006014E4" w:rsidRDefault="00CD7FA2" w:rsidP="00470D85">
            <w:pPr>
              <w:spacing w:after="0"/>
              <w:jc w:val="right"/>
              <w:rPr>
                <w:rFonts w:eastAsia="Times New Roman"/>
                <w:color w:val="000000"/>
                <w:sz w:val="20"/>
                <w:szCs w:val="20"/>
              </w:rPr>
            </w:pPr>
            <w:r w:rsidRPr="006014E4">
              <w:rPr>
                <w:rFonts w:eastAsia="Times New Roman"/>
                <w:color w:val="000000" w:themeColor="text1"/>
                <w:sz w:val="20"/>
                <w:szCs w:val="20"/>
              </w:rPr>
              <w:t xml:space="preserve">Table </w:t>
            </w:r>
            <w:r w:rsidR="00907643">
              <w:rPr>
                <w:rFonts w:eastAsia="Times New Roman"/>
                <w:color w:val="000000" w:themeColor="text1"/>
                <w:sz w:val="20"/>
                <w:szCs w:val="20"/>
              </w:rPr>
              <w:t>2</w:t>
            </w:r>
            <w:r w:rsidRPr="006014E4">
              <w:rPr>
                <w:rFonts w:eastAsia="Times New Roman"/>
                <w:color w:val="000000" w:themeColor="text1"/>
                <w:sz w:val="20"/>
                <w:szCs w:val="20"/>
              </w:rPr>
              <w:t>.2</w:t>
            </w:r>
          </w:p>
        </w:tc>
      </w:tr>
      <w:tr w:rsidR="00CD7FA2" w:rsidRPr="006014E4" w14:paraId="57C3DBAE" w14:textId="77777777" w:rsidTr="00A52917">
        <w:trPr>
          <w:trHeight w:val="1090"/>
        </w:trPr>
        <w:tc>
          <w:tcPr>
            <w:tcW w:w="820" w:type="dxa"/>
            <w:tcBorders>
              <w:top w:val="nil"/>
              <w:left w:val="single" w:sz="4" w:space="0" w:color="auto"/>
              <w:bottom w:val="single" w:sz="4" w:space="0" w:color="auto"/>
              <w:right w:val="single" w:sz="4" w:space="0" w:color="auto"/>
            </w:tcBorders>
            <w:hideMark/>
          </w:tcPr>
          <w:p w14:paraId="6C456482" w14:textId="77777777" w:rsidR="00CD7FA2" w:rsidRPr="006014E4" w:rsidRDefault="00CD7FA2" w:rsidP="00470D85">
            <w:pPr>
              <w:spacing w:after="0"/>
              <w:rPr>
                <w:rFonts w:eastAsia="Times New Roman"/>
                <w:color w:val="000000"/>
                <w:sz w:val="20"/>
                <w:szCs w:val="20"/>
              </w:rPr>
            </w:pPr>
            <w:r w:rsidRPr="006014E4">
              <w:rPr>
                <w:rFonts w:eastAsia="Times New Roman"/>
                <w:color w:val="000000" w:themeColor="text1"/>
                <w:sz w:val="20"/>
                <w:szCs w:val="20"/>
              </w:rPr>
              <w:t>C</w:t>
            </w:r>
          </w:p>
        </w:tc>
        <w:tc>
          <w:tcPr>
            <w:tcW w:w="5129" w:type="dxa"/>
            <w:tcBorders>
              <w:top w:val="nil"/>
              <w:left w:val="nil"/>
              <w:bottom w:val="single" w:sz="4" w:space="0" w:color="auto"/>
              <w:right w:val="single" w:sz="4" w:space="0" w:color="auto"/>
            </w:tcBorders>
            <w:hideMark/>
          </w:tcPr>
          <w:p w14:paraId="3D2DB308" w14:textId="77777777" w:rsidR="00CD7FA2" w:rsidRPr="006014E4" w:rsidRDefault="00CD7FA2" w:rsidP="00470D85">
            <w:pPr>
              <w:spacing w:after="0"/>
              <w:rPr>
                <w:rFonts w:eastAsia="Times New Roman"/>
                <w:color w:val="000000"/>
                <w:sz w:val="20"/>
                <w:szCs w:val="20"/>
              </w:rPr>
            </w:pPr>
            <w:r w:rsidRPr="006014E4">
              <w:rPr>
                <w:rFonts w:eastAsia="Times New Roman"/>
                <w:color w:val="000000" w:themeColor="text1"/>
                <w:sz w:val="20"/>
                <w:szCs w:val="20"/>
              </w:rPr>
              <w:t>the total amount of money (received under any planning obligations) which was allocated but not spent during the reported year for funding infrastructure</w:t>
            </w:r>
          </w:p>
        </w:tc>
        <w:tc>
          <w:tcPr>
            <w:tcW w:w="3544" w:type="dxa"/>
            <w:tcBorders>
              <w:top w:val="nil"/>
              <w:left w:val="nil"/>
              <w:bottom w:val="single" w:sz="4" w:space="0" w:color="auto"/>
              <w:right w:val="single" w:sz="4" w:space="0" w:color="auto"/>
            </w:tcBorders>
            <w:hideMark/>
          </w:tcPr>
          <w:p w14:paraId="746A57AB" w14:textId="77777777" w:rsidR="009A32AF" w:rsidRDefault="00CD7FA2" w:rsidP="00470D85">
            <w:pPr>
              <w:spacing w:after="0"/>
              <w:jc w:val="right"/>
              <w:rPr>
                <w:rFonts w:eastAsia="Times New Roman"/>
                <w:color w:val="000000"/>
                <w:sz w:val="20"/>
                <w:szCs w:val="20"/>
              </w:rPr>
            </w:pPr>
            <w:r w:rsidRPr="006014E4">
              <w:rPr>
                <w:rFonts w:eastAsia="Times New Roman"/>
                <w:color w:val="000000"/>
                <w:sz w:val="20"/>
                <w:szCs w:val="20"/>
              </w:rPr>
              <w:t>£10,811,452</w:t>
            </w:r>
          </w:p>
          <w:p w14:paraId="1D3A11A6" w14:textId="23C46F79" w:rsidR="00CD7FA2" w:rsidRPr="006014E4" w:rsidRDefault="009A32AF" w:rsidP="00470D85">
            <w:pPr>
              <w:spacing w:after="0"/>
              <w:jc w:val="right"/>
              <w:rPr>
                <w:rFonts w:eastAsia="Times New Roman"/>
                <w:color w:val="000000"/>
                <w:sz w:val="20"/>
                <w:szCs w:val="20"/>
              </w:rPr>
            </w:pPr>
            <w:r>
              <w:rPr>
                <w:rFonts w:eastAsia="Times New Roman"/>
                <w:color w:val="000000"/>
                <w:sz w:val="20"/>
                <w:szCs w:val="20"/>
              </w:rPr>
              <w:t>Table 2.3</w:t>
            </w:r>
            <w:r w:rsidR="00CD7FA2" w:rsidRPr="006014E4">
              <w:rPr>
                <w:rFonts w:eastAsia="Times New Roman"/>
                <w:color w:val="000000"/>
                <w:sz w:val="20"/>
                <w:szCs w:val="20"/>
              </w:rPr>
              <w:br/>
            </w:r>
          </w:p>
        </w:tc>
      </w:tr>
      <w:tr w:rsidR="00CD7FA2" w:rsidRPr="006014E4" w14:paraId="12432F74" w14:textId="77777777" w:rsidTr="00A52917">
        <w:trPr>
          <w:trHeight w:val="709"/>
        </w:trPr>
        <w:tc>
          <w:tcPr>
            <w:tcW w:w="820" w:type="dxa"/>
            <w:vMerge w:val="restart"/>
            <w:tcBorders>
              <w:top w:val="nil"/>
              <w:left w:val="single" w:sz="4" w:space="0" w:color="auto"/>
              <w:bottom w:val="single" w:sz="4" w:space="0" w:color="auto"/>
              <w:right w:val="single" w:sz="4" w:space="0" w:color="auto"/>
            </w:tcBorders>
            <w:hideMark/>
          </w:tcPr>
          <w:p w14:paraId="0FCF7BE7" w14:textId="77777777" w:rsidR="00CD7FA2" w:rsidRPr="006014E4" w:rsidRDefault="00CD7FA2" w:rsidP="00470D85">
            <w:pPr>
              <w:spacing w:after="0"/>
              <w:rPr>
                <w:rFonts w:eastAsia="Times New Roman"/>
                <w:color w:val="000000"/>
                <w:sz w:val="20"/>
                <w:szCs w:val="20"/>
              </w:rPr>
            </w:pPr>
            <w:r w:rsidRPr="006014E4">
              <w:rPr>
                <w:rFonts w:eastAsia="Times New Roman"/>
                <w:color w:val="000000" w:themeColor="text1"/>
                <w:sz w:val="20"/>
                <w:szCs w:val="20"/>
              </w:rPr>
              <w:t>D</w:t>
            </w:r>
          </w:p>
        </w:tc>
        <w:tc>
          <w:tcPr>
            <w:tcW w:w="5129" w:type="dxa"/>
            <w:tcBorders>
              <w:top w:val="nil"/>
              <w:left w:val="nil"/>
              <w:bottom w:val="single" w:sz="4" w:space="0" w:color="auto"/>
              <w:right w:val="single" w:sz="4" w:space="0" w:color="auto"/>
            </w:tcBorders>
            <w:hideMark/>
          </w:tcPr>
          <w:p w14:paraId="25D110A8" w14:textId="77777777" w:rsidR="00CD7FA2" w:rsidRPr="006014E4" w:rsidRDefault="00CD7FA2" w:rsidP="00470D85">
            <w:pPr>
              <w:spacing w:after="0"/>
              <w:rPr>
                <w:rFonts w:eastAsia="Times New Roman"/>
                <w:color w:val="000000"/>
                <w:sz w:val="20"/>
                <w:szCs w:val="20"/>
              </w:rPr>
            </w:pPr>
            <w:r w:rsidRPr="006014E4">
              <w:rPr>
                <w:rFonts w:eastAsia="Times New Roman"/>
                <w:color w:val="000000" w:themeColor="text1"/>
                <w:sz w:val="20"/>
                <w:szCs w:val="20"/>
              </w:rPr>
              <w:t xml:space="preserve">(i)total amount of money spent in the reported year and summary details of: </w:t>
            </w:r>
          </w:p>
        </w:tc>
        <w:tc>
          <w:tcPr>
            <w:tcW w:w="3544" w:type="dxa"/>
            <w:tcBorders>
              <w:top w:val="nil"/>
              <w:left w:val="nil"/>
              <w:bottom w:val="single" w:sz="4" w:space="0" w:color="auto"/>
              <w:right w:val="single" w:sz="4" w:space="0" w:color="auto"/>
            </w:tcBorders>
            <w:hideMark/>
          </w:tcPr>
          <w:p w14:paraId="6078B84C" w14:textId="77777777" w:rsidR="00CD7FA2" w:rsidRPr="006014E4" w:rsidRDefault="00CD7FA2" w:rsidP="00470D85">
            <w:pPr>
              <w:spacing w:after="0"/>
              <w:jc w:val="right"/>
              <w:rPr>
                <w:rFonts w:eastAsia="Times New Roman"/>
                <w:color w:val="000000"/>
                <w:sz w:val="20"/>
                <w:szCs w:val="20"/>
              </w:rPr>
            </w:pPr>
            <w:r w:rsidRPr="006014E4">
              <w:rPr>
                <w:rFonts w:eastAsia="Times New Roman"/>
                <w:color w:val="000000"/>
                <w:sz w:val="20"/>
                <w:szCs w:val="20"/>
              </w:rPr>
              <w:t>(i) £20,962,331</w:t>
            </w:r>
          </w:p>
        </w:tc>
      </w:tr>
      <w:tr w:rsidR="00CD7FA2" w:rsidRPr="006014E4" w14:paraId="329E03B4" w14:textId="77777777" w:rsidTr="00A52917">
        <w:trPr>
          <w:trHeight w:val="690"/>
        </w:trPr>
        <w:tc>
          <w:tcPr>
            <w:tcW w:w="820" w:type="dxa"/>
            <w:vMerge/>
            <w:tcBorders>
              <w:top w:val="nil"/>
              <w:left w:val="single" w:sz="4" w:space="0" w:color="auto"/>
              <w:bottom w:val="single" w:sz="4" w:space="0" w:color="auto"/>
              <w:right w:val="single" w:sz="4" w:space="0" w:color="auto"/>
            </w:tcBorders>
            <w:vAlign w:val="center"/>
            <w:hideMark/>
          </w:tcPr>
          <w:p w14:paraId="36802193" w14:textId="77777777" w:rsidR="00CD7FA2" w:rsidRPr="006014E4" w:rsidRDefault="00CD7FA2" w:rsidP="00470D85">
            <w:pPr>
              <w:spacing w:after="0"/>
              <w:rPr>
                <w:rFonts w:eastAsia="Times New Roman"/>
                <w:color w:val="000000"/>
                <w:sz w:val="20"/>
                <w:szCs w:val="20"/>
              </w:rPr>
            </w:pPr>
          </w:p>
        </w:tc>
        <w:tc>
          <w:tcPr>
            <w:tcW w:w="5129" w:type="dxa"/>
            <w:tcBorders>
              <w:top w:val="nil"/>
              <w:left w:val="nil"/>
              <w:bottom w:val="single" w:sz="4" w:space="0" w:color="auto"/>
              <w:right w:val="single" w:sz="4" w:space="0" w:color="auto"/>
            </w:tcBorders>
            <w:hideMark/>
          </w:tcPr>
          <w:p w14:paraId="6C94D339" w14:textId="77777777" w:rsidR="00CD7FA2" w:rsidRPr="006014E4" w:rsidRDefault="00CD7FA2" w:rsidP="00470D85">
            <w:pPr>
              <w:spacing w:after="0"/>
              <w:rPr>
                <w:rFonts w:eastAsia="Times New Roman"/>
                <w:color w:val="000000"/>
                <w:sz w:val="20"/>
                <w:szCs w:val="20"/>
              </w:rPr>
            </w:pPr>
            <w:r w:rsidRPr="006014E4">
              <w:rPr>
                <w:rFonts w:eastAsia="Times New Roman"/>
                <w:color w:val="000000" w:themeColor="text1"/>
                <w:sz w:val="20"/>
                <w:szCs w:val="20"/>
              </w:rPr>
              <w:t xml:space="preserve">(ii) - items of infrastructure and the amount of money spent on each item. </w:t>
            </w:r>
          </w:p>
        </w:tc>
        <w:tc>
          <w:tcPr>
            <w:tcW w:w="3544" w:type="dxa"/>
            <w:tcBorders>
              <w:top w:val="nil"/>
              <w:left w:val="nil"/>
              <w:bottom w:val="single" w:sz="4" w:space="0" w:color="auto"/>
              <w:right w:val="single" w:sz="4" w:space="0" w:color="auto"/>
            </w:tcBorders>
            <w:hideMark/>
          </w:tcPr>
          <w:p w14:paraId="24783535" w14:textId="76CF0877" w:rsidR="00CD7FA2" w:rsidRPr="006014E4" w:rsidRDefault="00CD7FA2" w:rsidP="00470D85">
            <w:pPr>
              <w:spacing w:after="0"/>
              <w:jc w:val="right"/>
              <w:rPr>
                <w:rFonts w:eastAsia="Times New Roman"/>
                <w:color w:val="000000"/>
                <w:sz w:val="20"/>
                <w:szCs w:val="20"/>
              </w:rPr>
            </w:pPr>
            <w:r w:rsidRPr="006014E4">
              <w:rPr>
                <w:rFonts w:eastAsia="Times New Roman"/>
                <w:color w:val="000000" w:themeColor="text1"/>
                <w:sz w:val="20"/>
                <w:szCs w:val="20"/>
              </w:rPr>
              <w:t xml:space="preserve">(ii)Table </w:t>
            </w:r>
            <w:r w:rsidR="00907643">
              <w:rPr>
                <w:rFonts w:eastAsia="Times New Roman"/>
                <w:color w:val="000000" w:themeColor="text1"/>
                <w:sz w:val="20"/>
                <w:szCs w:val="20"/>
              </w:rPr>
              <w:t>2</w:t>
            </w:r>
            <w:r w:rsidRPr="006014E4">
              <w:rPr>
                <w:rFonts w:eastAsia="Times New Roman"/>
                <w:color w:val="000000" w:themeColor="text1"/>
                <w:sz w:val="20"/>
                <w:szCs w:val="20"/>
              </w:rPr>
              <w:t>.</w:t>
            </w:r>
            <w:r w:rsidR="009A32AF">
              <w:rPr>
                <w:rFonts w:eastAsia="Times New Roman"/>
                <w:color w:val="000000" w:themeColor="text1"/>
                <w:sz w:val="20"/>
                <w:szCs w:val="20"/>
              </w:rPr>
              <w:t>4</w:t>
            </w:r>
          </w:p>
        </w:tc>
      </w:tr>
      <w:tr w:rsidR="00CD7FA2" w:rsidRPr="006014E4" w14:paraId="72DE7CD6" w14:textId="77777777" w:rsidTr="00470D85">
        <w:trPr>
          <w:trHeight w:val="580"/>
        </w:trPr>
        <w:tc>
          <w:tcPr>
            <w:tcW w:w="820" w:type="dxa"/>
            <w:vMerge/>
            <w:tcBorders>
              <w:top w:val="nil"/>
              <w:left w:val="single" w:sz="4" w:space="0" w:color="auto"/>
              <w:bottom w:val="single" w:sz="4" w:space="0" w:color="auto"/>
              <w:right w:val="single" w:sz="4" w:space="0" w:color="auto"/>
            </w:tcBorders>
            <w:vAlign w:val="center"/>
            <w:hideMark/>
          </w:tcPr>
          <w:p w14:paraId="7300D4DF" w14:textId="77777777" w:rsidR="00CD7FA2" w:rsidRPr="006014E4" w:rsidRDefault="00CD7FA2" w:rsidP="00470D85">
            <w:pPr>
              <w:spacing w:after="0"/>
              <w:rPr>
                <w:rFonts w:eastAsia="Times New Roman"/>
                <w:color w:val="000000"/>
                <w:sz w:val="20"/>
                <w:szCs w:val="20"/>
              </w:rPr>
            </w:pPr>
          </w:p>
        </w:tc>
        <w:tc>
          <w:tcPr>
            <w:tcW w:w="5129" w:type="dxa"/>
            <w:tcBorders>
              <w:top w:val="nil"/>
              <w:left w:val="nil"/>
              <w:bottom w:val="single" w:sz="4" w:space="0" w:color="auto"/>
              <w:right w:val="single" w:sz="4" w:space="0" w:color="auto"/>
            </w:tcBorders>
            <w:hideMark/>
          </w:tcPr>
          <w:p w14:paraId="01F36FF8" w14:textId="77777777" w:rsidR="00CD7FA2" w:rsidRPr="006014E4" w:rsidRDefault="00CD7FA2" w:rsidP="00470D85">
            <w:pPr>
              <w:spacing w:after="0"/>
              <w:rPr>
                <w:rFonts w:eastAsia="Times New Roman"/>
                <w:color w:val="000000"/>
                <w:sz w:val="20"/>
                <w:szCs w:val="20"/>
              </w:rPr>
            </w:pPr>
            <w:r w:rsidRPr="006014E4">
              <w:rPr>
                <w:rFonts w:eastAsia="Times New Roman"/>
                <w:color w:val="000000" w:themeColor="text1"/>
                <w:sz w:val="20"/>
                <w:szCs w:val="20"/>
              </w:rPr>
              <w:t xml:space="preserve">(iii) - amount of money spent on repaying money borrowed. </w:t>
            </w:r>
          </w:p>
        </w:tc>
        <w:tc>
          <w:tcPr>
            <w:tcW w:w="3544" w:type="dxa"/>
            <w:tcBorders>
              <w:top w:val="nil"/>
              <w:left w:val="nil"/>
              <w:bottom w:val="single" w:sz="4" w:space="0" w:color="auto"/>
              <w:right w:val="single" w:sz="4" w:space="0" w:color="auto"/>
            </w:tcBorders>
            <w:hideMark/>
          </w:tcPr>
          <w:p w14:paraId="731B216E" w14:textId="77777777" w:rsidR="00CD7FA2" w:rsidRPr="006014E4" w:rsidRDefault="00CD7FA2" w:rsidP="00470D85">
            <w:pPr>
              <w:spacing w:after="0"/>
              <w:jc w:val="right"/>
              <w:rPr>
                <w:rFonts w:eastAsia="Times New Roman"/>
                <w:color w:val="000000"/>
                <w:sz w:val="20"/>
                <w:szCs w:val="20"/>
              </w:rPr>
            </w:pPr>
            <w:r w:rsidRPr="006014E4">
              <w:rPr>
                <w:rFonts w:eastAsia="Times New Roman"/>
                <w:color w:val="000000"/>
                <w:sz w:val="20"/>
                <w:szCs w:val="20"/>
              </w:rPr>
              <w:t>(iii) £0</w:t>
            </w:r>
          </w:p>
        </w:tc>
      </w:tr>
      <w:tr w:rsidR="00CD7FA2" w:rsidRPr="006014E4" w14:paraId="3FD54169" w14:textId="77777777" w:rsidTr="00A52917">
        <w:trPr>
          <w:trHeight w:val="680"/>
        </w:trPr>
        <w:tc>
          <w:tcPr>
            <w:tcW w:w="820" w:type="dxa"/>
            <w:vMerge/>
            <w:tcBorders>
              <w:top w:val="nil"/>
              <w:left w:val="single" w:sz="4" w:space="0" w:color="auto"/>
              <w:bottom w:val="single" w:sz="4" w:space="0" w:color="auto"/>
              <w:right w:val="single" w:sz="4" w:space="0" w:color="auto"/>
            </w:tcBorders>
            <w:vAlign w:val="center"/>
            <w:hideMark/>
          </w:tcPr>
          <w:p w14:paraId="5C6802AB" w14:textId="77777777" w:rsidR="00CD7FA2" w:rsidRPr="006014E4" w:rsidRDefault="00CD7FA2" w:rsidP="00470D85">
            <w:pPr>
              <w:spacing w:after="0"/>
              <w:rPr>
                <w:rFonts w:eastAsia="Times New Roman"/>
                <w:color w:val="000000"/>
                <w:sz w:val="20"/>
                <w:szCs w:val="20"/>
              </w:rPr>
            </w:pPr>
          </w:p>
        </w:tc>
        <w:tc>
          <w:tcPr>
            <w:tcW w:w="5129" w:type="dxa"/>
            <w:tcBorders>
              <w:top w:val="nil"/>
              <w:left w:val="nil"/>
              <w:bottom w:val="single" w:sz="4" w:space="0" w:color="auto"/>
              <w:right w:val="single" w:sz="4" w:space="0" w:color="auto"/>
            </w:tcBorders>
            <w:hideMark/>
          </w:tcPr>
          <w:p w14:paraId="1D3B4DBD" w14:textId="77777777" w:rsidR="00CD7FA2" w:rsidRPr="006014E4" w:rsidRDefault="00CD7FA2" w:rsidP="00470D85">
            <w:pPr>
              <w:spacing w:after="0"/>
              <w:rPr>
                <w:rFonts w:eastAsia="Times New Roman"/>
                <w:color w:val="000000"/>
                <w:sz w:val="20"/>
                <w:szCs w:val="20"/>
              </w:rPr>
            </w:pPr>
            <w:r w:rsidRPr="006014E4">
              <w:rPr>
                <w:rFonts w:eastAsia="Times New Roman"/>
                <w:color w:val="000000" w:themeColor="text1"/>
                <w:sz w:val="20"/>
                <w:szCs w:val="20"/>
              </w:rPr>
              <w:t xml:space="preserve">(iv) - the amount of money spent monitoring delivery of planning obligations. </w:t>
            </w:r>
          </w:p>
        </w:tc>
        <w:tc>
          <w:tcPr>
            <w:tcW w:w="3544" w:type="dxa"/>
            <w:tcBorders>
              <w:top w:val="nil"/>
              <w:left w:val="nil"/>
              <w:bottom w:val="single" w:sz="4" w:space="0" w:color="auto"/>
              <w:right w:val="single" w:sz="4" w:space="0" w:color="auto"/>
            </w:tcBorders>
            <w:hideMark/>
          </w:tcPr>
          <w:p w14:paraId="0722098E" w14:textId="77777777" w:rsidR="00CD7FA2" w:rsidRPr="006014E4" w:rsidRDefault="00CD7FA2" w:rsidP="00470D85">
            <w:pPr>
              <w:spacing w:after="0"/>
              <w:jc w:val="right"/>
              <w:rPr>
                <w:rFonts w:eastAsia="Times New Roman"/>
                <w:color w:val="000000"/>
                <w:sz w:val="20"/>
                <w:szCs w:val="20"/>
              </w:rPr>
            </w:pPr>
            <w:r w:rsidRPr="006014E4">
              <w:rPr>
                <w:rFonts w:eastAsia="Times New Roman"/>
                <w:color w:val="000000"/>
                <w:sz w:val="20"/>
                <w:szCs w:val="20"/>
              </w:rPr>
              <w:t>(iv)  £526,064</w:t>
            </w:r>
          </w:p>
        </w:tc>
      </w:tr>
      <w:tr w:rsidR="00CD7FA2" w:rsidRPr="006014E4" w14:paraId="0B861047" w14:textId="77777777" w:rsidTr="00A52917">
        <w:trPr>
          <w:trHeight w:val="549"/>
        </w:trPr>
        <w:tc>
          <w:tcPr>
            <w:tcW w:w="820" w:type="dxa"/>
            <w:vMerge/>
            <w:tcBorders>
              <w:top w:val="nil"/>
              <w:left w:val="single" w:sz="4" w:space="0" w:color="auto"/>
              <w:bottom w:val="single" w:sz="4" w:space="0" w:color="auto"/>
              <w:right w:val="single" w:sz="4" w:space="0" w:color="auto"/>
            </w:tcBorders>
            <w:vAlign w:val="center"/>
            <w:hideMark/>
          </w:tcPr>
          <w:p w14:paraId="733B3527" w14:textId="77777777" w:rsidR="00CD7FA2" w:rsidRPr="006014E4" w:rsidRDefault="00CD7FA2" w:rsidP="00470D85">
            <w:pPr>
              <w:spacing w:after="0"/>
              <w:rPr>
                <w:rFonts w:eastAsia="Times New Roman"/>
                <w:color w:val="000000"/>
                <w:sz w:val="20"/>
                <w:szCs w:val="20"/>
              </w:rPr>
            </w:pPr>
          </w:p>
        </w:tc>
        <w:tc>
          <w:tcPr>
            <w:tcW w:w="5129" w:type="dxa"/>
            <w:tcBorders>
              <w:top w:val="nil"/>
              <w:left w:val="nil"/>
              <w:bottom w:val="single" w:sz="4" w:space="0" w:color="auto"/>
              <w:right w:val="single" w:sz="4" w:space="0" w:color="auto"/>
            </w:tcBorders>
            <w:hideMark/>
          </w:tcPr>
          <w:p w14:paraId="41731B78" w14:textId="77777777" w:rsidR="00CD7FA2" w:rsidRPr="006014E4" w:rsidRDefault="00CD7FA2" w:rsidP="00470D85">
            <w:pPr>
              <w:spacing w:after="0"/>
              <w:rPr>
                <w:rFonts w:eastAsia="Times New Roman"/>
                <w:color w:val="000000"/>
                <w:sz w:val="20"/>
                <w:szCs w:val="20"/>
              </w:rPr>
            </w:pPr>
            <w:r w:rsidRPr="006014E4">
              <w:rPr>
                <w:rFonts w:eastAsia="Times New Roman"/>
                <w:color w:val="000000" w:themeColor="text1"/>
                <w:sz w:val="20"/>
                <w:szCs w:val="20"/>
              </w:rPr>
              <w:t>(v) - total amount of money during any year which was kept at the end of the reported year</w:t>
            </w:r>
          </w:p>
        </w:tc>
        <w:tc>
          <w:tcPr>
            <w:tcW w:w="3544" w:type="dxa"/>
            <w:tcBorders>
              <w:top w:val="nil"/>
              <w:left w:val="nil"/>
              <w:bottom w:val="single" w:sz="4" w:space="0" w:color="auto"/>
              <w:right w:val="single" w:sz="4" w:space="0" w:color="auto"/>
            </w:tcBorders>
            <w:hideMark/>
          </w:tcPr>
          <w:p w14:paraId="77F19FA2" w14:textId="77777777" w:rsidR="00CD7FA2" w:rsidRPr="006014E4" w:rsidRDefault="00CD7FA2" w:rsidP="00470D85">
            <w:pPr>
              <w:spacing w:after="0"/>
              <w:jc w:val="right"/>
              <w:rPr>
                <w:rFonts w:eastAsia="Times New Roman"/>
                <w:color w:val="000000"/>
                <w:sz w:val="20"/>
                <w:szCs w:val="20"/>
              </w:rPr>
            </w:pPr>
            <w:r w:rsidRPr="006014E4">
              <w:rPr>
                <w:rFonts w:eastAsia="Times New Roman"/>
                <w:color w:val="000000"/>
                <w:sz w:val="20"/>
                <w:szCs w:val="20"/>
              </w:rPr>
              <w:t>(v)£151,229,434</w:t>
            </w:r>
          </w:p>
        </w:tc>
      </w:tr>
    </w:tbl>
    <w:p w14:paraId="312B222D" w14:textId="7CB8F561" w:rsidR="00CD7FA2" w:rsidRDefault="00157E34" w:rsidP="00CD7FA2">
      <w:pPr>
        <w:rPr>
          <w:b/>
          <w:bCs/>
          <w:i/>
          <w:iCs/>
          <w:color w:val="000000" w:themeColor="text1"/>
          <w:sz w:val="22"/>
          <w:szCs w:val="22"/>
        </w:rPr>
      </w:pPr>
      <w:r>
        <w:rPr>
          <w:b/>
          <w:bCs/>
          <w:i/>
          <w:iCs/>
          <w:color w:val="000000" w:themeColor="text1"/>
          <w:sz w:val="22"/>
          <w:szCs w:val="22"/>
        </w:rPr>
        <w:t>*</w:t>
      </w:r>
      <w:r w:rsidRPr="00157E34">
        <w:rPr>
          <w:i/>
          <w:iCs/>
          <w:color w:val="000000" w:themeColor="text1"/>
          <w:sz w:val="18"/>
          <w:szCs w:val="18"/>
        </w:rPr>
        <w:t>These figures relate to schemes granted planning permission in previous years but the s106 payments triggered during 2024/25, rather than at the time of consent</w:t>
      </w:r>
      <w:r w:rsidRPr="00157E34">
        <w:rPr>
          <w:b/>
          <w:bCs/>
          <w:i/>
          <w:iCs/>
          <w:color w:val="000000" w:themeColor="text1"/>
          <w:sz w:val="22"/>
          <w:szCs w:val="22"/>
        </w:rPr>
        <w:t>.</w:t>
      </w:r>
    </w:p>
    <w:p w14:paraId="5BEA250D" w14:textId="77777777" w:rsidR="00A52917" w:rsidRDefault="00A52917" w:rsidP="00CD7FA2">
      <w:pPr>
        <w:rPr>
          <w:b/>
          <w:bCs/>
          <w:i/>
          <w:iCs/>
          <w:color w:val="000000" w:themeColor="text1"/>
          <w:sz w:val="22"/>
          <w:szCs w:val="22"/>
        </w:rPr>
      </w:pPr>
    </w:p>
    <w:p w14:paraId="1C809B23" w14:textId="77777777" w:rsidR="00A52917" w:rsidRDefault="00A52917" w:rsidP="00CD7FA2">
      <w:pPr>
        <w:rPr>
          <w:b/>
          <w:bCs/>
          <w:i/>
          <w:iCs/>
          <w:color w:val="000000" w:themeColor="text1"/>
          <w:sz w:val="22"/>
          <w:szCs w:val="22"/>
        </w:rPr>
      </w:pPr>
    </w:p>
    <w:p w14:paraId="58301B35" w14:textId="77777777" w:rsidR="00157E34" w:rsidRDefault="00157E34" w:rsidP="00CD7FA2">
      <w:pPr>
        <w:rPr>
          <w:b/>
          <w:bCs/>
          <w:i/>
          <w:iCs/>
          <w:color w:val="000000" w:themeColor="text1"/>
          <w:sz w:val="22"/>
          <w:szCs w:val="22"/>
        </w:rPr>
      </w:pPr>
    </w:p>
    <w:p w14:paraId="71CFD5B8" w14:textId="77777777" w:rsidR="00157E34" w:rsidRDefault="00157E34" w:rsidP="00CD7FA2">
      <w:pPr>
        <w:rPr>
          <w:b/>
          <w:bCs/>
          <w:i/>
          <w:iCs/>
          <w:color w:val="000000" w:themeColor="text1"/>
          <w:sz w:val="22"/>
          <w:szCs w:val="22"/>
        </w:rPr>
      </w:pPr>
    </w:p>
    <w:p w14:paraId="354CAAB2" w14:textId="77777777" w:rsidR="00157E34" w:rsidRDefault="00157E34" w:rsidP="00CD7FA2">
      <w:pPr>
        <w:rPr>
          <w:b/>
          <w:bCs/>
          <w:i/>
          <w:iCs/>
          <w:color w:val="000000" w:themeColor="text1"/>
          <w:sz w:val="22"/>
          <w:szCs w:val="22"/>
        </w:rPr>
      </w:pPr>
    </w:p>
    <w:p w14:paraId="20246240" w14:textId="77777777" w:rsidR="00157E34" w:rsidRDefault="00157E34" w:rsidP="00CD7FA2">
      <w:pPr>
        <w:rPr>
          <w:b/>
          <w:bCs/>
          <w:i/>
          <w:iCs/>
          <w:color w:val="000000" w:themeColor="text1"/>
          <w:sz w:val="22"/>
          <w:szCs w:val="22"/>
        </w:rPr>
      </w:pPr>
    </w:p>
    <w:p w14:paraId="7CA93161" w14:textId="77777777" w:rsidR="00157E34" w:rsidRDefault="00157E34" w:rsidP="00CD7FA2">
      <w:pPr>
        <w:rPr>
          <w:b/>
          <w:bCs/>
          <w:i/>
          <w:iCs/>
          <w:color w:val="000000" w:themeColor="text1"/>
          <w:sz w:val="22"/>
          <w:szCs w:val="22"/>
        </w:rPr>
      </w:pPr>
    </w:p>
    <w:p w14:paraId="62F7A4B1" w14:textId="77777777" w:rsidR="00157E34" w:rsidRDefault="00157E34" w:rsidP="00CD7FA2">
      <w:pPr>
        <w:rPr>
          <w:b/>
          <w:bCs/>
          <w:i/>
          <w:iCs/>
          <w:color w:val="000000" w:themeColor="text1"/>
          <w:sz w:val="22"/>
          <w:szCs w:val="22"/>
        </w:rPr>
      </w:pPr>
    </w:p>
    <w:p w14:paraId="36350578" w14:textId="77777777" w:rsidR="00157E34" w:rsidRDefault="00157E34" w:rsidP="00CD7FA2">
      <w:pPr>
        <w:rPr>
          <w:b/>
          <w:bCs/>
          <w:i/>
          <w:iCs/>
          <w:color w:val="000000" w:themeColor="text1"/>
          <w:sz w:val="22"/>
          <w:szCs w:val="22"/>
        </w:rPr>
      </w:pPr>
    </w:p>
    <w:p w14:paraId="75A5DFFF" w14:textId="77777777" w:rsidR="00157E34" w:rsidRDefault="00157E34" w:rsidP="00CD7FA2">
      <w:pPr>
        <w:rPr>
          <w:b/>
          <w:bCs/>
          <w:i/>
          <w:iCs/>
          <w:color w:val="000000" w:themeColor="text1"/>
          <w:sz w:val="22"/>
          <w:szCs w:val="22"/>
        </w:rPr>
      </w:pPr>
    </w:p>
    <w:p w14:paraId="33FC81CF" w14:textId="77777777" w:rsidR="0051297D" w:rsidRDefault="0051297D" w:rsidP="00CD7FA2">
      <w:pPr>
        <w:rPr>
          <w:b/>
          <w:bCs/>
          <w:i/>
          <w:iCs/>
          <w:color w:val="000000" w:themeColor="text1"/>
          <w:sz w:val="22"/>
          <w:szCs w:val="22"/>
        </w:rPr>
      </w:pPr>
    </w:p>
    <w:p w14:paraId="5ECADC88" w14:textId="017A7509" w:rsidR="00CD7FA2" w:rsidRPr="00A22509" w:rsidRDefault="67D8374B" w:rsidP="732A479B">
      <w:pPr>
        <w:rPr>
          <w:b/>
          <w:bCs/>
          <w:color w:val="000000" w:themeColor="text1"/>
          <w:sz w:val="22"/>
          <w:szCs w:val="22"/>
        </w:rPr>
      </w:pPr>
      <w:r w:rsidRPr="732A479B">
        <w:rPr>
          <w:b/>
          <w:bCs/>
          <w:color w:val="000000" w:themeColor="text1"/>
          <w:sz w:val="22"/>
          <w:szCs w:val="22"/>
        </w:rPr>
        <w:t xml:space="preserve">Table 2.2 - </w:t>
      </w:r>
      <w:r w:rsidR="00CD7FA2" w:rsidRPr="732A479B">
        <w:rPr>
          <w:b/>
          <w:bCs/>
          <w:color w:val="000000" w:themeColor="text1"/>
          <w:sz w:val="22"/>
          <w:szCs w:val="22"/>
        </w:rPr>
        <w:t>Summary of s106 Non-financial Planning Obligations Entered in 2024/2025</w:t>
      </w:r>
    </w:p>
    <w:tbl>
      <w:tblPr>
        <w:tblStyle w:val="TableGrid"/>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9"/>
        <w:gridCol w:w="2977"/>
      </w:tblGrid>
      <w:tr w:rsidR="00CD7FA2" w:rsidRPr="008E7B92" w14:paraId="61C2EBF0" w14:textId="77777777" w:rsidTr="732A479B">
        <w:trPr>
          <w:trHeight w:val="298"/>
        </w:trPr>
        <w:tc>
          <w:tcPr>
            <w:tcW w:w="5949" w:type="dxa"/>
            <w:shd w:val="clear" w:color="auto" w:fill="00B0F0"/>
          </w:tcPr>
          <w:p w14:paraId="277B327D" w14:textId="77777777" w:rsidR="00CD7FA2" w:rsidRPr="008E7B92" w:rsidRDefault="00CD7FA2" w:rsidP="00470D85">
            <w:pPr>
              <w:rPr>
                <w:b/>
                <w:bCs/>
                <w:color w:val="000000" w:themeColor="text1"/>
                <w:sz w:val="20"/>
                <w:szCs w:val="20"/>
              </w:rPr>
            </w:pPr>
            <w:r w:rsidRPr="008E7B92">
              <w:rPr>
                <w:b/>
                <w:bCs/>
                <w:color w:val="000000" w:themeColor="text1"/>
                <w:sz w:val="20"/>
                <w:szCs w:val="20"/>
              </w:rPr>
              <w:t>Description of s106 non-financial obligations secured</w:t>
            </w:r>
          </w:p>
        </w:tc>
        <w:tc>
          <w:tcPr>
            <w:tcW w:w="2977" w:type="dxa"/>
            <w:shd w:val="clear" w:color="auto" w:fill="00B0F0"/>
          </w:tcPr>
          <w:p w14:paraId="3C4C9A29" w14:textId="77777777" w:rsidR="00CD7FA2" w:rsidRPr="008E7B92" w:rsidRDefault="00CD7FA2" w:rsidP="00470D85">
            <w:pPr>
              <w:jc w:val="right"/>
              <w:rPr>
                <w:b/>
                <w:bCs/>
                <w:color w:val="000000" w:themeColor="text1"/>
                <w:sz w:val="20"/>
                <w:szCs w:val="20"/>
              </w:rPr>
            </w:pPr>
            <w:r w:rsidRPr="008E7B92">
              <w:rPr>
                <w:b/>
                <w:bCs/>
                <w:color w:val="000000" w:themeColor="text1"/>
                <w:sz w:val="20"/>
                <w:szCs w:val="20"/>
              </w:rPr>
              <w:t>Number</w:t>
            </w:r>
          </w:p>
        </w:tc>
      </w:tr>
      <w:tr w:rsidR="00CD7FA2" w:rsidRPr="008E7B92" w14:paraId="72EEC24B" w14:textId="77777777" w:rsidTr="732A479B">
        <w:tc>
          <w:tcPr>
            <w:tcW w:w="5949" w:type="dxa"/>
          </w:tcPr>
          <w:p w14:paraId="0DE23640" w14:textId="6E3EC184" w:rsidR="00CD7FA2" w:rsidRPr="008E7B92" w:rsidRDefault="00CD7FA2" w:rsidP="00470D85">
            <w:pPr>
              <w:rPr>
                <w:color w:val="000000" w:themeColor="text1"/>
                <w:sz w:val="20"/>
                <w:szCs w:val="20"/>
              </w:rPr>
            </w:pPr>
            <w:r w:rsidRPr="732A479B">
              <w:rPr>
                <w:color w:val="000000" w:themeColor="text1"/>
                <w:sz w:val="20"/>
                <w:szCs w:val="20"/>
              </w:rPr>
              <w:t>No of affordable housing units secured through</w:t>
            </w:r>
            <w:r w:rsidR="5BDDB243" w:rsidRPr="732A479B">
              <w:rPr>
                <w:color w:val="000000" w:themeColor="text1"/>
                <w:sz w:val="20"/>
                <w:szCs w:val="20"/>
              </w:rPr>
              <w:t xml:space="preserve"> </w:t>
            </w:r>
            <w:r w:rsidRPr="732A479B">
              <w:rPr>
                <w:color w:val="000000" w:themeColor="text1"/>
                <w:sz w:val="20"/>
                <w:szCs w:val="20"/>
              </w:rPr>
              <w:t>s106 agreements</w:t>
            </w:r>
          </w:p>
        </w:tc>
        <w:tc>
          <w:tcPr>
            <w:tcW w:w="2977" w:type="dxa"/>
          </w:tcPr>
          <w:p w14:paraId="3A47E37B" w14:textId="77777777" w:rsidR="00CD7FA2" w:rsidRPr="008E7B92" w:rsidRDefault="00CD7FA2" w:rsidP="00470D85">
            <w:pPr>
              <w:jc w:val="right"/>
              <w:rPr>
                <w:color w:val="000000" w:themeColor="text1"/>
                <w:sz w:val="20"/>
                <w:szCs w:val="20"/>
              </w:rPr>
            </w:pPr>
            <w:r w:rsidRPr="008E7B92">
              <w:rPr>
                <w:color w:val="000000" w:themeColor="text1"/>
                <w:sz w:val="20"/>
                <w:szCs w:val="20"/>
              </w:rPr>
              <w:t>999</w:t>
            </w:r>
          </w:p>
        </w:tc>
      </w:tr>
      <w:tr w:rsidR="00CD7FA2" w:rsidRPr="008E7B92" w14:paraId="37F42097" w14:textId="77777777" w:rsidTr="732A479B">
        <w:tc>
          <w:tcPr>
            <w:tcW w:w="5949" w:type="dxa"/>
          </w:tcPr>
          <w:p w14:paraId="4CA0A491" w14:textId="609449AC" w:rsidR="00CD7FA2" w:rsidRPr="008E7B92" w:rsidRDefault="00D874B3" w:rsidP="00470D85">
            <w:pPr>
              <w:rPr>
                <w:color w:val="000000" w:themeColor="text1"/>
                <w:sz w:val="20"/>
                <w:szCs w:val="20"/>
              </w:rPr>
            </w:pPr>
            <w:r>
              <w:rPr>
                <w:color w:val="000000" w:themeColor="text1"/>
                <w:sz w:val="20"/>
                <w:szCs w:val="20"/>
              </w:rPr>
              <w:t>E</w:t>
            </w:r>
            <w:r w:rsidR="00CD7FA2" w:rsidRPr="008E7B92">
              <w:rPr>
                <w:color w:val="000000" w:themeColor="text1"/>
                <w:sz w:val="20"/>
                <w:szCs w:val="20"/>
              </w:rPr>
              <w:t>ducational facilities</w:t>
            </w:r>
            <w:r>
              <w:rPr>
                <w:color w:val="000000" w:themeColor="text1"/>
                <w:sz w:val="20"/>
                <w:szCs w:val="20"/>
              </w:rPr>
              <w:t xml:space="preserve"> and</w:t>
            </w:r>
            <w:r w:rsidR="00CD7FA2" w:rsidRPr="008E7B92">
              <w:rPr>
                <w:color w:val="000000" w:themeColor="text1"/>
                <w:sz w:val="20"/>
                <w:szCs w:val="20"/>
              </w:rPr>
              <w:t xml:space="preserve"> number of school places </w:t>
            </w:r>
          </w:p>
        </w:tc>
        <w:tc>
          <w:tcPr>
            <w:tcW w:w="2977" w:type="dxa"/>
          </w:tcPr>
          <w:p w14:paraId="49D6291D" w14:textId="338567ED" w:rsidR="00CD7FA2" w:rsidRPr="008E7B92" w:rsidRDefault="00CD7FA2" w:rsidP="00470D85">
            <w:pPr>
              <w:jc w:val="right"/>
              <w:rPr>
                <w:color w:val="000000" w:themeColor="text1"/>
                <w:sz w:val="20"/>
                <w:szCs w:val="20"/>
              </w:rPr>
            </w:pPr>
            <w:r w:rsidRPr="732A479B">
              <w:rPr>
                <w:color w:val="000000" w:themeColor="text1"/>
                <w:sz w:val="20"/>
                <w:szCs w:val="20"/>
              </w:rPr>
              <w:t>0</w:t>
            </w:r>
            <w:r w:rsidR="1129CE3F" w:rsidRPr="732A479B">
              <w:rPr>
                <w:color w:val="000000" w:themeColor="text1"/>
                <w:sz w:val="20"/>
                <w:szCs w:val="20"/>
              </w:rPr>
              <w:t>*</w:t>
            </w:r>
          </w:p>
        </w:tc>
      </w:tr>
      <w:tr w:rsidR="00CD7FA2" w:rsidRPr="008E7B92" w14:paraId="79FF396A" w14:textId="77777777" w:rsidTr="732A479B">
        <w:tc>
          <w:tcPr>
            <w:tcW w:w="5949" w:type="dxa"/>
          </w:tcPr>
          <w:p w14:paraId="2B931FA4" w14:textId="77777777" w:rsidR="00CD7FA2" w:rsidRPr="008E7B92" w:rsidRDefault="00CD7FA2" w:rsidP="00470D85">
            <w:pPr>
              <w:rPr>
                <w:color w:val="000000" w:themeColor="text1"/>
                <w:sz w:val="20"/>
                <w:szCs w:val="20"/>
              </w:rPr>
            </w:pPr>
            <w:r w:rsidRPr="008E7B92">
              <w:rPr>
                <w:color w:val="000000" w:themeColor="text1"/>
                <w:sz w:val="20"/>
                <w:szCs w:val="20"/>
              </w:rPr>
              <w:t>No of apprenticeships</w:t>
            </w:r>
          </w:p>
        </w:tc>
        <w:tc>
          <w:tcPr>
            <w:tcW w:w="2977" w:type="dxa"/>
          </w:tcPr>
          <w:p w14:paraId="4631A7CD" w14:textId="77777777" w:rsidR="00CD7FA2" w:rsidRPr="008E7B92" w:rsidRDefault="00CD7FA2" w:rsidP="00470D85">
            <w:pPr>
              <w:jc w:val="right"/>
              <w:rPr>
                <w:color w:val="000000" w:themeColor="text1"/>
                <w:sz w:val="20"/>
                <w:szCs w:val="20"/>
              </w:rPr>
            </w:pPr>
            <w:r w:rsidRPr="008E7B92">
              <w:rPr>
                <w:color w:val="000000" w:themeColor="text1"/>
                <w:sz w:val="20"/>
                <w:szCs w:val="20"/>
              </w:rPr>
              <w:t>479</w:t>
            </w:r>
          </w:p>
        </w:tc>
      </w:tr>
      <w:tr w:rsidR="00CD7FA2" w:rsidRPr="008E7B92" w14:paraId="4141A1C1" w14:textId="77777777" w:rsidTr="732A479B">
        <w:tc>
          <w:tcPr>
            <w:tcW w:w="5949" w:type="dxa"/>
          </w:tcPr>
          <w:p w14:paraId="4F4A7E75" w14:textId="77777777" w:rsidR="00CD7FA2" w:rsidRPr="008E7B92" w:rsidRDefault="00CD7FA2" w:rsidP="00470D85">
            <w:pPr>
              <w:rPr>
                <w:color w:val="000000" w:themeColor="text1"/>
                <w:sz w:val="20"/>
                <w:szCs w:val="20"/>
              </w:rPr>
            </w:pPr>
            <w:r w:rsidRPr="008E7B92">
              <w:rPr>
                <w:color w:val="000000" w:themeColor="text1"/>
                <w:sz w:val="20"/>
                <w:szCs w:val="20"/>
              </w:rPr>
              <w:t>Advertising jobs to residents</w:t>
            </w:r>
          </w:p>
        </w:tc>
        <w:tc>
          <w:tcPr>
            <w:tcW w:w="2977" w:type="dxa"/>
          </w:tcPr>
          <w:p w14:paraId="77E23E85" w14:textId="77777777" w:rsidR="00CD7FA2" w:rsidRPr="008E7B92" w:rsidRDefault="00CD7FA2" w:rsidP="00470D85">
            <w:pPr>
              <w:jc w:val="right"/>
              <w:rPr>
                <w:color w:val="000000" w:themeColor="text1"/>
                <w:sz w:val="20"/>
                <w:szCs w:val="20"/>
              </w:rPr>
            </w:pPr>
            <w:r w:rsidRPr="008E7B92">
              <w:rPr>
                <w:color w:val="000000" w:themeColor="text1"/>
                <w:sz w:val="20"/>
                <w:szCs w:val="20"/>
              </w:rPr>
              <w:t>Ten developments are required to advertise 20% construction phase jobs to residents, two developments are required to advertise 25% construction phase jobs within London Boroughs Newham, Waltham Forest, Tower Hamlets, or Hackney</w:t>
            </w:r>
          </w:p>
          <w:p w14:paraId="3D85635C" w14:textId="77777777" w:rsidR="00CD7FA2" w:rsidRPr="008E7B92" w:rsidRDefault="00CD7FA2" w:rsidP="00470D85">
            <w:pPr>
              <w:jc w:val="right"/>
              <w:rPr>
                <w:color w:val="000000" w:themeColor="text1"/>
                <w:sz w:val="20"/>
                <w:szCs w:val="20"/>
              </w:rPr>
            </w:pPr>
            <w:r w:rsidRPr="008E7B92">
              <w:rPr>
                <w:color w:val="000000" w:themeColor="text1"/>
                <w:sz w:val="20"/>
                <w:szCs w:val="20"/>
              </w:rPr>
              <w:t>Eight developments are required to advertise 20% end user phase jobs to residents, two developments are required to advertise 25% construction phase jobs within London Boroughs Newham, Waltham Forest, Tower Hamlets, or Hackney</w:t>
            </w:r>
          </w:p>
        </w:tc>
      </w:tr>
      <w:tr w:rsidR="00CD7FA2" w:rsidRPr="008E7B92" w14:paraId="7001EB2F" w14:textId="77777777" w:rsidTr="732A479B">
        <w:tc>
          <w:tcPr>
            <w:tcW w:w="5949" w:type="dxa"/>
          </w:tcPr>
          <w:p w14:paraId="0DE74115" w14:textId="77777777" w:rsidR="00CD7FA2" w:rsidRPr="008E7B92" w:rsidRDefault="00CD7FA2" w:rsidP="00470D85">
            <w:pPr>
              <w:rPr>
                <w:color w:val="000000" w:themeColor="text1"/>
                <w:sz w:val="20"/>
                <w:szCs w:val="20"/>
              </w:rPr>
            </w:pPr>
            <w:r w:rsidRPr="008E7B92">
              <w:rPr>
                <w:color w:val="000000" w:themeColor="text1"/>
                <w:sz w:val="20"/>
                <w:szCs w:val="20"/>
              </w:rPr>
              <w:t>Procuring goods and services from local companies</w:t>
            </w:r>
          </w:p>
        </w:tc>
        <w:tc>
          <w:tcPr>
            <w:tcW w:w="2977" w:type="dxa"/>
          </w:tcPr>
          <w:p w14:paraId="7BB87F8B" w14:textId="77777777" w:rsidR="00CD7FA2" w:rsidRPr="008E7B92" w:rsidRDefault="00CD7FA2" w:rsidP="00470D85">
            <w:pPr>
              <w:jc w:val="right"/>
              <w:rPr>
                <w:color w:val="000000" w:themeColor="text1"/>
                <w:sz w:val="20"/>
                <w:szCs w:val="20"/>
              </w:rPr>
            </w:pPr>
            <w:r w:rsidRPr="008E7B92">
              <w:rPr>
                <w:color w:val="000000" w:themeColor="text1"/>
                <w:sz w:val="20"/>
                <w:szCs w:val="20"/>
              </w:rPr>
              <w:t>Ten developments are required to aim to procure 20% of goods and services from local companies and suppliers.</w:t>
            </w:r>
          </w:p>
        </w:tc>
      </w:tr>
      <w:tr w:rsidR="00CD7FA2" w:rsidRPr="008E7B92" w14:paraId="757E781A" w14:textId="77777777" w:rsidTr="732A479B">
        <w:tc>
          <w:tcPr>
            <w:tcW w:w="5949" w:type="dxa"/>
          </w:tcPr>
          <w:p w14:paraId="14A8554D" w14:textId="77777777" w:rsidR="00CD7FA2" w:rsidRPr="008E7B92" w:rsidRDefault="00CD7FA2" w:rsidP="00470D85">
            <w:pPr>
              <w:rPr>
                <w:color w:val="000000" w:themeColor="text1"/>
                <w:sz w:val="20"/>
                <w:szCs w:val="20"/>
              </w:rPr>
            </w:pPr>
            <w:r w:rsidRPr="008E7B92">
              <w:rPr>
                <w:color w:val="000000" w:themeColor="text1"/>
                <w:sz w:val="20"/>
                <w:szCs w:val="20"/>
              </w:rPr>
              <w:t>Developments including affordable workspace</w:t>
            </w:r>
          </w:p>
        </w:tc>
        <w:tc>
          <w:tcPr>
            <w:tcW w:w="2977" w:type="dxa"/>
          </w:tcPr>
          <w:p w14:paraId="18DD1BC1" w14:textId="77777777" w:rsidR="00CD7FA2" w:rsidRPr="008E7B92" w:rsidRDefault="00CD7FA2" w:rsidP="00470D85">
            <w:pPr>
              <w:jc w:val="right"/>
              <w:rPr>
                <w:color w:val="000000" w:themeColor="text1"/>
                <w:sz w:val="20"/>
                <w:szCs w:val="20"/>
              </w:rPr>
            </w:pPr>
            <w:r w:rsidRPr="008E7B92">
              <w:rPr>
                <w:color w:val="000000" w:themeColor="text1"/>
                <w:sz w:val="20"/>
                <w:szCs w:val="20"/>
              </w:rPr>
              <w:t>3</w:t>
            </w:r>
          </w:p>
        </w:tc>
      </w:tr>
    </w:tbl>
    <w:p w14:paraId="0FD2781B" w14:textId="1435206B" w:rsidR="00CD7FA2" w:rsidRDefault="586963C4" w:rsidP="732A479B">
      <w:pPr>
        <w:rPr>
          <w:color w:val="000000" w:themeColor="text1"/>
          <w:sz w:val="16"/>
          <w:szCs w:val="16"/>
        </w:rPr>
      </w:pPr>
      <w:r w:rsidRPr="732A479B">
        <w:rPr>
          <w:color w:val="000000" w:themeColor="text1"/>
          <w:sz w:val="16"/>
          <w:szCs w:val="16"/>
        </w:rPr>
        <w:t>*Education contributions are no longer secured via s106 agreement.</w:t>
      </w:r>
    </w:p>
    <w:p w14:paraId="1A6408AF" w14:textId="77777777" w:rsidR="00074337" w:rsidRPr="00074337" w:rsidRDefault="00074337" w:rsidP="00CD7FA2">
      <w:pPr>
        <w:rPr>
          <w:color w:val="000000" w:themeColor="text1"/>
          <w:sz w:val="22"/>
          <w:szCs w:val="22"/>
        </w:rPr>
      </w:pPr>
    </w:p>
    <w:p w14:paraId="0C7F5059" w14:textId="40BB5A76" w:rsidR="005064EE" w:rsidRPr="00632763" w:rsidRDefault="005064EE" w:rsidP="005064EE">
      <w:pPr>
        <w:rPr>
          <w:b/>
          <w:bCs/>
          <w:color w:val="000000" w:themeColor="text1"/>
          <w:sz w:val="22"/>
          <w:szCs w:val="22"/>
        </w:rPr>
      </w:pPr>
      <w:r w:rsidRPr="732A479B">
        <w:rPr>
          <w:b/>
          <w:bCs/>
          <w:color w:val="000000" w:themeColor="text1"/>
          <w:sz w:val="22"/>
          <w:szCs w:val="22"/>
        </w:rPr>
        <w:t>Table 2.3</w:t>
      </w:r>
      <w:r w:rsidR="64DED6AC" w:rsidRPr="732A479B">
        <w:rPr>
          <w:b/>
          <w:bCs/>
          <w:color w:val="000000" w:themeColor="text1"/>
          <w:sz w:val="22"/>
          <w:szCs w:val="22"/>
        </w:rPr>
        <w:t xml:space="preserve"> </w:t>
      </w:r>
      <w:r w:rsidRPr="732A479B">
        <w:rPr>
          <w:b/>
          <w:bCs/>
          <w:color w:val="000000" w:themeColor="text1"/>
          <w:sz w:val="22"/>
          <w:szCs w:val="22"/>
        </w:rPr>
        <w:t>- Total s106 Allocated, but not Spent in 2024/202</w:t>
      </w:r>
      <w:r w:rsidR="4BA0685C" w:rsidRPr="732A479B">
        <w:rPr>
          <w:b/>
          <w:bCs/>
          <w:color w:val="000000" w:themeColor="text1"/>
          <w:sz w:val="22"/>
          <w:szCs w:val="22"/>
        </w:rPr>
        <w:t>5</w:t>
      </w:r>
      <w:r w:rsidRPr="732A479B">
        <w:rPr>
          <w:b/>
          <w:bCs/>
          <w:color w:val="000000" w:themeColor="text1"/>
          <w:sz w:val="22"/>
          <w:szCs w:val="22"/>
        </w:rPr>
        <w:t xml:space="preserve"> </w:t>
      </w:r>
    </w:p>
    <w:tbl>
      <w:tblPr>
        <w:tblW w:w="8921" w:type="dxa"/>
        <w:tblLook w:val="04A0" w:firstRow="1" w:lastRow="0" w:firstColumn="1" w:lastColumn="0" w:noHBand="0" w:noVBand="1"/>
      </w:tblPr>
      <w:tblGrid>
        <w:gridCol w:w="6227"/>
        <w:gridCol w:w="236"/>
        <w:gridCol w:w="2458"/>
      </w:tblGrid>
      <w:tr w:rsidR="005E528D" w:rsidRPr="005E528D" w14:paraId="3CB44E3B" w14:textId="77777777" w:rsidTr="00327A22">
        <w:trPr>
          <w:trHeight w:val="300"/>
          <w:tblHeader/>
        </w:trPr>
        <w:tc>
          <w:tcPr>
            <w:tcW w:w="6227" w:type="dxa"/>
            <w:tcBorders>
              <w:top w:val="single" w:sz="8" w:space="0" w:color="auto"/>
              <w:left w:val="single" w:sz="8" w:space="0" w:color="auto"/>
              <w:bottom w:val="single" w:sz="8" w:space="0" w:color="auto"/>
              <w:right w:val="single" w:sz="8" w:space="0" w:color="auto"/>
            </w:tcBorders>
            <w:shd w:val="clear" w:color="000000" w:fill="00B0F0"/>
            <w:noWrap/>
            <w:vAlign w:val="center"/>
            <w:hideMark/>
          </w:tcPr>
          <w:p w14:paraId="305BCB09" w14:textId="77777777" w:rsidR="005E528D" w:rsidRPr="005E528D" w:rsidRDefault="005E528D" w:rsidP="00F546E7">
            <w:pPr>
              <w:spacing w:after="0"/>
              <w:rPr>
                <w:rFonts w:eastAsia="Times New Roman"/>
                <w:b/>
                <w:bCs/>
                <w:color w:val="000000"/>
                <w:sz w:val="20"/>
                <w:szCs w:val="20"/>
              </w:rPr>
            </w:pPr>
            <w:r w:rsidRPr="005E528D">
              <w:rPr>
                <w:rFonts w:eastAsia="Times New Roman"/>
                <w:b/>
                <w:bCs/>
                <w:color w:val="000000"/>
                <w:sz w:val="20"/>
                <w:szCs w:val="20"/>
              </w:rPr>
              <w:t>Project Name</w:t>
            </w:r>
          </w:p>
        </w:tc>
        <w:tc>
          <w:tcPr>
            <w:tcW w:w="2694" w:type="dxa"/>
            <w:gridSpan w:val="2"/>
            <w:tcBorders>
              <w:top w:val="single" w:sz="8" w:space="0" w:color="auto"/>
              <w:left w:val="nil"/>
              <w:bottom w:val="single" w:sz="8" w:space="0" w:color="auto"/>
              <w:right w:val="single" w:sz="8" w:space="0" w:color="auto"/>
            </w:tcBorders>
            <w:shd w:val="clear" w:color="000000" w:fill="00B0F0"/>
            <w:noWrap/>
            <w:vAlign w:val="center"/>
            <w:hideMark/>
          </w:tcPr>
          <w:p w14:paraId="4C88F1E2" w14:textId="77777777" w:rsidR="005E528D" w:rsidRPr="005E528D" w:rsidRDefault="005E528D" w:rsidP="00F546E7">
            <w:pPr>
              <w:spacing w:after="0"/>
              <w:jc w:val="right"/>
              <w:rPr>
                <w:rFonts w:eastAsia="Times New Roman"/>
                <w:b/>
                <w:bCs/>
                <w:color w:val="000000"/>
                <w:sz w:val="20"/>
                <w:szCs w:val="20"/>
              </w:rPr>
            </w:pPr>
            <w:r w:rsidRPr="005E528D">
              <w:rPr>
                <w:rFonts w:eastAsia="Times New Roman"/>
                <w:b/>
                <w:bCs/>
                <w:color w:val="000000"/>
                <w:sz w:val="20"/>
                <w:szCs w:val="20"/>
              </w:rPr>
              <w:t>Total 2024/25</w:t>
            </w:r>
          </w:p>
        </w:tc>
      </w:tr>
      <w:tr w:rsidR="00327A22" w:rsidRPr="005E528D" w14:paraId="252EE58A" w14:textId="77777777" w:rsidTr="00327A22">
        <w:trPr>
          <w:trHeight w:val="300"/>
        </w:trPr>
        <w:tc>
          <w:tcPr>
            <w:tcW w:w="6227" w:type="dxa"/>
            <w:tcBorders>
              <w:top w:val="single" w:sz="8" w:space="0" w:color="auto"/>
              <w:left w:val="single" w:sz="8" w:space="0" w:color="auto"/>
              <w:bottom w:val="single" w:sz="8" w:space="0" w:color="auto"/>
              <w:right w:val="single" w:sz="8" w:space="0" w:color="000000"/>
            </w:tcBorders>
            <w:shd w:val="clear" w:color="auto" w:fill="D9D9D9" w:themeFill="background1" w:themeFillShade="D9"/>
            <w:noWrap/>
            <w:vAlign w:val="center"/>
            <w:hideMark/>
          </w:tcPr>
          <w:p w14:paraId="0BB90AE7" w14:textId="77777777" w:rsidR="00327A22" w:rsidRPr="005E528D" w:rsidRDefault="00327A22" w:rsidP="00F546E7">
            <w:pPr>
              <w:spacing w:after="0"/>
              <w:rPr>
                <w:rFonts w:eastAsia="Times New Roman"/>
                <w:b/>
                <w:bCs/>
                <w:color w:val="000000"/>
                <w:sz w:val="20"/>
                <w:szCs w:val="20"/>
              </w:rPr>
            </w:pPr>
            <w:r w:rsidRPr="005E528D">
              <w:rPr>
                <w:rFonts w:eastAsia="Times New Roman"/>
                <w:b/>
                <w:bCs/>
                <w:color w:val="000000"/>
                <w:sz w:val="20"/>
                <w:szCs w:val="20"/>
              </w:rPr>
              <w:t>Affordable Housing</w:t>
            </w:r>
          </w:p>
        </w:tc>
        <w:tc>
          <w:tcPr>
            <w:tcW w:w="2694" w:type="dxa"/>
            <w:gridSpan w:val="2"/>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tcPr>
          <w:p w14:paraId="6C2A132F" w14:textId="387F6E58" w:rsidR="00327A22" w:rsidRPr="005E528D" w:rsidRDefault="00327A22" w:rsidP="00F546E7">
            <w:pPr>
              <w:spacing w:after="0"/>
              <w:rPr>
                <w:rFonts w:eastAsia="Times New Roman"/>
                <w:b/>
                <w:bCs/>
                <w:color w:val="000000"/>
                <w:sz w:val="20"/>
                <w:szCs w:val="20"/>
              </w:rPr>
            </w:pPr>
          </w:p>
        </w:tc>
      </w:tr>
      <w:tr w:rsidR="005E528D" w:rsidRPr="005E528D" w14:paraId="7F7D9667" w14:textId="77777777" w:rsidTr="00327A22">
        <w:trPr>
          <w:trHeight w:val="300"/>
        </w:trPr>
        <w:tc>
          <w:tcPr>
            <w:tcW w:w="6227" w:type="dxa"/>
            <w:tcBorders>
              <w:top w:val="nil"/>
              <w:left w:val="single" w:sz="8" w:space="0" w:color="auto"/>
              <w:bottom w:val="single" w:sz="8" w:space="0" w:color="auto"/>
              <w:right w:val="single" w:sz="8" w:space="0" w:color="auto"/>
            </w:tcBorders>
            <w:noWrap/>
            <w:vAlign w:val="center"/>
            <w:hideMark/>
          </w:tcPr>
          <w:p w14:paraId="1328B587" w14:textId="77777777" w:rsidR="005E528D" w:rsidRPr="005E528D" w:rsidRDefault="005E528D" w:rsidP="00F546E7">
            <w:pPr>
              <w:spacing w:after="0"/>
              <w:rPr>
                <w:rFonts w:eastAsia="Times New Roman"/>
                <w:color w:val="000000"/>
                <w:sz w:val="20"/>
                <w:szCs w:val="20"/>
              </w:rPr>
            </w:pPr>
            <w:r w:rsidRPr="005E528D">
              <w:rPr>
                <w:rFonts w:eastAsia="Times New Roman"/>
                <w:color w:val="000000"/>
                <w:sz w:val="20"/>
                <w:szCs w:val="20"/>
              </w:rPr>
              <w:t>Harriott, Apsley, Pattison – HAP (Clichy Estate)</w:t>
            </w:r>
          </w:p>
        </w:tc>
        <w:tc>
          <w:tcPr>
            <w:tcW w:w="2694" w:type="dxa"/>
            <w:gridSpan w:val="2"/>
            <w:tcBorders>
              <w:top w:val="nil"/>
              <w:left w:val="nil"/>
              <w:bottom w:val="single" w:sz="8" w:space="0" w:color="auto"/>
              <w:right w:val="single" w:sz="8" w:space="0" w:color="auto"/>
            </w:tcBorders>
            <w:noWrap/>
            <w:vAlign w:val="center"/>
            <w:hideMark/>
          </w:tcPr>
          <w:p w14:paraId="1BC8C015" w14:textId="77777777" w:rsidR="005E528D" w:rsidRPr="005E528D" w:rsidRDefault="005E528D" w:rsidP="00F546E7">
            <w:pPr>
              <w:spacing w:after="0"/>
              <w:jc w:val="right"/>
              <w:rPr>
                <w:rFonts w:eastAsia="Times New Roman"/>
                <w:color w:val="000000"/>
                <w:sz w:val="20"/>
                <w:szCs w:val="20"/>
              </w:rPr>
            </w:pPr>
            <w:r w:rsidRPr="005E528D">
              <w:rPr>
                <w:rFonts w:eastAsia="Times New Roman"/>
                <w:color w:val="000000"/>
                <w:sz w:val="20"/>
                <w:szCs w:val="20"/>
              </w:rPr>
              <w:t>£2,197,764</w:t>
            </w:r>
          </w:p>
        </w:tc>
      </w:tr>
      <w:tr w:rsidR="005E528D" w:rsidRPr="005E528D" w14:paraId="71C9C991" w14:textId="77777777" w:rsidTr="00327A22">
        <w:trPr>
          <w:trHeight w:val="300"/>
        </w:trPr>
        <w:tc>
          <w:tcPr>
            <w:tcW w:w="6227" w:type="dxa"/>
            <w:tcBorders>
              <w:top w:val="nil"/>
              <w:left w:val="single" w:sz="8" w:space="0" w:color="auto"/>
              <w:bottom w:val="single" w:sz="8" w:space="0" w:color="auto"/>
              <w:right w:val="single" w:sz="8" w:space="0" w:color="auto"/>
            </w:tcBorders>
            <w:noWrap/>
            <w:vAlign w:val="center"/>
            <w:hideMark/>
          </w:tcPr>
          <w:p w14:paraId="0FFFF724" w14:textId="77777777" w:rsidR="005E528D" w:rsidRPr="005E528D" w:rsidRDefault="005E528D" w:rsidP="00F546E7">
            <w:pPr>
              <w:spacing w:after="0"/>
              <w:rPr>
                <w:rFonts w:eastAsia="Times New Roman"/>
                <w:color w:val="000000"/>
                <w:sz w:val="20"/>
                <w:szCs w:val="20"/>
              </w:rPr>
            </w:pPr>
            <w:r w:rsidRPr="005E528D">
              <w:rPr>
                <w:rFonts w:eastAsia="Times New Roman"/>
                <w:color w:val="000000"/>
                <w:sz w:val="20"/>
                <w:szCs w:val="20"/>
              </w:rPr>
              <w:t>St George's Leisure</w:t>
            </w:r>
          </w:p>
        </w:tc>
        <w:tc>
          <w:tcPr>
            <w:tcW w:w="2694" w:type="dxa"/>
            <w:gridSpan w:val="2"/>
            <w:tcBorders>
              <w:top w:val="nil"/>
              <w:left w:val="nil"/>
              <w:bottom w:val="single" w:sz="8" w:space="0" w:color="auto"/>
              <w:right w:val="single" w:sz="8" w:space="0" w:color="auto"/>
            </w:tcBorders>
            <w:noWrap/>
            <w:vAlign w:val="center"/>
            <w:hideMark/>
          </w:tcPr>
          <w:p w14:paraId="69B8CE28" w14:textId="77777777" w:rsidR="005E528D" w:rsidRPr="005E528D" w:rsidRDefault="005E528D" w:rsidP="00F546E7">
            <w:pPr>
              <w:spacing w:after="0"/>
              <w:jc w:val="right"/>
              <w:rPr>
                <w:rFonts w:eastAsia="Times New Roman"/>
                <w:color w:val="000000"/>
                <w:sz w:val="20"/>
                <w:szCs w:val="20"/>
              </w:rPr>
            </w:pPr>
            <w:r w:rsidRPr="005E528D">
              <w:rPr>
                <w:rFonts w:eastAsia="Times New Roman"/>
                <w:color w:val="000000"/>
                <w:sz w:val="20"/>
                <w:szCs w:val="20"/>
              </w:rPr>
              <w:t>£4,610,156</w:t>
            </w:r>
          </w:p>
        </w:tc>
      </w:tr>
      <w:tr w:rsidR="00327A22" w:rsidRPr="005E528D" w14:paraId="64A3BED9" w14:textId="77777777" w:rsidTr="00327A22">
        <w:trPr>
          <w:trHeight w:val="300"/>
        </w:trPr>
        <w:tc>
          <w:tcPr>
            <w:tcW w:w="6227" w:type="dxa"/>
            <w:tcBorders>
              <w:top w:val="single" w:sz="8" w:space="0" w:color="auto"/>
              <w:left w:val="single" w:sz="8" w:space="0" w:color="auto"/>
              <w:bottom w:val="single" w:sz="8" w:space="0" w:color="auto"/>
              <w:right w:val="single" w:sz="8" w:space="0" w:color="000000"/>
            </w:tcBorders>
            <w:shd w:val="clear" w:color="auto" w:fill="D9D9D9" w:themeFill="background1" w:themeFillShade="D9"/>
            <w:noWrap/>
            <w:vAlign w:val="center"/>
            <w:hideMark/>
          </w:tcPr>
          <w:p w14:paraId="46256EB6" w14:textId="77777777" w:rsidR="00327A22" w:rsidRPr="005E528D" w:rsidRDefault="00327A22" w:rsidP="00F546E7">
            <w:pPr>
              <w:spacing w:after="0"/>
              <w:rPr>
                <w:rFonts w:eastAsia="Times New Roman"/>
                <w:b/>
                <w:bCs/>
                <w:color w:val="000000"/>
                <w:sz w:val="20"/>
                <w:szCs w:val="20"/>
              </w:rPr>
            </w:pPr>
            <w:r w:rsidRPr="005E528D">
              <w:rPr>
                <w:rFonts w:eastAsia="Times New Roman"/>
                <w:b/>
                <w:bCs/>
                <w:color w:val="000000"/>
                <w:sz w:val="20"/>
                <w:szCs w:val="20"/>
              </w:rPr>
              <w:t>Carbon Offset</w:t>
            </w:r>
          </w:p>
        </w:tc>
        <w:tc>
          <w:tcPr>
            <w:tcW w:w="2694" w:type="dxa"/>
            <w:gridSpan w:val="2"/>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tcPr>
          <w:p w14:paraId="6546B53C" w14:textId="10D49359" w:rsidR="00327A22" w:rsidRPr="005E528D" w:rsidRDefault="00327A22" w:rsidP="00F546E7">
            <w:pPr>
              <w:spacing w:after="0"/>
              <w:rPr>
                <w:rFonts w:eastAsia="Times New Roman"/>
                <w:b/>
                <w:bCs/>
                <w:color w:val="000000"/>
                <w:sz w:val="20"/>
                <w:szCs w:val="20"/>
              </w:rPr>
            </w:pPr>
          </w:p>
        </w:tc>
      </w:tr>
      <w:tr w:rsidR="005E528D" w:rsidRPr="005E528D" w14:paraId="20FF5646" w14:textId="77777777" w:rsidTr="00327A22">
        <w:trPr>
          <w:trHeight w:val="300"/>
        </w:trPr>
        <w:tc>
          <w:tcPr>
            <w:tcW w:w="6227" w:type="dxa"/>
            <w:tcBorders>
              <w:top w:val="nil"/>
              <w:left w:val="single" w:sz="8" w:space="0" w:color="auto"/>
              <w:bottom w:val="single" w:sz="8" w:space="0" w:color="auto"/>
              <w:right w:val="single" w:sz="8" w:space="0" w:color="auto"/>
            </w:tcBorders>
            <w:noWrap/>
            <w:vAlign w:val="center"/>
            <w:hideMark/>
          </w:tcPr>
          <w:p w14:paraId="78DD74ED" w14:textId="77777777" w:rsidR="005E528D" w:rsidRPr="005E528D" w:rsidRDefault="005E528D" w:rsidP="00F546E7">
            <w:pPr>
              <w:spacing w:after="0"/>
              <w:rPr>
                <w:rFonts w:eastAsia="Times New Roman"/>
                <w:color w:val="000000"/>
                <w:sz w:val="20"/>
                <w:szCs w:val="20"/>
              </w:rPr>
            </w:pPr>
            <w:r w:rsidRPr="005E528D">
              <w:rPr>
                <w:rFonts w:eastAsia="Times New Roman"/>
                <w:color w:val="000000"/>
                <w:sz w:val="20"/>
                <w:szCs w:val="20"/>
              </w:rPr>
              <w:t>Canary Wharf Idea Store LED Lighting</w:t>
            </w:r>
          </w:p>
        </w:tc>
        <w:tc>
          <w:tcPr>
            <w:tcW w:w="2694" w:type="dxa"/>
            <w:gridSpan w:val="2"/>
            <w:tcBorders>
              <w:top w:val="nil"/>
              <w:left w:val="nil"/>
              <w:bottom w:val="single" w:sz="8" w:space="0" w:color="auto"/>
              <w:right w:val="single" w:sz="8" w:space="0" w:color="auto"/>
            </w:tcBorders>
            <w:noWrap/>
            <w:vAlign w:val="center"/>
            <w:hideMark/>
          </w:tcPr>
          <w:p w14:paraId="62DBB017" w14:textId="77777777" w:rsidR="005E528D" w:rsidRPr="005E528D" w:rsidRDefault="005E528D" w:rsidP="00F546E7">
            <w:pPr>
              <w:spacing w:after="0"/>
              <w:jc w:val="right"/>
              <w:rPr>
                <w:rFonts w:eastAsia="Times New Roman"/>
                <w:color w:val="000000"/>
                <w:sz w:val="20"/>
                <w:szCs w:val="20"/>
              </w:rPr>
            </w:pPr>
            <w:r w:rsidRPr="005E528D">
              <w:rPr>
                <w:rFonts w:eastAsia="Times New Roman"/>
                <w:color w:val="000000"/>
                <w:sz w:val="20"/>
                <w:szCs w:val="20"/>
              </w:rPr>
              <w:t>£165,852</w:t>
            </w:r>
          </w:p>
        </w:tc>
      </w:tr>
      <w:tr w:rsidR="005E528D" w:rsidRPr="005E528D" w14:paraId="53237F37" w14:textId="77777777" w:rsidTr="00327A22">
        <w:trPr>
          <w:trHeight w:val="300"/>
        </w:trPr>
        <w:tc>
          <w:tcPr>
            <w:tcW w:w="6227" w:type="dxa"/>
            <w:tcBorders>
              <w:top w:val="nil"/>
              <w:left w:val="single" w:sz="8" w:space="0" w:color="auto"/>
              <w:bottom w:val="single" w:sz="8" w:space="0" w:color="auto"/>
              <w:right w:val="single" w:sz="8" w:space="0" w:color="auto"/>
            </w:tcBorders>
            <w:noWrap/>
            <w:vAlign w:val="center"/>
            <w:hideMark/>
          </w:tcPr>
          <w:p w14:paraId="7E9D6ED4" w14:textId="77777777" w:rsidR="005E528D" w:rsidRPr="005E528D" w:rsidRDefault="005E528D" w:rsidP="00F546E7">
            <w:pPr>
              <w:spacing w:after="0"/>
              <w:rPr>
                <w:rFonts w:eastAsia="Times New Roman"/>
                <w:color w:val="000000"/>
                <w:sz w:val="20"/>
                <w:szCs w:val="20"/>
              </w:rPr>
            </w:pPr>
            <w:r w:rsidRPr="005E528D">
              <w:rPr>
                <w:rFonts w:eastAsia="Times New Roman"/>
                <w:color w:val="000000"/>
                <w:sz w:val="20"/>
                <w:szCs w:val="20"/>
              </w:rPr>
              <w:t>Recycling Campaign</w:t>
            </w:r>
          </w:p>
        </w:tc>
        <w:tc>
          <w:tcPr>
            <w:tcW w:w="2694" w:type="dxa"/>
            <w:gridSpan w:val="2"/>
            <w:tcBorders>
              <w:top w:val="nil"/>
              <w:left w:val="nil"/>
              <w:bottom w:val="single" w:sz="8" w:space="0" w:color="auto"/>
              <w:right w:val="single" w:sz="8" w:space="0" w:color="auto"/>
            </w:tcBorders>
            <w:noWrap/>
            <w:vAlign w:val="center"/>
            <w:hideMark/>
          </w:tcPr>
          <w:p w14:paraId="78B1AC14" w14:textId="77777777" w:rsidR="005E528D" w:rsidRPr="005E528D" w:rsidRDefault="005E528D" w:rsidP="00F546E7">
            <w:pPr>
              <w:spacing w:after="0"/>
              <w:jc w:val="right"/>
              <w:rPr>
                <w:rFonts w:eastAsia="Times New Roman"/>
                <w:color w:val="000000"/>
                <w:sz w:val="20"/>
                <w:szCs w:val="20"/>
              </w:rPr>
            </w:pPr>
            <w:r w:rsidRPr="005E528D">
              <w:rPr>
                <w:rFonts w:eastAsia="Times New Roman"/>
                <w:color w:val="000000"/>
                <w:sz w:val="20"/>
                <w:szCs w:val="20"/>
              </w:rPr>
              <w:t>£14,754</w:t>
            </w:r>
          </w:p>
        </w:tc>
      </w:tr>
      <w:tr w:rsidR="005E528D" w:rsidRPr="005E528D" w14:paraId="256A78FA" w14:textId="77777777" w:rsidTr="00327A22">
        <w:trPr>
          <w:trHeight w:val="300"/>
        </w:trPr>
        <w:tc>
          <w:tcPr>
            <w:tcW w:w="6227" w:type="dxa"/>
            <w:tcBorders>
              <w:top w:val="nil"/>
              <w:left w:val="single" w:sz="8" w:space="0" w:color="auto"/>
              <w:bottom w:val="single" w:sz="8" w:space="0" w:color="auto"/>
              <w:right w:val="single" w:sz="8" w:space="0" w:color="auto"/>
            </w:tcBorders>
            <w:noWrap/>
            <w:vAlign w:val="center"/>
            <w:hideMark/>
          </w:tcPr>
          <w:p w14:paraId="13D435E1" w14:textId="77777777" w:rsidR="005E528D" w:rsidRPr="005E528D" w:rsidRDefault="005E528D" w:rsidP="00F546E7">
            <w:pPr>
              <w:spacing w:after="0"/>
              <w:rPr>
                <w:rFonts w:eastAsia="Times New Roman"/>
                <w:color w:val="000000"/>
                <w:sz w:val="20"/>
                <w:szCs w:val="20"/>
              </w:rPr>
            </w:pPr>
            <w:r w:rsidRPr="005E528D">
              <w:rPr>
                <w:rFonts w:eastAsia="Times New Roman"/>
                <w:color w:val="000000"/>
                <w:sz w:val="20"/>
                <w:szCs w:val="20"/>
              </w:rPr>
              <w:t>City Food Lab Food to Soil Pilots  </w:t>
            </w:r>
          </w:p>
        </w:tc>
        <w:tc>
          <w:tcPr>
            <w:tcW w:w="2694" w:type="dxa"/>
            <w:gridSpan w:val="2"/>
            <w:tcBorders>
              <w:top w:val="nil"/>
              <w:left w:val="nil"/>
              <w:bottom w:val="single" w:sz="8" w:space="0" w:color="auto"/>
              <w:right w:val="single" w:sz="8" w:space="0" w:color="auto"/>
            </w:tcBorders>
            <w:noWrap/>
            <w:vAlign w:val="center"/>
            <w:hideMark/>
          </w:tcPr>
          <w:p w14:paraId="4F23A47F" w14:textId="77777777" w:rsidR="005E528D" w:rsidRPr="005E528D" w:rsidRDefault="005E528D" w:rsidP="00F546E7">
            <w:pPr>
              <w:spacing w:after="0"/>
              <w:jc w:val="right"/>
              <w:rPr>
                <w:rFonts w:eastAsia="Times New Roman"/>
                <w:color w:val="000000"/>
                <w:sz w:val="20"/>
                <w:szCs w:val="20"/>
              </w:rPr>
            </w:pPr>
            <w:r w:rsidRPr="005E528D">
              <w:rPr>
                <w:rFonts w:eastAsia="Times New Roman"/>
                <w:color w:val="000000"/>
                <w:sz w:val="20"/>
                <w:szCs w:val="20"/>
              </w:rPr>
              <w:t>£25,000</w:t>
            </w:r>
          </w:p>
        </w:tc>
      </w:tr>
      <w:tr w:rsidR="005E528D" w:rsidRPr="005E528D" w14:paraId="36676198" w14:textId="77777777" w:rsidTr="00327A22">
        <w:trPr>
          <w:trHeight w:val="300"/>
        </w:trPr>
        <w:tc>
          <w:tcPr>
            <w:tcW w:w="6227" w:type="dxa"/>
            <w:tcBorders>
              <w:top w:val="nil"/>
              <w:left w:val="single" w:sz="8" w:space="0" w:color="auto"/>
              <w:bottom w:val="single" w:sz="8" w:space="0" w:color="auto"/>
              <w:right w:val="single" w:sz="8" w:space="0" w:color="auto"/>
            </w:tcBorders>
            <w:noWrap/>
            <w:vAlign w:val="center"/>
            <w:hideMark/>
          </w:tcPr>
          <w:p w14:paraId="00AFC453" w14:textId="77777777" w:rsidR="005E528D" w:rsidRPr="005E528D" w:rsidRDefault="005E528D" w:rsidP="00F546E7">
            <w:pPr>
              <w:spacing w:after="0"/>
              <w:rPr>
                <w:rFonts w:eastAsia="Times New Roman"/>
                <w:color w:val="000000"/>
                <w:sz w:val="20"/>
                <w:szCs w:val="20"/>
              </w:rPr>
            </w:pPr>
            <w:r w:rsidRPr="005E528D">
              <w:rPr>
                <w:rFonts w:eastAsia="Times New Roman"/>
                <w:color w:val="000000"/>
                <w:sz w:val="20"/>
                <w:szCs w:val="20"/>
              </w:rPr>
              <w:t>Estate Food Waste Containment and Collection Trial</w:t>
            </w:r>
          </w:p>
        </w:tc>
        <w:tc>
          <w:tcPr>
            <w:tcW w:w="2694" w:type="dxa"/>
            <w:gridSpan w:val="2"/>
            <w:tcBorders>
              <w:top w:val="nil"/>
              <w:left w:val="nil"/>
              <w:bottom w:val="single" w:sz="8" w:space="0" w:color="auto"/>
              <w:right w:val="single" w:sz="8" w:space="0" w:color="auto"/>
            </w:tcBorders>
            <w:noWrap/>
            <w:vAlign w:val="center"/>
            <w:hideMark/>
          </w:tcPr>
          <w:p w14:paraId="720B4BC9" w14:textId="77777777" w:rsidR="005E528D" w:rsidRPr="005E528D" w:rsidRDefault="005E528D" w:rsidP="00F546E7">
            <w:pPr>
              <w:spacing w:after="0"/>
              <w:jc w:val="right"/>
              <w:rPr>
                <w:rFonts w:eastAsia="Times New Roman"/>
                <w:color w:val="000000"/>
                <w:sz w:val="20"/>
                <w:szCs w:val="20"/>
              </w:rPr>
            </w:pPr>
            <w:r w:rsidRPr="005E528D">
              <w:rPr>
                <w:rFonts w:eastAsia="Times New Roman"/>
                <w:color w:val="000000"/>
                <w:sz w:val="20"/>
                <w:szCs w:val="20"/>
              </w:rPr>
              <w:t>£10,596</w:t>
            </w:r>
          </w:p>
        </w:tc>
      </w:tr>
      <w:tr w:rsidR="005E528D" w:rsidRPr="005E528D" w14:paraId="678F66FF" w14:textId="77777777" w:rsidTr="00327A22">
        <w:trPr>
          <w:trHeight w:val="300"/>
        </w:trPr>
        <w:tc>
          <w:tcPr>
            <w:tcW w:w="6227" w:type="dxa"/>
            <w:tcBorders>
              <w:top w:val="nil"/>
              <w:left w:val="single" w:sz="8" w:space="0" w:color="auto"/>
              <w:bottom w:val="single" w:sz="8" w:space="0" w:color="auto"/>
              <w:right w:val="single" w:sz="8" w:space="0" w:color="auto"/>
            </w:tcBorders>
            <w:noWrap/>
            <w:vAlign w:val="center"/>
            <w:hideMark/>
          </w:tcPr>
          <w:p w14:paraId="3717E819" w14:textId="77777777" w:rsidR="005E528D" w:rsidRPr="005E528D" w:rsidRDefault="005E528D" w:rsidP="00F546E7">
            <w:pPr>
              <w:spacing w:after="0"/>
              <w:rPr>
                <w:rFonts w:eastAsia="Times New Roman"/>
                <w:color w:val="000000"/>
                <w:sz w:val="20"/>
                <w:szCs w:val="20"/>
              </w:rPr>
            </w:pPr>
            <w:r w:rsidRPr="005E528D">
              <w:rPr>
                <w:rFonts w:eastAsia="Times New Roman"/>
                <w:color w:val="000000"/>
                <w:sz w:val="20"/>
                <w:szCs w:val="20"/>
              </w:rPr>
              <w:t>Schools Separate Food Waste Collection Restart</w:t>
            </w:r>
          </w:p>
        </w:tc>
        <w:tc>
          <w:tcPr>
            <w:tcW w:w="2694" w:type="dxa"/>
            <w:gridSpan w:val="2"/>
            <w:tcBorders>
              <w:top w:val="nil"/>
              <w:left w:val="nil"/>
              <w:bottom w:val="single" w:sz="8" w:space="0" w:color="auto"/>
              <w:right w:val="single" w:sz="8" w:space="0" w:color="auto"/>
            </w:tcBorders>
            <w:noWrap/>
            <w:vAlign w:val="center"/>
            <w:hideMark/>
          </w:tcPr>
          <w:p w14:paraId="2B2FE5CB" w14:textId="77777777" w:rsidR="005E528D" w:rsidRPr="005E528D" w:rsidRDefault="005E528D" w:rsidP="00F546E7">
            <w:pPr>
              <w:spacing w:after="0"/>
              <w:jc w:val="right"/>
              <w:rPr>
                <w:rFonts w:eastAsia="Times New Roman"/>
                <w:color w:val="000000"/>
                <w:sz w:val="20"/>
                <w:szCs w:val="20"/>
              </w:rPr>
            </w:pPr>
            <w:r w:rsidRPr="005E528D">
              <w:rPr>
                <w:rFonts w:eastAsia="Times New Roman"/>
                <w:color w:val="000000"/>
                <w:sz w:val="20"/>
                <w:szCs w:val="20"/>
              </w:rPr>
              <w:t>£15,345</w:t>
            </w:r>
          </w:p>
        </w:tc>
      </w:tr>
      <w:tr w:rsidR="005E528D" w:rsidRPr="005E528D" w14:paraId="0840925C" w14:textId="77777777" w:rsidTr="00327A22">
        <w:trPr>
          <w:trHeight w:val="300"/>
        </w:trPr>
        <w:tc>
          <w:tcPr>
            <w:tcW w:w="6227" w:type="dxa"/>
            <w:tcBorders>
              <w:top w:val="nil"/>
              <w:left w:val="single" w:sz="8" w:space="0" w:color="auto"/>
              <w:bottom w:val="single" w:sz="8" w:space="0" w:color="auto"/>
              <w:right w:val="single" w:sz="8" w:space="0" w:color="auto"/>
            </w:tcBorders>
            <w:noWrap/>
            <w:vAlign w:val="center"/>
            <w:hideMark/>
          </w:tcPr>
          <w:p w14:paraId="036F4511" w14:textId="77777777" w:rsidR="005E528D" w:rsidRPr="005E528D" w:rsidRDefault="005E528D" w:rsidP="00F546E7">
            <w:pPr>
              <w:spacing w:after="0"/>
              <w:rPr>
                <w:rFonts w:eastAsia="Times New Roman"/>
                <w:color w:val="000000"/>
                <w:sz w:val="20"/>
                <w:szCs w:val="20"/>
              </w:rPr>
            </w:pPr>
            <w:r w:rsidRPr="005E528D">
              <w:rPr>
                <w:rFonts w:eastAsia="Times New Roman"/>
                <w:color w:val="000000"/>
                <w:sz w:val="20"/>
                <w:szCs w:val="20"/>
              </w:rPr>
              <w:t>Communities of Hope Revenue</w:t>
            </w:r>
          </w:p>
        </w:tc>
        <w:tc>
          <w:tcPr>
            <w:tcW w:w="2694" w:type="dxa"/>
            <w:gridSpan w:val="2"/>
            <w:tcBorders>
              <w:top w:val="nil"/>
              <w:left w:val="nil"/>
              <w:bottom w:val="single" w:sz="8" w:space="0" w:color="auto"/>
              <w:right w:val="single" w:sz="8" w:space="0" w:color="auto"/>
            </w:tcBorders>
            <w:noWrap/>
            <w:vAlign w:val="center"/>
            <w:hideMark/>
          </w:tcPr>
          <w:p w14:paraId="5EB95D63" w14:textId="77777777" w:rsidR="005E528D" w:rsidRPr="005E528D" w:rsidRDefault="005E528D" w:rsidP="00F546E7">
            <w:pPr>
              <w:spacing w:after="0"/>
              <w:jc w:val="right"/>
              <w:rPr>
                <w:rFonts w:eastAsia="Times New Roman"/>
                <w:color w:val="000000"/>
                <w:sz w:val="20"/>
                <w:szCs w:val="20"/>
              </w:rPr>
            </w:pPr>
            <w:r w:rsidRPr="005E528D">
              <w:rPr>
                <w:rFonts w:eastAsia="Times New Roman"/>
                <w:color w:val="000000"/>
                <w:sz w:val="20"/>
                <w:szCs w:val="20"/>
              </w:rPr>
              <w:t>£225,000</w:t>
            </w:r>
          </w:p>
        </w:tc>
      </w:tr>
      <w:tr w:rsidR="005E528D" w:rsidRPr="005E528D" w14:paraId="7C415CC3" w14:textId="77777777" w:rsidTr="00327A22">
        <w:trPr>
          <w:trHeight w:val="300"/>
        </w:trPr>
        <w:tc>
          <w:tcPr>
            <w:tcW w:w="6227" w:type="dxa"/>
            <w:tcBorders>
              <w:top w:val="nil"/>
              <w:left w:val="single" w:sz="8" w:space="0" w:color="auto"/>
              <w:bottom w:val="single" w:sz="8" w:space="0" w:color="auto"/>
              <w:right w:val="single" w:sz="8" w:space="0" w:color="auto"/>
            </w:tcBorders>
            <w:noWrap/>
            <w:vAlign w:val="center"/>
            <w:hideMark/>
          </w:tcPr>
          <w:p w14:paraId="303B7C69" w14:textId="77777777" w:rsidR="005E528D" w:rsidRPr="005E528D" w:rsidRDefault="005E528D" w:rsidP="00F546E7">
            <w:pPr>
              <w:spacing w:after="0"/>
              <w:rPr>
                <w:rFonts w:eastAsia="Times New Roman"/>
                <w:color w:val="000000"/>
                <w:sz w:val="20"/>
                <w:szCs w:val="20"/>
              </w:rPr>
            </w:pPr>
            <w:r w:rsidRPr="005E528D">
              <w:rPr>
                <w:rFonts w:eastAsia="Times New Roman"/>
                <w:color w:val="000000"/>
                <w:sz w:val="20"/>
                <w:szCs w:val="20"/>
              </w:rPr>
              <w:t>Trial to Improve Flats Above Shops (FLASH) Recycling</w:t>
            </w:r>
          </w:p>
        </w:tc>
        <w:tc>
          <w:tcPr>
            <w:tcW w:w="2694" w:type="dxa"/>
            <w:gridSpan w:val="2"/>
            <w:tcBorders>
              <w:top w:val="nil"/>
              <w:left w:val="nil"/>
              <w:bottom w:val="single" w:sz="8" w:space="0" w:color="auto"/>
              <w:right w:val="single" w:sz="8" w:space="0" w:color="auto"/>
            </w:tcBorders>
            <w:noWrap/>
            <w:vAlign w:val="center"/>
            <w:hideMark/>
          </w:tcPr>
          <w:p w14:paraId="75208954" w14:textId="77777777" w:rsidR="005E528D" w:rsidRPr="005E528D" w:rsidRDefault="005E528D" w:rsidP="00F546E7">
            <w:pPr>
              <w:spacing w:after="0"/>
              <w:jc w:val="right"/>
              <w:rPr>
                <w:rFonts w:eastAsia="Times New Roman"/>
                <w:color w:val="000000"/>
                <w:sz w:val="20"/>
                <w:szCs w:val="20"/>
              </w:rPr>
            </w:pPr>
            <w:r w:rsidRPr="005E528D">
              <w:rPr>
                <w:rFonts w:eastAsia="Times New Roman"/>
                <w:color w:val="000000"/>
                <w:sz w:val="20"/>
                <w:szCs w:val="20"/>
              </w:rPr>
              <w:t>£44,144</w:t>
            </w:r>
          </w:p>
        </w:tc>
      </w:tr>
      <w:tr w:rsidR="005E528D" w:rsidRPr="005E528D" w14:paraId="283972DF" w14:textId="77777777" w:rsidTr="00327A22">
        <w:trPr>
          <w:trHeight w:val="300"/>
        </w:trPr>
        <w:tc>
          <w:tcPr>
            <w:tcW w:w="6227" w:type="dxa"/>
            <w:tcBorders>
              <w:top w:val="nil"/>
              <w:left w:val="single" w:sz="8" w:space="0" w:color="auto"/>
              <w:bottom w:val="single" w:sz="8" w:space="0" w:color="auto"/>
              <w:right w:val="single" w:sz="8" w:space="0" w:color="auto"/>
            </w:tcBorders>
            <w:noWrap/>
            <w:vAlign w:val="center"/>
            <w:hideMark/>
          </w:tcPr>
          <w:p w14:paraId="7290B1C7" w14:textId="77777777" w:rsidR="005E528D" w:rsidRPr="005E528D" w:rsidRDefault="005E528D" w:rsidP="00F546E7">
            <w:pPr>
              <w:spacing w:after="0"/>
              <w:rPr>
                <w:rFonts w:eastAsia="Times New Roman"/>
                <w:color w:val="000000"/>
                <w:sz w:val="20"/>
                <w:szCs w:val="20"/>
              </w:rPr>
            </w:pPr>
            <w:r w:rsidRPr="005E528D">
              <w:rPr>
                <w:rFonts w:eastAsia="Times New Roman"/>
                <w:color w:val="000000"/>
                <w:sz w:val="20"/>
                <w:szCs w:val="20"/>
              </w:rPr>
              <w:t xml:space="preserve">Carbon Offset Phase 3 Programme - Tree Planting </w:t>
            </w:r>
          </w:p>
        </w:tc>
        <w:tc>
          <w:tcPr>
            <w:tcW w:w="2694" w:type="dxa"/>
            <w:gridSpan w:val="2"/>
            <w:tcBorders>
              <w:top w:val="nil"/>
              <w:left w:val="nil"/>
              <w:bottom w:val="single" w:sz="8" w:space="0" w:color="auto"/>
              <w:right w:val="single" w:sz="8" w:space="0" w:color="auto"/>
            </w:tcBorders>
            <w:noWrap/>
            <w:vAlign w:val="center"/>
            <w:hideMark/>
          </w:tcPr>
          <w:p w14:paraId="340112C2" w14:textId="77777777" w:rsidR="005E528D" w:rsidRPr="005E528D" w:rsidRDefault="005E528D" w:rsidP="00F546E7">
            <w:pPr>
              <w:spacing w:after="0"/>
              <w:jc w:val="right"/>
              <w:rPr>
                <w:rFonts w:eastAsia="Times New Roman"/>
                <w:color w:val="000000"/>
                <w:sz w:val="20"/>
                <w:szCs w:val="20"/>
              </w:rPr>
            </w:pPr>
            <w:r w:rsidRPr="005E528D">
              <w:rPr>
                <w:rFonts w:eastAsia="Times New Roman"/>
                <w:color w:val="000000"/>
                <w:sz w:val="20"/>
                <w:szCs w:val="20"/>
              </w:rPr>
              <w:t>£500,000</w:t>
            </w:r>
          </w:p>
        </w:tc>
      </w:tr>
      <w:tr w:rsidR="00327A22" w:rsidRPr="005E528D" w14:paraId="62143880" w14:textId="77777777" w:rsidTr="00327A22">
        <w:trPr>
          <w:trHeight w:val="300"/>
        </w:trPr>
        <w:tc>
          <w:tcPr>
            <w:tcW w:w="6227" w:type="dxa"/>
            <w:tcBorders>
              <w:top w:val="single" w:sz="8" w:space="0" w:color="auto"/>
              <w:left w:val="single" w:sz="8" w:space="0" w:color="auto"/>
              <w:bottom w:val="single" w:sz="8" w:space="0" w:color="auto"/>
              <w:right w:val="single" w:sz="8" w:space="0" w:color="000000"/>
            </w:tcBorders>
            <w:shd w:val="clear" w:color="auto" w:fill="D9D9D9" w:themeFill="background1" w:themeFillShade="D9"/>
            <w:noWrap/>
            <w:vAlign w:val="center"/>
            <w:hideMark/>
          </w:tcPr>
          <w:p w14:paraId="388AACA2" w14:textId="77777777" w:rsidR="00327A22" w:rsidRPr="005E528D" w:rsidRDefault="00327A22" w:rsidP="00F546E7">
            <w:pPr>
              <w:spacing w:after="0"/>
              <w:rPr>
                <w:rFonts w:eastAsia="Times New Roman"/>
                <w:b/>
                <w:bCs/>
                <w:color w:val="000000"/>
                <w:sz w:val="20"/>
                <w:szCs w:val="20"/>
              </w:rPr>
            </w:pPr>
            <w:r w:rsidRPr="005E528D">
              <w:rPr>
                <w:rFonts w:eastAsia="Times New Roman"/>
                <w:b/>
                <w:bCs/>
                <w:color w:val="000000"/>
                <w:sz w:val="20"/>
                <w:szCs w:val="20"/>
              </w:rPr>
              <w:t>Community Infrastructure</w:t>
            </w:r>
          </w:p>
        </w:tc>
        <w:tc>
          <w:tcPr>
            <w:tcW w:w="2694" w:type="dxa"/>
            <w:gridSpan w:val="2"/>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tcPr>
          <w:p w14:paraId="3EF8990C" w14:textId="030D83EC" w:rsidR="00327A22" w:rsidRPr="005E528D" w:rsidRDefault="00327A22" w:rsidP="00F546E7">
            <w:pPr>
              <w:spacing w:after="0"/>
              <w:rPr>
                <w:rFonts w:eastAsia="Times New Roman"/>
                <w:b/>
                <w:bCs/>
                <w:color w:val="000000"/>
                <w:sz w:val="20"/>
                <w:szCs w:val="20"/>
              </w:rPr>
            </w:pPr>
          </w:p>
        </w:tc>
      </w:tr>
      <w:tr w:rsidR="005E528D" w:rsidRPr="005E528D" w14:paraId="471FF44C" w14:textId="77777777" w:rsidTr="00327A22">
        <w:trPr>
          <w:trHeight w:val="300"/>
        </w:trPr>
        <w:tc>
          <w:tcPr>
            <w:tcW w:w="6227" w:type="dxa"/>
            <w:tcBorders>
              <w:top w:val="nil"/>
              <w:left w:val="single" w:sz="8" w:space="0" w:color="auto"/>
              <w:bottom w:val="single" w:sz="8" w:space="0" w:color="auto"/>
              <w:right w:val="single" w:sz="8" w:space="0" w:color="auto"/>
            </w:tcBorders>
            <w:noWrap/>
            <w:vAlign w:val="center"/>
            <w:hideMark/>
          </w:tcPr>
          <w:p w14:paraId="3CC869DB" w14:textId="77777777" w:rsidR="005E528D" w:rsidRPr="005E528D" w:rsidRDefault="005E528D" w:rsidP="00F546E7">
            <w:pPr>
              <w:spacing w:after="0"/>
              <w:rPr>
                <w:rFonts w:eastAsia="Times New Roman"/>
                <w:color w:val="000000"/>
                <w:sz w:val="20"/>
                <w:szCs w:val="20"/>
              </w:rPr>
            </w:pPr>
            <w:r w:rsidRPr="005E528D">
              <w:rPr>
                <w:rFonts w:eastAsia="Times New Roman"/>
                <w:color w:val="000000"/>
                <w:sz w:val="20"/>
                <w:szCs w:val="20"/>
              </w:rPr>
              <w:t>King Edward Fountain</w:t>
            </w:r>
          </w:p>
        </w:tc>
        <w:tc>
          <w:tcPr>
            <w:tcW w:w="2694" w:type="dxa"/>
            <w:gridSpan w:val="2"/>
            <w:tcBorders>
              <w:top w:val="nil"/>
              <w:left w:val="nil"/>
              <w:bottom w:val="single" w:sz="8" w:space="0" w:color="auto"/>
              <w:right w:val="single" w:sz="8" w:space="0" w:color="auto"/>
            </w:tcBorders>
            <w:noWrap/>
            <w:vAlign w:val="center"/>
            <w:hideMark/>
          </w:tcPr>
          <w:p w14:paraId="6F91CADA" w14:textId="77777777" w:rsidR="005E528D" w:rsidRPr="005E528D" w:rsidRDefault="005E528D" w:rsidP="00F546E7">
            <w:pPr>
              <w:spacing w:after="0"/>
              <w:jc w:val="right"/>
              <w:rPr>
                <w:rFonts w:eastAsia="Times New Roman"/>
                <w:color w:val="000000"/>
                <w:sz w:val="20"/>
                <w:szCs w:val="20"/>
              </w:rPr>
            </w:pPr>
            <w:r w:rsidRPr="005E528D">
              <w:rPr>
                <w:rFonts w:eastAsia="Times New Roman"/>
                <w:color w:val="000000"/>
                <w:sz w:val="20"/>
                <w:szCs w:val="20"/>
              </w:rPr>
              <w:t>£14,620</w:t>
            </w:r>
          </w:p>
        </w:tc>
      </w:tr>
      <w:tr w:rsidR="005E528D" w:rsidRPr="005E528D" w14:paraId="467A3AAA" w14:textId="77777777" w:rsidTr="00327A22">
        <w:trPr>
          <w:trHeight w:val="300"/>
        </w:trPr>
        <w:tc>
          <w:tcPr>
            <w:tcW w:w="6227" w:type="dxa"/>
            <w:tcBorders>
              <w:top w:val="nil"/>
              <w:left w:val="single" w:sz="8" w:space="0" w:color="auto"/>
              <w:bottom w:val="single" w:sz="8" w:space="0" w:color="auto"/>
              <w:right w:val="single" w:sz="8" w:space="0" w:color="auto"/>
            </w:tcBorders>
            <w:noWrap/>
            <w:vAlign w:val="center"/>
            <w:hideMark/>
          </w:tcPr>
          <w:p w14:paraId="2FEBDF0D" w14:textId="77777777" w:rsidR="005E528D" w:rsidRPr="005E528D" w:rsidRDefault="005E528D" w:rsidP="00F546E7">
            <w:pPr>
              <w:spacing w:after="0"/>
              <w:rPr>
                <w:rFonts w:eastAsia="Times New Roman"/>
                <w:color w:val="000000"/>
                <w:sz w:val="20"/>
                <w:szCs w:val="20"/>
              </w:rPr>
            </w:pPr>
            <w:r w:rsidRPr="005E528D">
              <w:rPr>
                <w:rFonts w:eastAsia="Times New Roman"/>
                <w:color w:val="000000"/>
                <w:sz w:val="20"/>
                <w:szCs w:val="20"/>
              </w:rPr>
              <w:t>Mile End Pitches</w:t>
            </w:r>
          </w:p>
        </w:tc>
        <w:tc>
          <w:tcPr>
            <w:tcW w:w="2694" w:type="dxa"/>
            <w:gridSpan w:val="2"/>
            <w:tcBorders>
              <w:top w:val="nil"/>
              <w:left w:val="nil"/>
              <w:bottom w:val="single" w:sz="8" w:space="0" w:color="auto"/>
              <w:right w:val="single" w:sz="8" w:space="0" w:color="auto"/>
            </w:tcBorders>
            <w:noWrap/>
            <w:vAlign w:val="center"/>
            <w:hideMark/>
          </w:tcPr>
          <w:p w14:paraId="06D8CE97" w14:textId="77777777" w:rsidR="005E528D" w:rsidRPr="005E528D" w:rsidRDefault="005E528D" w:rsidP="00F546E7">
            <w:pPr>
              <w:spacing w:after="0"/>
              <w:jc w:val="right"/>
              <w:rPr>
                <w:rFonts w:eastAsia="Times New Roman"/>
                <w:color w:val="000000"/>
                <w:sz w:val="20"/>
                <w:szCs w:val="20"/>
              </w:rPr>
            </w:pPr>
            <w:r w:rsidRPr="005E528D">
              <w:rPr>
                <w:rFonts w:eastAsia="Times New Roman"/>
                <w:color w:val="000000"/>
                <w:sz w:val="20"/>
                <w:szCs w:val="20"/>
              </w:rPr>
              <w:t>£89,594</w:t>
            </w:r>
          </w:p>
        </w:tc>
      </w:tr>
      <w:tr w:rsidR="00327A22" w:rsidRPr="005E528D" w14:paraId="56ADC376" w14:textId="77777777" w:rsidTr="00327A22">
        <w:trPr>
          <w:trHeight w:val="300"/>
        </w:trPr>
        <w:tc>
          <w:tcPr>
            <w:tcW w:w="6227" w:type="dxa"/>
            <w:tcBorders>
              <w:top w:val="nil"/>
              <w:left w:val="single" w:sz="8" w:space="0" w:color="auto"/>
              <w:bottom w:val="single" w:sz="8" w:space="0" w:color="auto"/>
              <w:right w:val="nil"/>
            </w:tcBorders>
            <w:shd w:val="clear" w:color="auto" w:fill="D9D9D9" w:themeFill="background1" w:themeFillShade="D9"/>
            <w:noWrap/>
            <w:vAlign w:val="center"/>
            <w:hideMark/>
          </w:tcPr>
          <w:p w14:paraId="612BA62E" w14:textId="77777777" w:rsidR="00F37804" w:rsidRDefault="00F37804" w:rsidP="00F546E7">
            <w:pPr>
              <w:spacing w:after="0"/>
              <w:rPr>
                <w:rFonts w:eastAsia="Times New Roman"/>
                <w:b/>
                <w:bCs/>
                <w:color w:val="000000"/>
                <w:sz w:val="20"/>
                <w:szCs w:val="20"/>
              </w:rPr>
            </w:pPr>
          </w:p>
          <w:p w14:paraId="08F0C76F" w14:textId="2804F4AF" w:rsidR="00327A22" w:rsidRPr="005E528D" w:rsidRDefault="00327A22" w:rsidP="00F546E7">
            <w:pPr>
              <w:spacing w:after="0"/>
              <w:rPr>
                <w:rFonts w:eastAsia="Times New Roman"/>
                <w:b/>
                <w:bCs/>
                <w:color w:val="000000"/>
                <w:sz w:val="20"/>
                <w:szCs w:val="20"/>
              </w:rPr>
            </w:pPr>
            <w:r w:rsidRPr="005E528D">
              <w:rPr>
                <w:rFonts w:eastAsia="Times New Roman"/>
                <w:b/>
                <w:bCs/>
                <w:color w:val="000000"/>
                <w:sz w:val="20"/>
                <w:szCs w:val="20"/>
              </w:rPr>
              <w:lastRenderedPageBreak/>
              <w:t>Health Infrastructure</w:t>
            </w:r>
          </w:p>
        </w:tc>
        <w:tc>
          <w:tcPr>
            <w:tcW w:w="236" w:type="dxa"/>
            <w:tcBorders>
              <w:top w:val="nil"/>
              <w:left w:val="single" w:sz="8" w:space="0" w:color="auto"/>
              <w:bottom w:val="single" w:sz="8" w:space="0" w:color="auto"/>
              <w:right w:val="nil"/>
            </w:tcBorders>
            <w:shd w:val="clear" w:color="auto" w:fill="D9D9D9" w:themeFill="background1" w:themeFillShade="D9"/>
            <w:vAlign w:val="center"/>
          </w:tcPr>
          <w:p w14:paraId="5A29745B" w14:textId="64D2E039" w:rsidR="00327A22" w:rsidRPr="005E528D" w:rsidRDefault="00327A22" w:rsidP="00F546E7">
            <w:pPr>
              <w:spacing w:after="0"/>
              <w:rPr>
                <w:rFonts w:eastAsia="Times New Roman"/>
                <w:b/>
                <w:bCs/>
                <w:color w:val="000000"/>
                <w:sz w:val="20"/>
                <w:szCs w:val="20"/>
              </w:rPr>
            </w:pPr>
          </w:p>
        </w:tc>
        <w:tc>
          <w:tcPr>
            <w:tcW w:w="2458" w:type="dxa"/>
            <w:tcBorders>
              <w:top w:val="nil"/>
              <w:left w:val="nil"/>
              <w:bottom w:val="single" w:sz="8" w:space="0" w:color="auto"/>
              <w:right w:val="single" w:sz="8" w:space="0" w:color="auto"/>
            </w:tcBorders>
            <w:shd w:val="clear" w:color="auto" w:fill="D9D9D9" w:themeFill="background1" w:themeFillShade="D9"/>
            <w:noWrap/>
            <w:vAlign w:val="center"/>
            <w:hideMark/>
          </w:tcPr>
          <w:p w14:paraId="0361B6C8" w14:textId="77777777" w:rsidR="00327A22" w:rsidRPr="005E528D" w:rsidRDefault="00327A22" w:rsidP="00F546E7">
            <w:pPr>
              <w:spacing w:after="0"/>
              <w:rPr>
                <w:rFonts w:eastAsia="Times New Roman"/>
                <w:b/>
                <w:bCs/>
                <w:color w:val="000000"/>
                <w:sz w:val="20"/>
                <w:szCs w:val="20"/>
              </w:rPr>
            </w:pPr>
            <w:r w:rsidRPr="005E528D">
              <w:rPr>
                <w:rFonts w:eastAsia="Times New Roman"/>
                <w:b/>
                <w:bCs/>
                <w:color w:val="000000"/>
                <w:sz w:val="20"/>
                <w:szCs w:val="20"/>
              </w:rPr>
              <w:t> </w:t>
            </w:r>
          </w:p>
        </w:tc>
      </w:tr>
      <w:tr w:rsidR="005E528D" w:rsidRPr="005E528D" w14:paraId="59FADC37" w14:textId="77777777" w:rsidTr="00327A22">
        <w:trPr>
          <w:trHeight w:val="300"/>
        </w:trPr>
        <w:tc>
          <w:tcPr>
            <w:tcW w:w="6227" w:type="dxa"/>
            <w:tcBorders>
              <w:top w:val="nil"/>
              <w:left w:val="single" w:sz="8" w:space="0" w:color="auto"/>
              <w:bottom w:val="single" w:sz="8" w:space="0" w:color="auto"/>
              <w:right w:val="single" w:sz="8" w:space="0" w:color="auto"/>
            </w:tcBorders>
            <w:noWrap/>
            <w:vAlign w:val="center"/>
            <w:hideMark/>
          </w:tcPr>
          <w:p w14:paraId="63307788" w14:textId="77777777" w:rsidR="005E528D" w:rsidRPr="005E528D" w:rsidRDefault="005E528D" w:rsidP="00F546E7">
            <w:pPr>
              <w:spacing w:after="0"/>
              <w:rPr>
                <w:rFonts w:eastAsia="Times New Roman"/>
                <w:color w:val="000000"/>
                <w:sz w:val="20"/>
                <w:szCs w:val="20"/>
              </w:rPr>
            </w:pPr>
            <w:r w:rsidRPr="005E528D">
              <w:rPr>
                <w:rFonts w:eastAsia="Times New Roman"/>
                <w:color w:val="000000"/>
                <w:sz w:val="20"/>
                <w:szCs w:val="20"/>
              </w:rPr>
              <w:t>King Edward Fountain</w:t>
            </w:r>
          </w:p>
        </w:tc>
        <w:tc>
          <w:tcPr>
            <w:tcW w:w="2694" w:type="dxa"/>
            <w:gridSpan w:val="2"/>
            <w:tcBorders>
              <w:top w:val="nil"/>
              <w:left w:val="nil"/>
              <w:bottom w:val="single" w:sz="8" w:space="0" w:color="auto"/>
              <w:right w:val="single" w:sz="8" w:space="0" w:color="auto"/>
            </w:tcBorders>
            <w:noWrap/>
            <w:vAlign w:val="center"/>
            <w:hideMark/>
          </w:tcPr>
          <w:p w14:paraId="55668B4D" w14:textId="77777777" w:rsidR="005E528D" w:rsidRPr="005E528D" w:rsidRDefault="005E528D" w:rsidP="00F546E7">
            <w:pPr>
              <w:spacing w:after="0"/>
              <w:jc w:val="right"/>
              <w:rPr>
                <w:rFonts w:eastAsia="Times New Roman"/>
                <w:color w:val="000000"/>
                <w:sz w:val="20"/>
                <w:szCs w:val="20"/>
              </w:rPr>
            </w:pPr>
            <w:r w:rsidRPr="005E528D">
              <w:rPr>
                <w:rFonts w:eastAsia="Times New Roman"/>
                <w:color w:val="000000"/>
                <w:sz w:val="20"/>
                <w:szCs w:val="20"/>
              </w:rPr>
              <w:t>£56,580</w:t>
            </w:r>
          </w:p>
        </w:tc>
      </w:tr>
      <w:tr w:rsidR="00327A22" w:rsidRPr="005E528D" w14:paraId="11AFF972" w14:textId="77777777" w:rsidTr="00327A22">
        <w:trPr>
          <w:trHeight w:val="300"/>
        </w:trPr>
        <w:tc>
          <w:tcPr>
            <w:tcW w:w="6227" w:type="dxa"/>
            <w:tcBorders>
              <w:top w:val="nil"/>
              <w:left w:val="single" w:sz="8" w:space="0" w:color="auto"/>
              <w:bottom w:val="single" w:sz="8" w:space="0" w:color="auto"/>
              <w:right w:val="single" w:sz="8" w:space="0" w:color="auto"/>
            </w:tcBorders>
            <w:shd w:val="clear" w:color="auto" w:fill="D0CECE" w:themeFill="background2" w:themeFillShade="E6"/>
            <w:noWrap/>
            <w:vAlign w:val="center"/>
          </w:tcPr>
          <w:p w14:paraId="10BDA6D3" w14:textId="03DB9663" w:rsidR="00327A22" w:rsidRPr="005E528D" w:rsidRDefault="00327A22" w:rsidP="00F546E7">
            <w:pPr>
              <w:spacing w:after="0"/>
              <w:rPr>
                <w:rFonts w:eastAsia="Times New Roman"/>
                <w:color w:val="000000"/>
                <w:sz w:val="20"/>
                <w:szCs w:val="20"/>
              </w:rPr>
            </w:pPr>
            <w:r w:rsidRPr="005E528D">
              <w:rPr>
                <w:rFonts w:eastAsia="Times New Roman"/>
                <w:b/>
                <w:bCs/>
                <w:color w:val="000000"/>
                <w:sz w:val="20"/>
                <w:szCs w:val="20"/>
              </w:rPr>
              <w:t>Landscape and Open Space</w:t>
            </w:r>
          </w:p>
        </w:tc>
        <w:tc>
          <w:tcPr>
            <w:tcW w:w="2694" w:type="dxa"/>
            <w:gridSpan w:val="2"/>
            <w:tcBorders>
              <w:top w:val="nil"/>
              <w:left w:val="nil"/>
              <w:bottom w:val="single" w:sz="8" w:space="0" w:color="auto"/>
              <w:right w:val="single" w:sz="8" w:space="0" w:color="auto"/>
            </w:tcBorders>
            <w:shd w:val="clear" w:color="auto" w:fill="D0CECE" w:themeFill="background2" w:themeFillShade="E6"/>
            <w:noWrap/>
            <w:vAlign w:val="center"/>
          </w:tcPr>
          <w:p w14:paraId="56B5A60C" w14:textId="77777777" w:rsidR="00327A22" w:rsidRPr="005E528D" w:rsidRDefault="00327A22" w:rsidP="00F546E7">
            <w:pPr>
              <w:spacing w:after="0"/>
              <w:jc w:val="right"/>
              <w:rPr>
                <w:rFonts w:eastAsia="Times New Roman"/>
                <w:color w:val="000000"/>
                <w:sz w:val="20"/>
                <w:szCs w:val="20"/>
              </w:rPr>
            </w:pPr>
          </w:p>
        </w:tc>
      </w:tr>
      <w:tr w:rsidR="005E528D" w:rsidRPr="005E528D" w14:paraId="148A20F9" w14:textId="77777777" w:rsidTr="00327A22">
        <w:trPr>
          <w:trHeight w:val="300"/>
        </w:trPr>
        <w:tc>
          <w:tcPr>
            <w:tcW w:w="6227" w:type="dxa"/>
            <w:tcBorders>
              <w:top w:val="nil"/>
              <w:left w:val="single" w:sz="8" w:space="0" w:color="auto"/>
              <w:bottom w:val="single" w:sz="8" w:space="0" w:color="auto"/>
              <w:right w:val="single" w:sz="8" w:space="0" w:color="auto"/>
            </w:tcBorders>
            <w:noWrap/>
            <w:vAlign w:val="center"/>
            <w:hideMark/>
          </w:tcPr>
          <w:p w14:paraId="021F220B" w14:textId="77777777" w:rsidR="005E528D" w:rsidRPr="005E528D" w:rsidRDefault="005E528D" w:rsidP="00F546E7">
            <w:pPr>
              <w:spacing w:after="0"/>
              <w:rPr>
                <w:rFonts w:eastAsia="Times New Roman"/>
                <w:color w:val="000000"/>
                <w:sz w:val="20"/>
                <w:szCs w:val="20"/>
              </w:rPr>
            </w:pPr>
            <w:r w:rsidRPr="005E528D">
              <w:rPr>
                <w:rFonts w:eastAsia="Times New Roman"/>
                <w:color w:val="000000"/>
                <w:sz w:val="20"/>
                <w:szCs w:val="20"/>
              </w:rPr>
              <w:t>Limehouse Fields</w:t>
            </w:r>
          </w:p>
        </w:tc>
        <w:tc>
          <w:tcPr>
            <w:tcW w:w="2694" w:type="dxa"/>
            <w:gridSpan w:val="2"/>
            <w:tcBorders>
              <w:top w:val="nil"/>
              <w:left w:val="nil"/>
              <w:bottom w:val="single" w:sz="8" w:space="0" w:color="auto"/>
              <w:right w:val="single" w:sz="8" w:space="0" w:color="auto"/>
            </w:tcBorders>
            <w:noWrap/>
            <w:vAlign w:val="center"/>
            <w:hideMark/>
          </w:tcPr>
          <w:p w14:paraId="7F69AFCC" w14:textId="77777777" w:rsidR="005E528D" w:rsidRPr="005E528D" w:rsidRDefault="005E528D" w:rsidP="00F546E7">
            <w:pPr>
              <w:spacing w:after="0"/>
              <w:jc w:val="right"/>
              <w:rPr>
                <w:rFonts w:eastAsia="Times New Roman"/>
                <w:color w:val="000000"/>
                <w:sz w:val="20"/>
                <w:szCs w:val="20"/>
              </w:rPr>
            </w:pPr>
            <w:r w:rsidRPr="005E528D">
              <w:rPr>
                <w:rFonts w:eastAsia="Times New Roman"/>
                <w:color w:val="000000"/>
                <w:sz w:val="20"/>
                <w:szCs w:val="20"/>
              </w:rPr>
              <w:t>£202,230</w:t>
            </w:r>
          </w:p>
        </w:tc>
      </w:tr>
      <w:tr w:rsidR="005E528D" w:rsidRPr="005E528D" w14:paraId="2A1D46D6" w14:textId="77777777" w:rsidTr="00327A22">
        <w:trPr>
          <w:trHeight w:val="300"/>
        </w:trPr>
        <w:tc>
          <w:tcPr>
            <w:tcW w:w="6227" w:type="dxa"/>
            <w:tcBorders>
              <w:top w:val="nil"/>
              <w:left w:val="single" w:sz="8" w:space="0" w:color="auto"/>
              <w:bottom w:val="single" w:sz="8" w:space="0" w:color="auto"/>
              <w:right w:val="single" w:sz="8" w:space="0" w:color="auto"/>
            </w:tcBorders>
            <w:noWrap/>
            <w:vAlign w:val="center"/>
            <w:hideMark/>
          </w:tcPr>
          <w:p w14:paraId="121F9E3E" w14:textId="77777777" w:rsidR="005E528D" w:rsidRPr="005E528D" w:rsidRDefault="005E528D" w:rsidP="00F546E7">
            <w:pPr>
              <w:spacing w:after="0"/>
              <w:rPr>
                <w:rFonts w:eastAsia="Times New Roman"/>
                <w:color w:val="000000"/>
                <w:sz w:val="20"/>
                <w:szCs w:val="20"/>
              </w:rPr>
            </w:pPr>
            <w:r w:rsidRPr="005E528D">
              <w:rPr>
                <w:rFonts w:eastAsia="Times New Roman"/>
                <w:color w:val="000000"/>
                <w:sz w:val="20"/>
                <w:szCs w:val="20"/>
              </w:rPr>
              <w:t>Parks – Tower Hamlets Homes (THH) Improvements</w:t>
            </w:r>
          </w:p>
        </w:tc>
        <w:tc>
          <w:tcPr>
            <w:tcW w:w="2694" w:type="dxa"/>
            <w:gridSpan w:val="2"/>
            <w:tcBorders>
              <w:top w:val="nil"/>
              <w:left w:val="nil"/>
              <w:bottom w:val="single" w:sz="8" w:space="0" w:color="auto"/>
              <w:right w:val="single" w:sz="8" w:space="0" w:color="auto"/>
            </w:tcBorders>
            <w:noWrap/>
            <w:vAlign w:val="center"/>
            <w:hideMark/>
          </w:tcPr>
          <w:p w14:paraId="62066353" w14:textId="77777777" w:rsidR="005E528D" w:rsidRPr="005E528D" w:rsidRDefault="005E528D" w:rsidP="00F546E7">
            <w:pPr>
              <w:spacing w:after="0"/>
              <w:jc w:val="right"/>
              <w:rPr>
                <w:rFonts w:eastAsia="Times New Roman"/>
                <w:color w:val="000000"/>
                <w:sz w:val="20"/>
                <w:szCs w:val="20"/>
              </w:rPr>
            </w:pPr>
            <w:r w:rsidRPr="005E528D">
              <w:rPr>
                <w:rFonts w:eastAsia="Times New Roman"/>
                <w:color w:val="000000"/>
                <w:sz w:val="20"/>
                <w:szCs w:val="20"/>
              </w:rPr>
              <w:t>£150,000</w:t>
            </w:r>
          </w:p>
        </w:tc>
      </w:tr>
      <w:tr w:rsidR="00327A22" w:rsidRPr="005E528D" w14:paraId="03FE08BE" w14:textId="77777777" w:rsidTr="00327A22">
        <w:trPr>
          <w:trHeight w:val="300"/>
        </w:trPr>
        <w:tc>
          <w:tcPr>
            <w:tcW w:w="6227" w:type="dxa"/>
            <w:tcBorders>
              <w:top w:val="nil"/>
              <w:left w:val="single" w:sz="8" w:space="0" w:color="auto"/>
              <w:bottom w:val="single" w:sz="8" w:space="0" w:color="auto"/>
              <w:right w:val="single" w:sz="8" w:space="0" w:color="auto"/>
            </w:tcBorders>
            <w:shd w:val="clear" w:color="auto" w:fill="D0CECE" w:themeFill="background2" w:themeFillShade="E6"/>
            <w:noWrap/>
            <w:vAlign w:val="center"/>
          </w:tcPr>
          <w:p w14:paraId="4A3D7084" w14:textId="207A7C9E" w:rsidR="00327A22" w:rsidRPr="005E528D" w:rsidRDefault="00327A22" w:rsidP="00F546E7">
            <w:pPr>
              <w:spacing w:after="0"/>
              <w:rPr>
                <w:rFonts w:eastAsia="Times New Roman"/>
                <w:color w:val="000000"/>
                <w:sz w:val="20"/>
                <w:szCs w:val="20"/>
              </w:rPr>
            </w:pPr>
            <w:r w:rsidRPr="005E528D">
              <w:rPr>
                <w:rFonts w:eastAsia="Times New Roman"/>
                <w:b/>
                <w:bCs/>
                <w:color w:val="000000"/>
                <w:sz w:val="20"/>
                <w:szCs w:val="20"/>
              </w:rPr>
              <w:t>Leisure Infrastructure</w:t>
            </w:r>
          </w:p>
        </w:tc>
        <w:tc>
          <w:tcPr>
            <w:tcW w:w="2694" w:type="dxa"/>
            <w:gridSpan w:val="2"/>
            <w:tcBorders>
              <w:top w:val="nil"/>
              <w:left w:val="nil"/>
              <w:bottom w:val="single" w:sz="8" w:space="0" w:color="auto"/>
              <w:right w:val="single" w:sz="8" w:space="0" w:color="auto"/>
            </w:tcBorders>
            <w:shd w:val="clear" w:color="auto" w:fill="D0CECE" w:themeFill="background2" w:themeFillShade="E6"/>
            <w:noWrap/>
            <w:vAlign w:val="center"/>
          </w:tcPr>
          <w:p w14:paraId="321252C4" w14:textId="77777777" w:rsidR="00327A22" w:rsidRPr="005E528D" w:rsidRDefault="00327A22" w:rsidP="00F546E7">
            <w:pPr>
              <w:spacing w:after="0"/>
              <w:jc w:val="right"/>
              <w:rPr>
                <w:rFonts w:eastAsia="Times New Roman"/>
                <w:color w:val="000000"/>
                <w:sz w:val="20"/>
                <w:szCs w:val="20"/>
              </w:rPr>
            </w:pPr>
          </w:p>
        </w:tc>
      </w:tr>
      <w:tr w:rsidR="005E528D" w:rsidRPr="005E528D" w14:paraId="39C82CF8" w14:textId="77777777" w:rsidTr="00327A22">
        <w:trPr>
          <w:trHeight w:val="300"/>
        </w:trPr>
        <w:tc>
          <w:tcPr>
            <w:tcW w:w="6227" w:type="dxa"/>
            <w:tcBorders>
              <w:top w:val="nil"/>
              <w:left w:val="single" w:sz="8" w:space="0" w:color="auto"/>
              <w:bottom w:val="single" w:sz="8" w:space="0" w:color="auto"/>
              <w:right w:val="single" w:sz="8" w:space="0" w:color="auto"/>
            </w:tcBorders>
            <w:noWrap/>
            <w:vAlign w:val="center"/>
            <w:hideMark/>
          </w:tcPr>
          <w:p w14:paraId="3B1E2ED9" w14:textId="77777777" w:rsidR="005E528D" w:rsidRPr="005E528D" w:rsidRDefault="005E528D" w:rsidP="00F546E7">
            <w:pPr>
              <w:spacing w:after="0"/>
              <w:rPr>
                <w:rFonts w:eastAsia="Times New Roman"/>
                <w:color w:val="000000"/>
                <w:sz w:val="20"/>
                <w:szCs w:val="20"/>
              </w:rPr>
            </w:pPr>
            <w:r w:rsidRPr="005E528D">
              <w:rPr>
                <w:rFonts w:eastAsia="Times New Roman"/>
                <w:color w:val="000000"/>
                <w:sz w:val="20"/>
                <w:szCs w:val="20"/>
              </w:rPr>
              <w:t>Mile End Pitches</w:t>
            </w:r>
          </w:p>
        </w:tc>
        <w:tc>
          <w:tcPr>
            <w:tcW w:w="2694" w:type="dxa"/>
            <w:gridSpan w:val="2"/>
            <w:tcBorders>
              <w:top w:val="nil"/>
              <w:left w:val="nil"/>
              <w:bottom w:val="single" w:sz="8" w:space="0" w:color="auto"/>
              <w:right w:val="single" w:sz="8" w:space="0" w:color="auto"/>
            </w:tcBorders>
            <w:noWrap/>
            <w:vAlign w:val="center"/>
            <w:hideMark/>
          </w:tcPr>
          <w:p w14:paraId="0FF80AEF" w14:textId="77777777" w:rsidR="005E528D" w:rsidRPr="005E528D" w:rsidRDefault="005E528D" w:rsidP="00F546E7">
            <w:pPr>
              <w:spacing w:after="0"/>
              <w:jc w:val="right"/>
              <w:rPr>
                <w:rFonts w:eastAsia="Times New Roman"/>
                <w:color w:val="000000"/>
                <w:sz w:val="20"/>
                <w:szCs w:val="20"/>
              </w:rPr>
            </w:pPr>
            <w:r w:rsidRPr="005E528D">
              <w:rPr>
                <w:rFonts w:eastAsia="Times New Roman"/>
                <w:color w:val="000000"/>
                <w:sz w:val="20"/>
                <w:szCs w:val="20"/>
              </w:rPr>
              <w:t>£118,505</w:t>
            </w:r>
          </w:p>
        </w:tc>
      </w:tr>
      <w:tr w:rsidR="005E528D" w:rsidRPr="005E528D" w14:paraId="28010527" w14:textId="77777777" w:rsidTr="00327A22">
        <w:trPr>
          <w:trHeight w:val="300"/>
        </w:trPr>
        <w:tc>
          <w:tcPr>
            <w:tcW w:w="6227" w:type="dxa"/>
            <w:tcBorders>
              <w:top w:val="nil"/>
              <w:left w:val="single" w:sz="8" w:space="0" w:color="auto"/>
              <w:bottom w:val="single" w:sz="8" w:space="0" w:color="auto"/>
              <w:right w:val="single" w:sz="8" w:space="0" w:color="auto"/>
            </w:tcBorders>
            <w:noWrap/>
            <w:vAlign w:val="center"/>
            <w:hideMark/>
          </w:tcPr>
          <w:p w14:paraId="4F71FE22" w14:textId="77777777" w:rsidR="005E528D" w:rsidRPr="005E528D" w:rsidRDefault="005E528D" w:rsidP="00F546E7">
            <w:pPr>
              <w:spacing w:after="0"/>
              <w:rPr>
                <w:rFonts w:eastAsia="Times New Roman"/>
                <w:color w:val="000000"/>
                <w:sz w:val="20"/>
                <w:szCs w:val="20"/>
              </w:rPr>
            </w:pPr>
            <w:r w:rsidRPr="005E528D">
              <w:rPr>
                <w:rFonts w:eastAsia="Times New Roman"/>
                <w:color w:val="000000"/>
                <w:sz w:val="20"/>
                <w:szCs w:val="20"/>
              </w:rPr>
              <w:t>Be Well</w:t>
            </w:r>
          </w:p>
        </w:tc>
        <w:tc>
          <w:tcPr>
            <w:tcW w:w="2694" w:type="dxa"/>
            <w:gridSpan w:val="2"/>
            <w:tcBorders>
              <w:top w:val="nil"/>
              <w:left w:val="nil"/>
              <w:bottom w:val="single" w:sz="8" w:space="0" w:color="auto"/>
              <w:right w:val="single" w:sz="8" w:space="0" w:color="auto"/>
            </w:tcBorders>
            <w:noWrap/>
            <w:vAlign w:val="center"/>
            <w:hideMark/>
          </w:tcPr>
          <w:p w14:paraId="632F4899" w14:textId="77777777" w:rsidR="005E528D" w:rsidRPr="005E528D" w:rsidRDefault="005E528D" w:rsidP="00F546E7">
            <w:pPr>
              <w:spacing w:after="0"/>
              <w:jc w:val="right"/>
              <w:rPr>
                <w:rFonts w:eastAsia="Times New Roman"/>
                <w:color w:val="000000"/>
                <w:sz w:val="20"/>
                <w:szCs w:val="20"/>
              </w:rPr>
            </w:pPr>
            <w:r w:rsidRPr="005E528D">
              <w:rPr>
                <w:rFonts w:eastAsia="Times New Roman"/>
                <w:color w:val="000000"/>
                <w:sz w:val="20"/>
                <w:szCs w:val="20"/>
              </w:rPr>
              <w:t>£1,477,807</w:t>
            </w:r>
          </w:p>
        </w:tc>
      </w:tr>
      <w:tr w:rsidR="00327A22" w:rsidRPr="005E528D" w14:paraId="12D1FCD2" w14:textId="77777777" w:rsidTr="00327A22">
        <w:trPr>
          <w:trHeight w:val="300"/>
        </w:trPr>
        <w:tc>
          <w:tcPr>
            <w:tcW w:w="6227" w:type="dxa"/>
            <w:tcBorders>
              <w:top w:val="nil"/>
              <w:left w:val="single" w:sz="8" w:space="0" w:color="auto"/>
              <w:bottom w:val="single" w:sz="8" w:space="0" w:color="auto"/>
              <w:right w:val="single" w:sz="8" w:space="0" w:color="auto"/>
            </w:tcBorders>
            <w:shd w:val="clear" w:color="auto" w:fill="D0CECE" w:themeFill="background2" w:themeFillShade="E6"/>
            <w:noWrap/>
            <w:vAlign w:val="center"/>
          </w:tcPr>
          <w:p w14:paraId="01BD36AE" w14:textId="6E403CAC" w:rsidR="00327A22" w:rsidRPr="005E528D" w:rsidRDefault="00327A22" w:rsidP="00F546E7">
            <w:pPr>
              <w:spacing w:after="0"/>
              <w:rPr>
                <w:rFonts w:eastAsia="Times New Roman"/>
                <w:color w:val="000000"/>
                <w:sz w:val="20"/>
                <w:szCs w:val="20"/>
              </w:rPr>
            </w:pPr>
            <w:r w:rsidRPr="005E528D">
              <w:rPr>
                <w:rFonts w:eastAsia="Times New Roman"/>
                <w:b/>
                <w:bCs/>
                <w:color w:val="000000"/>
                <w:sz w:val="20"/>
                <w:szCs w:val="20"/>
              </w:rPr>
              <w:t>London Thames Gateway Development</w:t>
            </w:r>
          </w:p>
        </w:tc>
        <w:tc>
          <w:tcPr>
            <w:tcW w:w="2694" w:type="dxa"/>
            <w:gridSpan w:val="2"/>
            <w:tcBorders>
              <w:top w:val="nil"/>
              <w:left w:val="nil"/>
              <w:bottom w:val="single" w:sz="8" w:space="0" w:color="auto"/>
              <w:right w:val="single" w:sz="8" w:space="0" w:color="auto"/>
            </w:tcBorders>
            <w:shd w:val="clear" w:color="auto" w:fill="D0CECE" w:themeFill="background2" w:themeFillShade="E6"/>
            <w:noWrap/>
            <w:vAlign w:val="center"/>
          </w:tcPr>
          <w:p w14:paraId="52E769C8" w14:textId="77777777" w:rsidR="00327A22" w:rsidRPr="005E528D" w:rsidRDefault="00327A22" w:rsidP="00F546E7">
            <w:pPr>
              <w:spacing w:after="0"/>
              <w:jc w:val="right"/>
              <w:rPr>
                <w:rFonts w:eastAsia="Times New Roman"/>
                <w:color w:val="000000"/>
                <w:sz w:val="20"/>
                <w:szCs w:val="20"/>
              </w:rPr>
            </w:pPr>
          </w:p>
        </w:tc>
      </w:tr>
      <w:tr w:rsidR="005E528D" w:rsidRPr="005E528D" w14:paraId="3712B688" w14:textId="77777777" w:rsidTr="00327A22">
        <w:trPr>
          <w:trHeight w:val="300"/>
        </w:trPr>
        <w:tc>
          <w:tcPr>
            <w:tcW w:w="6227" w:type="dxa"/>
            <w:tcBorders>
              <w:top w:val="nil"/>
              <w:left w:val="single" w:sz="8" w:space="0" w:color="auto"/>
              <w:bottom w:val="single" w:sz="8" w:space="0" w:color="auto"/>
              <w:right w:val="single" w:sz="8" w:space="0" w:color="auto"/>
            </w:tcBorders>
            <w:noWrap/>
            <w:vAlign w:val="center"/>
            <w:hideMark/>
          </w:tcPr>
          <w:p w14:paraId="6F2032E0" w14:textId="77777777" w:rsidR="005E528D" w:rsidRPr="005E528D" w:rsidRDefault="005E528D" w:rsidP="00F546E7">
            <w:pPr>
              <w:spacing w:after="0"/>
              <w:rPr>
                <w:rFonts w:eastAsia="Times New Roman"/>
                <w:color w:val="000000"/>
                <w:sz w:val="20"/>
                <w:szCs w:val="20"/>
              </w:rPr>
            </w:pPr>
            <w:r w:rsidRPr="005E528D">
              <w:rPr>
                <w:rFonts w:eastAsia="Times New Roman"/>
                <w:color w:val="000000"/>
                <w:sz w:val="20"/>
                <w:szCs w:val="20"/>
              </w:rPr>
              <w:t>Wick Lane</w:t>
            </w:r>
          </w:p>
        </w:tc>
        <w:tc>
          <w:tcPr>
            <w:tcW w:w="2694" w:type="dxa"/>
            <w:gridSpan w:val="2"/>
            <w:tcBorders>
              <w:top w:val="nil"/>
              <w:left w:val="nil"/>
              <w:bottom w:val="single" w:sz="8" w:space="0" w:color="auto"/>
              <w:right w:val="single" w:sz="8" w:space="0" w:color="auto"/>
            </w:tcBorders>
            <w:noWrap/>
            <w:vAlign w:val="center"/>
            <w:hideMark/>
          </w:tcPr>
          <w:p w14:paraId="414CB6EF" w14:textId="77777777" w:rsidR="005E528D" w:rsidRPr="005E528D" w:rsidRDefault="005E528D" w:rsidP="00F546E7">
            <w:pPr>
              <w:spacing w:after="0"/>
              <w:jc w:val="right"/>
              <w:rPr>
                <w:rFonts w:eastAsia="Times New Roman"/>
                <w:color w:val="000000"/>
                <w:sz w:val="20"/>
                <w:szCs w:val="20"/>
              </w:rPr>
            </w:pPr>
            <w:r w:rsidRPr="005E528D">
              <w:rPr>
                <w:rFonts w:eastAsia="Times New Roman"/>
                <w:color w:val="000000"/>
                <w:sz w:val="20"/>
                <w:szCs w:val="20"/>
              </w:rPr>
              <w:t>£250,000</w:t>
            </w:r>
          </w:p>
        </w:tc>
      </w:tr>
      <w:tr w:rsidR="00327A22" w:rsidRPr="005E528D" w14:paraId="4CEC9AA8" w14:textId="77777777" w:rsidTr="00327A22">
        <w:trPr>
          <w:trHeight w:val="360"/>
        </w:trPr>
        <w:tc>
          <w:tcPr>
            <w:tcW w:w="6227" w:type="dxa"/>
            <w:tcBorders>
              <w:top w:val="nil"/>
              <w:left w:val="single" w:sz="8" w:space="0" w:color="auto"/>
              <w:bottom w:val="single" w:sz="8" w:space="0" w:color="auto"/>
              <w:right w:val="single" w:sz="8" w:space="0" w:color="auto"/>
            </w:tcBorders>
            <w:shd w:val="clear" w:color="auto" w:fill="D0CECE" w:themeFill="background2" w:themeFillShade="E6"/>
            <w:vAlign w:val="center"/>
          </w:tcPr>
          <w:p w14:paraId="1AA92A51" w14:textId="3B99FAB7" w:rsidR="00327A22" w:rsidRPr="005E528D" w:rsidRDefault="00327A22" w:rsidP="00F546E7">
            <w:pPr>
              <w:spacing w:after="0"/>
              <w:rPr>
                <w:rFonts w:eastAsia="Times New Roman"/>
                <w:color w:val="000000"/>
                <w:sz w:val="20"/>
                <w:szCs w:val="20"/>
              </w:rPr>
            </w:pPr>
            <w:r w:rsidRPr="005E528D">
              <w:rPr>
                <w:rFonts w:eastAsia="Times New Roman"/>
                <w:b/>
                <w:bCs/>
                <w:color w:val="000000"/>
                <w:sz w:val="20"/>
                <w:szCs w:val="20"/>
              </w:rPr>
              <w:t>Public Realm Infrastructure</w:t>
            </w:r>
          </w:p>
        </w:tc>
        <w:tc>
          <w:tcPr>
            <w:tcW w:w="2694" w:type="dxa"/>
            <w:gridSpan w:val="2"/>
            <w:tcBorders>
              <w:top w:val="nil"/>
              <w:left w:val="nil"/>
              <w:bottom w:val="single" w:sz="8" w:space="0" w:color="auto"/>
              <w:right w:val="single" w:sz="8" w:space="0" w:color="auto"/>
            </w:tcBorders>
            <w:shd w:val="clear" w:color="auto" w:fill="D0CECE" w:themeFill="background2" w:themeFillShade="E6"/>
            <w:noWrap/>
            <w:vAlign w:val="center"/>
          </w:tcPr>
          <w:p w14:paraId="66C92064" w14:textId="77777777" w:rsidR="00327A22" w:rsidRPr="005E528D" w:rsidRDefault="00327A22" w:rsidP="00F546E7">
            <w:pPr>
              <w:spacing w:after="0"/>
              <w:jc w:val="right"/>
              <w:rPr>
                <w:rFonts w:eastAsia="Times New Roman"/>
                <w:color w:val="000000"/>
                <w:sz w:val="20"/>
                <w:szCs w:val="20"/>
              </w:rPr>
            </w:pPr>
          </w:p>
        </w:tc>
      </w:tr>
      <w:tr w:rsidR="005E528D" w:rsidRPr="005E528D" w14:paraId="2E671B78" w14:textId="77777777" w:rsidTr="00327A22">
        <w:trPr>
          <w:trHeight w:val="360"/>
        </w:trPr>
        <w:tc>
          <w:tcPr>
            <w:tcW w:w="6227" w:type="dxa"/>
            <w:tcBorders>
              <w:top w:val="nil"/>
              <w:left w:val="single" w:sz="8" w:space="0" w:color="auto"/>
              <w:bottom w:val="single" w:sz="8" w:space="0" w:color="auto"/>
              <w:right w:val="single" w:sz="8" w:space="0" w:color="auto"/>
            </w:tcBorders>
            <w:vAlign w:val="center"/>
            <w:hideMark/>
          </w:tcPr>
          <w:p w14:paraId="3B9AF031" w14:textId="77777777" w:rsidR="005E528D" w:rsidRPr="005E528D" w:rsidRDefault="005E528D" w:rsidP="00F546E7">
            <w:pPr>
              <w:spacing w:after="0"/>
              <w:rPr>
                <w:rFonts w:eastAsia="Times New Roman"/>
                <w:color w:val="000000"/>
                <w:sz w:val="20"/>
                <w:szCs w:val="20"/>
              </w:rPr>
            </w:pPr>
            <w:r w:rsidRPr="005E528D">
              <w:rPr>
                <w:rFonts w:eastAsia="Times New Roman"/>
                <w:color w:val="000000"/>
                <w:sz w:val="20"/>
                <w:szCs w:val="20"/>
              </w:rPr>
              <w:t>Public Realm Improvement Whitechapel Road Market Bins </w:t>
            </w:r>
          </w:p>
        </w:tc>
        <w:tc>
          <w:tcPr>
            <w:tcW w:w="2694" w:type="dxa"/>
            <w:gridSpan w:val="2"/>
            <w:tcBorders>
              <w:top w:val="nil"/>
              <w:left w:val="nil"/>
              <w:bottom w:val="single" w:sz="8" w:space="0" w:color="auto"/>
              <w:right w:val="single" w:sz="8" w:space="0" w:color="auto"/>
            </w:tcBorders>
            <w:noWrap/>
            <w:vAlign w:val="center"/>
            <w:hideMark/>
          </w:tcPr>
          <w:p w14:paraId="41FD5307" w14:textId="77777777" w:rsidR="005E528D" w:rsidRPr="005E528D" w:rsidRDefault="005E528D" w:rsidP="00F546E7">
            <w:pPr>
              <w:spacing w:after="0"/>
              <w:jc w:val="right"/>
              <w:rPr>
                <w:rFonts w:eastAsia="Times New Roman"/>
                <w:color w:val="000000"/>
                <w:sz w:val="20"/>
                <w:szCs w:val="20"/>
              </w:rPr>
            </w:pPr>
            <w:r w:rsidRPr="005E528D">
              <w:rPr>
                <w:rFonts w:eastAsia="Times New Roman"/>
                <w:color w:val="000000"/>
                <w:sz w:val="20"/>
                <w:szCs w:val="20"/>
              </w:rPr>
              <w:t>£960</w:t>
            </w:r>
          </w:p>
        </w:tc>
      </w:tr>
      <w:tr w:rsidR="005E528D" w:rsidRPr="005E528D" w14:paraId="4C75F4A2" w14:textId="77777777" w:rsidTr="00327A22">
        <w:trPr>
          <w:trHeight w:val="320"/>
        </w:trPr>
        <w:tc>
          <w:tcPr>
            <w:tcW w:w="6227" w:type="dxa"/>
            <w:tcBorders>
              <w:top w:val="nil"/>
              <w:left w:val="single" w:sz="8" w:space="0" w:color="auto"/>
              <w:bottom w:val="single" w:sz="8" w:space="0" w:color="auto"/>
              <w:right w:val="single" w:sz="8" w:space="0" w:color="auto"/>
            </w:tcBorders>
            <w:noWrap/>
            <w:vAlign w:val="center"/>
            <w:hideMark/>
          </w:tcPr>
          <w:p w14:paraId="4495A1F6" w14:textId="77777777" w:rsidR="005E528D" w:rsidRPr="005E528D" w:rsidRDefault="005E528D" w:rsidP="00F546E7">
            <w:pPr>
              <w:spacing w:after="0"/>
              <w:rPr>
                <w:rFonts w:eastAsia="Times New Roman"/>
                <w:color w:val="000000"/>
                <w:sz w:val="20"/>
                <w:szCs w:val="20"/>
              </w:rPr>
            </w:pPr>
            <w:r w:rsidRPr="005E528D">
              <w:rPr>
                <w:rFonts w:eastAsia="Times New Roman"/>
                <w:color w:val="000000"/>
                <w:sz w:val="20"/>
                <w:szCs w:val="20"/>
              </w:rPr>
              <w:t>Manchester Road</w:t>
            </w:r>
          </w:p>
        </w:tc>
        <w:tc>
          <w:tcPr>
            <w:tcW w:w="2694" w:type="dxa"/>
            <w:gridSpan w:val="2"/>
            <w:tcBorders>
              <w:top w:val="nil"/>
              <w:left w:val="nil"/>
              <w:bottom w:val="single" w:sz="8" w:space="0" w:color="auto"/>
              <w:right w:val="single" w:sz="8" w:space="0" w:color="auto"/>
            </w:tcBorders>
            <w:noWrap/>
            <w:vAlign w:val="center"/>
            <w:hideMark/>
          </w:tcPr>
          <w:p w14:paraId="3B732C44" w14:textId="77777777" w:rsidR="005E528D" w:rsidRPr="005E528D" w:rsidRDefault="005E528D" w:rsidP="00F546E7">
            <w:pPr>
              <w:spacing w:after="0"/>
              <w:jc w:val="right"/>
              <w:rPr>
                <w:rFonts w:eastAsia="Times New Roman"/>
                <w:color w:val="000000"/>
                <w:sz w:val="20"/>
                <w:szCs w:val="20"/>
              </w:rPr>
            </w:pPr>
            <w:r w:rsidRPr="005E528D">
              <w:rPr>
                <w:rFonts w:eastAsia="Times New Roman"/>
                <w:color w:val="000000"/>
                <w:sz w:val="20"/>
                <w:szCs w:val="20"/>
              </w:rPr>
              <w:t>£407,047</w:t>
            </w:r>
          </w:p>
        </w:tc>
      </w:tr>
      <w:tr w:rsidR="005E528D" w:rsidRPr="005E528D" w14:paraId="5DEA13DA" w14:textId="77777777" w:rsidTr="00327A22">
        <w:trPr>
          <w:trHeight w:val="300"/>
        </w:trPr>
        <w:tc>
          <w:tcPr>
            <w:tcW w:w="6227" w:type="dxa"/>
            <w:tcBorders>
              <w:top w:val="nil"/>
              <w:left w:val="single" w:sz="8" w:space="0" w:color="auto"/>
              <w:bottom w:val="single" w:sz="8" w:space="0" w:color="auto"/>
              <w:right w:val="single" w:sz="8" w:space="0" w:color="auto"/>
            </w:tcBorders>
            <w:noWrap/>
            <w:vAlign w:val="center"/>
            <w:hideMark/>
          </w:tcPr>
          <w:p w14:paraId="6436D313" w14:textId="77777777" w:rsidR="005E528D" w:rsidRPr="005E528D" w:rsidRDefault="005E528D" w:rsidP="00F546E7">
            <w:pPr>
              <w:spacing w:after="0"/>
              <w:rPr>
                <w:rFonts w:eastAsia="Times New Roman"/>
                <w:color w:val="000000"/>
                <w:sz w:val="20"/>
                <w:szCs w:val="20"/>
              </w:rPr>
            </w:pPr>
            <w:r w:rsidRPr="005E528D">
              <w:rPr>
                <w:rFonts w:eastAsia="Times New Roman"/>
                <w:color w:val="000000"/>
                <w:sz w:val="20"/>
                <w:szCs w:val="20"/>
              </w:rPr>
              <w:t>Brabazon Street</w:t>
            </w:r>
          </w:p>
        </w:tc>
        <w:tc>
          <w:tcPr>
            <w:tcW w:w="2694" w:type="dxa"/>
            <w:gridSpan w:val="2"/>
            <w:tcBorders>
              <w:top w:val="nil"/>
              <w:left w:val="nil"/>
              <w:bottom w:val="single" w:sz="8" w:space="0" w:color="auto"/>
              <w:right w:val="single" w:sz="8" w:space="0" w:color="auto"/>
            </w:tcBorders>
            <w:noWrap/>
            <w:vAlign w:val="center"/>
            <w:hideMark/>
          </w:tcPr>
          <w:p w14:paraId="264C7325" w14:textId="77777777" w:rsidR="005E528D" w:rsidRPr="005E528D" w:rsidRDefault="005E528D" w:rsidP="00F546E7">
            <w:pPr>
              <w:spacing w:after="0"/>
              <w:jc w:val="right"/>
              <w:rPr>
                <w:rFonts w:eastAsia="Times New Roman"/>
                <w:color w:val="000000"/>
                <w:sz w:val="20"/>
                <w:szCs w:val="20"/>
              </w:rPr>
            </w:pPr>
            <w:r w:rsidRPr="005E528D">
              <w:rPr>
                <w:rFonts w:eastAsia="Times New Roman"/>
                <w:color w:val="000000"/>
                <w:sz w:val="20"/>
                <w:szCs w:val="20"/>
              </w:rPr>
              <w:t>£114,253</w:t>
            </w:r>
          </w:p>
        </w:tc>
      </w:tr>
      <w:tr w:rsidR="00327A22" w:rsidRPr="005E528D" w14:paraId="1881C63E" w14:textId="77777777" w:rsidTr="00327A22">
        <w:trPr>
          <w:trHeight w:val="300"/>
        </w:trPr>
        <w:tc>
          <w:tcPr>
            <w:tcW w:w="6227" w:type="dxa"/>
            <w:tcBorders>
              <w:top w:val="nil"/>
              <w:left w:val="single" w:sz="8" w:space="0" w:color="auto"/>
              <w:bottom w:val="single" w:sz="8" w:space="0" w:color="auto"/>
              <w:right w:val="single" w:sz="8" w:space="0" w:color="auto"/>
            </w:tcBorders>
            <w:shd w:val="clear" w:color="auto" w:fill="D0CECE" w:themeFill="background2" w:themeFillShade="E6"/>
            <w:noWrap/>
            <w:vAlign w:val="center"/>
          </w:tcPr>
          <w:p w14:paraId="4208C314" w14:textId="76976B9B" w:rsidR="00327A22" w:rsidRPr="005E528D" w:rsidRDefault="00327A22" w:rsidP="00F546E7">
            <w:pPr>
              <w:spacing w:after="0"/>
              <w:rPr>
                <w:rFonts w:eastAsia="Times New Roman"/>
                <w:color w:val="000000"/>
                <w:sz w:val="20"/>
                <w:szCs w:val="20"/>
              </w:rPr>
            </w:pPr>
            <w:r w:rsidRPr="005E528D">
              <w:rPr>
                <w:rFonts w:eastAsia="Times New Roman"/>
                <w:b/>
                <w:bCs/>
                <w:color w:val="000000"/>
                <w:sz w:val="20"/>
                <w:szCs w:val="20"/>
              </w:rPr>
              <w:t>Transport Infrastructure</w:t>
            </w:r>
          </w:p>
        </w:tc>
        <w:tc>
          <w:tcPr>
            <w:tcW w:w="2694" w:type="dxa"/>
            <w:gridSpan w:val="2"/>
            <w:tcBorders>
              <w:top w:val="nil"/>
              <w:left w:val="nil"/>
              <w:bottom w:val="single" w:sz="8" w:space="0" w:color="auto"/>
              <w:right w:val="single" w:sz="8" w:space="0" w:color="auto"/>
            </w:tcBorders>
            <w:shd w:val="clear" w:color="auto" w:fill="D0CECE" w:themeFill="background2" w:themeFillShade="E6"/>
            <w:noWrap/>
            <w:vAlign w:val="center"/>
          </w:tcPr>
          <w:p w14:paraId="6530B44C" w14:textId="77777777" w:rsidR="00327A22" w:rsidRPr="005E528D" w:rsidRDefault="00327A22" w:rsidP="00F546E7">
            <w:pPr>
              <w:spacing w:after="0"/>
              <w:jc w:val="right"/>
              <w:rPr>
                <w:rFonts w:eastAsia="Times New Roman"/>
                <w:color w:val="000000"/>
                <w:sz w:val="20"/>
                <w:szCs w:val="20"/>
              </w:rPr>
            </w:pPr>
          </w:p>
        </w:tc>
      </w:tr>
      <w:tr w:rsidR="005E528D" w:rsidRPr="005E528D" w14:paraId="3239E305" w14:textId="77777777" w:rsidTr="00327A22">
        <w:trPr>
          <w:trHeight w:val="300"/>
        </w:trPr>
        <w:tc>
          <w:tcPr>
            <w:tcW w:w="6227" w:type="dxa"/>
            <w:tcBorders>
              <w:top w:val="nil"/>
              <w:left w:val="single" w:sz="8" w:space="0" w:color="auto"/>
              <w:bottom w:val="single" w:sz="8" w:space="0" w:color="auto"/>
              <w:right w:val="single" w:sz="8" w:space="0" w:color="auto"/>
            </w:tcBorders>
            <w:noWrap/>
            <w:vAlign w:val="center"/>
            <w:hideMark/>
          </w:tcPr>
          <w:p w14:paraId="00840B23" w14:textId="77777777" w:rsidR="005E528D" w:rsidRPr="005E528D" w:rsidRDefault="005E528D" w:rsidP="00F546E7">
            <w:pPr>
              <w:spacing w:after="0"/>
              <w:rPr>
                <w:rFonts w:eastAsia="Times New Roman"/>
                <w:color w:val="000000"/>
                <w:sz w:val="20"/>
                <w:szCs w:val="20"/>
              </w:rPr>
            </w:pPr>
            <w:r w:rsidRPr="005E528D">
              <w:rPr>
                <w:rFonts w:eastAsia="Times New Roman"/>
                <w:color w:val="000000"/>
                <w:sz w:val="20"/>
                <w:szCs w:val="20"/>
              </w:rPr>
              <w:t>Manchester Road</w:t>
            </w:r>
          </w:p>
        </w:tc>
        <w:tc>
          <w:tcPr>
            <w:tcW w:w="2694" w:type="dxa"/>
            <w:gridSpan w:val="2"/>
            <w:tcBorders>
              <w:top w:val="nil"/>
              <w:left w:val="nil"/>
              <w:bottom w:val="single" w:sz="8" w:space="0" w:color="auto"/>
              <w:right w:val="single" w:sz="8" w:space="0" w:color="auto"/>
            </w:tcBorders>
            <w:noWrap/>
            <w:vAlign w:val="center"/>
            <w:hideMark/>
          </w:tcPr>
          <w:p w14:paraId="64ABE9EC" w14:textId="77777777" w:rsidR="005E528D" w:rsidRPr="005E528D" w:rsidRDefault="005E528D" w:rsidP="00F546E7">
            <w:pPr>
              <w:spacing w:after="0"/>
              <w:jc w:val="right"/>
              <w:rPr>
                <w:rFonts w:eastAsia="Times New Roman"/>
                <w:color w:val="000000"/>
                <w:sz w:val="20"/>
                <w:szCs w:val="20"/>
              </w:rPr>
            </w:pPr>
            <w:r w:rsidRPr="005E528D">
              <w:rPr>
                <w:rFonts w:eastAsia="Times New Roman"/>
                <w:color w:val="000000"/>
                <w:sz w:val="20"/>
                <w:szCs w:val="20"/>
              </w:rPr>
              <w:t>£88,953</w:t>
            </w:r>
          </w:p>
        </w:tc>
      </w:tr>
      <w:tr w:rsidR="005E528D" w:rsidRPr="005E528D" w14:paraId="3A829D2E" w14:textId="77777777" w:rsidTr="00327A22">
        <w:trPr>
          <w:trHeight w:val="300"/>
        </w:trPr>
        <w:tc>
          <w:tcPr>
            <w:tcW w:w="6227" w:type="dxa"/>
            <w:tcBorders>
              <w:top w:val="nil"/>
              <w:left w:val="single" w:sz="8" w:space="0" w:color="auto"/>
              <w:bottom w:val="single" w:sz="8" w:space="0" w:color="auto"/>
              <w:right w:val="single" w:sz="8" w:space="0" w:color="auto"/>
            </w:tcBorders>
            <w:noWrap/>
            <w:vAlign w:val="center"/>
            <w:hideMark/>
          </w:tcPr>
          <w:p w14:paraId="71C7056A" w14:textId="77777777" w:rsidR="005E528D" w:rsidRPr="005E528D" w:rsidRDefault="005E528D" w:rsidP="00F546E7">
            <w:pPr>
              <w:spacing w:after="0"/>
              <w:rPr>
                <w:rFonts w:eastAsia="Times New Roman"/>
                <w:color w:val="000000"/>
                <w:sz w:val="20"/>
                <w:szCs w:val="20"/>
              </w:rPr>
            </w:pPr>
            <w:r w:rsidRPr="005E528D">
              <w:rPr>
                <w:rFonts w:eastAsia="Times New Roman"/>
                <w:color w:val="000000"/>
                <w:sz w:val="20"/>
                <w:szCs w:val="20"/>
              </w:rPr>
              <w:t>Brabazon Street</w:t>
            </w:r>
          </w:p>
        </w:tc>
        <w:tc>
          <w:tcPr>
            <w:tcW w:w="2694" w:type="dxa"/>
            <w:gridSpan w:val="2"/>
            <w:tcBorders>
              <w:top w:val="nil"/>
              <w:left w:val="nil"/>
              <w:bottom w:val="single" w:sz="8" w:space="0" w:color="auto"/>
              <w:right w:val="single" w:sz="8" w:space="0" w:color="auto"/>
            </w:tcBorders>
            <w:noWrap/>
            <w:vAlign w:val="center"/>
            <w:hideMark/>
          </w:tcPr>
          <w:p w14:paraId="7B27A219" w14:textId="77777777" w:rsidR="005E528D" w:rsidRPr="005E528D" w:rsidRDefault="005E528D" w:rsidP="00F546E7">
            <w:pPr>
              <w:spacing w:after="0"/>
              <w:jc w:val="right"/>
              <w:rPr>
                <w:rFonts w:eastAsia="Times New Roman"/>
                <w:color w:val="000000"/>
                <w:sz w:val="20"/>
                <w:szCs w:val="20"/>
              </w:rPr>
            </w:pPr>
            <w:r w:rsidRPr="005E528D">
              <w:rPr>
                <w:rFonts w:eastAsia="Times New Roman"/>
                <w:color w:val="000000"/>
                <w:sz w:val="20"/>
                <w:szCs w:val="20"/>
              </w:rPr>
              <w:t>£32,291</w:t>
            </w:r>
          </w:p>
        </w:tc>
      </w:tr>
      <w:tr w:rsidR="005E528D" w:rsidRPr="005E528D" w14:paraId="5F6CF675" w14:textId="77777777" w:rsidTr="00327A22">
        <w:trPr>
          <w:trHeight w:val="300"/>
        </w:trPr>
        <w:tc>
          <w:tcPr>
            <w:tcW w:w="6227" w:type="dxa"/>
            <w:tcBorders>
              <w:top w:val="nil"/>
              <w:left w:val="single" w:sz="8" w:space="0" w:color="auto"/>
              <w:bottom w:val="single" w:sz="8" w:space="0" w:color="auto"/>
              <w:right w:val="single" w:sz="8" w:space="0" w:color="auto"/>
            </w:tcBorders>
            <w:shd w:val="clear" w:color="000000" w:fill="00B0F0"/>
            <w:noWrap/>
            <w:vAlign w:val="center"/>
            <w:hideMark/>
          </w:tcPr>
          <w:p w14:paraId="3FD4D08B" w14:textId="77777777" w:rsidR="005E528D" w:rsidRPr="005E528D" w:rsidRDefault="005E528D" w:rsidP="00F546E7">
            <w:pPr>
              <w:spacing w:after="0"/>
              <w:jc w:val="right"/>
              <w:rPr>
                <w:rFonts w:eastAsia="Times New Roman"/>
                <w:b/>
                <w:bCs/>
                <w:color w:val="000000"/>
                <w:sz w:val="20"/>
                <w:szCs w:val="20"/>
              </w:rPr>
            </w:pPr>
            <w:r w:rsidRPr="005E528D">
              <w:rPr>
                <w:rFonts w:eastAsia="Times New Roman"/>
                <w:b/>
                <w:bCs/>
                <w:color w:val="000000"/>
                <w:sz w:val="20"/>
                <w:szCs w:val="20"/>
              </w:rPr>
              <w:t>Total</w:t>
            </w:r>
          </w:p>
        </w:tc>
        <w:tc>
          <w:tcPr>
            <w:tcW w:w="2694" w:type="dxa"/>
            <w:gridSpan w:val="2"/>
            <w:tcBorders>
              <w:top w:val="nil"/>
              <w:left w:val="nil"/>
              <w:bottom w:val="single" w:sz="8" w:space="0" w:color="auto"/>
              <w:right w:val="single" w:sz="8" w:space="0" w:color="auto"/>
            </w:tcBorders>
            <w:shd w:val="clear" w:color="000000" w:fill="00B0F0"/>
            <w:noWrap/>
            <w:vAlign w:val="center"/>
            <w:hideMark/>
          </w:tcPr>
          <w:p w14:paraId="62512E60" w14:textId="77777777" w:rsidR="005E528D" w:rsidRPr="005E528D" w:rsidRDefault="005E528D" w:rsidP="00F546E7">
            <w:pPr>
              <w:spacing w:after="0"/>
              <w:jc w:val="right"/>
              <w:rPr>
                <w:rFonts w:eastAsia="Times New Roman"/>
                <w:b/>
                <w:bCs/>
                <w:color w:val="000000"/>
                <w:sz w:val="20"/>
                <w:szCs w:val="20"/>
              </w:rPr>
            </w:pPr>
            <w:r w:rsidRPr="005E528D">
              <w:rPr>
                <w:rFonts w:eastAsia="Times New Roman"/>
                <w:b/>
                <w:bCs/>
                <w:color w:val="000000"/>
                <w:sz w:val="20"/>
                <w:szCs w:val="20"/>
              </w:rPr>
              <w:t>£10,811,452</w:t>
            </w:r>
          </w:p>
        </w:tc>
      </w:tr>
    </w:tbl>
    <w:p w14:paraId="34E965BD" w14:textId="77777777" w:rsidR="005064EE" w:rsidRDefault="005064EE" w:rsidP="00CD7FA2">
      <w:pPr>
        <w:rPr>
          <w:i/>
          <w:iCs/>
          <w:color w:val="000000" w:themeColor="text1"/>
          <w:sz w:val="22"/>
          <w:szCs w:val="22"/>
        </w:rPr>
      </w:pPr>
    </w:p>
    <w:p w14:paraId="47B3F41C" w14:textId="77777777" w:rsidR="005064EE" w:rsidRDefault="005064EE" w:rsidP="00CD7FA2">
      <w:pPr>
        <w:rPr>
          <w:i/>
          <w:iCs/>
          <w:color w:val="000000" w:themeColor="text1"/>
          <w:sz w:val="22"/>
          <w:szCs w:val="22"/>
        </w:rPr>
      </w:pPr>
    </w:p>
    <w:p w14:paraId="0CD17D8C" w14:textId="325E6C19" w:rsidR="00CD7FA2" w:rsidRDefault="005064EE" w:rsidP="732A479B">
      <w:pPr>
        <w:rPr>
          <w:b/>
          <w:bCs/>
          <w:color w:val="000000" w:themeColor="text1"/>
          <w:sz w:val="22"/>
          <w:szCs w:val="22"/>
        </w:rPr>
      </w:pPr>
      <w:r w:rsidRPr="732A479B">
        <w:rPr>
          <w:b/>
          <w:bCs/>
          <w:color w:val="000000" w:themeColor="text1"/>
          <w:sz w:val="22"/>
          <w:szCs w:val="22"/>
        </w:rPr>
        <w:t>T</w:t>
      </w:r>
      <w:r w:rsidR="00CD7FA2" w:rsidRPr="732A479B">
        <w:rPr>
          <w:b/>
          <w:bCs/>
          <w:color w:val="000000" w:themeColor="text1"/>
          <w:sz w:val="22"/>
          <w:szCs w:val="22"/>
        </w:rPr>
        <w:t xml:space="preserve">able </w:t>
      </w:r>
      <w:r w:rsidR="00907643" w:rsidRPr="732A479B">
        <w:rPr>
          <w:b/>
          <w:bCs/>
          <w:color w:val="000000" w:themeColor="text1"/>
          <w:sz w:val="22"/>
          <w:szCs w:val="22"/>
        </w:rPr>
        <w:t>2</w:t>
      </w:r>
      <w:r w:rsidR="00CD7FA2" w:rsidRPr="732A479B">
        <w:rPr>
          <w:b/>
          <w:bCs/>
          <w:color w:val="000000" w:themeColor="text1"/>
          <w:sz w:val="22"/>
          <w:szCs w:val="22"/>
        </w:rPr>
        <w:t>.</w:t>
      </w:r>
      <w:r w:rsidRPr="732A479B">
        <w:rPr>
          <w:b/>
          <w:bCs/>
          <w:color w:val="000000" w:themeColor="text1"/>
          <w:sz w:val="22"/>
          <w:szCs w:val="22"/>
        </w:rPr>
        <w:t>4</w:t>
      </w:r>
      <w:r w:rsidR="00CD7FA2" w:rsidRPr="732A479B">
        <w:rPr>
          <w:b/>
          <w:bCs/>
          <w:color w:val="000000" w:themeColor="text1"/>
          <w:sz w:val="22"/>
          <w:szCs w:val="22"/>
        </w:rPr>
        <w:t xml:space="preserve"> Total s106 Expenditure in 2024/2025 </w:t>
      </w:r>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0"/>
        <w:gridCol w:w="1831"/>
      </w:tblGrid>
      <w:tr w:rsidR="00EC32C3" w:rsidRPr="00D314A6" w14:paraId="4512D74F" w14:textId="77777777" w:rsidTr="0044063F">
        <w:trPr>
          <w:trHeight w:val="290"/>
          <w:tblHeader/>
        </w:trPr>
        <w:tc>
          <w:tcPr>
            <w:tcW w:w="7100" w:type="dxa"/>
            <w:shd w:val="clear" w:color="000000" w:fill="00B0F0"/>
            <w:noWrap/>
            <w:hideMark/>
          </w:tcPr>
          <w:p w14:paraId="1F70CEBF" w14:textId="77777777" w:rsidR="00EC32C3" w:rsidRPr="00D314A6" w:rsidRDefault="00EC32C3" w:rsidP="00E7574D">
            <w:pPr>
              <w:spacing w:after="0"/>
              <w:rPr>
                <w:rFonts w:eastAsia="Times New Roman"/>
                <w:b/>
                <w:bCs/>
                <w:color w:val="000000"/>
                <w:sz w:val="20"/>
                <w:szCs w:val="20"/>
              </w:rPr>
            </w:pPr>
            <w:r w:rsidRPr="00D314A6">
              <w:rPr>
                <w:rFonts w:eastAsia="Times New Roman"/>
                <w:b/>
                <w:bCs/>
                <w:color w:val="000000"/>
                <w:sz w:val="20"/>
                <w:szCs w:val="20"/>
              </w:rPr>
              <w:t>Project Name</w:t>
            </w:r>
          </w:p>
        </w:tc>
        <w:tc>
          <w:tcPr>
            <w:tcW w:w="1831" w:type="dxa"/>
            <w:shd w:val="clear" w:color="000000" w:fill="00B0F0"/>
            <w:noWrap/>
            <w:vAlign w:val="bottom"/>
            <w:hideMark/>
          </w:tcPr>
          <w:p w14:paraId="45B8293D" w14:textId="77777777" w:rsidR="00EC32C3" w:rsidRPr="00D314A6" w:rsidRDefault="00EC32C3" w:rsidP="00E7574D">
            <w:pPr>
              <w:spacing w:after="0"/>
              <w:jc w:val="right"/>
              <w:rPr>
                <w:rFonts w:eastAsia="Times New Roman"/>
                <w:b/>
                <w:bCs/>
                <w:color w:val="000000"/>
                <w:sz w:val="20"/>
                <w:szCs w:val="20"/>
              </w:rPr>
            </w:pPr>
            <w:r w:rsidRPr="00D314A6">
              <w:rPr>
                <w:rFonts w:eastAsia="Times New Roman"/>
                <w:b/>
                <w:bCs/>
                <w:color w:val="000000"/>
                <w:sz w:val="20"/>
                <w:szCs w:val="20"/>
              </w:rPr>
              <w:t>Spend 2024/25</w:t>
            </w:r>
          </w:p>
        </w:tc>
      </w:tr>
      <w:tr w:rsidR="00327A22" w:rsidRPr="00D314A6" w14:paraId="77DB8415" w14:textId="77777777" w:rsidTr="00327A22">
        <w:trPr>
          <w:trHeight w:val="290"/>
        </w:trPr>
        <w:tc>
          <w:tcPr>
            <w:tcW w:w="7100" w:type="dxa"/>
            <w:shd w:val="clear" w:color="auto" w:fill="D0CECE" w:themeFill="background2" w:themeFillShade="E6"/>
            <w:noWrap/>
          </w:tcPr>
          <w:p w14:paraId="5F821382" w14:textId="31425995" w:rsidR="00327A22" w:rsidRPr="00D314A6" w:rsidRDefault="00327A22" w:rsidP="00E7574D">
            <w:pPr>
              <w:spacing w:after="0"/>
              <w:rPr>
                <w:rFonts w:eastAsia="Times New Roman"/>
                <w:color w:val="000000"/>
                <w:sz w:val="20"/>
                <w:szCs w:val="20"/>
              </w:rPr>
            </w:pPr>
            <w:r w:rsidRPr="00D314A6">
              <w:rPr>
                <w:rFonts w:eastAsia="Times New Roman"/>
                <w:b/>
                <w:bCs/>
                <w:color w:val="000000"/>
                <w:sz w:val="20"/>
                <w:szCs w:val="20"/>
              </w:rPr>
              <w:t>Affordable Housing</w:t>
            </w:r>
          </w:p>
        </w:tc>
        <w:tc>
          <w:tcPr>
            <w:tcW w:w="1831" w:type="dxa"/>
            <w:shd w:val="clear" w:color="auto" w:fill="D0CECE" w:themeFill="background2" w:themeFillShade="E6"/>
            <w:noWrap/>
            <w:vAlign w:val="bottom"/>
          </w:tcPr>
          <w:p w14:paraId="1C3351F2" w14:textId="77777777" w:rsidR="00327A22" w:rsidRPr="00D314A6" w:rsidRDefault="00327A22" w:rsidP="00E7574D">
            <w:pPr>
              <w:spacing w:after="0"/>
              <w:jc w:val="right"/>
              <w:rPr>
                <w:rFonts w:eastAsia="Times New Roman"/>
                <w:color w:val="000000"/>
                <w:sz w:val="20"/>
                <w:szCs w:val="20"/>
              </w:rPr>
            </w:pPr>
          </w:p>
        </w:tc>
      </w:tr>
      <w:tr w:rsidR="00EC32C3" w:rsidRPr="00D314A6" w14:paraId="4881C07E" w14:textId="77777777" w:rsidTr="00B5396A">
        <w:trPr>
          <w:trHeight w:val="290"/>
        </w:trPr>
        <w:tc>
          <w:tcPr>
            <w:tcW w:w="7100" w:type="dxa"/>
            <w:noWrap/>
            <w:hideMark/>
          </w:tcPr>
          <w:p w14:paraId="0762CB0C" w14:textId="77777777" w:rsidR="00EC32C3" w:rsidRPr="00D314A6" w:rsidRDefault="00EC32C3" w:rsidP="00E7574D">
            <w:pPr>
              <w:spacing w:after="0"/>
              <w:rPr>
                <w:rFonts w:eastAsia="Times New Roman"/>
                <w:color w:val="000000"/>
                <w:sz w:val="20"/>
                <w:szCs w:val="20"/>
              </w:rPr>
            </w:pPr>
            <w:r w:rsidRPr="00D314A6">
              <w:rPr>
                <w:rFonts w:eastAsia="Times New Roman"/>
                <w:color w:val="000000"/>
                <w:sz w:val="20"/>
                <w:szCs w:val="20"/>
              </w:rPr>
              <w:t xml:space="preserve">HAP (Clichy) </w:t>
            </w:r>
          </w:p>
        </w:tc>
        <w:tc>
          <w:tcPr>
            <w:tcW w:w="1831" w:type="dxa"/>
            <w:noWrap/>
            <w:vAlign w:val="bottom"/>
            <w:hideMark/>
          </w:tcPr>
          <w:p w14:paraId="74144401" w14:textId="77777777" w:rsidR="00EC32C3" w:rsidRPr="00D314A6" w:rsidRDefault="00EC32C3" w:rsidP="00E7574D">
            <w:pPr>
              <w:spacing w:after="0"/>
              <w:jc w:val="right"/>
              <w:rPr>
                <w:rFonts w:eastAsia="Times New Roman"/>
                <w:color w:val="000000"/>
                <w:sz w:val="20"/>
                <w:szCs w:val="20"/>
              </w:rPr>
            </w:pPr>
            <w:r w:rsidRPr="00D314A6">
              <w:rPr>
                <w:rFonts w:eastAsia="Times New Roman"/>
                <w:color w:val="000000"/>
                <w:sz w:val="20"/>
                <w:szCs w:val="20"/>
              </w:rPr>
              <w:t>£4,927,643</w:t>
            </w:r>
          </w:p>
        </w:tc>
      </w:tr>
      <w:tr w:rsidR="00327A22" w:rsidRPr="00D314A6" w14:paraId="181A3E83" w14:textId="77777777" w:rsidTr="00327A22">
        <w:trPr>
          <w:trHeight w:val="580"/>
        </w:trPr>
        <w:tc>
          <w:tcPr>
            <w:tcW w:w="7100" w:type="dxa"/>
            <w:shd w:val="clear" w:color="auto" w:fill="D0CECE" w:themeFill="background2" w:themeFillShade="E6"/>
          </w:tcPr>
          <w:p w14:paraId="5D337887" w14:textId="2EAB7A75" w:rsidR="00327A22" w:rsidRPr="00D314A6" w:rsidRDefault="00327A22" w:rsidP="00E7574D">
            <w:pPr>
              <w:spacing w:after="0"/>
              <w:rPr>
                <w:rFonts w:eastAsia="Times New Roman"/>
                <w:color w:val="000000"/>
                <w:sz w:val="20"/>
                <w:szCs w:val="20"/>
              </w:rPr>
            </w:pPr>
            <w:r w:rsidRPr="00D314A6">
              <w:rPr>
                <w:rFonts w:eastAsia="Times New Roman"/>
                <w:b/>
                <w:bCs/>
                <w:color w:val="000000"/>
                <w:sz w:val="20"/>
                <w:szCs w:val="20"/>
              </w:rPr>
              <w:t>Carbon Offsetting</w:t>
            </w:r>
          </w:p>
        </w:tc>
        <w:tc>
          <w:tcPr>
            <w:tcW w:w="1831" w:type="dxa"/>
            <w:shd w:val="clear" w:color="auto" w:fill="D0CECE" w:themeFill="background2" w:themeFillShade="E6"/>
            <w:noWrap/>
            <w:vAlign w:val="bottom"/>
          </w:tcPr>
          <w:p w14:paraId="1AA3C71C" w14:textId="77777777" w:rsidR="00327A22" w:rsidRPr="00D314A6" w:rsidRDefault="00327A22" w:rsidP="00E7574D">
            <w:pPr>
              <w:spacing w:after="0"/>
              <w:jc w:val="right"/>
              <w:rPr>
                <w:rFonts w:eastAsia="Times New Roman"/>
                <w:color w:val="000000"/>
                <w:sz w:val="20"/>
                <w:szCs w:val="20"/>
              </w:rPr>
            </w:pPr>
          </w:p>
        </w:tc>
      </w:tr>
      <w:tr w:rsidR="00EC32C3" w:rsidRPr="00D314A6" w14:paraId="5541AD2B" w14:textId="77777777" w:rsidTr="00B5396A">
        <w:trPr>
          <w:trHeight w:val="580"/>
        </w:trPr>
        <w:tc>
          <w:tcPr>
            <w:tcW w:w="7100" w:type="dxa"/>
            <w:hideMark/>
          </w:tcPr>
          <w:p w14:paraId="17842BC3" w14:textId="77777777" w:rsidR="00EC32C3" w:rsidRPr="00D314A6" w:rsidRDefault="00EC32C3" w:rsidP="00E7574D">
            <w:pPr>
              <w:spacing w:after="0"/>
              <w:rPr>
                <w:rFonts w:eastAsia="Times New Roman"/>
                <w:color w:val="000000"/>
                <w:sz w:val="20"/>
                <w:szCs w:val="20"/>
              </w:rPr>
            </w:pPr>
            <w:r w:rsidRPr="00D314A6">
              <w:rPr>
                <w:rFonts w:eastAsia="Times New Roman"/>
                <w:color w:val="000000"/>
                <w:sz w:val="20"/>
                <w:szCs w:val="20"/>
              </w:rPr>
              <w:t xml:space="preserve">Carbon Offset Programme Phase 1 (Community Energy Efficiency and Renewable Energy Generation via change note) </w:t>
            </w:r>
          </w:p>
        </w:tc>
        <w:tc>
          <w:tcPr>
            <w:tcW w:w="1831" w:type="dxa"/>
            <w:noWrap/>
            <w:vAlign w:val="bottom"/>
            <w:hideMark/>
          </w:tcPr>
          <w:p w14:paraId="448FA1DE" w14:textId="77777777" w:rsidR="00EC32C3" w:rsidRPr="00D314A6" w:rsidRDefault="00EC32C3" w:rsidP="00E7574D">
            <w:pPr>
              <w:spacing w:after="0"/>
              <w:jc w:val="right"/>
              <w:rPr>
                <w:rFonts w:eastAsia="Times New Roman"/>
                <w:color w:val="000000"/>
                <w:sz w:val="20"/>
                <w:szCs w:val="20"/>
              </w:rPr>
            </w:pPr>
            <w:r w:rsidRPr="00D314A6">
              <w:rPr>
                <w:rFonts w:eastAsia="Times New Roman"/>
                <w:color w:val="000000"/>
                <w:sz w:val="20"/>
                <w:szCs w:val="20"/>
              </w:rPr>
              <w:t>£167,270</w:t>
            </w:r>
          </w:p>
        </w:tc>
      </w:tr>
      <w:tr w:rsidR="00EC32C3" w:rsidRPr="00D314A6" w14:paraId="504FDCE5" w14:textId="77777777" w:rsidTr="00B5396A">
        <w:trPr>
          <w:trHeight w:val="290"/>
        </w:trPr>
        <w:tc>
          <w:tcPr>
            <w:tcW w:w="7100" w:type="dxa"/>
            <w:hideMark/>
          </w:tcPr>
          <w:p w14:paraId="539D3D8F" w14:textId="77777777" w:rsidR="00EC32C3" w:rsidRPr="00D314A6" w:rsidRDefault="00EC32C3" w:rsidP="00E7574D">
            <w:pPr>
              <w:spacing w:after="0"/>
              <w:rPr>
                <w:rFonts w:eastAsia="Times New Roman"/>
                <w:sz w:val="20"/>
                <w:szCs w:val="20"/>
              </w:rPr>
            </w:pPr>
            <w:r w:rsidRPr="00D314A6">
              <w:rPr>
                <w:rFonts w:eastAsia="Times New Roman"/>
                <w:sz w:val="20"/>
                <w:szCs w:val="20"/>
              </w:rPr>
              <w:t xml:space="preserve">Carbon Offset Programme Phase 2 -Residential Energy Efficiency Project </w:t>
            </w:r>
          </w:p>
        </w:tc>
        <w:tc>
          <w:tcPr>
            <w:tcW w:w="1831" w:type="dxa"/>
            <w:vAlign w:val="bottom"/>
            <w:hideMark/>
          </w:tcPr>
          <w:p w14:paraId="524F8937" w14:textId="77777777" w:rsidR="00EC32C3" w:rsidRPr="00D314A6" w:rsidRDefault="00EC32C3" w:rsidP="00E7574D">
            <w:pPr>
              <w:spacing w:after="0"/>
              <w:jc w:val="right"/>
              <w:rPr>
                <w:rFonts w:eastAsia="Times New Roman"/>
                <w:sz w:val="20"/>
                <w:szCs w:val="20"/>
              </w:rPr>
            </w:pPr>
            <w:r w:rsidRPr="00D314A6">
              <w:rPr>
                <w:rFonts w:eastAsia="Times New Roman"/>
                <w:sz w:val="20"/>
                <w:szCs w:val="20"/>
              </w:rPr>
              <w:t>£99,632</w:t>
            </w:r>
          </w:p>
        </w:tc>
      </w:tr>
      <w:tr w:rsidR="00EC32C3" w:rsidRPr="00D314A6" w14:paraId="28A2EBE8" w14:textId="77777777" w:rsidTr="00B5396A">
        <w:trPr>
          <w:trHeight w:val="290"/>
        </w:trPr>
        <w:tc>
          <w:tcPr>
            <w:tcW w:w="7100" w:type="dxa"/>
            <w:hideMark/>
          </w:tcPr>
          <w:p w14:paraId="22DA15D5" w14:textId="77777777" w:rsidR="00EC32C3" w:rsidRPr="00D314A6" w:rsidRDefault="00EC32C3" w:rsidP="00E7574D">
            <w:pPr>
              <w:spacing w:after="0"/>
              <w:rPr>
                <w:rFonts w:eastAsia="Times New Roman"/>
                <w:sz w:val="20"/>
                <w:szCs w:val="20"/>
              </w:rPr>
            </w:pPr>
            <w:r w:rsidRPr="00D314A6">
              <w:rPr>
                <w:rFonts w:eastAsia="Times New Roman"/>
                <w:sz w:val="20"/>
                <w:szCs w:val="20"/>
              </w:rPr>
              <w:t>Carbon Offset Programme PhaseP2 - PV project</w:t>
            </w:r>
          </w:p>
        </w:tc>
        <w:tc>
          <w:tcPr>
            <w:tcW w:w="1831" w:type="dxa"/>
            <w:vAlign w:val="bottom"/>
            <w:hideMark/>
          </w:tcPr>
          <w:p w14:paraId="238461A6" w14:textId="77777777" w:rsidR="00EC32C3" w:rsidRPr="00D314A6" w:rsidRDefault="00EC32C3" w:rsidP="00E7574D">
            <w:pPr>
              <w:spacing w:after="0"/>
              <w:jc w:val="right"/>
              <w:rPr>
                <w:rFonts w:eastAsia="Times New Roman"/>
                <w:color w:val="000000"/>
                <w:sz w:val="20"/>
                <w:szCs w:val="20"/>
              </w:rPr>
            </w:pPr>
            <w:r w:rsidRPr="00D314A6">
              <w:rPr>
                <w:rFonts w:eastAsia="Times New Roman"/>
                <w:color w:val="000000"/>
                <w:sz w:val="20"/>
                <w:szCs w:val="20"/>
              </w:rPr>
              <w:t>£49,780</w:t>
            </w:r>
          </w:p>
        </w:tc>
      </w:tr>
      <w:tr w:rsidR="00EC32C3" w:rsidRPr="00D314A6" w14:paraId="7338F8E8" w14:textId="77777777" w:rsidTr="00B5396A">
        <w:trPr>
          <w:trHeight w:val="290"/>
        </w:trPr>
        <w:tc>
          <w:tcPr>
            <w:tcW w:w="7100" w:type="dxa"/>
            <w:hideMark/>
          </w:tcPr>
          <w:p w14:paraId="0D40EB84" w14:textId="77777777" w:rsidR="00EC32C3" w:rsidRPr="00D314A6" w:rsidRDefault="00EC32C3" w:rsidP="00E7574D">
            <w:pPr>
              <w:spacing w:after="0"/>
              <w:rPr>
                <w:rFonts w:eastAsia="Times New Roman"/>
                <w:sz w:val="20"/>
                <w:szCs w:val="20"/>
              </w:rPr>
            </w:pPr>
            <w:r w:rsidRPr="00D314A6">
              <w:rPr>
                <w:rFonts w:eastAsia="Times New Roman"/>
                <w:sz w:val="20"/>
                <w:szCs w:val="20"/>
              </w:rPr>
              <w:t xml:space="preserve">Carbon Offset Programme Phase 2 Pree planting </w:t>
            </w:r>
          </w:p>
        </w:tc>
        <w:tc>
          <w:tcPr>
            <w:tcW w:w="1831" w:type="dxa"/>
            <w:vAlign w:val="bottom"/>
            <w:hideMark/>
          </w:tcPr>
          <w:p w14:paraId="0E97DE54" w14:textId="77777777" w:rsidR="00EC32C3" w:rsidRPr="00D314A6" w:rsidRDefault="00EC32C3" w:rsidP="00E7574D">
            <w:pPr>
              <w:spacing w:after="0"/>
              <w:jc w:val="right"/>
              <w:rPr>
                <w:rFonts w:eastAsia="Times New Roman"/>
                <w:color w:val="000000"/>
                <w:sz w:val="20"/>
                <w:szCs w:val="20"/>
              </w:rPr>
            </w:pPr>
            <w:r w:rsidRPr="00D314A6">
              <w:rPr>
                <w:rFonts w:eastAsia="Times New Roman"/>
                <w:color w:val="000000"/>
                <w:sz w:val="20"/>
                <w:szCs w:val="20"/>
              </w:rPr>
              <w:t>£24,106</w:t>
            </w:r>
          </w:p>
        </w:tc>
      </w:tr>
      <w:tr w:rsidR="00EC32C3" w:rsidRPr="00D314A6" w14:paraId="509E83A3" w14:textId="77777777" w:rsidTr="00B5396A">
        <w:trPr>
          <w:trHeight w:val="290"/>
        </w:trPr>
        <w:tc>
          <w:tcPr>
            <w:tcW w:w="7100" w:type="dxa"/>
            <w:hideMark/>
          </w:tcPr>
          <w:p w14:paraId="6BB1C58E" w14:textId="77777777" w:rsidR="00EC32C3" w:rsidRPr="00D314A6" w:rsidRDefault="00EC32C3" w:rsidP="00E7574D">
            <w:pPr>
              <w:spacing w:after="0"/>
              <w:rPr>
                <w:rFonts w:eastAsia="Times New Roman"/>
                <w:sz w:val="20"/>
                <w:szCs w:val="20"/>
              </w:rPr>
            </w:pPr>
            <w:r w:rsidRPr="00D314A6">
              <w:rPr>
                <w:rFonts w:eastAsia="Times New Roman"/>
                <w:sz w:val="20"/>
                <w:szCs w:val="20"/>
              </w:rPr>
              <w:t>LED Replacement</w:t>
            </w:r>
          </w:p>
        </w:tc>
        <w:tc>
          <w:tcPr>
            <w:tcW w:w="1831" w:type="dxa"/>
            <w:noWrap/>
            <w:vAlign w:val="bottom"/>
            <w:hideMark/>
          </w:tcPr>
          <w:p w14:paraId="1DF4BA5F" w14:textId="77777777" w:rsidR="00EC32C3" w:rsidRPr="00D314A6" w:rsidRDefault="00EC32C3" w:rsidP="00E7574D">
            <w:pPr>
              <w:spacing w:after="0"/>
              <w:jc w:val="right"/>
              <w:rPr>
                <w:rFonts w:eastAsia="Times New Roman"/>
                <w:color w:val="000000"/>
                <w:sz w:val="20"/>
                <w:szCs w:val="20"/>
              </w:rPr>
            </w:pPr>
            <w:r w:rsidRPr="00D314A6">
              <w:rPr>
                <w:rFonts w:eastAsia="Times New Roman"/>
                <w:color w:val="000000"/>
                <w:sz w:val="20"/>
                <w:szCs w:val="20"/>
              </w:rPr>
              <w:t>£2,377,306</w:t>
            </w:r>
          </w:p>
        </w:tc>
      </w:tr>
      <w:tr w:rsidR="00EC32C3" w:rsidRPr="00D314A6" w14:paraId="06E95215" w14:textId="77777777" w:rsidTr="00B5396A">
        <w:trPr>
          <w:trHeight w:val="290"/>
        </w:trPr>
        <w:tc>
          <w:tcPr>
            <w:tcW w:w="7100" w:type="dxa"/>
            <w:hideMark/>
          </w:tcPr>
          <w:p w14:paraId="6C2CD5BC" w14:textId="77777777" w:rsidR="00EC32C3" w:rsidRPr="00D314A6" w:rsidRDefault="00EC32C3" w:rsidP="00E7574D">
            <w:pPr>
              <w:spacing w:after="0"/>
              <w:rPr>
                <w:rFonts w:eastAsia="Times New Roman"/>
                <w:sz w:val="20"/>
                <w:szCs w:val="20"/>
              </w:rPr>
            </w:pPr>
            <w:r w:rsidRPr="00D314A6">
              <w:rPr>
                <w:rFonts w:eastAsia="Times New Roman"/>
                <w:sz w:val="20"/>
                <w:szCs w:val="20"/>
              </w:rPr>
              <w:t>Central Management System (CMS) for Street Lighting</w:t>
            </w:r>
          </w:p>
        </w:tc>
        <w:tc>
          <w:tcPr>
            <w:tcW w:w="1831" w:type="dxa"/>
            <w:noWrap/>
            <w:vAlign w:val="bottom"/>
            <w:hideMark/>
          </w:tcPr>
          <w:p w14:paraId="0F107F1E" w14:textId="77777777" w:rsidR="00EC32C3" w:rsidRPr="00D314A6" w:rsidRDefault="00EC32C3" w:rsidP="00E7574D">
            <w:pPr>
              <w:spacing w:after="0"/>
              <w:jc w:val="right"/>
              <w:rPr>
                <w:rFonts w:eastAsia="Times New Roman"/>
                <w:color w:val="000000"/>
                <w:sz w:val="20"/>
                <w:szCs w:val="20"/>
              </w:rPr>
            </w:pPr>
            <w:r w:rsidRPr="00D314A6">
              <w:rPr>
                <w:rFonts w:eastAsia="Times New Roman"/>
                <w:color w:val="000000"/>
                <w:sz w:val="20"/>
                <w:szCs w:val="20"/>
              </w:rPr>
              <w:t>£227,473</w:t>
            </w:r>
          </w:p>
        </w:tc>
      </w:tr>
      <w:tr w:rsidR="00EC32C3" w:rsidRPr="00D314A6" w14:paraId="10711D8F" w14:textId="77777777" w:rsidTr="00B5396A">
        <w:trPr>
          <w:trHeight w:val="290"/>
        </w:trPr>
        <w:tc>
          <w:tcPr>
            <w:tcW w:w="7100" w:type="dxa"/>
            <w:hideMark/>
          </w:tcPr>
          <w:p w14:paraId="3FFE9B3D" w14:textId="77777777" w:rsidR="00EC32C3" w:rsidRPr="00D314A6" w:rsidRDefault="00EC32C3" w:rsidP="00E7574D">
            <w:pPr>
              <w:spacing w:after="0"/>
              <w:rPr>
                <w:rFonts w:eastAsia="Times New Roman"/>
                <w:sz w:val="20"/>
                <w:szCs w:val="20"/>
              </w:rPr>
            </w:pPr>
            <w:r w:rsidRPr="00D314A6">
              <w:rPr>
                <w:rFonts w:eastAsia="Times New Roman"/>
                <w:sz w:val="20"/>
                <w:szCs w:val="20"/>
              </w:rPr>
              <w:t xml:space="preserve">Canary Wharf Idea Store LED lighting </w:t>
            </w:r>
          </w:p>
        </w:tc>
        <w:tc>
          <w:tcPr>
            <w:tcW w:w="1831" w:type="dxa"/>
            <w:vAlign w:val="bottom"/>
            <w:hideMark/>
          </w:tcPr>
          <w:p w14:paraId="25964210" w14:textId="77777777" w:rsidR="00EC32C3" w:rsidRPr="00D314A6" w:rsidRDefault="00EC32C3" w:rsidP="00E7574D">
            <w:pPr>
              <w:spacing w:after="0"/>
              <w:jc w:val="right"/>
              <w:rPr>
                <w:rFonts w:eastAsia="Times New Roman"/>
                <w:sz w:val="20"/>
                <w:szCs w:val="20"/>
              </w:rPr>
            </w:pPr>
            <w:r w:rsidRPr="00D314A6">
              <w:rPr>
                <w:rFonts w:eastAsia="Times New Roman"/>
                <w:sz w:val="20"/>
                <w:szCs w:val="20"/>
              </w:rPr>
              <w:t>£84,148</w:t>
            </w:r>
          </w:p>
        </w:tc>
      </w:tr>
      <w:tr w:rsidR="00EC32C3" w:rsidRPr="00D314A6" w14:paraId="214957D4" w14:textId="77777777" w:rsidTr="00B5396A">
        <w:trPr>
          <w:trHeight w:val="290"/>
        </w:trPr>
        <w:tc>
          <w:tcPr>
            <w:tcW w:w="7100" w:type="dxa"/>
            <w:hideMark/>
          </w:tcPr>
          <w:p w14:paraId="5E879DD6" w14:textId="77777777" w:rsidR="00EC32C3" w:rsidRPr="00D314A6" w:rsidRDefault="00EC32C3" w:rsidP="00E7574D">
            <w:pPr>
              <w:spacing w:after="0"/>
              <w:rPr>
                <w:rFonts w:eastAsia="Times New Roman"/>
                <w:sz w:val="20"/>
                <w:szCs w:val="20"/>
              </w:rPr>
            </w:pPr>
            <w:r w:rsidRPr="00D314A6">
              <w:rPr>
                <w:rFonts w:eastAsia="Times New Roman"/>
                <w:sz w:val="20"/>
                <w:szCs w:val="20"/>
              </w:rPr>
              <w:t>Recycling Campaign</w:t>
            </w:r>
          </w:p>
        </w:tc>
        <w:tc>
          <w:tcPr>
            <w:tcW w:w="1831" w:type="dxa"/>
            <w:noWrap/>
            <w:vAlign w:val="bottom"/>
            <w:hideMark/>
          </w:tcPr>
          <w:p w14:paraId="13BEFF00" w14:textId="77777777" w:rsidR="00EC32C3" w:rsidRPr="00D314A6" w:rsidRDefault="00EC32C3" w:rsidP="00E7574D">
            <w:pPr>
              <w:spacing w:after="0"/>
              <w:jc w:val="right"/>
              <w:rPr>
                <w:rFonts w:eastAsia="Times New Roman"/>
                <w:color w:val="000000"/>
                <w:sz w:val="20"/>
                <w:szCs w:val="20"/>
              </w:rPr>
            </w:pPr>
            <w:r w:rsidRPr="00D314A6">
              <w:rPr>
                <w:rFonts w:eastAsia="Times New Roman"/>
                <w:color w:val="000000"/>
                <w:sz w:val="20"/>
                <w:szCs w:val="20"/>
              </w:rPr>
              <w:t>£55,246</w:t>
            </w:r>
          </w:p>
        </w:tc>
      </w:tr>
      <w:tr w:rsidR="00EC32C3" w:rsidRPr="00D314A6" w14:paraId="0216DFA3" w14:textId="77777777" w:rsidTr="00B5396A">
        <w:trPr>
          <w:trHeight w:val="290"/>
        </w:trPr>
        <w:tc>
          <w:tcPr>
            <w:tcW w:w="7100" w:type="dxa"/>
            <w:hideMark/>
          </w:tcPr>
          <w:p w14:paraId="15BB15AB" w14:textId="77777777" w:rsidR="00EC32C3" w:rsidRPr="00D314A6" w:rsidRDefault="00EC32C3" w:rsidP="00E7574D">
            <w:pPr>
              <w:spacing w:after="0"/>
              <w:rPr>
                <w:rFonts w:eastAsia="Times New Roman"/>
                <w:color w:val="000000"/>
                <w:sz w:val="20"/>
                <w:szCs w:val="20"/>
              </w:rPr>
            </w:pPr>
            <w:r w:rsidRPr="00D314A6">
              <w:rPr>
                <w:rFonts w:eastAsia="Times New Roman"/>
                <w:color w:val="000000"/>
                <w:sz w:val="20"/>
                <w:szCs w:val="20"/>
              </w:rPr>
              <w:t xml:space="preserve">Sustainable Food Campaign Eat Like a Londoner </w:t>
            </w:r>
          </w:p>
        </w:tc>
        <w:tc>
          <w:tcPr>
            <w:tcW w:w="1831" w:type="dxa"/>
            <w:vAlign w:val="bottom"/>
            <w:hideMark/>
          </w:tcPr>
          <w:p w14:paraId="453AF6B2" w14:textId="77777777" w:rsidR="00EC32C3" w:rsidRPr="00D314A6" w:rsidRDefault="00EC32C3" w:rsidP="00E7574D">
            <w:pPr>
              <w:spacing w:after="0"/>
              <w:jc w:val="right"/>
              <w:rPr>
                <w:rFonts w:eastAsia="Times New Roman"/>
                <w:sz w:val="20"/>
                <w:szCs w:val="20"/>
              </w:rPr>
            </w:pPr>
            <w:r w:rsidRPr="00D314A6">
              <w:rPr>
                <w:rFonts w:eastAsia="Times New Roman"/>
                <w:sz w:val="20"/>
                <w:szCs w:val="20"/>
              </w:rPr>
              <w:t>£10,000</w:t>
            </w:r>
          </w:p>
        </w:tc>
      </w:tr>
      <w:tr w:rsidR="00EC32C3" w:rsidRPr="00D314A6" w14:paraId="4F1733F1" w14:textId="77777777" w:rsidTr="00B5396A">
        <w:trPr>
          <w:trHeight w:val="290"/>
        </w:trPr>
        <w:tc>
          <w:tcPr>
            <w:tcW w:w="7100" w:type="dxa"/>
            <w:hideMark/>
          </w:tcPr>
          <w:p w14:paraId="428E22F1" w14:textId="77777777" w:rsidR="00EC32C3" w:rsidRPr="00D314A6" w:rsidRDefault="00EC32C3" w:rsidP="00E7574D">
            <w:pPr>
              <w:spacing w:after="0"/>
              <w:rPr>
                <w:rFonts w:eastAsia="Times New Roman"/>
                <w:color w:val="000000"/>
                <w:sz w:val="20"/>
                <w:szCs w:val="20"/>
              </w:rPr>
            </w:pPr>
            <w:r w:rsidRPr="00D314A6">
              <w:rPr>
                <w:rFonts w:eastAsia="Times New Roman"/>
                <w:color w:val="000000"/>
                <w:sz w:val="20"/>
                <w:szCs w:val="20"/>
              </w:rPr>
              <w:t>Estate Food Waste Containment and Collection Trial</w:t>
            </w:r>
          </w:p>
        </w:tc>
        <w:tc>
          <w:tcPr>
            <w:tcW w:w="1831" w:type="dxa"/>
            <w:noWrap/>
            <w:vAlign w:val="bottom"/>
            <w:hideMark/>
          </w:tcPr>
          <w:p w14:paraId="61DF5044" w14:textId="77777777" w:rsidR="00EC32C3" w:rsidRPr="00D314A6" w:rsidRDefault="00EC32C3" w:rsidP="00E7574D">
            <w:pPr>
              <w:spacing w:after="0"/>
              <w:jc w:val="right"/>
              <w:rPr>
                <w:rFonts w:eastAsia="Times New Roman"/>
                <w:color w:val="000000"/>
                <w:sz w:val="20"/>
                <w:szCs w:val="20"/>
              </w:rPr>
            </w:pPr>
            <w:r w:rsidRPr="00D314A6">
              <w:rPr>
                <w:rFonts w:eastAsia="Times New Roman"/>
                <w:color w:val="000000"/>
                <w:sz w:val="20"/>
                <w:szCs w:val="20"/>
              </w:rPr>
              <w:t>£10,733</w:t>
            </w:r>
          </w:p>
        </w:tc>
      </w:tr>
      <w:tr w:rsidR="00EC32C3" w:rsidRPr="00D314A6" w14:paraId="30FC8D0E" w14:textId="77777777" w:rsidTr="00B5396A">
        <w:trPr>
          <w:trHeight w:val="290"/>
        </w:trPr>
        <w:tc>
          <w:tcPr>
            <w:tcW w:w="7100" w:type="dxa"/>
            <w:hideMark/>
          </w:tcPr>
          <w:p w14:paraId="48308C54" w14:textId="77777777" w:rsidR="00EC32C3" w:rsidRPr="00D314A6" w:rsidRDefault="00EC32C3" w:rsidP="00E7574D">
            <w:pPr>
              <w:spacing w:after="0"/>
              <w:rPr>
                <w:rFonts w:eastAsia="Times New Roman"/>
                <w:sz w:val="20"/>
                <w:szCs w:val="20"/>
              </w:rPr>
            </w:pPr>
            <w:r w:rsidRPr="00D314A6">
              <w:rPr>
                <w:rFonts w:eastAsia="Times New Roman"/>
                <w:sz w:val="20"/>
                <w:szCs w:val="20"/>
              </w:rPr>
              <w:t>Trial to Improve Flats Above Shops (FLASH) Recycling</w:t>
            </w:r>
          </w:p>
        </w:tc>
        <w:tc>
          <w:tcPr>
            <w:tcW w:w="1831" w:type="dxa"/>
            <w:hideMark/>
          </w:tcPr>
          <w:p w14:paraId="09843BF3" w14:textId="77777777" w:rsidR="00EC32C3" w:rsidRPr="00D314A6" w:rsidRDefault="00EC32C3" w:rsidP="00E7574D">
            <w:pPr>
              <w:spacing w:after="0"/>
              <w:jc w:val="right"/>
              <w:rPr>
                <w:rFonts w:eastAsia="Times New Roman"/>
                <w:color w:val="000000"/>
                <w:sz w:val="20"/>
                <w:szCs w:val="20"/>
              </w:rPr>
            </w:pPr>
            <w:r w:rsidRPr="00D314A6">
              <w:rPr>
                <w:rFonts w:eastAsia="Times New Roman"/>
                <w:color w:val="000000"/>
                <w:sz w:val="20"/>
                <w:szCs w:val="20"/>
              </w:rPr>
              <w:t>£35,856</w:t>
            </w:r>
          </w:p>
        </w:tc>
      </w:tr>
      <w:tr w:rsidR="00327A22" w:rsidRPr="00D314A6" w14:paraId="39C656C3" w14:textId="77777777" w:rsidTr="00327A22">
        <w:trPr>
          <w:trHeight w:val="290"/>
        </w:trPr>
        <w:tc>
          <w:tcPr>
            <w:tcW w:w="7100" w:type="dxa"/>
            <w:shd w:val="clear" w:color="auto" w:fill="D0CECE" w:themeFill="background2" w:themeFillShade="E6"/>
          </w:tcPr>
          <w:p w14:paraId="3F9DC220" w14:textId="247FBE08" w:rsidR="00327A22" w:rsidRPr="00D314A6" w:rsidRDefault="00327A22" w:rsidP="00E7574D">
            <w:pPr>
              <w:spacing w:after="0"/>
              <w:rPr>
                <w:rFonts w:eastAsia="Times New Roman"/>
                <w:sz w:val="20"/>
                <w:szCs w:val="20"/>
              </w:rPr>
            </w:pPr>
            <w:r w:rsidRPr="00D314A6">
              <w:rPr>
                <w:rFonts w:eastAsia="Times New Roman"/>
                <w:b/>
                <w:bCs/>
                <w:color w:val="000000"/>
                <w:sz w:val="20"/>
                <w:szCs w:val="20"/>
              </w:rPr>
              <w:t>Community Infrastructure</w:t>
            </w:r>
          </w:p>
        </w:tc>
        <w:tc>
          <w:tcPr>
            <w:tcW w:w="1831" w:type="dxa"/>
            <w:shd w:val="clear" w:color="auto" w:fill="D0CECE" w:themeFill="background2" w:themeFillShade="E6"/>
          </w:tcPr>
          <w:p w14:paraId="222D2A8E" w14:textId="77777777" w:rsidR="00327A22" w:rsidRPr="00D314A6" w:rsidRDefault="00327A22" w:rsidP="00E7574D">
            <w:pPr>
              <w:spacing w:after="0"/>
              <w:jc w:val="right"/>
              <w:rPr>
                <w:rFonts w:eastAsia="Times New Roman"/>
                <w:color w:val="000000"/>
                <w:sz w:val="20"/>
                <w:szCs w:val="20"/>
              </w:rPr>
            </w:pPr>
          </w:p>
        </w:tc>
      </w:tr>
      <w:tr w:rsidR="00EC32C3" w:rsidRPr="00D314A6" w14:paraId="7C4F0B4E" w14:textId="77777777" w:rsidTr="00B5396A">
        <w:trPr>
          <w:trHeight w:val="290"/>
        </w:trPr>
        <w:tc>
          <w:tcPr>
            <w:tcW w:w="7100" w:type="dxa"/>
            <w:hideMark/>
          </w:tcPr>
          <w:p w14:paraId="3557042F" w14:textId="77777777" w:rsidR="00EC32C3" w:rsidRPr="00D314A6" w:rsidRDefault="00EC32C3" w:rsidP="00E7574D">
            <w:pPr>
              <w:spacing w:after="0"/>
              <w:rPr>
                <w:rFonts w:eastAsia="Times New Roman"/>
                <w:sz w:val="20"/>
                <w:szCs w:val="20"/>
              </w:rPr>
            </w:pPr>
            <w:r w:rsidRPr="00D314A6">
              <w:rPr>
                <w:rFonts w:eastAsia="Times New Roman"/>
                <w:sz w:val="20"/>
                <w:szCs w:val="20"/>
              </w:rPr>
              <w:t xml:space="preserve">Changing Places </w:t>
            </w:r>
          </w:p>
        </w:tc>
        <w:tc>
          <w:tcPr>
            <w:tcW w:w="1831" w:type="dxa"/>
            <w:noWrap/>
            <w:vAlign w:val="bottom"/>
            <w:hideMark/>
          </w:tcPr>
          <w:p w14:paraId="66483CBD" w14:textId="77777777" w:rsidR="00EC32C3" w:rsidRPr="00D314A6" w:rsidRDefault="00EC32C3" w:rsidP="00E7574D">
            <w:pPr>
              <w:spacing w:after="0"/>
              <w:jc w:val="right"/>
              <w:rPr>
                <w:rFonts w:eastAsia="Times New Roman"/>
                <w:color w:val="000000"/>
                <w:sz w:val="20"/>
                <w:szCs w:val="20"/>
              </w:rPr>
            </w:pPr>
            <w:r w:rsidRPr="00D314A6">
              <w:rPr>
                <w:rFonts w:eastAsia="Times New Roman"/>
                <w:color w:val="000000"/>
                <w:sz w:val="20"/>
                <w:szCs w:val="20"/>
              </w:rPr>
              <w:t>£355</w:t>
            </w:r>
          </w:p>
        </w:tc>
      </w:tr>
      <w:tr w:rsidR="00EC32C3" w:rsidRPr="00D314A6" w14:paraId="033198F2" w14:textId="77777777" w:rsidTr="00B5396A">
        <w:trPr>
          <w:trHeight w:val="290"/>
        </w:trPr>
        <w:tc>
          <w:tcPr>
            <w:tcW w:w="7100" w:type="dxa"/>
            <w:hideMark/>
          </w:tcPr>
          <w:p w14:paraId="7F7197B5" w14:textId="77777777" w:rsidR="00EC32C3" w:rsidRPr="00D314A6" w:rsidRDefault="00EC32C3" w:rsidP="00E7574D">
            <w:pPr>
              <w:spacing w:after="0"/>
              <w:rPr>
                <w:rFonts w:eastAsia="Times New Roman"/>
                <w:sz w:val="20"/>
                <w:szCs w:val="20"/>
              </w:rPr>
            </w:pPr>
            <w:r w:rsidRPr="00D314A6">
              <w:rPr>
                <w:rFonts w:eastAsia="Times New Roman"/>
                <w:sz w:val="20"/>
                <w:szCs w:val="20"/>
              </w:rPr>
              <w:t xml:space="preserve">Watney Idea Store Learning Labs </w:t>
            </w:r>
          </w:p>
        </w:tc>
        <w:tc>
          <w:tcPr>
            <w:tcW w:w="1831" w:type="dxa"/>
            <w:vAlign w:val="bottom"/>
            <w:hideMark/>
          </w:tcPr>
          <w:p w14:paraId="43D5FC01" w14:textId="77777777" w:rsidR="00EC32C3" w:rsidRPr="00D314A6" w:rsidRDefault="00EC32C3" w:rsidP="00E7574D">
            <w:pPr>
              <w:spacing w:after="0"/>
              <w:jc w:val="right"/>
              <w:rPr>
                <w:rFonts w:eastAsia="Times New Roman"/>
                <w:sz w:val="20"/>
                <w:szCs w:val="20"/>
              </w:rPr>
            </w:pPr>
            <w:r w:rsidRPr="00D314A6">
              <w:rPr>
                <w:rFonts w:eastAsia="Times New Roman"/>
                <w:sz w:val="20"/>
                <w:szCs w:val="20"/>
              </w:rPr>
              <w:t>£108,547</w:t>
            </w:r>
          </w:p>
        </w:tc>
      </w:tr>
      <w:tr w:rsidR="00EC32C3" w:rsidRPr="00D314A6" w14:paraId="4B36F217" w14:textId="77777777" w:rsidTr="00B5396A">
        <w:trPr>
          <w:trHeight w:val="290"/>
        </w:trPr>
        <w:tc>
          <w:tcPr>
            <w:tcW w:w="7100" w:type="dxa"/>
            <w:hideMark/>
          </w:tcPr>
          <w:p w14:paraId="20C52294" w14:textId="77777777" w:rsidR="00EC32C3" w:rsidRPr="00D314A6" w:rsidRDefault="00EC32C3" w:rsidP="00E7574D">
            <w:pPr>
              <w:spacing w:after="0"/>
              <w:rPr>
                <w:rFonts w:eastAsia="Times New Roman"/>
                <w:sz w:val="20"/>
                <w:szCs w:val="20"/>
              </w:rPr>
            </w:pPr>
            <w:r w:rsidRPr="00D314A6">
              <w:rPr>
                <w:rFonts w:eastAsia="Times New Roman"/>
                <w:sz w:val="20"/>
                <w:szCs w:val="20"/>
              </w:rPr>
              <w:t>Watney Idea Store Learning Labs &amp; Chrisp Street Idea Store</w:t>
            </w:r>
          </w:p>
        </w:tc>
        <w:tc>
          <w:tcPr>
            <w:tcW w:w="1831" w:type="dxa"/>
            <w:vAlign w:val="bottom"/>
            <w:hideMark/>
          </w:tcPr>
          <w:p w14:paraId="45CC571E" w14:textId="77777777" w:rsidR="00EC32C3" w:rsidRPr="00D314A6" w:rsidRDefault="00EC32C3" w:rsidP="00E7574D">
            <w:pPr>
              <w:spacing w:after="0"/>
              <w:jc w:val="right"/>
              <w:rPr>
                <w:rFonts w:eastAsia="Times New Roman"/>
                <w:sz w:val="20"/>
                <w:szCs w:val="20"/>
              </w:rPr>
            </w:pPr>
            <w:r w:rsidRPr="00D314A6">
              <w:rPr>
                <w:rFonts w:eastAsia="Times New Roman"/>
                <w:sz w:val="20"/>
                <w:szCs w:val="20"/>
              </w:rPr>
              <w:t>£201,865</w:t>
            </w:r>
          </w:p>
        </w:tc>
      </w:tr>
      <w:tr w:rsidR="00EC32C3" w:rsidRPr="00D314A6" w14:paraId="34E3C1D5" w14:textId="77777777" w:rsidTr="00B5396A">
        <w:trPr>
          <w:trHeight w:val="290"/>
        </w:trPr>
        <w:tc>
          <w:tcPr>
            <w:tcW w:w="7100" w:type="dxa"/>
            <w:hideMark/>
          </w:tcPr>
          <w:p w14:paraId="15F22E2E" w14:textId="77777777" w:rsidR="00EC32C3" w:rsidRPr="00D314A6" w:rsidRDefault="00EC32C3" w:rsidP="00E7574D">
            <w:pPr>
              <w:spacing w:after="0"/>
              <w:rPr>
                <w:rFonts w:eastAsia="Times New Roman"/>
                <w:sz w:val="20"/>
                <w:szCs w:val="20"/>
              </w:rPr>
            </w:pPr>
            <w:r w:rsidRPr="00D314A6">
              <w:rPr>
                <w:rFonts w:eastAsia="Times New Roman"/>
                <w:sz w:val="20"/>
                <w:szCs w:val="20"/>
              </w:rPr>
              <w:t xml:space="preserve">Bangla Resource Centre </w:t>
            </w:r>
          </w:p>
        </w:tc>
        <w:tc>
          <w:tcPr>
            <w:tcW w:w="1831" w:type="dxa"/>
            <w:vAlign w:val="bottom"/>
            <w:hideMark/>
          </w:tcPr>
          <w:p w14:paraId="06E25BAD" w14:textId="77777777" w:rsidR="00EC32C3" w:rsidRPr="00D314A6" w:rsidRDefault="00EC32C3" w:rsidP="00E7574D">
            <w:pPr>
              <w:spacing w:after="0"/>
              <w:jc w:val="right"/>
              <w:rPr>
                <w:rFonts w:eastAsia="Times New Roman"/>
                <w:color w:val="000000"/>
                <w:sz w:val="20"/>
                <w:szCs w:val="20"/>
              </w:rPr>
            </w:pPr>
            <w:r w:rsidRPr="00D314A6">
              <w:rPr>
                <w:rFonts w:eastAsia="Times New Roman"/>
                <w:color w:val="000000"/>
                <w:sz w:val="20"/>
                <w:szCs w:val="20"/>
              </w:rPr>
              <w:t>£167,863</w:t>
            </w:r>
          </w:p>
        </w:tc>
      </w:tr>
      <w:tr w:rsidR="00EC32C3" w:rsidRPr="00D314A6" w14:paraId="53A2E24E" w14:textId="77777777" w:rsidTr="00B5396A">
        <w:trPr>
          <w:trHeight w:val="290"/>
        </w:trPr>
        <w:tc>
          <w:tcPr>
            <w:tcW w:w="7100" w:type="dxa"/>
            <w:hideMark/>
          </w:tcPr>
          <w:p w14:paraId="208FD4E2" w14:textId="77777777" w:rsidR="00EC32C3" w:rsidRPr="00D314A6" w:rsidRDefault="00EC32C3" w:rsidP="00E7574D">
            <w:pPr>
              <w:spacing w:after="0"/>
              <w:rPr>
                <w:rFonts w:eastAsia="Times New Roman"/>
                <w:sz w:val="20"/>
                <w:szCs w:val="20"/>
              </w:rPr>
            </w:pPr>
            <w:r w:rsidRPr="00D314A6">
              <w:rPr>
                <w:rFonts w:eastAsia="Times New Roman"/>
                <w:sz w:val="20"/>
                <w:szCs w:val="20"/>
              </w:rPr>
              <w:lastRenderedPageBreak/>
              <w:t>Idea Store Technology</w:t>
            </w:r>
          </w:p>
        </w:tc>
        <w:tc>
          <w:tcPr>
            <w:tcW w:w="1831" w:type="dxa"/>
            <w:vAlign w:val="bottom"/>
            <w:hideMark/>
          </w:tcPr>
          <w:p w14:paraId="48E6A709" w14:textId="77777777" w:rsidR="00EC32C3" w:rsidRPr="00D314A6" w:rsidRDefault="00EC32C3" w:rsidP="00E7574D">
            <w:pPr>
              <w:spacing w:after="0"/>
              <w:jc w:val="right"/>
              <w:rPr>
                <w:rFonts w:eastAsia="Times New Roman"/>
                <w:color w:val="000000"/>
                <w:sz w:val="20"/>
                <w:szCs w:val="20"/>
              </w:rPr>
            </w:pPr>
            <w:r w:rsidRPr="00D314A6">
              <w:rPr>
                <w:rFonts w:eastAsia="Times New Roman"/>
                <w:color w:val="000000"/>
                <w:sz w:val="20"/>
                <w:szCs w:val="20"/>
              </w:rPr>
              <w:t>£209,346</w:t>
            </w:r>
          </w:p>
        </w:tc>
      </w:tr>
      <w:tr w:rsidR="00EC32C3" w:rsidRPr="00D314A6" w14:paraId="4FA6FD80" w14:textId="77777777" w:rsidTr="00B5396A">
        <w:trPr>
          <w:trHeight w:val="290"/>
        </w:trPr>
        <w:tc>
          <w:tcPr>
            <w:tcW w:w="7100" w:type="dxa"/>
            <w:hideMark/>
          </w:tcPr>
          <w:p w14:paraId="2AD0A29A" w14:textId="77777777" w:rsidR="00EC32C3" w:rsidRPr="00D314A6" w:rsidRDefault="00EC32C3" w:rsidP="00E7574D">
            <w:pPr>
              <w:spacing w:after="0"/>
              <w:rPr>
                <w:rFonts w:eastAsia="Times New Roman"/>
                <w:sz w:val="20"/>
                <w:szCs w:val="20"/>
              </w:rPr>
            </w:pPr>
            <w:r w:rsidRPr="00D314A6">
              <w:rPr>
                <w:rFonts w:eastAsia="Times New Roman"/>
                <w:sz w:val="20"/>
                <w:szCs w:val="20"/>
              </w:rPr>
              <w:t>Leisure Insourcing RP</w:t>
            </w:r>
          </w:p>
        </w:tc>
        <w:tc>
          <w:tcPr>
            <w:tcW w:w="1831" w:type="dxa"/>
            <w:vAlign w:val="bottom"/>
            <w:hideMark/>
          </w:tcPr>
          <w:p w14:paraId="20FAC6BD" w14:textId="77777777" w:rsidR="00EC32C3" w:rsidRPr="00D314A6" w:rsidRDefault="00EC32C3" w:rsidP="00E7574D">
            <w:pPr>
              <w:spacing w:after="0"/>
              <w:jc w:val="right"/>
              <w:rPr>
                <w:rFonts w:eastAsia="Times New Roman"/>
                <w:color w:val="000000"/>
                <w:sz w:val="20"/>
                <w:szCs w:val="20"/>
              </w:rPr>
            </w:pPr>
            <w:r w:rsidRPr="00D314A6">
              <w:rPr>
                <w:rFonts w:eastAsia="Times New Roman"/>
                <w:color w:val="000000"/>
                <w:sz w:val="20"/>
                <w:szCs w:val="20"/>
              </w:rPr>
              <w:t>£292,743</w:t>
            </w:r>
          </w:p>
        </w:tc>
      </w:tr>
      <w:tr w:rsidR="00EC32C3" w:rsidRPr="00D314A6" w14:paraId="4C4781A1" w14:textId="77777777" w:rsidTr="00B5396A">
        <w:trPr>
          <w:trHeight w:val="290"/>
        </w:trPr>
        <w:tc>
          <w:tcPr>
            <w:tcW w:w="7100" w:type="dxa"/>
            <w:hideMark/>
          </w:tcPr>
          <w:p w14:paraId="54580438" w14:textId="77777777" w:rsidR="00EC32C3" w:rsidRPr="00D314A6" w:rsidRDefault="00EC32C3" w:rsidP="00E7574D">
            <w:pPr>
              <w:spacing w:after="0"/>
              <w:rPr>
                <w:rFonts w:eastAsia="Times New Roman"/>
                <w:sz w:val="20"/>
                <w:szCs w:val="20"/>
              </w:rPr>
            </w:pPr>
            <w:r w:rsidRPr="00D314A6">
              <w:rPr>
                <w:rFonts w:eastAsia="Times New Roman"/>
                <w:sz w:val="20"/>
                <w:szCs w:val="20"/>
              </w:rPr>
              <w:t xml:space="preserve">Petticoat Lane Heritage Trail </w:t>
            </w:r>
          </w:p>
        </w:tc>
        <w:tc>
          <w:tcPr>
            <w:tcW w:w="1831" w:type="dxa"/>
            <w:vAlign w:val="bottom"/>
            <w:hideMark/>
          </w:tcPr>
          <w:p w14:paraId="4FA6C7B0" w14:textId="77777777" w:rsidR="00EC32C3" w:rsidRPr="00D314A6" w:rsidRDefault="00EC32C3" w:rsidP="00E7574D">
            <w:pPr>
              <w:spacing w:after="0"/>
              <w:jc w:val="right"/>
              <w:rPr>
                <w:rFonts w:eastAsia="Times New Roman"/>
                <w:color w:val="000000"/>
                <w:sz w:val="20"/>
                <w:szCs w:val="20"/>
              </w:rPr>
            </w:pPr>
            <w:r w:rsidRPr="00D314A6">
              <w:rPr>
                <w:rFonts w:eastAsia="Times New Roman"/>
                <w:color w:val="000000"/>
                <w:sz w:val="20"/>
                <w:szCs w:val="20"/>
              </w:rPr>
              <w:t>£19,823</w:t>
            </w:r>
          </w:p>
        </w:tc>
      </w:tr>
      <w:tr w:rsidR="00E117C3" w:rsidRPr="00D314A6" w14:paraId="0376B4F1" w14:textId="77777777" w:rsidTr="00E117C3">
        <w:trPr>
          <w:trHeight w:val="290"/>
        </w:trPr>
        <w:tc>
          <w:tcPr>
            <w:tcW w:w="7100" w:type="dxa"/>
            <w:shd w:val="clear" w:color="auto" w:fill="D0CECE" w:themeFill="background2" w:themeFillShade="E6"/>
          </w:tcPr>
          <w:p w14:paraId="5B0862F0" w14:textId="67DEDDCB" w:rsidR="00E117C3" w:rsidRPr="00D314A6" w:rsidRDefault="00E117C3" w:rsidP="00E7574D">
            <w:pPr>
              <w:spacing w:after="0"/>
              <w:rPr>
                <w:rFonts w:eastAsia="Times New Roman"/>
                <w:sz w:val="20"/>
                <w:szCs w:val="20"/>
              </w:rPr>
            </w:pPr>
            <w:r w:rsidRPr="00D314A6">
              <w:rPr>
                <w:rFonts w:eastAsia="Times New Roman"/>
                <w:b/>
                <w:bCs/>
                <w:color w:val="000000"/>
                <w:sz w:val="20"/>
                <w:szCs w:val="20"/>
              </w:rPr>
              <w:t>Crossrail</w:t>
            </w:r>
          </w:p>
        </w:tc>
        <w:tc>
          <w:tcPr>
            <w:tcW w:w="1831" w:type="dxa"/>
            <w:shd w:val="clear" w:color="auto" w:fill="D0CECE" w:themeFill="background2" w:themeFillShade="E6"/>
            <w:vAlign w:val="bottom"/>
          </w:tcPr>
          <w:p w14:paraId="6BC86FD2" w14:textId="77777777" w:rsidR="00E117C3" w:rsidRPr="00D314A6" w:rsidRDefault="00E117C3" w:rsidP="00E7574D">
            <w:pPr>
              <w:spacing w:after="0"/>
              <w:jc w:val="right"/>
              <w:rPr>
                <w:rFonts w:eastAsia="Times New Roman"/>
                <w:color w:val="000000"/>
                <w:sz w:val="20"/>
                <w:szCs w:val="20"/>
              </w:rPr>
            </w:pPr>
          </w:p>
        </w:tc>
      </w:tr>
      <w:tr w:rsidR="00EC32C3" w:rsidRPr="00D314A6" w14:paraId="54D57534" w14:textId="77777777" w:rsidTr="00B5396A">
        <w:trPr>
          <w:trHeight w:val="290"/>
        </w:trPr>
        <w:tc>
          <w:tcPr>
            <w:tcW w:w="7100" w:type="dxa"/>
            <w:noWrap/>
            <w:hideMark/>
          </w:tcPr>
          <w:p w14:paraId="6CCE230B" w14:textId="77777777" w:rsidR="00EC32C3" w:rsidRPr="00D314A6" w:rsidRDefault="00EC32C3" w:rsidP="00E7574D">
            <w:pPr>
              <w:spacing w:after="0"/>
              <w:rPr>
                <w:rFonts w:eastAsia="Times New Roman"/>
                <w:color w:val="000000"/>
                <w:sz w:val="20"/>
                <w:szCs w:val="20"/>
              </w:rPr>
            </w:pPr>
            <w:r w:rsidRPr="00D314A6">
              <w:rPr>
                <w:rFonts w:eastAsia="Times New Roman"/>
                <w:color w:val="000000"/>
                <w:sz w:val="20"/>
                <w:szCs w:val="20"/>
              </w:rPr>
              <w:t>Crossrail payments to Transport for London (TfL)</w:t>
            </w:r>
          </w:p>
        </w:tc>
        <w:tc>
          <w:tcPr>
            <w:tcW w:w="1831" w:type="dxa"/>
            <w:noWrap/>
            <w:vAlign w:val="bottom"/>
            <w:hideMark/>
          </w:tcPr>
          <w:p w14:paraId="3B235089" w14:textId="77777777" w:rsidR="00EC32C3" w:rsidRPr="00D314A6" w:rsidRDefault="00EC32C3" w:rsidP="00E7574D">
            <w:pPr>
              <w:spacing w:after="0"/>
              <w:jc w:val="right"/>
              <w:rPr>
                <w:rFonts w:eastAsia="Times New Roman"/>
                <w:color w:val="000000"/>
                <w:sz w:val="20"/>
                <w:szCs w:val="20"/>
              </w:rPr>
            </w:pPr>
            <w:r w:rsidRPr="00D314A6">
              <w:rPr>
                <w:rFonts w:eastAsia="Times New Roman"/>
                <w:color w:val="000000"/>
                <w:sz w:val="20"/>
                <w:szCs w:val="20"/>
              </w:rPr>
              <w:t>£156,220</w:t>
            </w:r>
          </w:p>
        </w:tc>
      </w:tr>
      <w:tr w:rsidR="00E117C3" w:rsidRPr="00D314A6" w14:paraId="51DCAD96" w14:textId="77777777" w:rsidTr="00E117C3">
        <w:trPr>
          <w:trHeight w:val="290"/>
        </w:trPr>
        <w:tc>
          <w:tcPr>
            <w:tcW w:w="7100" w:type="dxa"/>
            <w:shd w:val="clear" w:color="auto" w:fill="D0CECE" w:themeFill="background2" w:themeFillShade="E6"/>
            <w:noWrap/>
          </w:tcPr>
          <w:p w14:paraId="1CEC63F1" w14:textId="41C0BE36" w:rsidR="00E117C3" w:rsidRPr="00D314A6" w:rsidRDefault="00E117C3" w:rsidP="00E7574D">
            <w:pPr>
              <w:spacing w:after="0"/>
              <w:rPr>
                <w:rFonts w:eastAsia="Times New Roman"/>
                <w:color w:val="000000"/>
                <w:sz w:val="20"/>
                <w:szCs w:val="20"/>
              </w:rPr>
            </w:pPr>
            <w:r w:rsidRPr="00D314A6">
              <w:rPr>
                <w:rFonts w:eastAsia="Times New Roman"/>
                <w:b/>
                <w:bCs/>
                <w:color w:val="000000"/>
                <w:sz w:val="20"/>
                <w:szCs w:val="20"/>
              </w:rPr>
              <w:t>Development Co-ordination and Integration</w:t>
            </w:r>
          </w:p>
        </w:tc>
        <w:tc>
          <w:tcPr>
            <w:tcW w:w="1831" w:type="dxa"/>
            <w:shd w:val="clear" w:color="auto" w:fill="D0CECE" w:themeFill="background2" w:themeFillShade="E6"/>
            <w:noWrap/>
            <w:vAlign w:val="bottom"/>
          </w:tcPr>
          <w:p w14:paraId="33C2C3C2" w14:textId="77777777" w:rsidR="00E117C3" w:rsidRPr="00D314A6" w:rsidRDefault="00E117C3" w:rsidP="00E7574D">
            <w:pPr>
              <w:spacing w:after="0"/>
              <w:jc w:val="right"/>
              <w:rPr>
                <w:rFonts w:eastAsia="Times New Roman"/>
                <w:color w:val="000000"/>
                <w:sz w:val="20"/>
                <w:szCs w:val="20"/>
              </w:rPr>
            </w:pPr>
          </w:p>
        </w:tc>
      </w:tr>
      <w:tr w:rsidR="00EC32C3" w:rsidRPr="00D314A6" w14:paraId="0D9954F1" w14:textId="77777777" w:rsidTr="00B5396A">
        <w:trPr>
          <w:trHeight w:val="290"/>
        </w:trPr>
        <w:tc>
          <w:tcPr>
            <w:tcW w:w="7100" w:type="dxa"/>
            <w:noWrap/>
            <w:hideMark/>
          </w:tcPr>
          <w:p w14:paraId="50FD5D61" w14:textId="77777777" w:rsidR="00EC32C3" w:rsidRPr="00D314A6" w:rsidRDefault="00EC32C3" w:rsidP="00E7574D">
            <w:pPr>
              <w:spacing w:after="0"/>
              <w:rPr>
                <w:rFonts w:eastAsia="Times New Roman"/>
                <w:color w:val="000000"/>
                <w:sz w:val="20"/>
                <w:szCs w:val="20"/>
              </w:rPr>
            </w:pPr>
            <w:r w:rsidRPr="00D314A6">
              <w:rPr>
                <w:rFonts w:eastAsia="Times New Roman"/>
                <w:color w:val="000000"/>
                <w:sz w:val="20"/>
                <w:szCs w:val="20"/>
              </w:rPr>
              <w:t>Development Co-ordination and Integration Team</w:t>
            </w:r>
          </w:p>
        </w:tc>
        <w:tc>
          <w:tcPr>
            <w:tcW w:w="1831" w:type="dxa"/>
            <w:noWrap/>
            <w:vAlign w:val="bottom"/>
            <w:hideMark/>
          </w:tcPr>
          <w:p w14:paraId="22F434C6" w14:textId="77777777" w:rsidR="00EC32C3" w:rsidRPr="00D314A6" w:rsidRDefault="00EC32C3" w:rsidP="00E7574D">
            <w:pPr>
              <w:spacing w:after="0"/>
              <w:jc w:val="right"/>
              <w:rPr>
                <w:rFonts w:eastAsia="Times New Roman"/>
                <w:color w:val="000000"/>
                <w:sz w:val="20"/>
                <w:szCs w:val="20"/>
              </w:rPr>
            </w:pPr>
            <w:r w:rsidRPr="00D314A6">
              <w:rPr>
                <w:rFonts w:eastAsia="Times New Roman"/>
                <w:color w:val="000000"/>
                <w:sz w:val="20"/>
                <w:szCs w:val="20"/>
              </w:rPr>
              <w:t>£196,426</w:t>
            </w:r>
          </w:p>
        </w:tc>
      </w:tr>
      <w:tr w:rsidR="00E117C3" w:rsidRPr="00D314A6" w14:paraId="33BDFA4B" w14:textId="77777777" w:rsidTr="00E117C3">
        <w:trPr>
          <w:trHeight w:val="290"/>
        </w:trPr>
        <w:tc>
          <w:tcPr>
            <w:tcW w:w="7100" w:type="dxa"/>
            <w:shd w:val="clear" w:color="auto" w:fill="D0CECE" w:themeFill="background2" w:themeFillShade="E6"/>
          </w:tcPr>
          <w:p w14:paraId="332DE2A4" w14:textId="31C0FA2D" w:rsidR="00E117C3" w:rsidRPr="00D314A6" w:rsidRDefault="00E117C3" w:rsidP="00E7574D">
            <w:pPr>
              <w:spacing w:after="0"/>
              <w:rPr>
                <w:rFonts w:eastAsia="Times New Roman"/>
                <w:sz w:val="20"/>
                <w:szCs w:val="20"/>
              </w:rPr>
            </w:pPr>
            <w:r w:rsidRPr="00D314A6">
              <w:rPr>
                <w:rFonts w:eastAsia="Times New Roman"/>
                <w:b/>
                <w:bCs/>
                <w:color w:val="000000"/>
                <w:sz w:val="20"/>
                <w:szCs w:val="20"/>
              </w:rPr>
              <w:t>Education Infrastructure</w:t>
            </w:r>
          </w:p>
        </w:tc>
        <w:tc>
          <w:tcPr>
            <w:tcW w:w="1831" w:type="dxa"/>
            <w:shd w:val="clear" w:color="auto" w:fill="D0CECE" w:themeFill="background2" w:themeFillShade="E6"/>
            <w:vAlign w:val="bottom"/>
          </w:tcPr>
          <w:p w14:paraId="025C8DF1" w14:textId="77777777" w:rsidR="00E117C3" w:rsidRPr="00D314A6" w:rsidRDefault="00E117C3" w:rsidP="00E7574D">
            <w:pPr>
              <w:spacing w:after="0"/>
              <w:jc w:val="right"/>
              <w:rPr>
                <w:rFonts w:eastAsia="Times New Roman"/>
                <w:color w:val="000000"/>
                <w:sz w:val="20"/>
                <w:szCs w:val="20"/>
              </w:rPr>
            </w:pPr>
          </w:p>
        </w:tc>
      </w:tr>
      <w:tr w:rsidR="00EC32C3" w:rsidRPr="00D314A6" w14:paraId="67E8E464" w14:textId="77777777" w:rsidTr="00B5396A">
        <w:trPr>
          <w:trHeight w:val="290"/>
        </w:trPr>
        <w:tc>
          <w:tcPr>
            <w:tcW w:w="7100" w:type="dxa"/>
            <w:hideMark/>
          </w:tcPr>
          <w:p w14:paraId="494E1C14" w14:textId="77777777" w:rsidR="00EC32C3" w:rsidRPr="00D314A6" w:rsidRDefault="00EC32C3" w:rsidP="00E7574D">
            <w:pPr>
              <w:spacing w:after="0"/>
              <w:rPr>
                <w:rFonts w:eastAsia="Times New Roman"/>
                <w:sz w:val="20"/>
                <w:szCs w:val="20"/>
              </w:rPr>
            </w:pPr>
            <w:r w:rsidRPr="00D314A6">
              <w:rPr>
                <w:rFonts w:eastAsia="Times New Roman"/>
                <w:sz w:val="20"/>
                <w:szCs w:val="20"/>
              </w:rPr>
              <w:t xml:space="preserve">Beatrice Tate Expansion </w:t>
            </w:r>
          </w:p>
        </w:tc>
        <w:tc>
          <w:tcPr>
            <w:tcW w:w="1831" w:type="dxa"/>
            <w:vAlign w:val="bottom"/>
            <w:hideMark/>
          </w:tcPr>
          <w:p w14:paraId="54980AF3" w14:textId="77777777" w:rsidR="00EC32C3" w:rsidRPr="00D314A6" w:rsidRDefault="00EC32C3" w:rsidP="00E7574D">
            <w:pPr>
              <w:spacing w:after="0"/>
              <w:jc w:val="right"/>
              <w:rPr>
                <w:rFonts w:eastAsia="Times New Roman"/>
                <w:color w:val="000000"/>
                <w:sz w:val="20"/>
                <w:szCs w:val="20"/>
              </w:rPr>
            </w:pPr>
            <w:r w:rsidRPr="00D314A6">
              <w:rPr>
                <w:rFonts w:eastAsia="Times New Roman"/>
                <w:color w:val="000000"/>
                <w:sz w:val="20"/>
                <w:szCs w:val="20"/>
              </w:rPr>
              <w:t>£139,268</w:t>
            </w:r>
          </w:p>
        </w:tc>
      </w:tr>
      <w:tr w:rsidR="00EC32C3" w:rsidRPr="00D314A6" w14:paraId="185FF5AD" w14:textId="77777777" w:rsidTr="00B5396A">
        <w:trPr>
          <w:trHeight w:val="290"/>
        </w:trPr>
        <w:tc>
          <w:tcPr>
            <w:tcW w:w="7100" w:type="dxa"/>
            <w:hideMark/>
          </w:tcPr>
          <w:p w14:paraId="6C8EC18B" w14:textId="77777777" w:rsidR="00EC32C3" w:rsidRPr="00D314A6" w:rsidRDefault="00EC32C3" w:rsidP="00E7574D">
            <w:pPr>
              <w:spacing w:after="0"/>
              <w:rPr>
                <w:rFonts w:eastAsia="Times New Roman"/>
                <w:sz w:val="20"/>
                <w:szCs w:val="20"/>
              </w:rPr>
            </w:pPr>
            <w:r w:rsidRPr="00D314A6">
              <w:rPr>
                <w:rFonts w:eastAsia="Times New Roman"/>
                <w:sz w:val="20"/>
                <w:szCs w:val="20"/>
              </w:rPr>
              <w:t xml:space="preserve">George Green Rebuild </w:t>
            </w:r>
          </w:p>
        </w:tc>
        <w:tc>
          <w:tcPr>
            <w:tcW w:w="1831" w:type="dxa"/>
            <w:vAlign w:val="bottom"/>
            <w:hideMark/>
          </w:tcPr>
          <w:p w14:paraId="3BA3DCF2" w14:textId="77777777" w:rsidR="00EC32C3" w:rsidRPr="00D314A6" w:rsidRDefault="00EC32C3" w:rsidP="00E7574D">
            <w:pPr>
              <w:spacing w:after="0"/>
              <w:jc w:val="right"/>
              <w:rPr>
                <w:rFonts w:eastAsia="Times New Roman"/>
                <w:sz w:val="20"/>
                <w:szCs w:val="20"/>
              </w:rPr>
            </w:pPr>
            <w:r w:rsidRPr="00D314A6">
              <w:rPr>
                <w:rFonts w:eastAsia="Times New Roman"/>
                <w:sz w:val="20"/>
                <w:szCs w:val="20"/>
              </w:rPr>
              <w:t>£285</w:t>
            </w:r>
          </w:p>
        </w:tc>
      </w:tr>
      <w:tr w:rsidR="00EC32C3" w:rsidRPr="00D314A6" w14:paraId="79DB3E06" w14:textId="77777777" w:rsidTr="00B5396A">
        <w:trPr>
          <w:trHeight w:val="290"/>
        </w:trPr>
        <w:tc>
          <w:tcPr>
            <w:tcW w:w="7100" w:type="dxa"/>
            <w:hideMark/>
          </w:tcPr>
          <w:p w14:paraId="3460A572" w14:textId="77777777" w:rsidR="00EC32C3" w:rsidRPr="00D314A6" w:rsidRDefault="00EC32C3" w:rsidP="00E7574D">
            <w:pPr>
              <w:spacing w:after="0"/>
              <w:rPr>
                <w:rFonts w:eastAsia="Times New Roman"/>
                <w:sz w:val="20"/>
                <w:szCs w:val="20"/>
              </w:rPr>
            </w:pPr>
            <w:r w:rsidRPr="00D314A6">
              <w:rPr>
                <w:rFonts w:eastAsia="Times New Roman"/>
                <w:sz w:val="20"/>
                <w:szCs w:val="20"/>
              </w:rPr>
              <w:t xml:space="preserve">St Saviours Playground </w:t>
            </w:r>
          </w:p>
        </w:tc>
        <w:tc>
          <w:tcPr>
            <w:tcW w:w="1831" w:type="dxa"/>
            <w:vAlign w:val="bottom"/>
            <w:hideMark/>
          </w:tcPr>
          <w:p w14:paraId="7AB7D7B5" w14:textId="77777777" w:rsidR="00EC32C3" w:rsidRPr="00D314A6" w:rsidRDefault="00EC32C3" w:rsidP="00E7574D">
            <w:pPr>
              <w:spacing w:after="0"/>
              <w:jc w:val="right"/>
              <w:rPr>
                <w:rFonts w:eastAsia="Times New Roman"/>
                <w:color w:val="000000"/>
                <w:sz w:val="20"/>
                <w:szCs w:val="20"/>
              </w:rPr>
            </w:pPr>
            <w:r w:rsidRPr="00D314A6">
              <w:rPr>
                <w:rFonts w:eastAsia="Times New Roman"/>
                <w:color w:val="000000"/>
                <w:sz w:val="20"/>
                <w:szCs w:val="20"/>
              </w:rPr>
              <w:t>£73,006</w:t>
            </w:r>
          </w:p>
        </w:tc>
      </w:tr>
      <w:tr w:rsidR="00EC32C3" w:rsidRPr="00D314A6" w14:paraId="18AF82A6" w14:textId="77777777" w:rsidTr="00B5396A">
        <w:trPr>
          <w:trHeight w:val="290"/>
        </w:trPr>
        <w:tc>
          <w:tcPr>
            <w:tcW w:w="7100" w:type="dxa"/>
            <w:hideMark/>
          </w:tcPr>
          <w:p w14:paraId="6AE7755F" w14:textId="77777777" w:rsidR="00EC32C3" w:rsidRPr="00D314A6" w:rsidRDefault="00EC32C3" w:rsidP="00E7574D">
            <w:pPr>
              <w:spacing w:after="0"/>
              <w:rPr>
                <w:rFonts w:eastAsia="Times New Roman"/>
                <w:sz w:val="20"/>
                <w:szCs w:val="20"/>
              </w:rPr>
            </w:pPr>
            <w:r w:rsidRPr="00D314A6">
              <w:rPr>
                <w:rFonts w:eastAsia="Times New Roman"/>
                <w:sz w:val="20"/>
                <w:szCs w:val="20"/>
              </w:rPr>
              <w:t>Institute of Academic Excellence (IAE)</w:t>
            </w:r>
          </w:p>
        </w:tc>
        <w:tc>
          <w:tcPr>
            <w:tcW w:w="1831" w:type="dxa"/>
            <w:noWrap/>
            <w:vAlign w:val="bottom"/>
            <w:hideMark/>
          </w:tcPr>
          <w:p w14:paraId="4C8EADD4" w14:textId="77777777" w:rsidR="00EC32C3" w:rsidRPr="00D314A6" w:rsidRDefault="00EC32C3" w:rsidP="00E7574D">
            <w:pPr>
              <w:spacing w:after="0"/>
              <w:jc w:val="right"/>
              <w:rPr>
                <w:rFonts w:eastAsia="Times New Roman"/>
                <w:color w:val="000000"/>
                <w:sz w:val="20"/>
                <w:szCs w:val="20"/>
              </w:rPr>
            </w:pPr>
            <w:r w:rsidRPr="00D314A6">
              <w:rPr>
                <w:rFonts w:eastAsia="Times New Roman"/>
                <w:color w:val="000000"/>
                <w:sz w:val="20"/>
                <w:szCs w:val="20"/>
              </w:rPr>
              <w:t>£284,945</w:t>
            </w:r>
          </w:p>
        </w:tc>
      </w:tr>
      <w:tr w:rsidR="00EC32C3" w:rsidRPr="00D314A6" w14:paraId="4FABC813" w14:textId="77777777" w:rsidTr="00B5396A">
        <w:trPr>
          <w:trHeight w:val="290"/>
        </w:trPr>
        <w:tc>
          <w:tcPr>
            <w:tcW w:w="7100" w:type="dxa"/>
            <w:hideMark/>
          </w:tcPr>
          <w:p w14:paraId="2033CB9C" w14:textId="77777777" w:rsidR="00EC32C3" w:rsidRPr="00D314A6" w:rsidRDefault="00EC32C3" w:rsidP="00E7574D">
            <w:pPr>
              <w:spacing w:after="0"/>
              <w:rPr>
                <w:rFonts w:eastAsia="Times New Roman"/>
                <w:sz w:val="20"/>
                <w:szCs w:val="20"/>
              </w:rPr>
            </w:pPr>
            <w:r w:rsidRPr="00D314A6">
              <w:rPr>
                <w:rFonts w:eastAsia="Times New Roman"/>
                <w:sz w:val="20"/>
                <w:szCs w:val="20"/>
              </w:rPr>
              <w:t>Wood Wharf School Change Note</w:t>
            </w:r>
          </w:p>
        </w:tc>
        <w:tc>
          <w:tcPr>
            <w:tcW w:w="1831" w:type="dxa"/>
            <w:noWrap/>
            <w:vAlign w:val="bottom"/>
            <w:hideMark/>
          </w:tcPr>
          <w:p w14:paraId="7E16E713" w14:textId="77777777" w:rsidR="00EC32C3" w:rsidRPr="00D314A6" w:rsidRDefault="00EC32C3" w:rsidP="00E7574D">
            <w:pPr>
              <w:spacing w:after="0"/>
              <w:jc w:val="right"/>
              <w:rPr>
                <w:rFonts w:eastAsia="Times New Roman"/>
                <w:color w:val="000000"/>
                <w:sz w:val="20"/>
                <w:szCs w:val="20"/>
              </w:rPr>
            </w:pPr>
            <w:r w:rsidRPr="00D314A6">
              <w:rPr>
                <w:rFonts w:eastAsia="Times New Roman"/>
                <w:color w:val="000000"/>
                <w:sz w:val="20"/>
                <w:szCs w:val="20"/>
              </w:rPr>
              <w:t>£1,358,671</w:t>
            </w:r>
          </w:p>
        </w:tc>
      </w:tr>
      <w:tr w:rsidR="00E117C3" w:rsidRPr="00D314A6" w14:paraId="38046754" w14:textId="77777777" w:rsidTr="00E117C3">
        <w:trPr>
          <w:trHeight w:val="290"/>
        </w:trPr>
        <w:tc>
          <w:tcPr>
            <w:tcW w:w="7100" w:type="dxa"/>
            <w:shd w:val="clear" w:color="auto" w:fill="D0CECE" w:themeFill="background2" w:themeFillShade="E6"/>
          </w:tcPr>
          <w:p w14:paraId="737416CD" w14:textId="59AE5835" w:rsidR="00E117C3" w:rsidRPr="00D314A6" w:rsidRDefault="00E117C3" w:rsidP="00E7574D">
            <w:pPr>
              <w:spacing w:after="0"/>
              <w:rPr>
                <w:rFonts w:eastAsia="Times New Roman"/>
                <w:sz w:val="20"/>
                <w:szCs w:val="20"/>
              </w:rPr>
            </w:pPr>
            <w:r w:rsidRPr="00D314A6">
              <w:rPr>
                <w:rFonts w:eastAsia="Times New Roman"/>
                <w:b/>
                <w:bCs/>
                <w:color w:val="000000"/>
                <w:sz w:val="20"/>
                <w:szCs w:val="20"/>
              </w:rPr>
              <w:t>Employment, Training and Enterprise</w:t>
            </w:r>
          </w:p>
        </w:tc>
        <w:tc>
          <w:tcPr>
            <w:tcW w:w="1831" w:type="dxa"/>
            <w:shd w:val="clear" w:color="auto" w:fill="D0CECE" w:themeFill="background2" w:themeFillShade="E6"/>
            <w:noWrap/>
            <w:vAlign w:val="bottom"/>
          </w:tcPr>
          <w:p w14:paraId="479B9DE0" w14:textId="77777777" w:rsidR="00E117C3" w:rsidRPr="00D314A6" w:rsidRDefault="00E117C3" w:rsidP="00E7574D">
            <w:pPr>
              <w:spacing w:after="0"/>
              <w:jc w:val="right"/>
              <w:rPr>
                <w:rFonts w:eastAsia="Times New Roman"/>
                <w:color w:val="000000"/>
                <w:sz w:val="20"/>
                <w:szCs w:val="20"/>
              </w:rPr>
            </w:pPr>
          </w:p>
        </w:tc>
      </w:tr>
      <w:tr w:rsidR="00EC32C3" w:rsidRPr="00D314A6" w14:paraId="65EA300A" w14:textId="77777777" w:rsidTr="00B5396A">
        <w:trPr>
          <w:trHeight w:val="290"/>
        </w:trPr>
        <w:tc>
          <w:tcPr>
            <w:tcW w:w="7100" w:type="dxa"/>
            <w:hideMark/>
          </w:tcPr>
          <w:p w14:paraId="2ACAC2E0" w14:textId="77777777" w:rsidR="00EC32C3" w:rsidRPr="00D314A6" w:rsidRDefault="00EC32C3" w:rsidP="00E7574D">
            <w:pPr>
              <w:spacing w:after="0"/>
              <w:rPr>
                <w:rFonts w:eastAsia="Times New Roman"/>
                <w:sz w:val="20"/>
                <w:szCs w:val="20"/>
              </w:rPr>
            </w:pPr>
            <w:r w:rsidRPr="00D314A6">
              <w:rPr>
                <w:rFonts w:eastAsia="Times New Roman"/>
                <w:sz w:val="20"/>
                <w:szCs w:val="20"/>
              </w:rPr>
              <w:t>Investment Friendly Tower Hamlets</w:t>
            </w:r>
          </w:p>
        </w:tc>
        <w:tc>
          <w:tcPr>
            <w:tcW w:w="1831" w:type="dxa"/>
            <w:vAlign w:val="bottom"/>
            <w:hideMark/>
          </w:tcPr>
          <w:p w14:paraId="3FA2DC4C" w14:textId="77777777" w:rsidR="00EC32C3" w:rsidRPr="00D314A6" w:rsidRDefault="00EC32C3" w:rsidP="00E7574D">
            <w:pPr>
              <w:spacing w:after="0"/>
              <w:jc w:val="right"/>
              <w:rPr>
                <w:rFonts w:eastAsia="Times New Roman"/>
                <w:sz w:val="20"/>
                <w:szCs w:val="20"/>
              </w:rPr>
            </w:pPr>
            <w:r w:rsidRPr="00D314A6">
              <w:rPr>
                <w:rFonts w:eastAsia="Times New Roman"/>
                <w:sz w:val="20"/>
                <w:szCs w:val="20"/>
              </w:rPr>
              <w:t>£2,977</w:t>
            </w:r>
          </w:p>
        </w:tc>
      </w:tr>
      <w:tr w:rsidR="00EC32C3" w:rsidRPr="00D314A6" w14:paraId="742674B0" w14:textId="77777777" w:rsidTr="00B5396A">
        <w:trPr>
          <w:trHeight w:val="290"/>
        </w:trPr>
        <w:tc>
          <w:tcPr>
            <w:tcW w:w="7100" w:type="dxa"/>
            <w:hideMark/>
          </w:tcPr>
          <w:p w14:paraId="6441E711" w14:textId="77777777" w:rsidR="00EC32C3" w:rsidRPr="00D314A6" w:rsidRDefault="00EC32C3" w:rsidP="00E7574D">
            <w:pPr>
              <w:spacing w:after="0"/>
              <w:rPr>
                <w:rFonts w:eastAsia="Times New Roman"/>
                <w:sz w:val="20"/>
                <w:szCs w:val="20"/>
              </w:rPr>
            </w:pPr>
            <w:r w:rsidRPr="00D314A6">
              <w:rPr>
                <w:rFonts w:eastAsia="Times New Roman"/>
                <w:sz w:val="20"/>
                <w:szCs w:val="20"/>
              </w:rPr>
              <w:t>Digital Access</w:t>
            </w:r>
          </w:p>
        </w:tc>
        <w:tc>
          <w:tcPr>
            <w:tcW w:w="1831" w:type="dxa"/>
            <w:vAlign w:val="bottom"/>
            <w:hideMark/>
          </w:tcPr>
          <w:p w14:paraId="4F4A658B" w14:textId="77777777" w:rsidR="00EC32C3" w:rsidRPr="00D314A6" w:rsidRDefault="00EC32C3" w:rsidP="00E7574D">
            <w:pPr>
              <w:spacing w:after="0"/>
              <w:jc w:val="right"/>
              <w:rPr>
                <w:rFonts w:eastAsia="Times New Roman"/>
                <w:sz w:val="20"/>
                <w:szCs w:val="20"/>
              </w:rPr>
            </w:pPr>
            <w:r w:rsidRPr="00D314A6">
              <w:rPr>
                <w:rFonts w:eastAsia="Times New Roman"/>
                <w:sz w:val="20"/>
                <w:szCs w:val="20"/>
              </w:rPr>
              <w:t>£12,460</w:t>
            </w:r>
          </w:p>
        </w:tc>
      </w:tr>
      <w:tr w:rsidR="00EC32C3" w:rsidRPr="00D314A6" w14:paraId="5D4271F1" w14:textId="77777777" w:rsidTr="00B5396A">
        <w:trPr>
          <w:trHeight w:val="290"/>
        </w:trPr>
        <w:tc>
          <w:tcPr>
            <w:tcW w:w="7100" w:type="dxa"/>
            <w:hideMark/>
          </w:tcPr>
          <w:p w14:paraId="0257730F" w14:textId="77777777" w:rsidR="00EC32C3" w:rsidRPr="00D314A6" w:rsidRDefault="00EC32C3" w:rsidP="00E7574D">
            <w:pPr>
              <w:spacing w:after="0"/>
              <w:rPr>
                <w:rFonts w:eastAsia="Times New Roman"/>
                <w:sz w:val="20"/>
                <w:szCs w:val="20"/>
              </w:rPr>
            </w:pPr>
            <w:r w:rsidRPr="00D314A6">
              <w:rPr>
                <w:rFonts w:eastAsia="Times New Roman"/>
                <w:sz w:val="20"/>
                <w:szCs w:val="20"/>
              </w:rPr>
              <w:t>Fruit and Wool</w:t>
            </w:r>
          </w:p>
        </w:tc>
        <w:tc>
          <w:tcPr>
            <w:tcW w:w="1831" w:type="dxa"/>
            <w:noWrap/>
            <w:vAlign w:val="bottom"/>
            <w:hideMark/>
          </w:tcPr>
          <w:p w14:paraId="6FE5C84F" w14:textId="77777777" w:rsidR="00EC32C3" w:rsidRPr="00D314A6" w:rsidRDefault="00EC32C3" w:rsidP="00E7574D">
            <w:pPr>
              <w:spacing w:after="0"/>
              <w:jc w:val="right"/>
              <w:rPr>
                <w:rFonts w:eastAsia="Times New Roman"/>
                <w:color w:val="000000"/>
                <w:sz w:val="20"/>
                <w:szCs w:val="20"/>
              </w:rPr>
            </w:pPr>
            <w:r w:rsidRPr="00D314A6">
              <w:rPr>
                <w:rFonts w:eastAsia="Times New Roman"/>
                <w:color w:val="000000"/>
                <w:sz w:val="20"/>
                <w:szCs w:val="20"/>
              </w:rPr>
              <w:t>£84,146</w:t>
            </w:r>
          </w:p>
        </w:tc>
      </w:tr>
      <w:tr w:rsidR="00EC32C3" w:rsidRPr="00D314A6" w14:paraId="7A28615B" w14:textId="77777777" w:rsidTr="00B5396A">
        <w:trPr>
          <w:trHeight w:val="290"/>
        </w:trPr>
        <w:tc>
          <w:tcPr>
            <w:tcW w:w="7100" w:type="dxa"/>
            <w:hideMark/>
          </w:tcPr>
          <w:p w14:paraId="591A030A" w14:textId="77777777" w:rsidR="00EC32C3" w:rsidRPr="00D314A6" w:rsidRDefault="00EC32C3" w:rsidP="00E7574D">
            <w:pPr>
              <w:spacing w:after="0"/>
              <w:rPr>
                <w:rFonts w:eastAsia="Times New Roman"/>
                <w:sz w:val="20"/>
                <w:szCs w:val="20"/>
              </w:rPr>
            </w:pPr>
            <w:r w:rsidRPr="00D314A6">
              <w:rPr>
                <w:rFonts w:eastAsia="Times New Roman"/>
                <w:sz w:val="20"/>
                <w:szCs w:val="20"/>
              </w:rPr>
              <w:t xml:space="preserve">Hackney Wick Fish Island Creative Zone </w:t>
            </w:r>
          </w:p>
        </w:tc>
        <w:tc>
          <w:tcPr>
            <w:tcW w:w="1831" w:type="dxa"/>
            <w:noWrap/>
            <w:vAlign w:val="bottom"/>
            <w:hideMark/>
          </w:tcPr>
          <w:p w14:paraId="55F38454" w14:textId="77777777" w:rsidR="00EC32C3" w:rsidRPr="00D314A6" w:rsidRDefault="00EC32C3" w:rsidP="00E7574D">
            <w:pPr>
              <w:spacing w:after="0"/>
              <w:jc w:val="right"/>
              <w:rPr>
                <w:rFonts w:eastAsia="Times New Roman"/>
                <w:color w:val="000000"/>
                <w:sz w:val="20"/>
                <w:szCs w:val="20"/>
              </w:rPr>
            </w:pPr>
            <w:r w:rsidRPr="00D314A6">
              <w:rPr>
                <w:rFonts w:eastAsia="Times New Roman"/>
                <w:color w:val="000000"/>
                <w:sz w:val="20"/>
                <w:szCs w:val="20"/>
              </w:rPr>
              <w:t>£120,376</w:t>
            </w:r>
          </w:p>
        </w:tc>
      </w:tr>
      <w:tr w:rsidR="00EC32C3" w:rsidRPr="00D314A6" w14:paraId="3E788115" w14:textId="77777777" w:rsidTr="00B5396A">
        <w:trPr>
          <w:trHeight w:val="290"/>
        </w:trPr>
        <w:tc>
          <w:tcPr>
            <w:tcW w:w="7100" w:type="dxa"/>
            <w:hideMark/>
          </w:tcPr>
          <w:p w14:paraId="7A2BCDE6" w14:textId="77777777" w:rsidR="00EC32C3" w:rsidRPr="00D314A6" w:rsidRDefault="00EC32C3" w:rsidP="00E7574D">
            <w:pPr>
              <w:spacing w:after="0"/>
              <w:rPr>
                <w:rFonts w:eastAsia="Times New Roman"/>
                <w:sz w:val="20"/>
                <w:szCs w:val="20"/>
              </w:rPr>
            </w:pPr>
            <w:r w:rsidRPr="00D314A6">
              <w:rPr>
                <w:rFonts w:eastAsia="Times New Roman"/>
                <w:sz w:val="20"/>
                <w:szCs w:val="20"/>
              </w:rPr>
              <w:t xml:space="preserve">SEND Apprenticeships </w:t>
            </w:r>
          </w:p>
        </w:tc>
        <w:tc>
          <w:tcPr>
            <w:tcW w:w="1831" w:type="dxa"/>
            <w:noWrap/>
            <w:vAlign w:val="bottom"/>
            <w:hideMark/>
          </w:tcPr>
          <w:p w14:paraId="7D86FBD8" w14:textId="77777777" w:rsidR="00EC32C3" w:rsidRPr="00D314A6" w:rsidRDefault="00EC32C3" w:rsidP="00E7574D">
            <w:pPr>
              <w:spacing w:after="0"/>
              <w:jc w:val="right"/>
              <w:rPr>
                <w:rFonts w:eastAsia="Times New Roman"/>
                <w:color w:val="000000"/>
                <w:sz w:val="20"/>
                <w:szCs w:val="20"/>
              </w:rPr>
            </w:pPr>
            <w:r w:rsidRPr="00D314A6">
              <w:rPr>
                <w:rFonts w:eastAsia="Times New Roman"/>
                <w:color w:val="000000"/>
                <w:sz w:val="20"/>
                <w:szCs w:val="20"/>
              </w:rPr>
              <w:t>£118,909</w:t>
            </w:r>
          </w:p>
        </w:tc>
      </w:tr>
      <w:tr w:rsidR="00EC32C3" w:rsidRPr="00D314A6" w14:paraId="562C27C9" w14:textId="77777777" w:rsidTr="00B5396A">
        <w:trPr>
          <w:trHeight w:val="290"/>
        </w:trPr>
        <w:tc>
          <w:tcPr>
            <w:tcW w:w="7100" w:type="dxa"/>
            <w:hideMark/>
          </w:tcPr>
          <w:p w14:paraId="2FFCE6F6" w14:textId="77777777" w:rsidR="00EC32C3" w:rsidRPr="00D314A6" w:rsidRDefault="00EC32C3" w:rsidP="00E7574D">
            <w:pPr>
              <w:spacing w:after="0"/>
              <w:rPr>
                <w:rFonts w:eastAsia="Times New Roman"/>
                <w:sz w:val="20"/>
                <w:szCs w:val="20"/>
              </w:rPr>
            </w:pPr>
            <w:r w:rsidRPr="00D314A6">
              <w:rPr>
                <w:rFonts w:eastAsia="Times New Roman"/>
                <w:sz w:val="20"/>
                <w:szCs w:val="20"/>
              </w:rPr>
              <w:t xml:space="preserve">Green Business Project </w:t>
            </w:r>
          </w:p>
        </w:tc>
        <w:tc>
          <w:tcPr>
            <w:tcW w:w="1831" w:type="dxa"/>
            <w:vAlign w:val="bottom"/>
            <w:hideMark/>
          </w:tcPr>
          <w:p w14:paraId="1435272A" w14:textId="77777777" w:rsidR="00EC32C3" w:rsidRPr="00D314A6" w:rsidRDefault="00EC32C3" w:rsidP="00E7574D">
            <w:pPr>
              <w:spacing w:after="0"/>
              <w:jc w:val="right"/>
              <w:rPr>
                <w:rFonts w:eastAsia="Times New Roman"/>
                <w:sz w:val="20"/>
                <w:szCs w:val="20"/>
              </w:rPr>
            </w:pPr>
            <w:r w:rsidRPr="00D314A6">
              <w:rPr>
                <w:rFonts w:eastAsia="Times New Roman"/>
                <w:sz w:val="20"/>
                <w:szCs w:val="20"/>
              </w:rPr>
              <w:t>£34,540</w:t>
            </w:r>
          </w:p>
        </w:tc>
      </w:tr>
      <w:tr w:rsidR="00EC32C3" w:rsidRPr="00D314A6" w14:paraId="65D8C713" w14:textId="77777777" w:rsidTr="00B5396A">
        <w:trPr>
          <w:trHeight w:val="290"/>
        </w:trPr>
        <w:tc>
          <w:tcPr>
            <w:tcW w:w="7100" w:type="dxa"/>
            <w:hideMark/>
          </w:tcPr>
          <w:p w14:paraId="76FF2654" w14:textId="77777777" w:rsidR="00EC32C3" w:rsidRPr="00D314A6" w:rsidRDefault="00EC32C3" w:rsidP="00E7574D">
            <w:pPr>
              <w:spacing w:after="0"/>
              <w:rPr>
                <w:rFonts w:eastAsia="Times New Roman"/>
                <w:sz w:val="20"/>
                <w:szCs w:val="20"/>
              </w:rPr>
            </w:pPr>
            <w:r w:rsidRPr="00D314A6">
              <w:rPr>
                <w:rFonts w:eastAsia="Times New Roman"/>
                <w:sz w:val="20"/>
                <w:szCs w:val="20"/>
              </w:rPr>
              <w:t>Employment &amp; Skills Delivery 2023-25 </w:t>
            </w:r>
          </w:p>
        </w:tc>
        <w:tc>
          <w:tcPr>
            <w:tcW w:w="1831" w:type="dxa"/>
            <w:noWrap/>
            <w:vAlign w:val="bottom"/>
            <w:hideMark/>
          </w:tcPr>
          <w:p w14:paraId="356E5C54" w14:textId="77777777" w:rsidR="00EC32C3" w:rsidRPr="00D314A6" w:rsidRDefault="00EC32C3" w:rsidP="00E7574D">
            <w:pPr>
              <w:spacing w:after="0"/>
              <w:jc w:val="right"/>
              <w:rPr>
                <w:rFonts w:eastAsia="Times New Roman"/>
                <w:color w:val="000000"/>
                <w:sz w:val="20"/>
                <w:szCs w:val="20"/>
              </w:rPr>
            </w:pPr>
            <w:r w:rsidRPr="00D314A6">
              <w:rPr>
                <w:rFonts w:eastAsia="Times New Roman"/>
                <w:color w:val="000000"/>
                <w:sz w:val="20"/>
                <w:szCs w:val="20"/>
              </w:rPr>
              <w:t>£1,677,507</w:t>
            </w:r>
          </w:p>
        </w:tc>
      </w:tr>
      <w:tr w:rsidR="00EC32C3" w:rsidRPr="00D314A6" w14:paraId="79E8A7CA" w14:textId="77777777" w:rsidTr="00B5396A">
        <w:trPr>
          <w:trHeight w:val="290"/>
        </w:trPr>
        <w:tc>
          <w:tcPr>
            <w:tcW w:w="7100" w:type="dxa"/>
            <w:hideMark/>
          </w:tcPr>
          <w:p w14:paraId="485A0575" w14:textId="77777777" w:rsidR="00EC32C3" w:rsidRPr="00D314A6" w:rsidRDefault="00EC32C3" w:rsidP="00E7574D">
            <w:pPr>
              <w:spacing w:after="0"/>
              <w:rPr>
                <w:rFonts w:eastAsia="Times New Roman"/>
                <w:sz w:val="20"/>
                <w:szCs w:val="20"/>
              </w:rPr>
            </w:pPr>
            <w:r w:rsidRPr="00D314A6">
              <w:rPr>
                <w:rFonts w:eastAsia="Times New Roman"/>
                <w:sz w:val="20"/>
                <w:szCs w:val="20"/>
              </w:rPr>
              <w:t>Female BAME</w:t>
            </w:r>
          </w:p>
        </w:tc>
        <w:tc>
          <w:tcPr>
            <w:tcW w:w="1831" w:type="dxa"/>
            <w:noWrap/>
            <w:vAlign w:val="bottom"/>
            <w:hideMark/>
          </w:tcPr>
          <w:p w14:paraId="40904660" w14:textId="77777777" w:rsidR="00EC32C3" w:rsidRPr="00D314A6" w:rsidRDefault="00EC32C3" w:rsidP="00E7574D">
            <w:pPr>
              <w:spacing w:after="0"/>
              <w:jc w:val="right"/>
              <w:rPr>
                <w:rFonts w:eastAsia="Times New Roman"/>
                <w:color w:val="000000"/>
                <w:sz w:val="20"/>
                <w:szCs w:val="20"/>
              </w:rPr>
            </w:pPr>
            <w:r w:rsidRPr="00D314A6">
              <w:rPr>
                <w:rFonts w:eastAsia="Times New Roman"/>
                <w:color w:val="000000"/>
                <w:sz w:val="20"/>
                <w:szCs w:val="20"/>
              </w:rPr>
              <w:t>£95,000</w:t>
            </w:r>
          </w:p>
        </w:tc>
      </w:tr>
      <w:tr w:rsidR="00EC32C3" w:rsidRPr="00D314A6" w14:paraId="454F3136" w14:textId="77777777" w:rsidTr="00B5396A">
        <w:trPr>
          <w:trHeight w:val="290"/>
        </w:trPr>
        <w:tc>
          <w:tcPr>
            <w:tcW w:w="7100" w:type="dxa"/>
            <w:hideMark/>
          </w:tcPr>
          <w:p w14:paraId="6D79E532" w14:textId="77777777" w:rsidR="00EC32C3" w:rsidRPr="00D314A6" w:rsidRDefault="00EC32C3" w:rsidP="00E7574D">
            <w:pPr>
              <w:spacing w:after="0"/>
              <w:rPr>
                <w:rFonts w:eastAsia="Times New Roman"/>
                <w:sz w:val="20"/>
                <w:szCs w:val="20"/>
              </w:rPr>
            </w:pPr>
            <w:r w:rsidRPr="00D314A6">
              <w:rPr>
                <w:rFonts w:eastAsia="Times New Roman"/>
                <w:sz w:val="20"/>
                <w:szCs w:val="20"/>
              </w:rPr>
              <w:t xml:space="preserve">Town Centre Management </w:t>
            </w:r>
          </w:p>
        </w:tc>
        <w:tc>
          <w:tcPr>
            <w:tcW w:w="1831" w:type="dxa"/>
            <w:vAlign w:val="bottom"/>
            <w:hideMark/>
          </w:tcPr>
          <w:p w14:paraId="785A8FE5" w14:textId="77777777" w:rsidR="00EC32C3" w:rsidRPr="00D314A6" w:rsidRDefault="00EC32C3" w:rsidP="00E7574D">
            <w:pPr>
              <w:spacing w:after="0"/>
              <w:jc w:val="right"/>
              <w:rPr>
                <w:rFonts w:eastAsia="Times New Roman"/>
                <w:sz w:val="20"/>
                <w:szCs w:val="20"/>
              </w:rPr>
            </w:pPr>
            <w:r w:rsidRPr="00D314A6">
              <w:rPr>
                <w:rFonts w:eastAsia="Times New Roman"/>
                <w:sz w:val="20"/>
                <w:szCs w:val="20"/>
              </w:rPr>
              <w:t>£123,739</w:t>
            </w:r>
          </w:p>
        </w:tc>
      </w:tr>
      <w:tr w:rsidR="00EC32C3" w:rsidRPr="00D314A6" w14:paraId="5B5DAF8E" w14:textId="77777777" w:rsidTr="00B5396A">
        <w:trPr>
          <w:trHeight w:val="290"/>
        </w:trPr>
        <w:tc>
          <w:tcPr>
            <w:tcW w:w="7100" w:type="dxa"/>
            <w:hideMark/>
          </w:tcPr>
          <w:p w14:paraId="0A1FC98D" w14:textId="77777777" w:rsidR="00EC32C3" w:rsidRPr="00D314A6" w:rsidRDefault="00EC32C3" w:rsidP="00E7574D">
            <w:pPr>
              <w:spacing w:after="0"/>
              <w:rPr>
                <w:rFonts w:eastAsia="Times New Roman"/>
                <w:sz w:val="20"/>
                <w:szCs w:val="20"/>
              </w:rPr>
            </w:pPr>
            <w:r w:rsidRPr="00D314A6">
              <w:rPr>
                <w:rFonts w:eastAsia="Times New Roman"/>
                <w:sz w:val="20"/>
                <w:szCs w:val="20"/>
              </w:rPr>
              <w:t xml:space="preserve">Digital Ambassador </w:t>
            </w:r>
          </w:p>
        </w:tc>
        <w:tc>
          <w:tcPr>
            <w:tcW w:w="1831" w:type="dxa"/>
            <w:noWrap/>
            <w:vAlign w:val="bottom"/>
            <w:hideMark/>
          </w:tcPr>
          <w:p w14:paraId="0083CD0A" w14:textId="77777777" w:rsidR="00EC32C3" w:rsidRPr="00D314A6" w:rsidRDefault="00EC32C3" w:rsidP="00E7574D">
            <w:pPr>
              <w:spacing w:after="0"/>
              <w:jc w:val="right"/>
              <w:rPr>
                <w:rFonts w:eastAsia="Times New Roman"/>
                <w:color w:val="000000"/>
                <w:sz w:val="20"/>
                <w:szCs w:val="20"/>
              </w:rPr>
            </w:pPr>
            <w:r w:rsidRPr="00D314A6">
              <w:rPr>
                <w:rFonts w:eastAsia="Times New Roman"/>
                <w:color w:val="000000"/>
                <w:sz w:val="20"/>
                <w:szCs w:val="20"/>
              </w:rPr>
              <w:t>£39,786</w:t>
            </w:r>
          </w:p>
        </w:tc>
      </w:tr>
      <w:tr w:rsidR="00EC32C3" w:rsidRPr="00D314A6" w14:paraId="11F9ADB1" w14:textId="77777777" w:rsidTr="00B5396A">
        <w:trPr>
          <w:trHeight w:val="290"/>
        </w:trPr>
        <w:tc>
          <w:tcPr>
            <w:tcW w:w="7100" w:type="dxa"/>
            <w:hideMark/>
          </w:tcPr>
          <w:p w14:paraId="3424B9E6" w14:textId="77777777" w:rsidR="00EC32C3" w:rsidRPr="00D314A6" w:rsidRDefault="00EC32C3" w:rsidP="00E7574D">
            <w:pPr>
              <w:spacing w:after="0"/>
              <w:rPr>
                <w:rFonts w:eastAsia="Times New Roman"/>
                <w:color w:val="000000"/>
                <w:sz w:val="20"/>
                <w:szCs w:val="20"/>
              </w:rPr>
            </w:pPr>
            <w:r w:rsidRPr="00D314A6">
              <w:rPr>
                <w:rFonts w:eastAsia="Times New Roman"/>
                <w:color w:val="000000"/>
                <w:sz w:val="20"/>
                <w:szCs w:val="20"/>
              </w:rPr>
              <w:t>Staff Costs Employment &amp; Skills &amp; Work Path</w:t>
            </w:r>
          </w:p>
        </w:tc>
        <w:tc>
          <w:tcPr>
            <w:tcW w:w="1831" w:type="dxa"/>
            <w:noWrap/>
            <w:vAlign w:val="bottom"/>
            <w:hideMark/>
          </w:tcPr>
          <w:p w14:paraId="7FFC6D4A" w14:textId="77777777" w:rsidR="00EC32C3" w:rsidRPr="00D314A6" w:rsidRDefault="00EC32C3" w:rsidP="00E7574D">
            <w:pPr>
              <w:spacing w:after="0"/>
              <w:jc w:val="right"/>
              <w:rPr>
                <w:rFonts w:eastAsia="Times New Roman"/>
                <w:color w:val="000000"/>
                <w:sz w:val="20"/>
                <w:szCs w:val="20"/>
              </w:rPr>
            </w:pPr>
            <w:r w:rsidRPr="00D314A6">
              <w:rPr>
                <w:rFonts w:eastAsia="Times New Roman"/>
                <w:color w:val="000000"/>
                <w:sz w:val="20"/>
                <w:szCs w:val="20"/>
              </w:rPr>
              <w:t>£1,875,182</w:t>
            </w:r>
          </w:p>
        </w:tc>
      </w:tr>
      <w:tr w:rsidR="00E117C3" w:rsidRPr="00D314A6" w14:paraId="56E2EC5A" w14:textId="77777777" w:rsidTr="00E117C3">
        <w:trPr>
          <w:trHeight w:val="290"/>
        </w:trPr>
        <w:tc>
          <w:tcPr>
            <w:tcW w:w="7100" w:type="dxa"/>
            <w:shd w:val="clear" w:color="auto" w:fill="D0CECE" w:themeFill="background2" w:themeFillShade="E6"/>
          </w:tcPr>
          <w:p w14:paraId="6F09559C" w14:textId="3205AAA5" w:rsidR="00E117C3" w:rsidRPr="00D314A6" w:rsidRDefault="00E117C3" w:rsidP="00E7574D">
            <w:pPr>
              <w:spacing w:after="0"/>
              <w:rPr>
                <w:rFonts w:eastAsia="Times New Roman"/>
                <w:color w:val="000000"/>
                <w:sz w:val="20"/>
                <w:szCs w:val="20"/>
              </w:rPr>
            </w:pPr>
            <w:r w:rsidRPr="00D314A6">
              <w:rPr>
                <w:rFonts w:eastAsia="Times New Roman"/>
                <w:b/>
                <w:bCs/>
                <w:color w:val="000000"/>
                <w:sz w:val="20"/>
                <w:szCs w:val="20"/>
              </w:rPr>
              <w:t>Health Infrastructure</w:t>
            </w:r>
          </w:p>
        </w:tc>
        <w:tc>
          <w:tcPr>
            <w:tcW w:w="1831" w:type="dxa"/>
            <w:shd w:val="clear" w:color="auto" w:fill="D0CECE" w:themeFill="background2" w:themeFillShade="E6"/>
            <w:noWrap/>
            <w:vAlign w:val="bottom"/>
          </w:tcPr>
          <w:p w14:paraId="5426283F" w14:textId="77777777" w:rsidR="00E117C3" w:rsidRPr="00D314A6" w:rsidRDefault="00E117C3" w:rsidP="00E7574D">
            <w:pPr>
              <w:spacing w:after="0"/>
              <w:jc w:val="right"/>
              <w:rPr>
                <w:rFonts w:eastAsia="Times New Roman"/>
                <w:color w:val="000000"/>
                <w:sz w:val="20"/>
                <w:szCs w:val="20"/>
              </w:rPr>
            </w:pPr>
          </w:p>
        </w:tc>
      </w:tr>
      <w:tr w:rsidR="00EC32C3" w:rsidRPr="00D314A6" w14:paraId="1DA09BBD" w14:textId="77777777" w:rsidTr="00B5396A">
        <w:trPr>
          <w:trHeight w:val="290"/>
        </w:trPr>
        <w:tc>
          <w:tcPr>
            <w:tcW w:w="7100" w:type="dxa"/>
            <w:hideMark/>
          </w:tcPr>
          <w:p w14:paraId="707D3F6E" w14:textId="77777777" w:rsidR="00EC32C3" w:rsidRPr="00D314A6" w:rsidRDefault="00EC32C3" w:rsidP="00E7574D">
            <w:pPr>
              <w:spacing w:after="0"/>
              <w:rPr>
                <w:rFonts w:eastAsia="Times New Roman"/>
                <w:sz w:val="20"/>
                <w:szCs w:val="20"/>
              </w:rPr>
            </w:pPr>
            <w:r w:rsidRPr="00D314A6">
              <w:rPr>
                <w:rFonts w:eastAsia="Times New Roman"/>
                <w:sz w:val="20"/>
                <w:szCs w:val="20"/>
              </w:rPr>
              <w:t>Bartlett Park Improvement Plan (was Inclusive Play)</w:t>
            </w:r>
          </w:p>
        </w:tc>
        <w:tc>
          <w:tcPr>
            <w:tcW w:w="1831" w:type="dxa"/>
            <w:vAlign w:val="bottom"/>
            <w:hideMark/>
          </w:tcPr>
          <w:p w14:paraId="0FF74F0F" w14:textId="77777777" w:rsidR="00EC32C3" w:rsidRPr="00D314A6" w:rsidRDefault="00EC32C3" w:rsidP="00E7574D">
            <w:pPr>
              <w:spacing w:after="0"/>
              <w:jc w:val="right"/>
              <w:rPr>
                <w:rFonts w:eastAsia="Times New Roman"/>
                <w:color w:val="000000"/>
                <w:sz w:val="20"/>
                <w:szCs w:val="20"/>
              </w:rPr>
            </w:pPr>
            <w:r w:rsidRPr="00D314A6">
              <w:rPr>
                <w:rFonts w:eastAsia="Times New Roman"/>
                <w:color w:val="000000"/>
                <w:sz w:val="20"/>
                <w:szCs w:val="20"/>
              </w:rPr>
              <w:t>£11,746</w:t>
            </w:r>
          </w:p>
        </w:tc>
      </w:tr>
      <w:tr w:rsidR="00EC32C3" w:rsidRPr="00D314A6" w14:paraId="09BE05A8" w14:textId="77777777" w:rsidTr="00B5396A">
        <w:trPr>
          <w:trHeight w:val="290"/>
        </w:trPr>
        <w:tc>
          <w:tcPr>
            <w:tcW w:w="7100" w:type="dxa"/>
            <w:hideMark/>
          </w:tcPr>
          <w:p w14:paraId="3583585C" w14:textId="77777777" w:rsidR="00EC32C3" w:rsidRPr="00D314A6" w:rsidRDefault="00EC32C3" w:rsidP="00E7574D">
            <w:pPr>
              <w:spacing w:after="0"/>
              <w:rPr>
                <w:rFonts w:eastAsia="Times New Roman"/>
                <w:sz w:val="20"/>
                <w:szCs w:val="20"/>
              </w:rPr>
            </w:pPr>
            <w:r w:rsidRPr="00D314A6">
              <w:rPr>
                <w:rFonts w:eastAsia="Times New Roman"/>
                <w:sz w:val="20"/>
                <w:szCs w:val="20"/>
              </w:rPr>
              <w:t xml:space="preserve">Cherry Trees </w:t>
            </w:r>
          </w:p>
        </w:tc>
        <w:tc>
          <w:tcPr>
            <w:tcW w:w="1831" w:type="dxa"/>
            <w:noWrap/>
            <w:vAlign w:val="bottom"/>
            <w:hideMark/>
          </w:tcPr>
          <w:p w14:paraId="0AE18BD4" w14:textId="77777777" w:rsidR="00EC32C3" w:rsidRPr="00D314A6" w:rsidRDefault="00EC32C3" w:rsidP="00E7574D">
            <w:pPr>
              <w:spacing w:after="0"/>
              <w:jc w:val="right"/>
              <w:rPr>
                <w:rFonts w:eastAsia="Times New Roman"/>
                <w:color w:val="000000"/>
                <w:sz w:val="20"/>
                <w:szCs w:val="20"/>
              </w:rPr>
            </w:pPr>
            <w:r w:rsidRPr="00D314A6">
              <w:rPr>
                <w:rFonts w:eastAsia="Times New Roman"/>
                <w:color w:val="000000"/>
                <w:sz w:val="20"/>
                <w:szCs w:val="20"/>
              </w:rPr>
              <w:t>£72,570</w:t>
            </w:r>
          </w:p>
        </w:tc>
      </w:tr>
      <w:tr w:rsidR="00EC32C3" w:rsidRPr="00D314A6" w14:paraId="446EB762" w14:textId="77777777" w:rsidTr="00B5396A">
        <w:trPr>
          <w:trHeight w:val="290"/>
        </w:trPr>
        <w:tc>
          <w:tcPr>
            <w:tcW w:w="7100" w:type="dxa"/>
            <w:hideMark/>
          </w:tcPr>
          <w:p w14:paraId="59EBB600" w14:textId="77777777" w:rsidR="00EC32C3" w:rsidRPr="00D314A6" w:rsidRDefault="00EC32C3" w:rsidP="00E7574D">
            <w:pPr>
              <w:spacing w:after="0"/>
              <w:rPr>
                <w:rFonts w:eastAsia="Times New Roman"/>
                <w:sz w:val="20"/>
                <w:szCs w:val="20"/>
              </w:rPr>
            </w:pPr>
            <w:r w:rsidRPr="00D314A6">
              <w:rPr>
                <w:rFonts w:eastAsia="Times New Roman"/>
                <w:sz w:val="20"/>
                <w:szCs w:val="20"/>
              </w:rPr>
              <w:t>Care Technology Transformation</w:t>
            </w:r>
          </w:p>
        </w:tc>
        <w:tc>
          <w:tcPr>
            <w:tcW w:w="1831" w:type="dxa"/>
            <w:hideMark/>
          </w:tcPr>
          <w:p w14:paraId="42B21224" w14:textId="77777777" w:rsidR="00EC32C3" w:rsidRPr="00D314A6" w:rsidRDefault="00EC32C3" w:rsidP="00E7574D">
            <w:pPr>
              <w:spacing w:after="0"/>
              <w:jc w:val="right"/>
              <w:rPr>
                <w:rFonts w:eastAsia="Times New Roman"/>
                <w:sz w:val="20"/>
                <w:szCs w:val="20"/>
              </w:rPr>
            </w:pPr>
            <w:r w:rsidRPr="00D314A6">
              <w:rPr>
                <w:rFonts w:eastAsia="Times New Roman"/>
                <w:sz w:val="20"/>
                <w:szCs w:val="20"/>
              </w:rPr>
              <w:t>£35,663</w:t>
            </w:r>
          </w:p>
        </w:tc>
      </w:tr>
      <w:tr w:rsidR="00EC32C3" w:rsidRPr="00D314A6" w14:paraId="533E70BE" w14:textId="77777777" w:rsidTr="00B5396A">
        <w:trPr>
          <w:trHeight w:val="290"/>
        </w:trPr>
        <w:tc>
          <w:tcPr>
            <w:tcW w:w="7100" w:type="dxa"/>
            <w:hideMark/>
          </w:tcPr>
          <w:p w14:paraId="667E0F4E" w14:textId="77777777" w:rsidR="00EC32C3" w:rsidRPr="00D314A6" w:rsidRDefault="00EC32C3" w:rsidP="00E7574D">
            <w:pPr>
              <w:spacing w:after="0"/>
              <w:rPr>
                <w:rFonts w:eastAsia="Times New Roman"/>
                <w:sz w:val="20"/>
                <w:szCs w:val="20"/>
              </w:rPr>
            </w:pPr>
            <w:r w:rsidRPr="00D314A6">
              <w:rPr>
                <w:rFonts w:eastAsia="Times New Roman"/>
                <w:sz w:val="20"/>
                <w:szCs w:val="20"/>
              </w:rPr>
              <w:t xml:space="preserve">Sewardstone Road </w:t>
            </w:r>
          </w:p>
        </w:tc>
        <w:tc>
          <w:tcPr>
            <w:tcW w:w="1831" w:type="dxa"/>
            <w:hideMark/>
          </w:tcPr>
          <w:p w14:paraId="0D1E01F9" w14:textId="77777777" w:rsidR="00EC32C3" w:rsidRPr="00D314A6" w:rsidRDefault="00EC32C3" w:rsidP="00E7574D">
            <w:pPr>
              <w:spacing w:after="0"/>
              <w:jc w:val="right"/>
              <w:rPr>
                <w:rFonts w:eastAsia="Times New Roman"/>
                <w:sz w:val="20"/>
                <w:szCs w:val="20"/>
              </w:rPr>
            </w:pPr>
            <w:r w:rsidRPr="00D314A6">
              <w:rPr>
                <w:rFonts w:eastAsia="Times New Roman"/>
                <w:sz w:val="20"/>
                <w:szCs w:val="20"/>
              </w:rPr>
              <w:t>£9,781</w:t>
            </w:r>
          </w:p>
        </w:tc>
      </w:tr>
      <w:tr w:rsidR="00E117C3" w:rsidRPr="00D314A6" w14:paraId="779757EA" w14:textId="77777777" w:rsidTr="00E117C3">
        <w:trPr>
          <w:trHeight w:val="290"/>
        </w:trPr>
        <w:tc>
          <w:tcPr>
            <w:tcW w:w="7100" w:type="dxa"/>
            <w:shd w:val="clear" w:color="auto" w:fill="D0CECE" w:themeFill="background2" w:themeFillShade="E6"/>
          </w:tcPr>
          <w:p w14:paraId="7E89A518" w14:textId="0F05843B" w:rsidR="00E117C3" w:rsidRPr="00D314A6" w:rsidRDefault="00E117C3" w:rsidP="00E7574D">
            <w:pPr>
              <w:spacing w:after="0"/>
              <w:rPr>
                <w:rFonts w:eastAsia="Times New Roman"/>
                <w:sz w:val="20"/>
                <w:szCs w:val="20"/>
              </w:rPr>
            </w:pPr>
            <w:r w:rsidRPr="00D314A6">
              <w:rPr>
                <w:rFonts w:eastAsia="Times New Roman"/>
                <w:b/>
                <w:bCs/>
                <w:color w:val="000000"/>
                <w:sz w:val="20"/>
                <w:szCs w:val="20"/>
              </w:rPr>
              <w:t>Landscape and Open Space</w:t>
            </w:r>
          </w:p>
        </w:tc>
        <w:tc>
          <w:tcPr>
            <w:tcW w:w="1831" w:type="dxa"/>
            <w:shd w:val="clear" w:color="auto" w:fill="D0CECE" w:themeFill="background2" w:themeFillShade="E6"/>
          </w:tcPr>
          <w:p w14:paraId="018F7565" w14:textId="77777777" w:rsidR="00E117C3" w:rsidRPr="00D314A6" w:rsidRDefault="00E117C3" w:rsidP="00E7574D">
            <w:pPr>
              <w:spacing w:after="0"/>
              <w:jc w:val="right"/>
              <w:rPr>
                <w:rFonts w:eastAsia="Times New Roman"/>
                <w:sz w:val="20"/>
                <w:szCs w:val="20"/>
              </w:rPr>
            </w:pPr>
          </w:p>
        </w:tc>
      </w:tr>
      <w:tr w:rsidR="00EC32C3" w:rsidRPr="00D314A6" w14:paraId="7B065B86" w14:textId="77777777" w:rsidTr="00B5396A">
        <w:trPr>
          <w:trHeight w:val="290"/>
        </w:trPr>
        <w:tc>
          <w:tcPr>
            <w:tcW w:w="7100" w:type="dxa"/>
            <w:hideMark/>
          </w:tcPr>
          <w:p w14:paraId="0302F30E" w14:textId="77777777" w:rsidR="00EC32C3" w:rsidRPr="00D314A6" w:rsidRDefault="00EC32C3" w:rsidP="00E7574D">
            <w:pPr>
              <w:spacing w:after="0"/>
              <w:rPr>
                <w:rFonts w:eastAsia="Times New Roman"/>
                <w:color w:val="000000"/>
                <w:sz w:val="20"/>
                <w:szCs w:val="20"/>
              </w:rPr>
            </w:pPr>
            <w:r w:rsidRPr="00D314A6">
              <w:rPr>
                <w:rFonts w:eastAsia="Times New Roman"/>
                <w:color w:val="000000"/>
                <w:sz w:val="20"/>
                <w:szCs w:val="20"/>
              </w:rPr>
              <w:t>Christchurch Gardens</w:t>
            </w:r>
          </w:p>
        </w:tc>
        <w:tc>
          <w:tcPr>
            <w:tcW w:w="1831" w:type="dxa"/>
            <w:vAlign w:val="bottom"/>
            <w:hideMark/>
          </w:tcPr>
          <w:p w14:paraId="23331DAE" w14:textId="77777777" w:rsidR="00EC32C3" w:rsidRPr="00D314A6" w:rsidRDefault="00EC32C3" w:rsidP="00E7574D">
            <w:pPr>
              <w:spacing w:after="0"/>
              <w:jc w:val="right"/>
              <w:rPr>
                <w:rFonts w:eastAsia="Times New Roman"/>
                <w:color w:val="000000"/>
                <w:sz w:val="20"/>
                <w:szCs w:val="20"/>
              </w:rPr>
            </w:pPr>
            <w:r w:rsidRPr="00D314A6">
              <w:rPr>
                <w:rFonts w:eastAsia="Times New Roman"/>
                <w:color w:val="000000"/>
                <w:sz w:val="20"/>
                <w:szCs w:val="20"/>
              </w:rPr>
              <w:t>£6,579</w:t>
            </w:r>
          </w:p>
        </w:tc>
      </w:tr>
      <w:tr w:rsidR="00EC32C3" w:rsidRPr="00D314A6" w14:paraId="612BA661" w14:textId="77777777" w:rsidTr="00B5396A">
        <w:trPr>
          <w:trHeight w:val="290"/>
        </w:trPr>
        <w:tc>
          <w:tcPr>
            <w:tcW w:w="7100" w:type="dxa"/>
            <w:hideMark/>
          </w:tcPr>
          <w:p w14:paraId="3DF2272E" w14:textId="77777777" w:rsidR="00EC32C3" w:rsidRPr="00D314A6" w:rsidRDefault="00EC32C3" w:rsidP="00E7574D">
            <w:pPr>
              <w:spacing w:after="0"/>
              <w:rPr>
                <w:rFonts w:eastAsia="Times New Roman"/>
                <w:sz w:val="20"/>
                <w:szCs w:val="20"/>
              </w:rPr>
            </w:pPr>
            <w:r w:rsidRPr="00D314A6">
              <w:rPr>
                <w:rFonts w:eastAsia="Times New Roman"/>
                <w:sz w:val="20"/>
                <w:szCs w:val="20"/>
              </w:rPr>
              <w:t xml:space="preserve">King Edward Memorial Park </w:t>
            </w:r>
          </w:p>
        </w:tc>
        <w:tc>
          <w:tcPr>
            <w:tcW w:w="1831" w:type="dxa"/>
            <w:vAlign w:val="bottom"/>
            <w:hideMark/>
          </w:tcPr>
          <w:p w14:paraId="0DD5E129" w14:textId="77777777" w:rsidR="00EC32C3" w:rsidRPr="00D314A6" w:rsidRDefault="00EC32C3" w:rsidP="00E7574D">
            <w:pPr>
              <w:spacing w:after="0"/>
              <w:jc w:val="right"/>
              <w:rPr>
                <w:rFonts w:eastAsia="Times New Roman"/>
                <w:sz w:val="20"/>
                <w:szCs w:val="20"/>
              </w:rPr>
            </w:pPr>
            <w:r w:rsidRPr="00D314A6">
              <w:rPr>
                <w:rFonts w:eastAsia="Times New Roman"/>
                <w:sz w:val="20"/>
                <w:szCs w:val="20"/>
              </w:rPr>
              <w:t>£54,934</w:t>
            </w:r>
          </w:p>
        </w:tc>
      </w:tr>
      <w:tr w:rsidR="00EC32C3" w:rsidRPr="00D314A6" w14:paraId="46B17C7C" w14:textId="77777777" w:rsidTr="00B5396A">
        <w:trPr>
          <w:trHeight w:val="290"/>
        </w:trPr>
        <w:tc>
          <w:tcPr>
            <w:tcW w:w="7100" w:type="dxa"/>
            <w:hideMark/>
          </w:tcPr>
          <w:p w14:paraId="629AB1D3" w14:textId="77777777" w:rsidR="00EC32C3" w:rsidRPr="00D314A6" w:rsidRDefault="00EC32C3" w:rsidP="00E7574D">
            <w:pPr>
              <w:spacing w:after="0"/>
              <w:rPr>
                <w:rFonts w:eastAsia="Times New Roman"/>
                <w:sz w:val="20"/>
                <w:szCs w:val="20"/>
              </w:rPr>
            </w:pPr>
            <w:r w:rsidRPr="00D314A6">
              <w:rPr>
                <w:rFonts w:eastAsia="Times New Roman"/>
                <w:sz w:val="20"/>
                <w:szCs w:val="20"/>
              </w:rPr>
              <w:t xml:space="preserve">Heritage Drinking Fountains </w:t>
            </w:r>
          </w:p>
        </w:tc>
        <w:tc>
          <w:tcPr>
            <w:tcW w:w="1831" w:type="dxa"/>
            <w:vAlign w:val="bottom"/>
            <w:hideMark/>
          </w:tcPr>
          <w:p w14:paraId="63A4DCA4" w14:textId="77777777" w:rsidR="00EC32C3" w:rsidRPr="00D314A6" w:rsidRDefault="00EC32C3" w:rsidP="00E7574D">
            <w:pPr>
              <w:spacing w:after="0"/>
              <w:jc w:val="right"/>
              <w:rPr>
                <w:rFonts w:eastAsia="Times New Roman"/>
                <w:color w:val="000000"/>
                <w:sz w:val="20"/>
                <w:szCs w:val="20"/>
              </w:rPr>
            </w:pPr>
            <w:r w:rsidRPr="00D314A6">
              <w:rPr>
                <w:rFonts w:eastAsia="Times New Roman"/>
                <w:color w:val="000000"/>
                <w:sz w:val="20"/>
                <w:szCs w:val="20"/>
              </w:rPr>
              <w:t>£1,500</w:t>
            </w:r>
          </w:p>
        </w:tc>
      </w:tr>
      <w:tr w:rsidR="00EC32C3" w:rsidRPr="00D314A6" w14:paraId="04333197" w14:textId="77777777" w:rsidTr="00B5396A">
        <w:trPr>
          <w:trHeight w:val="290"/>
        </w:trPr>
        <w:tc>
          <w:tcPr>
            <w:tcW w:w="7100" w:type="dxa"/>
            <w:hideMark/>
          </w:tcPr>
          <w:p w14:paraId="22017305" w14:textId="77777777" w:rsidR="00EC32C3" w:rsidRPr="00D314A6" w:rsidRDefault="00EC32C3" w:rsidP="00E7574D">
            <w:pPr>
              <w:spacing w:after="0"/>
              <w:rPr>
                <w:rFonts w:eastAsia="Times New Roman"/>
                <w:sz w:val="20"/>
                <w:szCs w:val="20"/>
              </w:rPr>
            </w:pPr>
            <w:r w:rsidRPr="00D314A6">
              <w:rPr>
                <w:rFonts w:eastAsia="Times New Roman"/>
                <w:sz w:val="20"/>
                <w:szCs w:val="20"/>
              </w:rPr>
              <w:t>Inclusive Play</w:t>
            </w:r>
          </w:p>
        </w:tc>
        <w:tc>
          <w:tcPr>
            <w:tcW w:w="1831" w:type="dxa"/>
            <w:vAlign w:val="bottom"/>
            <w:hideMark/>
          </w:tcPr>
          <w:p w14:paraId="2CA655B8" w14:textId="77777777" w:rsidR="00EC32C3" w:rsidRPr="00D314A6" w:rsidRDefault="00EC32C3" w:rsidP="00E7574D">
            <w:pPr>
              <w:spacing w:after="0"/>
              <w:jc w:val="right"/>
              <w:rPr>
                <w:rFonts w:eastAsia="Times New Roman"/>
                <w:sz w:val="20"/>
                <w:szCs w:val="20"/>
              </w:rPr>
            </w:pPr>
            <w:r w:rsidRPr="00D314A6">
              <w:rPr>
                <w:rFonts w:eastAsia="Times New Roman"/>
                <w:sz w:val="20"/>
                <w:szCs w:val="20"/>
              </w:rPr>
              <w:t>£76,145</w:t>
            </w:r>
          </w:p>
        </w:tc>
      </w:tr>
      <w:tr w:rsidR="00EC32C3" w:rsidRPr="00D314A6" w14:paraId="6651FBFB" w14:textId="77777777" w:rsidTr="00B5396A">
        <w:trPr>
          <w:trHeight w:val="290"/>
        </w:trPr>
        <w:tc>
          <w:tcPr>
            <w:tcW w:w="7100" w:type="dxa"/>
            <w:hideMark/>
          </w:tcPr>
          <w:p w14:paraId="3B0214BE" w14:textId="77777777" w:rsidR="00EC32C3" w:rsidRPr="00D314A6" w:rsidRDefault="00EC32C3" w:rsidP="00E7574D">
            <w:pPr>
              <w:spacing w:after="0"/>
              <w:rPr>
                <w:rFonts w:eastAsia="Times New Roman"/>
                <w:sz w:val="20"/>
                <w:szCs w:val="20"/>
              </w:rPr>
            </w:pPr>
            <w:r w:rsidRPr="00D314A6">
              <w:rPr>
                <w:rFonts w:eastAsia="Times New Roman"/>
                <w:sz w:val="20"/>
                <w:szCs w:val="20"/>
              </w:rPr>
              <w:t>Ford/Cavell</w:t>
            </w:r>
          </w:p>
        </w:tc>
        <w:tc>
          <w:tcPr>
            <w:tcW w:w="1831" w:type="dxa"/>
            <w:noWrap/>
            <w:vAlign w:val="bottom"/>
            <w:hideMark/>
          </w:tcPr>
          <w:p w14:paraId="59E2A147" w14:textId="77777777" w:rsidR="00EC32C3" w:rsidRPr="00D314A6" w:rsidRDefault="00EC32C3" w:rsidP="00E7574D">
            <w:pPr>
              <w:spacing w:after="0"/>
              <w:jc w:val="right"/>
              <w:rPr>
                <w:rFonts w:eastAsia="Times New Roman"/>
                <w:color w:val="000000"/>
                <w:sz w:val="20"/>
                <w:szCs w:val="20"/>
              </w:rPr>
            </w:pPr>
            <w:r w:rsidRPr="00D314A6">
              <w:rPr>
                <w:rFonts w:eastAsia="Times New Roman"/>
                <w:color w:val="000000"/>
                <w:sz w:val="20"/>
                <w:szCs w:val="20"/>
              </w:rPr>
              <w:t>£34,598</w:t>
            </w:r>
          </w:p>
        </w:tc>
      </w:tr>
      <w:tr w:rsidR="00EC32C3" w:rsidRPr="00D314A6" w14:paraId="4879547D" w14:textId="77777777" w:rsidTr="00B5396A">
        <w:trPr>
          <w:trHeight w:val="290"/>
        </w:trPr>
        <w:tc>
          <w:tcPr>
            <w:tcW w:w="7100" w:type="dxa"/>
            <w:hideMark/>
          </w:tcPr>
          <w:p w14:paraId="723CA831" w14:textId="77777777" w:rsidR="00EC32C3" w:rsidRPr="00D314A6" w:rsidRDefault="00EC32C3" w:rsidP="00E7574D">
            <w:pPr>
              <w:spacing w:after="0"/>
              <w:rPr>
                <w:rFonts w:eastAsia="Times New Roman"/>
                <w:sz w:val="20"/>
                <w:szCs w:val="20"/>
              </w:rPr>
            </w:pPr>
            <w:r w:rsidRPr="00D314A6">
              <w:rPr>
                <w:rFonts w:eastAsia="Times New Roman"/>
                <w:sz w:val="20"/>
                <w:szCs w:val="20"/>
              </w:rPr>
              <w:t>Signage Heritage</w:t>
            </w:r>
          </w:p>
        </w:tc>
        <w:tc>
          <w:tcPr>
            <w:tcW w:w="1831" w:type="dxa"/>
            <w:vAlign w:val="bottom"/>
            <w:hideMark/>
          </w:tcPr>
          <w:p w14:paraId="1C0D621B" w14:textId="77777777" w:rsidR="00EC32C3" w:rsidRPr="00D314A6" w:rsidRDefault="00EC32C3" w:rsidP="00E7574D">
            <w:pPr>
              <w:spacing w:after="0"/>
              <w:jc w:val="right"/>
              <w:rPr>
                <w:rFonts w:eastAsia="Times New Roman"/>
                <w:sz w:val="20"/>
                <w:szCs w:val="20"/>
              </w:rPr>
            </w:pPr>
            <w:r w:rsidRPr="00D314A6">
              <w:rPr>
                <w:rFonts w:eastAsia="Times New Roman"/>
                <w:sz w:val="20"/>
                <w:szCs w:val="20"/>
              </w:rPr>
              <w:t>£12,077</w:t>
            </w:r>
          </w:p>
        </w:tc>
      </w:tr>
      <w:tr w:rsidR="00EC32C3" w:rsidRPr="00D314A6" w14:paraId="3E63F520" w14:textId="77777777" w:rsidTr="00B5396A">
        <w:trPr>
          <w:trHeight w:val="290"/>
        </w:trPr>
        <w:tc>
          <w:tcPr>
            <w:tcW w:w="7100" w:type="dxa"/>
            <w:hideMark/>
          </w:tcPr>
          <w:p w14:paraId="71AB1F77" w14:textId="77777777" w:rsidR="00EC32C3" w:rsidRPr="00D314A6" w:rsidRDefault="00EC32C3" w:rsidP="00E7574D">
            <w:pPr>
              <w:spacing w:after="0"/>
              <w:rPr>
                <w:rFonts w:eastAsia="Times New Roman"/>
                <w:sz w:val="20"/>
                <w:szCs w:val="20"/>
              </w:rPr>
            </w:pPr>
            <w:r w:rsidRPr="00D314A6">
              <w:rPr>
                <w:rFonts w:eastAsia="Times New Roman"/>
                <w:sz w:val="20"/>
                <w:szCs w:val="20"/>
              </w:rPr>
              <w:t>Island Gardens</w:t>
            </w:r>
          </w:p>
        </w:tc>
        <w:tc>
          <w:tcPr>
            <w:tcW w:w="1831" w:type="dxa"/>
            <w:vAlign w:val="bottom"/>
            <w:hideMark/>
          </w:tcPr>
          <w:p w14:paraId="4CE31330" w14:textId="77777777" w:rsidR="00EC32C3" w:rsidRPr="00D314A6" w:rsidRDefault="00EC32C3" w:rsidP="00E7574D">
            <w:pPr>
              <w:spacing w:after="0"/>
              <w:jc w:val="right"/>
              <w:rPr>
                <w:rFonts w:eastAsia="Times New Roman"/>
                <w:color w:val="000000"/>
                <w:sz w:val="20"/>
                <w:szCs w:val="20"/>
              </w:rPr>
            </w:pPr>
            <w:r w:rsidRPr="00D314A6">
              <w:rPr>
                <w:rFonts w:eastAsia="Times New Roman"/>
                <w:color w:val="000000"/>
                <w:sz w:val="20"/>
                <w:szCs w:val="20"/>
              </w:rPr>
              <w:t>£3,667</w:t>
            </w:r>
          </w:p>
        </w:tc>
      </w:tr>
      <w:tr w:rsidR="00EC32C3" w:rsidRPr="00D314A6" w14:paraId="254156B2" w14:textId="77777777" w:rsidTr="00B5396A">
        <w:trPr>
          <w:trHeight w:val="290"/>
        </w:trPr>
        <w:tc>
          <w:tcPr>
            <w:tcW w:w="7100" w:type="dxa"/>
            <w:hideMark/>
          </w:tcPr>
          <w:p w14:paraId="1BBF9A8E" w14:textId="77777777" w:rsidR="00EC32C3" w:rsidRPr="00D314A6" w:rsidRDefault="00EC32C3" w:rsidP="00E7574D">
            <w:pPr>
              <w:spacing w:after="0"/>
              <w:rPr>
                <w:rFonts w:eastAsia="Times New Roman"/>
                <w:sz w:val="20"/>
                <w:szCs w:val="20"/>
              </w:rPr>
            </w:pPr>
            <w:r w:rsidRPr="00D314A6">
              <w:rPr>
                <w:rFonts w:eastAsia="Times New Roman"/>
                <w:sz w:val="20"/>
                <w:szCs w:val="20"/>
              </w:rPr>
              <w:t xml:space="preserve">Limehouse Fields </w:t>
            </w:r>
          </w:p>
        </w:tc>
        <w:tc>
          <w:tcPr>
            <w:tcW w:w="1831" w:type="dxa"/>
            <w:vAlign w:val="bottom"/>
            <w:hideMark/>
          </w:tcPr>
          <w:p w14:paraId="2098E978" w14:textId="77777777" w:rsidR="00EC32C3" w:rsidRPr="00D314A6" w:rsidRDefault="00EC32C3" w:rsidP="00E7574D">
            <w:pPr>
              <w:spacing w:after="0"/>
              <w:jc w:val="right"/>
              <w:rPr>
                <w:rFonts w:eastAsia="Times New Roman"/>
                <w:sz w:val="20"/>
                <w:szCs w:val="20"/>
              </w:rPr>
            </w:pPr>
            <w:r w:rsidRPr="00D314A6">
              <w:rPr>
                <w:rFonts w:eastAsia="Times New Roman"/>
                <w:sz w:val="20"/>
                <w:szCs w:val="20"/>
              </w:rPr>
              <w:t>£45,061</w:t>
            </w:r>
          </w:p>
        </w:tc>
      </w:tr>
      <w:tr w:rsidR="00EC32C3" w:rsidRPr="00D314A6" w14:paraId="3066E70D" w14:textId="77777777" w:rsidTr="00B5396A">
        <w:trPr>
          <w:trHeight w:val="290"/>
        </w:trPr>
        <w:tc>
          <w:tcPr>
            <w:tcW w:w="7100" w:type="dxa"/>
            <w:hideMark/>
          </w:tcPr>
          <w:p w14:paraId="56A7A3AF" w14:textId="77777777" w:rsidR="00EC32C3" w:rsidRPr="00D314A6" w:rsidRDefault="00EC32C3" w:rsidP="00E7574D">
            <w:pPr>
              <w:spacing w:after="0"/>
              <w:rPr>
                <w:rFonts w:eastAsia="Times New Roman"/>
                <w:sz w:val="20"/>
                <w:szCs w:val="20"/>
              </w:rPr>
            </w:pPr>
            <w:r w:rsidRPr="00D314A6">
              <w:rPr>
                <w:rFonts w:eastAsia="Times New Roman"/>
                <w:sz w:val="20"/>
                <w:szCs w:val="20"/>
              </w:rPr>
              <w:t>Park Upgrades</w:t>
            </w:r>
          </w:p>
        </w:tc>
        <w:tc>
          <w:tcPr>
            <w:tcW w:w="1831" w:type="dxa"/>
            <w:vAlign w:val="bottom"/>
            <w:hideMark/>
          </w:tcPr>
          <w:p w14:paraId="783F532D" w14:textId="77777777" w:rsidR="00EC32C3" w:rsidRPr="00D314A6" w:rsidRDefault="00EC32C3" w:rsidP="00E7574D">
            <w:pPr>
              <w:spacing w:after="0"/>
              <w:jc w:val="right"/>
              <w:rPr>
                <w:rFonts w:eastAsia="Times New Roman"/>
                <w:color w:val="000000"/>
                <w:sz w:val="20"/>
                <w:szCs w:val="20"/>
              </w:rPr>
            </w:pPr>
            <w:r w:rsidRPr="00D314A6">
              <w:rPr>
                <w:rFonts w:eastAsia="Times New Roman"/>
                <w:color w:val="000000"/>
                <w:sz w:val="20"/>
                <w:szCs w:val="20"/>
              </w:rPr>
              <w:t>£188</w:t>
            </w:r>
          </w:p>
        </w:tc>
      </w:tr>
      <w:tr w:rsidR="00EC32C3" w:rsidRPr="00D314A6" w14:paraId="2AF98D74" w14:textId="77777777" w:rsidTr="00B5396A">
        <w:trPr>
          <w:trHeight w:val="290"/>
        </w:trPr>
        <w:tc>
          <w:tcPr>
            <w:tcW w:w="7100" w:type="dxa"/>
            <w:hideMark/>
          </w:tcPr>
          <w:p w14:paraId="76BAA161" w14:textId="77777777" w:rsidR="00EC32C3" w:rsidRPr="00D314A6" w:rsidRDefault="00EC32C3" w:rsidP="00E7574D">
            <w:pPr>
              <w:spacing w:after="0"/>
              <w:rPr>
                <w:rFonts w:eastAsia="Times New Roman"/>
                <w:sz w:val="20"/>
                <w:szCs w:val="20"/>
              </w:rPr>
            </w:pPr>
            <w:r w:rsidRPr="00D314A6">
              <w:rPr>
                <w:rFonts w:eastAsia="Times New Roman"/>
                <w:sz w:val="20"/>
                <w:szCs w:val="20"/>
              </w:rPr>
              <w:t xml:space="preserve">Parks - Playground Improvements  </w:t>
            </w:r>
          </w:p>
        </w:tc>
        <w:tc>
          <w:tcPr>
            <w:tcW w:w="1831" w:type="dxa"/>
            <w:vAlign w:val="bottom"/>
            <w:hideMark/>
          </w:tcPr>
          <w:p w14:paraId="70CE0743" w14:textId="77777777" w:rsidR="00EC32C3" w:rsidRPr="00D314A6" w:rsidRDefault="00EC32C3" w:rsidP="00E7574D">
            <w:pPr>
              <w:spacing w:after="0"/>
              <w:jc w:val="right"/>
              <w:rPr>
                <w:rFonts w:eastAsia="Times New Roman"/>
                <w:color w:val="000000"/>
                <w:sz w:val="20"/>
                <w:szCs w:val="20"/>
              </w:rPr>
            </w:pPr>
            <w:r w:rsidRPr="00D314A6">
              <w:rPr>
                <w:rFonts w:eastAsia="Times New Roman"/>
                <w:color w:val="000000"/>
                <w:sz w:val="20"/>
                <w:szCs w:val="20"/>
              </w:rPr>
              <w:t>£6,088</w:t>
            </w:r>
          </w:p>
        </w:tc>
      </w:tr>
      <w:tr w:rsidR="00EC32C3" w:rsidRPr="00D314A6" w14:paraId="7987534E" w14:textId="77777777" w:rsidTr="00B5396A">
        <w:trPr>
          <w:trHeight w:val="290"/>
        </w:trPr>
        <w:tc>
          <w:tcPr>
            <w:tcW w:w="7100" w:type="dxa"/>
            <w:hideMark/>
          </w:tcPr>
          <w:p w14:paraId="42B45536" w14:textId="77777777" w:rsidR="00EC32C3" w:rsidRPr="00D314A6" w:rsidRDefault="00EC32C3" w:rsidP="00E7574D">
            <w:pPr>
              <w:spacing w:after="0"/>
              <w:rPr>
                <w:rFonts w:eastAsia="Times New Roman"/>
                <w:sz w:val="20"/>
                <w:szCs w:val="20"/>
              </w:rPr>
            </w:pPr>
            <w:r w:rsidRPr="00D314A6">
              <w:rPr>
                <w:rFonts w:eastAsia="Times New Roman"/>
                <w:sz w:val="20"/>
                <w:szCs w:val="20"/>
              </w:rPr>
              <w:t xml:space="preserve">Parks - Sports Facilities in Parks </w:t>
            </w:r>
          </w:p>
        </w:tc>
        <w:tc>
          <w:tcPr>
            <w:tcW w:w="1831" w:type="dxa"/>
            <w:vAlign w:val="bottom"/>
            <w:hideMark/>
          </w:tcPr>
          <w:p w14:paraId="1B35C9B1" w14:textId="77777777" w:rsidR="00EC32C3" w:rsidRPr="00D314A6" w:rsidRDefault="00EC32C3" w:rsidP="00E7574D">
            <w:pPr>
              <w:spacing w:after="0"/>
              <w:jc w:val="right"/>
              <w:rPr>
                <w:rFonts w:eastAsia="Times New Roman"/>
                <w:sz w:val="20"/>
                <w:szCs w:val="20"/>
              </w:rPr>
            </w:pPr>
            <w:r w:rsidRPr="00D314A6">
              <w:rPr>
                <w:rFonts w:eastAsia="Times New Roman"/>
                <w:sz w:val="20"/>
                <w:szCs w:val="20"/>
              </w:rPr>
              <w:t>£56,199</w:t>
            </w:r>
          </w:p>
        </w:tc>
      </w:tr>
      <w:tr w:rsidR="00EC32C3" w:rsidRPr="00D314A6" w14:paraId="788FC50B" w14:textId="77777777" w:rsidTr="00B5396A">
        <w:trPr>
          <w:trHeight w:val="290"/>
        </w:trPr>
        <w:tc>
          <w:tcPr>
            <w:tcW w:w="7100" w:type="dxa"/>
            <w:hideMark/>
          </w:tcPr>
          <w:p w14:paraId="5793C687" w14:textId="77777777" w:rsidR="00EC32C3" w:rsidRPr="00D314A6" w:rsidRDefault="00EC32C3" w:rsidP="00E7574D">
            <w:pPr>
              <w:spacing w:after="0"/>
              <w:rPr>
                <w:rFonts w:eastAsia="Times New Roman"/>
                <w:sz w:val="20"/>
                <w:szCs w:val="20"/>
              </w:rPr>
            </w:pPr>
            <w:r w:rsidRPr="00D314A6">
              <w:rPr>
                <w:rFonts w:eastAsia="Times New Roman"/>
                <w:sz w:val="20"/>
                <w:szCs w:val="20"/>
              </w:rPr>
              <w:t xml:space="preserve">Parks - THH Improvements </w:t>
            </w:r>
          </w:p>
        </w:tc>
        <w:tc>
          <w:tcPr>
            <w:tcW w:w="1831" w:type="dxa"/>
            <w:noWrap/>
            <w:vAlign w:val="bottom"/>
            <w:hideMark/>
          </w:tcPr>
          <w:p w14:paraId="5B341829" w14:textId="77777777" w:rsidR="00EC32C3" w:rsidRPr="00D314A6" w:rsidRDefault="00EC32C3" w:rsidP="00E7574D">
            <w:pPr>
              <w:spacing w:after="0"/>
              <w:jc w:val="right"/>
              <w:rPr>
                <w:rFonts w:eastAsia="Times New Roman"/>
                <w:color w:val="000000"/>
                <w:sz w:val="20"/>
                <w:szCs w:val="20"/>
              </w:rPr>
            </w:pPr>
            <w:r w:rsidRPr="00D314A6">
              <w:rPr>
                <w:rFonts w:eastAsia="Times New Roman"/>
                <w:color w:val="000000"/>
                <w:sz w:val="20"/>
                <w:szCs w:val="20"/>
              </w:rPr>
              <w:t>27,202</w:t>
            </w:r>
          </w:p>
        </w:tc>
      </w:tr>
      <w:tr w:rsidR="00EC32C3" w:rsidRPr="00D314A6" w14:paraId="5AA563DF" w14:textId="77777777" w:rsidTr="00B5396A">
        <w:trPr>
          <w:trHeight w:val="290"/>
        </w:trPr>
        <w:tc>
          <w:tcPr>
            <w:tcW w:w="7100" w:type="dxa"/>
            <w:hideMark/>
          </w:tcPr>
          <w:p w14:paraId="3E872345" w14:textId="77777777" w:rsidR="00EC32C3" w:rsidRPr="00D314A6" w:rsidRDefault="00EC32C3" w:rsidP="00E7574D">
            <w:pPr>
              <w:spacing w:after="0"/>
              <w:rPr>
                <w:rFonts w:eastAsia="Times New Roman"/>
                <w:sz w:val="20"/>
                <w:szCs w:val="20"/>
              </w:rPr>
            </w:pPr>
            <w:r w:rsidRPr="00D314A6">
              <w:rPr>
                <w:rFonts w:eastAsia="Times New Roman"/>
                <w:sz w:val="20"/>
                <w:szCs w:val="20"/>
              </w:rPr>
              <w:t xml:space="preserve">Cycling &amp; Pedestrian Improvement (East Ferry Road Crossing) </w:t>
            </w:r>
          </w:p>
        </w:tc>
        <w:tc>
          <w:tcPr>
            <w:tcW w:w="1831" w:type="dxa"/>
            <w:vAlign w:val="bottom"/>
            <w:hideMark/>
          </w:tcPr>
          <w:p w14:paraId="6160D3AC" w14:textId="77777777" w:rsidR="00EC32C3" w:rsidRPr="00D314A6" w:rsidRDefault="00EC32C3" w:rsidP="00E7574D">
            <w:pPr>
              <w:spacing w:after="0"/>
              <w:jc w:val="right"/>
              <w:rPr>
                <w:rFonts w:eastAsia="Times New Roman"/>
                <w:sz w:val="20"/>
                <w:szCs w:val="20"/>
              </w:rPr>
            </w:pPr>
            <w:r w:rsidRPr="00D314A6">
              <w:rPr>
                <w:rFonts w:eastAsia="Times New Roman"/>
                <w:sz w:val="20"/>
                <w:szCs w:val="20"/>
              </w:rPr>
              <w:t>£2,631</w:t>
            </w:r>
          </w:p>
        </w:tc>
      </w:tr>
      <w:tr w:rsidR="00EC32C3" w:rsidRPr="00D314A6" w14:paraId="511CD579" w14:textId="77777777" w:rsidTr="00B5396A">
        <w:trPr>
          <w:trHeight w:val="290"/>
        </w:trPr>
        <w:tc>
          <w:tcPr>
            <w:tcW w:w="7100" w:type="dxa"/>
            <w:hideMark/>
          </w:tcPr>
          <w:p w14:paraId="15F53B8E" w14:textId="77777777" w:rsidR="00EC32C3" w:rsidRPr="00D314A6" w:rsidRDefault="00EC32C3" w:rsidP="00E7574D">
            <w:pPr>
              <w:spacing w:after="0"/>
              <w:rPr>
                <w:rFonts w:eastAsia="Times New Roman"/>
                <w:sz w:val="20"/>
                <w:szCs w:val="20"/>
              </w:rPr>
            </w:pPr>
            <w:r w:rsidRPr="00D314A6">
              <w:rPr>
                <w:rFonts w:eastAsia="Times New Roman"/>
                <w:sz w:val="20"/>
                <w:szCs w:val="20"/>
              </w:rPr>
              <w:t>Poplar High Street 2</w:t>
            </w:r>
          </w:p>
        </w:tc>
        <w:tc>
          <w:tcPr>
            <w:tcW w:w="1831" w:type="dxa"/>
            <w:vAlign w:val="bottom"/>
            <w:hideMark/>
          </w:tcPr>
          <w:p w14:paraId="7BFA6C62" w14:textId="77777777" w:rsidR="00EC32C3" w:rsidRPr="00D314A6" w:rsidRDefault="00EC32C3" w:rsidP="00E7574D">
            <w:pPr>
              <w:spacing w:after="0"/>
              <w:jc w:val="right"/>
              <w:rPr>
                <w:rFonts w:eastAsia="Times New Roman"/>
                <w:color w:val="000000"/>
                <w:sz w:val="20"/>
                <w:szCs w:val="20"/>
              </w:rPr>
            </w:pPr>
            <w:r w:rsidRPr="00D314A6">
              <w:rPr>
                <w:rFonts w:eastAsia="Times New Roman"/>
                <w:color w:val="000000"/>
                <w:sz w:val="20"/>
                <w:szCs w:val="20"/>
              </w:rPr>
              <w:t>£248,508</w:t>
            </w:r>
          </w:p>
        </w:tc>
      </w:tr>
      <w:tr w:rsidR="00EC32C3" w:rsidRPr="00D314A6" w14:paraId="1E31D418" w14:textId="77777777" w:rsidTr="00B5396A">
        <w:trPr>
          <w:trHeight w:val="290"/>
        </w:trPr>
        <w:tc>
          <w:tcPr>
            <w:tcW w:w="7100" w:type="dxa"/>
            <w:hideMark/>
          </w:tcPr>
          <w:p w14:paraId="5A36761F" w14:textId="77777777" w:rsidR="00EC32C3" w:rsidRPr="00D314A6" w:rsidRDefault="00EC32C3" w:rsidP="00E7574D">
            <w:pPr>
              <w:spacing w:after="0"/>
              <w:rPr>
                <w:rFonts w:eastAsia="Times New Roman"/>
                <w:sz w:val="20"/>
                <w:szCs w:val="20"/>
              </w:rPr>
            </w:pPr>
            <w:r w:rsidRPr="00D314A6">
              <w:rPr>
                <w:rFonts w:eastAsia="Times New Roman"/>
                <w:sz w:val="20"/>
                <w:szCs w:val="20"/>
              </w:rPr>
              <w:t>Bromley by Bow Environment &amp; Highways Improvements</w:t>
            </w:r>
          </w:p>
        </w:tc>
        <w:tc>
          <w:tcPr>
            <w:tcW w:w="1831" w:type="dxa"/>
            <w:noWrap/>
            <w:vAlign w:val="bottom"/>
            <w:hideMark/>
          </w:tcPr>
          <w:p w14:paraId="765E6411" w14:textId="77777777" w:rsidR="00EC32C3" w:rsidRPr="00D314A6" w:rsidRDefault="00EC32C3" w:rsidP="00E7574D">
            <w:pPr>
              <w:spacing w:after="0"/>
              <w:jc w:val="right"/>
              <w:rPr>
                <w:rFonts w:eastAsia="Times New Roman"/>
                <w:color w:val="000000"/>
                <w:sz w:val="20"/>
                <w:szCs w:val="20"/>
              </w:rPr>
            </w:pPr>
            <w:r w:rsidRPr="00D314A6">
              <w:rPr>
                <w:rFonts w:eastAsia="Times New Roman"/>
                <w:color w:val="000000"/>
                <w:sz w:val="20"/>
                <w:szCs w:val="20"/>
              </w:rPr>
              <w:t>£186,118</w:t>
            </w:r>
          </w:p>
        </w:tc>
      </w:tr>
      <w:tr w:rsidR="00EC32C3" w:rsidRPr="00D314A6" w14:paraId="31C86E48" w14:textId="77777777" w:rsidTr="00B5396A">
        <w:trPr>
          <w:trHeight w:val="290"/>
        </w:trPr>
        <w:tc>
          <w:tcPr>
            <w:tcW w:w="7100" w:type="dxa"/>
            <w:hideMark/>
          </w:tcPr>
          <w:p w14:paraId="78A25031" w14:textId="77777777" w:rsidR="00EC32C3" w:rsidRPr="00D314A6" w:rsidRDefault="00EC32C3" w:rsidP="00E7574D">
            <w:pPr>
              <w:spacing w:after="0"/>
              <w:rPr>
                <w:rFonts w:eastAsia="Times New Roman"/>
                <w:sz w:val="20"/>
                <w:szCs w:val="20"/>
              </w:rPr>
            </w:pPr>
            <w:r w:rsidRPr="00D314A6">
              <w:rPr>
                <w:rFonts w:eastAsia="Times New Roman"/>
                <w:sz w:val="20"/>
                <w:szCs w:val="20"/>
              </w:rPr>
              <w:lastRenderedPageBreak/>
              <w:t>Plumbers Row</w:t>
            </w:r>
          </w:p>
        </w:tc>
        <w:tc>
          <w:tcPr>
            <w:tcW w:w="1831" w:type="dxa"/>
            <w:vAlign w:val="bottom"/>
            <w:hideMark/>
          </w:tcPr>
          <w:p w14:paraId="05EB5FD7" w14:textId="77777777" w:rsidR="00EC32C3" w:rsidRPr="00D314A6" w:rsidRDefault="00EC32C3" w:rsidP="00E7574D">
            <w:pPr>
              <w:spacing w:after="0"/>
              <w:jc w:val="right"/>
              <w:rPr>
                <w:rFonts w:eastAsia="Times New Roman"/>
                <w:sz w:val="20"/>
                <w:szCs w:val="20"/>
              </w:rPr>
            </w:pPr>
            <w:r w:rsidRPr="00D314A6">
              <w:rPr>
                <w:rFonts w:eastAsia="Times New Roman"/>
                <w:sz w:val="20"/>
                <w:szCs w:val="20"/>
              </w:rPr>
              <w:t>£66,567</w:t>
            </w:r>
          </w:p>
        </w:tc>
      </w:tr>
      <w:tr w:rsidR="00EC32C3" w:rsidRPr="00D314A6" w14:paraId="79198BC5" w14:textId="77777777" w:rsidTr="00B5396A">
        <w:trPr>
          <w:trHeight w:val="290"/>
        </w:trPr>
        <w:tc>
          <w:tcPr>
            <w:tcW w:w="7100" w:type="dxa"/>
            <w:hideMark/>
          </w:tcPr>
          <w:p w14:paraId="713B9C51" w14:textId="77777777" w:rsidR="00EC32C3" w:rsidRPr="00D314A6" w:rsidRDefault="00EC32C3" w:rsidP="00E7574D">
            <w:pPr>
              <w:spacing w:after="0"/>
              <w:rPr>
                <w:rFonts w:eastAsia="Times New Roman"/>
                <w:sz w:val="20"/>
                <w:szCs w:val="20"/>
              </w:rPr>
            </w:pPr>
            <w:r w:rsidRPr="00D314A6">
              <w:rPr>
                <w:rFonts w:eastAsia="Times New Roman"/>
                <w:sz w:val="20"/>
                <w:szCs w:val="20"/>
              </w:rPr>
              <w:t xml:space="preserve">Bigland Street and Walburg Street </w:t>
            </w:r>
          </w:p>
        </w:tc>
        <w:tc>
          <w:tcPr>
            <w:tcW w:w="1831" w:type="dxa"/>
            <w:noWrap/>
            <w:vAlign w:val="bottom"/>
            <w:hideMark/>
          </w:tcPr>
          <w:p w14:paraId="16E8B94D" w14:textId="77777777" w:rsidR="00EC32C3" w:rsidRPr="00D314A6" w:rsidRDefault="00EC32C3" w:rsidP="00E7574D">
            <w:pPr>
              <w:spacing w:after="0"/>
              <w:jc w:val="right"/>
              <w:rPr>
                <w:rFonts w:eastAsia="Times New Roman"/>
                <w:color w:val="000000"/>
                <w:sz w:val="20"/>
                <w:szCs w:val="20"/>
              </w:rPr>
            </w:pPr>
            <w:r w:rsidRPr="00D314A6">
              <w:rPr>
                <w:rFonts w:eastAsia="Times New Roman"/>
                <w:color w:val="000000"/>
                <w:sz w:val="20"/>
                <w:szCs w:val="20"/>
              </w:rPr>
              <w:t>£73,234</w:t>
            </w:r>
          </w:p>
        </w:tc>
      </w:tr>
      <w:tr w:rsidR="00EC32C3" w:rsidRPr="00D314A6" w14:paraId="28A13462" w14:textId="77777777" w:rsidTr="00B5396A">
        <w:trPr>
          <w:trHeight w:val="290"/>
        </w:trPr>
        <w:tc>
          <w:tcPr>
            <w:tcW w:w="7100" w:type="dxa"/>
            <w:hideMark/>
          </w:tcPr>
          <w:p w14:paraId="64140BBC" w14:textId="77777777" w:rsidR="00EC32C3" w:rsidRPr="00D314A6" w:rsidRDefault="00EC32C3" w:rsidP="00E7574D">
            <w:pPr>
              <w:spacing w:after="0"/>
              <w:rPr>
                <w:rFonts w:eastAsia="Times New Roman"/>
                <w:sz w:val="20"/>
                <w:szCs w:val="20"/>
              </w:rPr>
            </w:pPr>
            <w:r w:rsidRPr="00D314A6">
              <w:rPr>
                <w:rFonts w:eastAsia="Times New Roman"/>
                <w:sz w:val="20"/>
                <w:szCs w:val="20"/>
              </w:rPr>
              <w:t>Marsh Wall Highways (East Ferry)</w:t>
            </w:r>
          </w:p>
        </w:tc>
        <w:tc>
          <w:tcPr>
            <w:tcW w:w="1831" w:type="dxa"/>
            <w:vAlign w:val="bottom"/>
            <w:hideMark/>
          </w:tcPr>
          <w:p w14:paraId="70131F35" w14:textId="77777777" w:rsidR="00EC32C3" w:rsidRPr="00D314A6" w:rsidRDefault="00EC32C3" w:rsidP="00E7574D">
            <w:pPr>
              <w:spacing w:after="0"/>
              <w:jc w:val="right"/>
              <w:rPr>
                <w:rFonts w:eastAsia="Times New Roman"/>
                <w:sz w:val="20"/>
                <w:szCs w:val="20"/>
              </w:rPr>
            </w:pPr>
            <w:r w:rsidRPr="00D314A6">
              <w:rPr>
                <w:rFonts w:eastAsia="Times New Roman"/>
                <w:sz w:val="20"/>
                <w:szCs w:val="20"/>
              </w:rPr>
              <w:t>£170,669</w:t>
            </w:r>
          </w:p>
        </w:tc>
      </w:tr>
      <w:tr w:rsidR="00EC32C3" w:rsidRPr="00D314A6" w14:paraId="23FE2D77" w14:textId="77777777" w:rsidTr="00B5396A">
        <w:trPr>
          <w:trHeight w:val="290"/>
        </w:trPr>
        <w:tc>
          <w:tcPr>
            <w:tcW w:w="7100" w:type="dxa"/>
            <w:vAlign w:val="bottom"/>
            <w:hideMark/>
          </w:tcPr>
          <w:p w14:paraId="4B635E74" w14:textId="77777777" w:rsidR="00EC32C3" w:rsidRPr="00D314A6" w:rsidRDefault="00EC32C3" w:rsidP="00E7574D">
            <w:pPr>
              <w:spacing w:after="0"/>
              <w:rPr>
                <w:rFonts w:eastAsia="Times New Roman"/>
                <w:color w:val="000000"/>
                <w:sz w:val="20"/>
                <w:szCs w:val="20"/>
              </w:rPr>
            </w:pPr>
            <w:r w:rsidRPr="00D314A6">
              <w:rPr>
                <w:rFonts w:eastAsia="Times New Roman"/>
                <w:color w:val="000000"/>
                <w:sz w:val="20"/>
                <w:szCs w:val="20"/>
              </w:rPr>
              <w:t>Blackwall Reach DLR</w:t>
            </w:r>
          </w:p>
        </w:tc>
        <w:tc>
          <w:tcPr>
            <w:tcW w:w="1831" w:type="dxa"/>
            <w:vAlign w:val="bottom"/>
            <w:hideMark/>
          </w:tcPr>
          <w:p w14:paraId="3E2B7397" w14:textId="77777777" w:rsidR="00EC32C3" w:rsidRPr="00D314A6" w:rsidRDefault="00EC32C3" w:rsidP="00E7574D">
            <w:pPr>
              <w:spacing w:after="0"/>
              <w:jc w:val="right"/>
              <w:rPr>
                <w:rFonts w:eastAsia="Times New Roman"/>
                <w:sz w:val="20"/>
                <w:szCs w:val="20"/>
              </w:rPr>
            </w:pPr>
            <w:r w:rsidRPr="00D314A6">
              <w:rPr>
                <w:rFonts w:eastAsia="Times New Roman"/>
                <w:sz w:val="20"/>
                <w:szCs w:val="20"/>
              </w:rPr>
              <w:t>£500,000</w:t>
            </w:r>
          </w:p>
        </w:tc>
      </w:tr>
      <w:tr w:rsidR="00EC32C3" w:rsidRPr="00D314A6" w14:paraId="30B0FD55" w14:textId="77777777" w:rsidTr="00B5396A">
        <w:trPr>
          <w:trHeight w:val="290"/>
        </w:trPr>
        <w:tc>
          <w:tcPr>
            <w:tcW w:w="7100" w:type="dxa"/>
            <w:hideMark/>
          </w:tcPr>
          <w:p w14:paraId="6922FE40" w14:textId="77777777" w:rsidR="00EC32C3" w:rsidRPr="00D314A6" w:rsidRDefault="00EC32C3" w:rsidP="00E7574D">
            <w:pPr>
              <w:spacing w:after="0"/>
              <w:rPr>
                <w:rFonts w:eastAsia="Times New Roman"/>
                <w:sz w:val="20"/>
                <w:szCs w:val="20"/>
              </w:rPr>
            </w:pPr>
            <w:r w:rsidRPr="00D314A6">
              <w:rPr>
                <w:rFonts w:eastAsia="Times New Roman"/>
                <w:sz w:val="20"/>
                <w:szCs w:val="20"/>
              </w:rPr>
              <w:t xml:space="preserve">Transport Strategy </w:t>
            </w:r>
          </w:p>
        </w:tc>
        <w:tc>
          <w:tcPr>
            <w:tcW w:w="1831" w:type="dxa"/>
            <w:hideMark/>
          </w:tcPr>
          <w:p w14:paraId="7E80DD26" w14:textId="77777777" w:rsidR="00EC32C3" w:rsidRPr="00D314A6" w:rsidRDefault="00EC32C3" w:rsidP="00E7574D">
            <w:pPr>
              <w:spacing w:after="0"/>
              <w:jc w:val="right"/>
              <w:rPr>
                <w:rFonts w:eastAsia="Times New Roman"/>
                <w:color w:val="000000"/>
                <w:sz w:val="20"/>
                <w:szCs w:val="20"/>
              </w:rPr>
            </w:pPr>
            <w:r w:rsidRPr="00D314A6">
              <w:rPr>
                <w:rFonts w:eastAsia="Times New Roman"/>
                <w:color w:val="000000"/>
                <w:sz w:val="20"/>
                <w:szCs w:val="20"/>
              </w:rPr>
              <w:t>£29,711</w:t>
            </w:r>
          </w:p>
        </w:tc>
      </w:tr>
      <w:tr w:rsidR="00EC32C3" w:rsidRPr="00D314A6" w14:paraId="4B2C3CB5" w14:textId="77777777" w:rsidTr="00B5396A">
        <w:trPr>
          <w:trHeight w:val="290"/>
        </w:trPr>
        <w:tc>
          <w:tcPr>
            <w:tcW w:w="7100" w:type="dxa"/>
            <w:hideMark/>
          </w:tcPr>
          <w:p w14:paraId="10F3698B" w14:textId="77777777" w:rsidR="00EC32C3" w:rsidRPr="00D314A6" w:rsidRDefault="00EC32C3" w:rsidP="00E7574D">
            <w:pPr>
              <w:spacing w:after="0"/>
              <w:rPr>
                <w:rFonts w:eastAsia="Times New Roman"/>
                <w:sz w:val="20"/>
                <w:szCs w:val="20"/>
              </w:rPr>
            </w:pPr>
            <w:r w:rsidRPr="00D314A6">
              <w:rPr>
                <w:rFonts w:eastAsia="Times New Roman"/>
                <w:sz w:val="20"/>
                <w:szCs w:val="20"/>
              </w:rPr>
              <w:t xml:space="preserve">A12 Wick Lane Junction </w:t>
            </w:r>
          </w:p>
        </w:tc>
        <w:tc>
          <w:tcPr>
            <w:tcW w:w="1831" w:type="dxa"/>
            <w:hideMark/>
          </w:tcPr>
          <w:p w14:paraId="6524ADCB" w14:textId="77777777" w:rsidR="00EC32C3" w:rsidRPr="00D314A6" w:rsidRDefault="00EC32C3" w:rsidP="00E7574D">
            <w:pPr>
              <w:spacing w:after="0"/>
              <w:jc w:val="right"/>
              <w:rPr>
                <w:rFonts w:eastAsia="Times New Roman"/>
                <w:sz w:val="20"/>
                <w:szCs w:val="20"/>
              </w:rPr>
            </w:pPr>
            <w:r w:rsidRPr="00D314A6">
              <w:rPr>
                <w:rFonts w:eastAsia="Times New Roman"/>
                <w:sz w:val="20"/>
                <w:szCs w:val="20"/>
              </w:rPr>
              <w:t>£39,067</w:t>
            </w:r>
          </w:p>
        </w:tc>
      </w:tr>
      <w:tr w:rsidR="00E117C3" w:rsidRPr="00D314A6" w14:paraId="1F3F5E16" w14:textId="77777777" w:rsidTr="00E117C3">
        <w:trPr>
          <w:trHeight w:val="290"/>
        </w:trPr>
        <w:tc>
          <w:tcPr>
            <w:tcW w:w="7100" w:type="dxa"/>
            <w:shd w:val="clear" w:color="auto" w:fill="D0CECE" w:themeFill="background2" w:themeFillShade="E6"/>
          </w:tcPr>
          <w:p w14:paraId="6BFC41A7" w14:textId="00BE625E" w:rsidR="00E117C3" w:rsidRPr="00D314A6" w:rsidRDefault="00E117C3" w:rsidP="00E7574D">
            <w:pPr>
              <w:spacing w:after="0"/>
              <w:rPr>
                <w:rFonts w:eastAsia="Times New Roman"/>
                <w:sz w:val="20"/>
                <w:szCs w:val="20"/>
              </w:rPr>
            </w:pPr>
            <w:r w:rsidRPr="00D314A6">
              <w:rPr>
                <w:rFonts w:eastAsia="Times New Roman"/>
                <w:b/>
                <w:bCs/>
                <w:color w:val="000000"/>
                <w:sz w:val="20"/>
                <w:szCs w:val="20"/>
              </w:rPr>
              <w:t>Leisure Infrastructure</w:t>
            </w:r>
          </w:p>
        </w:tc>
        <w:tc>
          <w:tcPr>
            <w:tcW w:w="1831" w:type="dxa"/>
            <w:shd w:val="clear" w:color="auto" w:fill="D0CECE" w:themeFill="background2" w:themeFillShade="E6"/>
          </w:tcPr>
          <w:p w14:paraId="476F98A2" w14:textId="77777777" w:rsidR="00E117C3" w:rsidRPr="00D314A6" w:rsidRDefault="00E117C3" w:rsidP="00E7574D">
            <w:pPr>
              <w:spacing w:after="0"/>
              <w:jc w:val="right"/>
              <w:rPr>
                <w:rFonts w:eastAsia="Times New Roman"/>
                <w:sz w:val="20"/>
                <w:szCs w:val="20"/>
              </w:rPr>
            </w:pPr>
          </w:p>
        </w:tc>
      </w:tr>
      <w:tr w:rsidR="00EC32C3" w:rsidRPr="00D314A6" w14:paraId="5A79E826" w14:textId="77777777" w:rsidTr="00B5396A">
        <w:trPr>
          <w:trHeight w:val="290"/>
        </w:trPr>
        <w:tc>
          <w:tcPr>
            <w:tcW w:w="7100" w:type="dxa"/>
            <w:hideMark/>
          </w:tcPr>
          <w:p w14:paraId="3166F61E" w14:textId="77777777" w:rsidR="00EC32C3" w:rsidRPr="00D314A6" w:rsidRDefault="00EC32C3" w:rsidP="00E7574D">
            <w:pPr>
              <w:spacing w:after="0"/>
              <w:rPr>
                <w:rFonts w:eastAsia="Times New Roman"/>
                <w:sz w:val="20"/>
                <w:szCs w:val="20"/>
              </w:rPr>
            </w:pPr>
            <w:r w:rsidRPr="00D314A6">
              <w:rPr>
                <w:rFonts w:eastAsia="Times New Roman"/>
                <w:sz w:val="20"/>
                <w:szCs w:val="20"/>
              </w:rPr>
              <w:t>St Georges Leisure</w:t>
            </w:r>
          </w:p>
        </w:tc>
        <w:tc>
          <w:tcPr>
            <w:tcW w:w="1831" w:type="dxa"/>
            <w:noWrap/>
            <w:vAlign w:val="bottom"/>
            <w:hideMark/>
          </w:tcPr>
          <w:p w14:paraId="55FCB35D" w14:textId="77777777" w:rsidR="00EC32C3" w:rsidRPr="00D314A6" w:rsidRDefault="00EC32C3" w:rsidP="00E7574D">
            <w:pPr>
              <w:spacing w:after="0"/>
              <w:jc w:val="right"/>
              <w:rPr>
                <w:rFonts w:eastAsia="Times New Roman"/>
                <w:color w:val="000000"/>
                <w:sz w:val="20"/>
                <w:szCs w:val="20"/>
              </w:rPr>
            </w:pPr>
            <w:r w:rsidRPr="00D314A6">
              <w:rPr>
                <w:rFonts w:eastAsia="Times New Roman"/>
                <w:color w:val="000000"/>
                <w:sz w:val="20"/>
                <w:szCs w:val="20"/>
              </w:rPr>
              <w:t>£1,166,724</w:t>
            </w:r>
          </w:p>
        </w:tc>
      </w:tr>
      <w:tr w:rsidR="00EC32C3" w:rsidRPr="00D314A6" w14:paraId="4505AE65" w14:textId="77777777" w:rsidTr="00B5396A">
        <w:trPr>
          <w:trHeight w:val="290"/>
        </w:trPr>
        <w:tc>
          <w:tcPr>
            <w:tcW w:w="7100" w:type="dxa"/>
            <w:hideMark/>
          </w:tcPr>
          <w:p w14:paraId="11CBF331" w14:textId="77777777" w:rsidR="00EC32C3" w:rsidRPr="00D314A6" w:rsidRDefault="00EC32C3" w:rsidP="00E7574D">
            <w:pPr>
              <w:spacing w:after="0"/>
              <w:rPr>
                <w:rFonts w:eastAsia="Times New Roman"/>
                <w:sz w:val="20"/>
                <w:szCs w:val="20"/>
              </w:rPr>
            </w:pPr>
            <w:r w:rsidRPr="00D314A6">
              <w:rPr>
                <w:rFonts w:eastAsia="Times New Roman"/>
                <w:sz w:val="20"/>
                <w:szCs w:val="20"/>
              </w:rPr>
              <w:t xml:space="preserve">Mile End Pitches </w:t>
            </w:r>
          </w:p>
        </w:tc>
        <w:tc>
          <w:tcPr>
            <w:tcW w:w="1831" w:type="dxa"/>
            <w:hideMark/>
          </w:tcPr>
          <w:p w14:paraId="583D5C2A" w14:textId="77777777" w:rsidR="00EC32C3" w:rsidRPr="00D314A6" w:rsidRDefault="00EC32C3" w:rsidP="00E7574D">
            <w:pPr>
              <w:spacing w:after="0"/>
              <w:jc w:val="right"/>
              <w:rPr>
                <w:rFonts w:eastAsia="Times New Roman"/>
                <w:sz w:val="20"/>
                <w:szCs w:val="20"/>
              </w:rPr>
            </w:pPr>
            <w:r w:rsidRPr="00D314A6">
              <w:rPr>
                <w:rFonts w:eastAsia="Times New Roman"/>
                <w:sz w:val="20"/>
                <w:szCs w:val="20"/>
              </w:rPr>
              <w:t>£9,834</w:t>
            </w:r>
          </w:p>
        </w:tc>
      </w:tr>
      <w:tr w:rsidR="00EC32C3" w:rsidRPr="00D314A6" w14:paraId="55CE185E" w14:textId="77777777" w:rsidTr="00B5396A">
        <w:trPr>
          <w:trHeight w:val="290"/>
        </w:trPr>
        <w:tc>
          <w:tcPr>
            <w:tcW w:w="7100" w:type="dxa"/>
            <w:hideMark/>
          </w:tcPr>
          <w:p w14:paraId="06002B31" w14:textId="77777777" w:rsidR="00EC32C3" w:rsidRPr="00D314A6" w:rsidRDefault="00EC32C3" w:rsidP="00E7574D">
            <w:pPr>
              <w:spacing w:after="0"/>
              <w:rPr>
                <w:rFonts w:eastAsia="Times New Roman"/>
                <w:sz w:val="20"/>
                <w:szCs w:val="20"/>
              </w:rPr>
            </w:pPr>
            <w:r w:rsidRPr="00D314A6">
              <w:rPr>
                <w:rFonts w:eastAsia="Times New Roman"/>
                <w:sz w:val="20"/>
                <w:szCs w:val="20"/>
              </w:rPr>
              <w:t>York Hall Spa</w:t>
            </w:r>
          </w:p>
        </w:tc>
        <w:tc>
          <w:tcPr>
            <w:tcW w:w="1831" w:type="dxa"/>
            <w:hideMark/>
          </w:tcPr>
          <w:p w14:paraId="4F85A9C0" w14:textId="77777777" w:rsidR="00EC32C3" w:rsidRPr="00D314A6" w:rsidRDefault="00EC32C3" w:rsidP="00E7574D">
            <w:pPr>
              <w:spacing w:after="0"/>
              <w:jc w:val="right"/>
              <w:rPr>
                <w:rFonts w:eastAsia="Times New Roman"/>
                <w:sz w:val="20"/>
                <w:szCs w:val="20"/>
              </w:rPr>
            </w:pPr>
            <w:r w:rsidRPr="00D314A6">
              <w:rPr>
                <w:rFonts w:eastAsia="Times New Roman"/>
                <w:sz w:val="20"/>
                <w:szCs w:val="20"/>
              </w:rPr>
              <w:t>£81,801</w:t>
            </w:r>
          </w:p>
        </w:tc>
      </w:tr>
      <w:tr w:rsidR="00EC32C3" w:rsidRPr="00D314A6" w14:paraId="39F10015" w14:textId="77777777" w:rsidTr="00B5396A">
        <w:trPr>
          <w:trHeight w:val="290"/>
        </w:trPr>
        <w:tc>
          <w:tcPr>
            <w:tcW w:w="7100" w:type="dxa"/>
            <w:hideMark/>
          </w:tcPr>
          <w:p w14:paraId="5E89C462" w14:textId="77777777" w:rsidR="00EC32C3" w:rsidRPr="00D314A6" w:rsidRDefault="00EC32C3" w:rsidP="00E7574D">
            <w:pPr>
              <w:spacing w:after="0"/>
              <w:rPr>
                <w:rFonts w:eastAsia="Times New Roman"/>
                <w:sz w:val="20"/>
                <w:szCs w:val="20"/>
              </w:rPr>
            </w:pPr>
            <w:r w:rsidRPr="00D314A6">
              <w:rPr>
                <w:rFonts w:eastAsia="Times New Roman"/>
                <w:sz w:val="20"/>
                <w:szCs w:val="20"/>
              </w:rPr>
              <w:t xml:space="preserve">Be Well </w:t>
            </w:r>
          </w:p>
        </w:tc>
        <w:tc>
          <w:tcPr>
            <w:tcW w:w="1831" w:type="dxa"/>
            <w:vAlign w:val="bottom"/>
            <w:hideMark/>
          </w:tcPr>
          <w:p w14:paraId="663FD591" w14:textId="77777777" w:rsidR="00EC32C3" w:rsidRPr="00D314A6" w:rsidRDefault="00EC32C3" w:rsidP="00E7574D">
            <w:pPr>
              <w:spacing w:after="0"/>
              <w:jc w:val="right"/>
              <w:rPr>
                <w:rFonts w:eastAsia="Times New Roman"/>
                <w:color w:val="000000"/>
                <w:sz w:val="20"/>
                <w:szCs w:val="20"/>
              </w:rPr>
            </w:pPr>
            <w:r w:rsidRPr="00D314A6">
              <w:rPr>
                <w:rFonts w:eastAsia="Times New Roman"/>
                <w:color w:val="000000"/>
                <w:sz w:val="20"/>
                <w:szCs w:val="20"/>
              </w:rPr>
              <w:t>£26,193</w:t>
            </w:r>
          </w:p>
        </w:tc>
      </w:tr>
      <w:tr w:rsidR="00E117C3" w:rsidRPr="00D314A6" w14:paraId="0AC98E04" w14:textId="77777777" w:rsidTr="00E117C3">
        <w:trPr>
          <w:trHeight w:val="290"/>
        </w:trPr>
        <w:tc>
          <w:tcPr>
            <w:tcW w:w="7100" w:type="dxa"/>
            <w:shd w:val="clear" w:color="auto" w:fill="D0CECE" w:themeFill="background2" w:themeFillShade="E6"/>
          </w:tcPr>
          <w:p w14:paraId="250A3F03" w14:textId="56F39715" w:rsidR="00E117C3" w:rsidRPr="00D314A6" w:rsidRDefault="00E117C3" w:rsidP="00E7574D">
            <w:pPr>
              <w:spacing w:after="0"/>
              <w:rPr>
                <w:rFonts w:eastAsia="Times New Roman"/>
                <w:sz w:val="20"/>
                <w:szCs w:val="20"/>
              </w:rPr>
            </w:pPr>
            <w:r w:rsidRPr="00D314A6">
              <w:rPr>
                <w:rFonts w:eastAsia="Times New Roman"/>
                <w:b/>
                <w:bCs/>
                <w:color w:val="000000"/>
                <w:sz w:val="20"/>
                <w:szCs w:val="20"/>
              </w:rPr>
              <w:t>Monitoring</w:t>
            </w:r>
          </w:p>
        </w:tc>
        <w:tc>
          <w:tcPr>
            <w:tcW w:w="1831" w:type="dxa"/>
            <w:shd w:val="clear" w:color="auto" w:fill="D0CECE" w:themeFill="background2" w:themeFillShade="E6"/>
            <w:vAlign w:val="bottom"/>
          </w:tcPr>
          <w:p w14:paraId="152014C5" w14:textId="77777777" w:rsidR="00E117C3" w:rsidRPr="00D314A6" w:rsidRDefault="00E117C3" w:rsidP="00E7574D">
            <w:pPr>
              <w:spacing w:after="0"/>
              <w:jc w:val="right"/>
              <w:rPr>
                <w:rFonts w:eastAsia="Times New Roman"/>
                <w:color w:val="000000"/>
                <w:sz w:val="20"/>
                <w:szCs w:val="20"/>
              </w:rPr>
            </w:pPr>
          </w:p>
        </w:tc>
      </w:tr>
      <w:tr w:rsidR="00EC32C3" w:rsidRPr="00D314A6" w14:paraId="1653DDCD" w14:textId="77777777" w:rsidTr="00B5396A">
        <w:trPr>
          <w:trHeight w:val="290"/>
        </w:trPr>
        <w:tc>
          <w:tcPr>
            <w:tcW w:w="7100" w:type="dxa"/>
            <w:noWrap/>
            <w:vAlign w:val="bottom"/>
            <w:hideMark/>
          </w:tcPr>
          <w:p w14:paraId="148553EC" w14:textId="77777777" w:rsidR="00EC32C3" w:rsidRPr="00D314A6" w:rsidRDefault="00EC32C3" w:rsidP="00E7574D">
            <w:pPr>
              <w:spacing w:after="0"/>
              <w:rPr>
                <w:rFonts w:eastAsia="Times New Roman"/>
                <w:color w:val="000000"/>
                <w:sz w:val="20"/>
                <w:szCs w:val="20"/>
              </w:rPr>
            </w:pPr>
            <w:r w:rsidRPr="00D314A6">
              <w:rPr>
                <w:rFonts w:eastAsia="Times New Roman"/>
                <w:color w:val="000000"/>
                <w:sz w:val="20"/>
                <w:szCs w:val="20"/>
              </w:rPr>
              <w:t>Infrastructure Planning Team Costs</w:t>
            </w:r>
          </w:p>
        </w:tc>
        <w:tc>
          <w:tcPr>
            <w:tcW w:w="1831" w:type="dxa"/>
            <w:noWrap/>
            <w:vAlign w:val="bottom"/>
            <w:hideMark/>
          </w:tcPr>
          <w:p w14:paraId="59F13A3B" w14:textId="77777777" w:rsidR="00EC32C3" w:rsidRPr="00D314A6" w:rsidRDefault="00EC32C3" w:rsidP="00E7574D">
            <w:pPr>
              <w:spacing w:after="0"/>
              <w:jc w:val="right"/>
              <w:rPr>
                <w:rFonts w:eastAsia="Times New Roman"/>
                <w:color w:val="000000"/>
                <w:sz w:val="20"/>
                <w:szCs w:val="20"/>
              </w:rPr>
            </w:pPr>
            <w:r w:rsidRPr="00D314A6">
              <w:rPr>
                <w:rFonts w:eastAsia="Times New Roman"/>
                <w:color w:val="000000"/>
                <w:sz w:val="20"/>
                <w:szCs w:val="20"/>
              </w:rPr>
              <w:t>£526,064</w:t>
            </w:r>
          </w:p>
        </w:tc>
      </w:tr>
      <w:tr w:rsidR="00E117C3" w:rsidRPr="00D314A6" w14:paraId="657ED281" w14:textId="77777777" w:rsidTr="00E117C3">
        <w:trPr>
          <w:trHeight w:val="290"/>
        </w:trPr>
        <w:tc>
          <w:tcPr>
            <w:tcW w:w="7100" w:type="dxa"/>
            <w:shd w:val="clear" w:color="auto" w:fill="D0CECE" w:themeFill="background2" w:themeFillShade="E6"/>
            <w:noWrap/>
            <w:vAlign w:val="bottom"/>
          </w:tcPr>
          <w:p w14:paraId="23BC7D5D" w14:textId="3D0AC1F9" w:rsidR="00E117C3" w:rsidRPr="00D314A6" w:rsidRDefault="00E117C3" w:rsidP="00E7574D">
            <w:pPr>
              <w:spacing w:after="0"/>
              <w:rPr>
                <w:rFonts w:eastAsia="Times New Roman"/>
                <w:color w:val="000000"/>
                <w:sz w:val="20"/>
                <w:szCs w:val="20"/>
              </w:rPr>
            </w:pPr>
            <w:r w:rsidRPr="00D314A6">
              <w:rPr>
                <w:rFonts w:eastAsia="Times New Roman"/>
                <w:b/>
                <w:bCs/>
                <w:color w:val="000000"/>
                <w:sz w:val="20"/>
                <w:szCs w:val="20"/>
              </w:rPr>
              <w:t>Public Realm Infrastructure</w:t>
            </w:r>
          </w:p>
        </w:tc>
        <w:tc>
          <w:tcPr>
            <w:tcW w:w="1831" w:type="dxa"/>
            <w:shd w:val="clear" w:color="auto" w:fill="D0CECE" w:themeFill="background2" w:themeFillShade="E6"/>
            <w:noWrap/>
            <w:vAlign w:val="bottom"/>
          </w:tcPr>
          <w:p w14:paraId="112221FE" w14:textId="77777777" w:rsidR="00E117C3" w:rsidRPr="00D314A6" w:rsidRDefault="00E117C3" w:rsidP="00E7574D">
            <w:pPr>
              <w:spacing w:after="0"/>
              <w:jc w:val="right"/>
              <w:rPr>
                <w:rFonts w:eastAsia="Times New Roman"/>
                <w:color w:val="000000"/>
                <w:sz w:val="20"/>
                <w:szCs w:val="20"/>
              </w:rPr>
            </w:pPr>
          </w:p>
        </w:tc>
      </w:tr>
      <w:tr w:rsidR="00EC32C3" w:rsidRPr="00D314A6" w14:paraId="294BA9B1" w14:textId="77777777" w:rsidTr="00B5396A">
        <w:trPr>
          <w:trHeight w:val="290"/>
        </w:trPr>
        <w:tc>
          <w:tcPr>
            <w:tcW w:w="7100" w:type="dxa"/>
            <w:hideMark/>
          </w:tcPr>
          <w:p w14:paraId="0097A3C0" w14:textId="77777777" w:rsidR="00EC32C3" w:rsidRPr="00D314A6" w:rsidRDefault="00EC32C3" w:rsidP="00E7574D">
            <w:pPr>
              <w:spacing w:after="0"/>
              <w:rPr>
                <w:rFonts w:eastAsia="Times New Roman"/>
                <w:sz w:val="20"/>
                <w:szCs w:val="20"/>
              </w:rPr>
            </w:pPr>
            <w:r w:rsidRPr="00D314A6">
              <w:rPr>
                <w:rFonts w:eastAsia="Times New Roman"/>
                <w:sz w:val="20"/>
                <w:szCs w:val="20"/>
              </w:rPr>
              <w:t>Brick Lane Phase 2</w:t>
            </w:r>
          </w:p>
        </w:tc>
        <w:tc>
          <w:tcPr>
            <w:tcW w:w="1831" w:type="dxa"/>
            <w:vAlign w:val="bottom"/>
            <w:hideMark/>
          </w:tcPr>
          <w:p w14:paraId="5471B578" w14:textId="77777777" w:rsidR="00EC32C3" w:rsidRPr="00D314A6" w:rsidRDefault="00EC32C3" w:rsidP="00E7574D">
            <w:pPr>
              <w:spacing w:after="0"/>
              <w:jc w:val="right"/>
              <w:rPr>
                <w:rFonts w:eastAsia="Times New Roman"/>
                <w:color w:val="000000"/>
                <w:sz w:val="20"/>
                <w:szCs w:val="20"/>
              </w:rPr>
            </w:pPr>
            <w:r w:rsidRPr="00D314A6">
              <w:rPr>
                <w:rFonts w:eastAsia="Times New Roman"/>
                <w:color w:val="000000"/>
                <w:sz w:val="20"/>
                <w:szCs w:val="20"/>
              </w:rPr>
              <w:t>£7,300</w:t>
            </w:r>
          </w:p>
        </w:tc>
      </w:tr>
      <w:tr w:rsidR="00EC32C3" w:rsidRPr="00D314A6" w14:paraId="1B5CB127" w14:textId="77777777" w:rsidTr="00B5396A">
        <w:trPr>
          <w:trHeight w:val="290"/>
        </w:trPr>
        <w:tc>
          <w:tcPr>
            <w:tcW w:w="7100" w:type="dxa"/>
            <w:hideMark/>
          </w:tcPr>
          <w:p w14:paraId="56B9BC39" w14:textId="77777777" w:rsidR="00EC32C3" w:rsidRPr="00D314A6" w:rsidRDefault="00EC32C3" w:rsidP="00E7574D">
            <w:pPr>
              <w:spacing w:after="0"/>
              <w:rPr>
                <w:rFonts w:eastAsia="Times New Roman"/>
                <w:sz w:val="20"/>
                <w:szCs w:val="20"/>
              </w:rPr>
            </w:pPr>
            <w:r w:rsidRPr="00D314A6">
              <w:rPr>
                <w:rFonts w:eastAsia="Times New Roman"/>
                <w:sz w:val="20"/>
                <w:szCs w:val="20"/>
              </w:rPr>
              <w:t>Bromley by Bow Environment &amp; Highways Improvements</w:t>
            </w:r>
          </w:p>
        </w:tc>
        <w:tc>
          <w:tcPr>
            <w:tcW w:w="1831" w:type="dxa"/>
            <w:vAlign w:val="bottom"/>
            <w:hideMark/>
          </w:tcPr>
          <w:p w14:paraId="2E76B724" w14:textId="77777777" w:rsidR="00EC32C3" w:rsidRPr="00D314A6" w:rsidRDefault="00EC32C3" w:rsidP="00E7574D">
            <w:pPr>
              <w:spacing w:after="0"/>
              <w:jc w:val="right"/>
              <w:rPr>
                <w:rFonts w:eastAsia="Times New Roman"/>
                <w:sz w:val="20"/>
                <w:szCs w:val="20"/>
              </w:rPr>
            </w:pPr>
            <w:r w:rsidRPr="00D314A6">
              <w:rPr>
                <w:rFonts w:eastAsia="Times New Roman"/>
                <w:sz w:val="20"/>
                <w:szCs w:val="20"/>
              </w:rPr>
              <w:t>£46,833</w:t>
            </w:r>
          </w:p>
        </w:tc>
      </w:tr>
      <w:tr w:rsidR="00EC32C3" w:rsidRPr="00D314A6" w14:paraId="0F0CCD78" w14:textId="77777777" w:rsidTr="00B5396A">
        <w:trPr>
          <w:trHeight w:val="290"/>
        </w:trPr>
        <w:tc>
          <w:tcPr>
            <w:tcW w:w="7100" w:type="dxa"/>
            <w:hideMark/>
          </w:tcPr>
          <w:p w14:paraId="4E04ED2C" w14:textId="77777777" w:rsidR="00EC32C3" w:rsidRPr="00D314A6" w:rsidRDefault="00EC32C3" w:rsidP="00E7574D">
            <w:pPr>
              <w:spacing w:after="0"/>
              <w:rPr>
                <w:rFonts w:eastAsia="Times New Roman"/>
                <w:sz w:val="20"/>
                <w:szCs w:val="20"/>
              </w:rPr>
            </w:pPr>
            <w:r w:rsidRPr="00D314A6">
              <w:rPr>
                <w:rFonts w:eastAsia="Times New Roman"/>
                <w:sz w:val="20"/>
                <w:szCs w:val="20"/>
              </w:rPr>
              <w:t>Plumbers Row</w:t>
            </w:r>
          </w:p>
        </w:tc>
        <w:tc>
          <w:tcPr>
            <w:tcW w:w="1831" w:type="dxa"/>
            <w:noWrap/>
            <w:vAlign w:val="bottom"/>
            <w:hideMark/>
          </w:tcPr>
          <w:p w14:paraId="2E0BA02E" w14:textId="77777777" w:rsidR="00EC32C3" w:rsidRPr="00D314A6" w:rsidRDefault="00EC32C3" w:rsidP="00E7574D">
            <w:pPr>
              <w:spacing w:after="0"/>
              <w:jc w:val="right"/>
              <w:rPr>
                <w:rFonts w:eastAsia="Times New Roman"/>
                <w:color w:val="000000"/>
                <w:sz w:val="20"/>
                <w:szCs w:val="20"/>
              </w:rPr>
            </w:pPr>
            <w:r w:rsidRPr="00D314A6">
              <w:rPr>
                <w:rFonts w:eastAsia="Times New Roman"/>
                <w:color w:val="000000"/>
                <w:sz w:val="20"/>
                <w:szCs w:val="20"/>
              </w:rPr>
              <w:t>£91,891</w:t>
            </w:r>
          </w:p>
        </w:tc>
      </w:tr>
      <w:tr w:rsidR="00EC32C3" w:rsidRPr="00D314A6" w14:paraId="498B4E33" w14:textId="77777777" w:rsidTr="00B5396A">
        <w:trPr>
          <w:trHeight w:val="290"/>
        </w:trPr>
        <w:tc>
          <w:tcPr>
            <w:tcW w:w="7100" w:type="dxa"/>
            <w:hideMark/>
          </w:tcPr>
          <w:p w14:paraId="79333661" w14:textId="77777777" w:rsidR="00EC32C3" w:rsidRPr="00D314A6" w:rsidRDefault="00EC32C3" w:rsidP="00E7574D">
            <w:pPr>
              <w:spacing w:after="0"/>
              <w:rPr>
                <w:rFonts w:eastAsia="Times New Roman"/>
                <w:sz w:val="20"/>
                <w:szCs w:val="20"/>
              </w:rPr>
            </w:pPr>
            <w:r w:rsidRPr="00D314A6">
              <w:rPr>
                <w:rFonts w:eastAsia="Times New Roman"/>
                <w:sz w:val="20"/>
                <w:szCs w:val="20"/>
              </w:rPr>
              <w:t xml:space="preserve">Bigland Street and Walburg Street </w:t>
            </w:r>
          </w:p>
        </w:tc>
        <w:tc>
          <w:tcPr>
            <w:tcW w:w="1831" w:type="dxa"/>
            <w:vAlign w:val="bottom"/>
            <w:hideMark/>
          </w:tcPr>
          <w:p w14:paraId="3CBA1383" w14:textId="77777777" w:rsidR="00EC32C3" w:rsidRPr="00D314A6" w:rsidRDefault="00EC32C3" w:rsidP="00E7574D">
            <w:pPr>
              <w:spacing w:after="0"/>
              <w:jc w:val="right"/>
              <w:rPr>
                <w:rFonts w:eastAsia="Times New Roman"/>
                <w:sz w:val="20"/>
                <w:szCs w:val="20"/>
              </w:rPr>
            </w:pPr>
            <w:r w:rsidRPr="00D314A6">
              <w:rPr>
                <w:rFonts w:eastAsia="Times New Roman"/>
                <w:sz w:val="20"/>
                <w:szCs w:val="20"/>
              </w:rPr>
              <w:t>£52,634</w:t>
            </w:r>
          </w:p>
        </w:tc>
      </w:tr>
      <w:tr w:rsidR="00EC32C3" w:rsidRPr="00D314A6" w14:paraId="78F98100" w14:textId="77777777" w:rsidTr="00B5396A">
        <w:trPr>
          <w:trHeight w:val="290"/>
        </w:trPr>
        <w:tc>
          <w:tcPr>
            <w:tcW w:w="7100" w:type="dxa"/>
            <w:hideMark/>
          </w:tcPr>
          <w:p w14:paraId="0043CA8E" w14:textId="77777777" w:rsidR="00EC32C3" w:rsidRPr="00D314A6" w:rsidRDefault="00EC32C3" w:rsidP="00E7574D">
            <w:pPr>
              <w:spacing w:after="0"/>
              <w:rPr>
                <w:rFonts w:eastAsia="Times New Roman"/>
                <w:sz w:val="20"/>
                <w:szCs w:val="20"/>
              </w:rPr>
            </w:pPr>
            <w:r w:rsidRPr="00D314A6">
              <w:rPr>
                <w:rFonts w:eastAsia="Times New Roman"/>
                <w:sz w:val="20"/>
                <w:szCs w:val="20"/>
              </w:rPr>
              <w:t>Marsh Wall Highways</w:t>
            </w:r>
          </w:p>
        </w:tc>
        <w:tc>
          <w:tcPr>
            <w:tcW w:w="1831" w:type="dxa"/>
            <w:vAlign w:val="bottom"/>
            <w:hideMark/>
          </w:tcPr>
          <w:p w14:paraId="43BE5CC3" w14:textId="77777777" w:rsidR="00EC32C3" w:rsidRPr="00D314A6" w:rsidRDefault="00EC32C3" w:rsidP="00E7574D">
            <w:pPr>
              <w:spacing w:after="0"/>
              <w:jc w:val="right"/>
              <w:rPr>
                <w:rFonts w:eastAsia="Times New Roman"/>
                <w:sz w:val="20"/>
                <w:szCs w:val="20"/>
              </w:rPr>
            </w:pPr>
            <w:r w:rsidRPr="00D314A6">
              <w:rPr>
                <w:rFonts w:eastAsia="Times New Roman"/>
                <w:sz w:val="20"/>
                <w:szCs w:val="20"/>
              </w:rPr>
              <w:t>£290,982</w:t>
            </w:r>
          </w:p>
        </w:tc>
      </w:tr>
      <w:tr w:rsidR="00EC32C3" w:rsidRPr="00D314A6" w14:paraId="4A7EA629" w14:textId="77777777" w:rsidTr="00B5396A">
        <w:trPr>
          <w:trHeight w:val="290"/>
        </w:trPr>
        <w:tc>
          <w:tcPr>
            <w:tcW w:w="7100" w:type="dxa"/>
            <w:hideMark/>
          </w:tcPr>
          <w:p w14:paraId="16D6D543" w14:textId="77777777" w:rsidR="00EC32C3" w:rsidRPr="00D314A6" w:rsidRDefault="00EC32C3" w:rsidP="00E7574D">
            <w:pPr>
              <w:spacing w:after="0"/>
              <w:rPr>
                <w:rFonts w:eastAsia="Times New Roman"/>
                <w:sz w:val="20"/>
                <w:szCs w:val="20"/>
              </w:rPr>
            </w:pPr>
            <w:r w:rsidRPr="00D314A6">
              <w:rPr>
                <w:rFonts w:eastAsia="Times New Roman"/>
                <w:sz w:val="20"/>
                <w:szCs w:val="20"/>
              </w:rPr>
              <w:t>Preston’s Road Phase 2</w:t>
            </w:r>
          </w:p>
        </w:tc>
        <w:tc>
          <w:tcPr>
            <w:tcW w:w="1831" w:type="dxa"/>
            <w:vAlign w:val="bottom"/>
            <w:hideMark/>
          </w:tcPr>
          <w:p w14:paraId="4AC03358" w14:textId="77777777" w:rsidR="00EC32C3" w:rsidRPr="00D314A6" w:rsidRDefault="00EC32C3" w:rsidP="00E7574D">
            <w:pPr>
              <w:spacing w:after="0"/>
              <w:jc w:val="right"/>
              <w:rPr>
                <w:rFonts w:eastAsia="Times New Roman"/>
                <w:color w:val="000000"/>
                <w:sz w:val="20"/>
                <w:szCs w:val="20"/>
              </w:rPr>
            </w:pPr>
            <w:r w:rsidRPr="00D314A6">
              <w:rPr>
                <w:rFonts w:eastAsia="Times New Roman"/>
                <w:color w:val="000000"/>
                <w:sz w:val="20"/>
                <w:szCs w:val="20"/>
              </w:rPr>
              <w:t>£5,213</w:t>
            </w:r>
          </w:p>
        </w:tc>
      </w:tr>
      <w:tr w:rsidR="00EC32C3" w:rsidRPr="00D314A6" w14:paraId="665A1194" w14:textId="77777777" w:rsidTr="00B5396A">
        <w:trPr>
          <w:trHeight w:val="290"/>
        </w:trPr>
        <w:tc>
          <w:tcPr>
            <w:tcW w:w="7100" w:type="dxa"/>
            <w:hideMark/>
          </w:tcPr>
          <w:p w14:paraId="77B96203" w14:textId="77777777" w:rsidR="00EC32C3" w:rsidRPr="00D314A6" w:rsidRDefault="00EC32C3" w:rsidP="00E7574D">
            <w:pPr>
              <w:spacing w:after="0"/>
              <w:rPr>
                <w:rFonts w:eastAsia="Times New Roman"/>
                <w:sz w:val="20"/>
                <w:szCs w:val="20"/>
              </w:rPr>
            </w:pPr>
            <w:r w:rsidRPr="00D314A6">
              <w:rPr>
                <w:rFonts w:eastAsia="Times New Roman"/>
                <w:sz w:val="20"/>
                <w:szCs w:val="20"/>
              </w:rPr>
              <w:t xml:space="preserve">London Square Change Note </w:t>
            </w:r>
          </w:p>
        </w:tc>
        <w:tc>
          <w:tcPr>
            <w:tcW w:w="1831" w:type="dxa"/>
            <w:vAlign w:val="bottom"/>
            <w:hideMark/>
          </w:tcPr>
          <w:p w14:paraId="1DF1F53E" w14:textId="77777777" w:rsidR="00EC32C3" w:rsidRPr="00D314A6" w:rsidRDefault="00EC32C3" w:rsidP="00E7574D">
            <w:pPr>
              <w:spacing w:after="0"/>
              <w:jc w:val="right"/>
              <w:rPr>
                <w:rFonts w:eastAsia="Times New Roman"/>
                <w:sz w:val="20"/>
                <w:szCs w:val="20"/>
              </w:rPr>
            </w:pPr>
            <w:r w:rsidRPr="00D314A6">
              <w:rPr>
                <w:rFonts w:eastAsia="Times New Roman"/>
                <w:sz w:val="20"/>
                <w:szCs w:val="20"/>
              </w:rPr>
              <w:t>£8,254</w:t>
            </w:r>
          </w:p>
        </w:tc>
      </w:tr>
      <w:tr w:rsidR="00EC32C3" w:rsidRPr="00D314A6" w14:paraId="0414E8E4" w14:textId="77777777" w:rsidTr="00B5396A">
        <w:trPr>
          <w:trHeight w:val="290"/>
        </w:trPr>
        <w:tc>
          <w:tcPr>
            <w:tcW w:w="7100" w:type="dxa"/>
            <w:vAlign w:val="bottom"/>
            <w:hideMark/>
          </w:tcPr>
          <w:p w14:paraId="2861549A" w14:textId="77777777" w:rsidR="00EC32C3" w:rsidRPr="00D314A6" w:rsidRDefault="00EC32C3" w:rsidP="00E7574D">
            <w:pPr>
              <w:spacing w:after="0"/>
              <w:rPr>
                <w:rFonts w:eastAsia="Times New Roman"/>
                <w:color w:val="000000"/>
                <w:sz w:val="20"/>
                <w:szCs w:val="20"/>
              </w:rPr>
            </w:pPr>
            <w:r w:rsidRPr="00D314A6">
              <w:rPr>
                <w:rFonts w:eastAsia="Times New Roman"/>
                <w:color w:val="000000"/>
                <w:sz w:val="20"/>
                <w:szCs w:val="20"/>
              </w:rPr>
              <w:t>Public Realm Improvement – Whitechapel Road Market Bins </w:t>
            </w:r>
          </w:p>
        </w:tc>
        <w:tc>
          <w:tcPr>
            <w:tcW w:w="1831" w:type="dxa"/>
            <w:hideMark/>
          </w:tcPr>
          <w:p w14:paraId="38F758C2" w14:textId="77777777" w:rsidR="00EC32C3" w:rsidRPr="00D314A6" w:rsidRDefault="00EC32C3" w:rsidP="00E7574D">
            <w:pPr>
              <w:spacing w:after="0"/>
              <w:jc w:val="right"/>
              <w:rPr>
                <w:rFonts w:eastAsia="Times New Roman"/>
                <w:sz w:val="20"/>
                <w:szCs w:val="20"/>
              </w:rPr>
            </w:pPr>
            <w:r w:rsidRPr="00D314A6">
              <w:rPr>
                <w:rFonts w:eastAsia="Times New Roman"/>
                <w:sz w:val="20"/>
                <w:szCs w:val="20"/>
              </w:rPr>
              <w:t>£3,440</w:t>
            </w:r>
          </w:p>
        </w:tc>
      </w:tr>
      <w:tr w:rsidR="00E117C3" w:rsidRPr="00D314A6" w14:paraId="30DC90E6" w14:textId="77777777" w:rsidTr="00E117C3">
        <w:trPr>
          <w:trHeight w:val="290"/>
        </w:trPr>
        <w:tc>
          <w:tcPr>
            <w:tcW w:w="7100" w:type="dxa"/>
            <w:shd w:val="clear" w:color="auto" w:fill="D0CECE" w:themeFill="background2" w:themeFillShade="E6"/>
            <w:vAlign w:val="bottom"/>
          </w:tcPr>
          <w:p w14:paraId="3A54388A" w14:textId="66522815" w:rsidR="00E117C3" w:rsidRPr="00D314A6" w:rsidRDefault="00E117C3" w:rsidP="00E7574D">
            <w:pPr>
              <w:spacing w:after="0"/>
              <w:rPr>
                <w:rFonts w:eastAsia="Times New Roman"/>
                <w:color w:val="000000"/>
                <w:sz w:val="20"/>
                <w:szCs w:val="20"/>
              </w:rPr>
            </w:pPr>
            <w:r w:rsidRPr="00D314A6">
              <w:rPr>
                <w:rFonts w:eastAsia="Times New Roman"/>
                <w:b/>
                <w:bCs/>
                <w:color w:val="000000"/>
                <w:sz w:val="20"/>
                <w:szCs w:val="20"/>
              </w:rPr>
              <w:t>Transport Infrastructure</w:t>
            </w:r>
          </w:p>
        </w:tc>
        <w:tc>
          <w:tcPr>
            <w:tcW w:w="1831" w:type="dxa"/>
            <w:shd w:val="clear" w:color="auto" w:fill="D0CECE" w:themeFill="background2" w:themeFillShade="E6"/>
          </w:tcPr>
          <w:p w14:paraId="4C09D927" w14:textId="77777777" w:rsidR="00E117C3" w:rsidRPr="00D314A6" w:rsidRDefault="00E117C3" w:rsidP="00E7574D">
            <w:pPr>
              <w:spacing w:after="0"/>
              <w:jc w:val="right"/>
              <w:rPr>
                <w:rFonts w:eastAsia="Times New Roman"/>
                <w:sz w:val="20"/>
                <w:szCs w:val="20"/>
              </w:rPr>
            </w:pPr>
          </w:p>
        </w:tc>
      </w:tr>
      <w:tr w:rsidR="00EC32C3" w:rsidRPr="00D314A6" w14:paraId="7CCAC149" w14:textId="77777777" w:rsidTr="00B5396A">
        <w:trPr>
          <w:trHeight w:val="290"/>
        </w:trPr>
        <w:tc>
          <w:tcPr>
            <w:tcW w:w="7100" w:type="dxa"/>
            <w:hideMark/>
          </w:tcPr>
          <w:p w14:paraId="00E7158E" w14:textId="77777777" w:rsidR="00EC32C3" w:rsidRPr="00D314A6" w:rsidRDefault="00EC32C3" w:rsidP="00E7574D">
            <w:pPr>
              <w:spacing w:after="0"/>
              <w:rPr>
                <w:rFonts w:eastAsia="Times New Roman"/>
                <w:sz w:val="20"/>
                <w:szCs w:val="20"/>
              </w:rPr>
            </w:pPr>
            <w:r w:rsidRPr="00D314A6">
              <w:rPr>
                <w:rFonts w:eastAsia="Times New Roman"/>
                <w:sz w:val="20"/>
                <w:szCs w:val="20"/>
              </w:rPr>
              <w:t xml:space="preserve">Cycling &amp; Pedestrian Improvement (East Ferry Road Crossing) </w:t>
            </w:r>
          </w:p>
        </w:tc>
        <w:tc>
          <w:tcPr>
            <w:tcW w:w="1831" w:type="dxa"/>
            <w:vAlign w:val="bottom"/>
            <w:hideMark/>
          </w:tcPr>
          <w:p w14:paraId="3C329D56" w14:textId="77777777" w:rsidR="00EC32C3" w:rsidRPr="00D314A6" w:rsidRDefault="00EC32C3" w:rsidP="00E7574D">
            <w:pPr>
              <w:spacing w:after="0"/>
              <w:jc w:val="right"/>
              <w:rPr>
                <w:rFonts w:eastAsia="Times New Roman"/>
                <w:sz w:val="20"/>
                <w:szCs w:val="20"/>
              </w:rPr>
            </w:pPr>
            <w:r w:rsidRPr="00D314A6">
              <w:rPr>
                <w:rFonts w:eastAsia="Times New Roman"/>
                <w:sz w:val="20"/>
                <w:szCs w:val="20"/>
              </w:rPr>
              <w:t>£2,631</w:t>
            </w:r>
          </w:p>
        </w:tc>
      </w:tr>
      <w:tr w:rsidR="00EC32C3" w:rsidRPr="00D314A6" w14:paraId="05369E2E" w14:textId="77777777" w:rsidTr="00B5396A">
        <w:trPr>
          <w:trHeight w:val="290"/>
        </w:trPr>
        <w:tc>
          <w:tcPr>
            <w:tcW w:w="7100" w:type="dxa"/>
            <w:hideMark/>
          </w:tcPr>
          <w:p w14:paraId="0965F90C" w14:textId="77777777" w:rsidR="00EC32C3" w:rsidRPr="00D314A6" w:rsidRDefault="00EC32C3" w:rsidP="00E7574D">
            <w:pPr>
              <w:spacing w:after="0"/>
              <w:rPr>
                <w:rFonts w:eastAsia="Times New Roman"/>
                <w:sz w:val="20"/>
                <w:szCs w:val="20"/>
              </w:rPr>
            </w:pPr>
            <w:r w:rsidRPr="00D314A6">
              <w:rPr>
                <w:rFonts w:eastAsia="Times New Roman"/>
                <w:sz w:val="20"/>
                <w:szCs w:val="20"/>
              </w:rPr>
              <w:t>Poplar High Street 2</w:t>
            </w:r>
          </w:p>
        </w:tc>
        <w:tc>
          <w:tcPr>
            <w:tcW w:w="1831" w:type="dxa"/>
            <w:vAlign w:val="bottom"/>
            <w:hideMark/>
          </w:tcPr>
          <w:p w14:paraId="280FE7A6" w14:textId="77777777" w:rsidR="00EC32C3" w:rsidRPr="00D314A6" w:rsidRDefault="00EC32C3" w:rsidP="00E7574D">
            <w:pPr>
              <w:spacing w:after="0"/>
              <w:jc w:val="right"/>
              <w:rPr>
                <w:rFonts w:eastAsia="Times New Roman"/>
                <w:color w:val="000000"/>
                <w:sz w:val="20"/>
                <w:szCs w:val="20"/>
              </w:rPr>
            </w:pPr>
            <w:r w:rsidRPr="00D314A6">
              <w:rPr>
                <w:rFonts w:eastAsia="Times New Roman"/>
                <w:color w:val="000000"/>
                <w:sz w:val="20"/>
                <w:szCs w:val="20"/>
              </w:rPr>
              <w:t>£248,508</w:t>
            </w:r>
          </w:p>
        </w:tc>
      </w:tr>
      <w:tr w:rsidR="00EC32C3" w:rsidRPr="00D314A6" w14:paraId="48093A77" w14:textId="77777777" w:rsidTr="00B5396A">
        <w:trPr>
          <w:trHeight w:val="290"/>
        </w:trPr>
        <w:tc>
          <w:tcPr>
            <w:tcW w:w="7100" w:type="dxa"/>
            <w:hideMark/>
          </w:tcPr>
          <w:p w14:paraId="1B5EFA25" w14:textId="77777777" w:rsidR="00EC32C3" w:rsidRPr="00D314A6" w:rsidRDefault="00EC32C3" w:rsidP="00E7574D">
            <w:pPr>
              <w:spacing w:after="0"/>
              <w:rPr>
                <w:rFonts w:eastAsia="Times New Roman"/>
                <w:sz w:val="20"/>
                <w:szCs w:val="20"/>
              </w:rPr>
            </w:pPr>
            <w:r w:rsidRPr="00D314A6">
              <w:rPr>
                <w:rFonts w:eastAsia="Times New Roman"/>
                <w:sz w:val="20"/>
                <w:szCs w:val="20"/>
              </w:rPr>
              <w:t>Bromley by Bow Environment &amp; Highways Improvements</w:t>
            </w:r>
          </w:p>
        </w:tc>
        <w:tc>
          <w:tcPr>
            <w:tcW w:w="1831" w:type="dxa"/>
            <w:noWrap/>
            <w:vAlign w:val="bottom"/>
            <w:hideMark/>
          </w:tcPr>
          <w:p w14:paraId="25AF1018" w14:textId="77777777" w:rsidR="00EC32C3" w:rsidRPr="00D314A6" w:rsidRDefault="00EC32C3" w:rsidP="00E7574D">
            <w:pPr>
              <w:spacing w:after="0"/>
              <w:jc w:val="right"/>
              <w:rPr>
                <w:rFonts w:eastAsia="Times New Roman"/>
                <w:color w:val="000000"/>
                <w:sz w:val="20"/>
                <w:szCs w:val="20"/>
              </w:rPr>
            </w:pPr>
            <w:r w:rsidRPr="00D314A6">
              <w:rPr>
                <w:rFonts w:eastAsia="Times New Roman"/>
                <w:color w:val="000000"/>
                <w:sz w:val="20"/>
                <w:szCs w:val="20"/>
              </w:rPr>
              <w:t>£186,118</w:t>
            </w:r>
          </w:p>
        </w:tc>
      </w:tr>
      <w:tr w:rsidR="00EC32C3" w:rsidRPr="00D314A6" w14:paraId="26066A7F" w14:textId="77777777" w:rsidTr="00B5396A">
        <w:trPr>
          <w:trHeight w:val="290"/>
        </w:trPr>
        <w:tc>
          <w:tcPr>
            <w:tcW w:w="7100" w:type="dxa"/>
            <w:hideMark/>
          </w:tcPr>
          <w:p w14:paraId="2514C797" w14:textId="77777777" w:rsidR="00EC32C3" w:rsidRPr="00D314A6" w:rsidRDefault="00EC32C3" w:rsidP="00E7574D">
            <w:pPr>
              <w:spacing w:after="0"/>
              <w:rPr>
                <w:rFonts w:eastAsia="Times New Roman"/>
                <w:sz w:val="20"/>
                <w:szCs w:val="20"/>
              </w:rPr>
            </w:pPr>
            <w:r w:rsidRPr="00D314A6">
              <w:rPr>
                <w:rFonts w:eastAsia="Times New Roman"/>
                <w:sz w:val="20"/>
                <w:szCs w:val="20"/>
              </w:rPr>
              <w:t>Plumbers Row</w:t>
            </w:r>
          </w:p>
        </w:tc>
        <w:tc>
          <w:tcPr>
            <w:tcW w:w="1831" w:type="dxa"/>
            <w:vAlign w:val="bottom"/>
            <w:hideMark/>
          </w:tcPr>
          <w:p w14:paraId="2939B5F6" w14:textId="77777777" w:rsidR="00EC32C3" w:rsidRPr="00D314A6" w:rsidRDefault="00EC32C3" w:rsidP="00E7574D">
            <w:pPr>
              <w:spacing w:after="0"/>
              <w:jc w:val="right"/>
              <w:rPr>
                <w:rFonts w:eastAsia="Times New Roman"/>
                <w:sz w:val="20"/>
                <w:szCs w:val="20"/>
              </w:rPr>
            </w:pPr>
            <w:r w:rsidRPr="00D314A6">
              <w:rPr>
                <w:rFonts w:eastAsia="Times New Roman"/>
                <w:sz w:val="20"/>
                <w:szCs w:val="20"/>
              </w:rPr>
              <w:t>£66,567</w:t>
            </w:r>
          </w:p>
        </w:tc>
      </w:tr>
      <w:tr w:rsidR="00EC32C3" w:rsidRPr="00D314A6" w14:paraId="5658A787" w14:textId="77777777" w:rsidTr="00B5396A">
        <w:trPr>
          <w:trHeight w:val="290"/>
        </w:trPr>
        <w:tc>
          <w:tcPr>
            <w:tcW w:w="7100" w:type="dxa"/>
            <w:hideMark/>
          </w:tcPr>
          <w:p w14:paraId="5F305297" w14:textId="77777777" w:rsidR="00EC32C3" w:rsidRPr="00D314A6" w:rsidRDefault="00EC32C3" w:rsidP="00E7574D">
            <w:pPr>
              <w:spacing w:after="0"/>
              <w:rPr>
                <w:rFonts w:eastAsia="Times New Roman"/>
                <w:sz w:val="20"/>
                <w:szCs w:val="20"/>
              </w:rPr>
            </w:pPr>
            <w:r w:rsidRPr="00D314A6">
              <w:rPr>
                <w:rFonts w:eastAsia="Times New Roman"/>
                <w:sz w:val="20"/>
                <w:szCs w:val="20"/>
              </w:rPr>
              <w:t xml:space="preserve">Bigland Street and Walburg Street </w:t>
            </w:r>
          </w:p>
        </w:tc>
        <w:tc>
          <w:tcPr>
            <w:tcW w:w="1831" w:type="dxa"/>
            <w:noWrap/>
            <w:vAlign w:val="bottom"/>
            <w:hideMark/>
          </w:tcPr>
          <w:p w14:paraId="5BDD5D7F" w14:textId="77777777" w:rsidR="00EC32C3" w:rsidRPr="00D314A6" w:rsidRDefault="00EC32C3" w:rsidP="00E7574D">
            <w:pPr>
              <w:spacing w:after="0"/>
              <w:jc w:val="right"/>
              <w:rPr>
                <w:rFonts w:eastAsia="Times New Roman"/>
                <w:color w:val="000000"/>
                <w:sz w:val="20"/>
                <w:szCs w:val="20"/>
              </w:rPr>
            </w:pPr>
            <w:r w:rsidRPr="00D314A6">
              <w:rPr>
                <w:rFonts w:eastAsia="Times New Roman"/>
                <w:color w:val="000000"/>
                <w:sz w:val="20"/>
                <w:szCs w:val="20"/>
              </w:rPr>
              <w:t>£73,234</w:t>
            </w:r>
          </w:p>
        </w:tc>
      </w:tr>
      <w:tr w:rsidR="00EC32C3" w:rsidRPr="00D314A6" w14:paraId="57D37928" w14:textId="77777777" w:rsidTr="00B5396A">
        <w:trPr>
          <w:trHeight w:val="290"/>
        </w:trPr>
        <w:tc>
          <w:tcPr>
            <w:tcW w:w="7100" w:type="dxa"/>
            <w:hideMark/>
          </w:tcPr>
          <w:p w14:paraId="221FD071" w14:textId="77777777" w:rsidR="00EC32C3" w:rsidRPr="00D314A6" w:rsidRDefault="00EC32C3" w:rsidP="00E7574D">
            <w:pPr>
              <w:spacing w:after="0"/>
              <w:rPr>
                <w:rFonts w:eastAsia="Times New Roman"/>
                <w:sz w:val="20"/>
                <w:szCs w:val="20"/>
              </w:rPr>
            </w:pPr>
            <w:r w:rsidRPr="00D314A6">
              <w:rPr>
                <w:rFonts w:eastAsia="Times New Roman"/>
                <w:sz w:val="20"/>
                <w:szCs w:val="20"/>
              </w:rPr>
              <w:t>Marsh Wall Highways (East Ferry)</w:t>
            </w:r>
          </w:p>
        </w:tc>
        <w:tc>
          <w:tcPr>
            <w:tcW w:w="1831" w:type="dxa"/>
            <w:vAlign w:val="bottom"/>
            <w:hideMark/>
          </w:tcPr>
          <w:p w14:paraId="398C5631" w14:textId="77777777" w:rsidR="00EC32C3" w:rsidRPr="00D314A6" w:rsidRDefault="00EC32C3" w:rsidP="00E7574D">
            <w:pPr>
              <w:spacing w:after="0"/>
              <w:jc w:val="right"/>
              <w:rPr>
                <w:rFonts w:eastAsia="Times New Roman"/>
                <w:sz w:val="20"/>
                <w:szCs w:val="20"/>
              </w:rPr>
            </w:pPr>
            <w:r w:rsidRPr="00D314A6">
              <w:rPr>
                <w:rFonts w:eastAsia="Times New Roman"/>
                <w:sz w:val="20"/>
                <w:szCs w:val="20"/>
              </w:rPr>
              <w:t>£170,669</w:t>
            </w:r>
          </w:p>
        </w:tc>
      </w:tr>
      <w:tr w:rsidR="00EC32C3" w:rsidRPr="00D314A6" w14:paraId="138E538F" w14:textId="77777777" w:rsidTr="00B5396A">
        <w:trPr>
          <w:trHeight w:val="290"/>
        </w:trPr>
        <w:tc>
          <w:tcPr>
            <w:tcW w:w="7100" w:type="dxa"/>
            <w:vAlign w:val="bottom"/>
            <w:hideMark/>
          </w:tcPr>
          <w:p w14:paraId="66DBC7D3" w14:textId="77777777" w:rsidR="00EC32C3" w:rsidRPr="00D314A6" w:rsidRDefault="00EC32C3" w:rsidP="00E7574D">
            <w:pPr>
              <w:spacing w:after="0"/>
              <w:rPr>
                <w:rFonts w:eastAsia="Times New Roman"/>
                <w:color w:val="000000"/>
                <w:sz w:val="20"/>
                <w:szCs w:val="20"/>
              </w:rPr>
            </w:pPr>
            <w:r w:rsidRPr="00D314A6">
              <w:rPr>
                <w:rFonts w:eastAsia="Times New Roman"/>
                <w:color w:val="000000"/>
                <w:sz w:val="20"/>
                <w:szCs w:val="20"/>
              </w:rPr>
              <w:t>Blackwall Reach DLR</w:t>
            </w:r>
          </w:p>
        </w:tc>
        <w:tc>
          <w:tcPr>
            <w:tcW w:w="1831" w:type="dxa"/>
            <w:vAlign w:val="bottom"/>
            <w:hideMark/>
          </w:tcPr>
          <w:p w14:paraId="188DD0C2" w14:textId="77777777" w:rsidR="00EC32C3" w:rsidRPr="00D314A6" w:rsidRDefault="00EC32C3" w:rsidP="00E7574D">
            <w:pPr>
              <w:spacing w:after="0"/>
              <w:jc w:val="right"/>
              <w:rPr>
                <w:rFonts w:eastAsia="Times New Roman"/>
                <w:sz w:val="20"/>
                <w:szCs w:val="20"/>
              </w:rPr>
            </w:pPr>
            <w:r w:rsidRPr="00D314A6">
              <w:rPr>
                <w:rFonts w:eastAsia="Times New Roman"/>
                <w:sz w:val="20"/>
                <w:szCs w:val="20"/>
              </w:rPr>
              <w:t>£500,000</w:t>
            </w:r>
          </w:p>
        </w:tc>
      </w:tr>
      <w:tr w:rsidR="00EC32C3" w:rsidRPr="00D314A6" w14:paraId="49AD82E1" w14:textId="77777777" w:rsidTr="00B5396A">
        <w:trPr>
          <w:trHeight w:val="290"/>
        </w:trPr>
        <w:tc>
          <w:tcPr>
            <w:tcW w:w="7100" w:type="dxa"/>
            <w:hideMark/>
          </w:tcPr>
          <w:p w14:paraId="56284773" w14:textId="77777777" w:rsidR="00EC32C3" w:rsidRPr="00D314A6" w:rsidRDefault="00EC32C3" w:rsidP="00E7574D">
            <w:pPr>
              <w:spacing w:after="0"/>
              <w:rPr>
                <w:rFonts w:eastAsia="Times New Roman"/>
                <w:sz w:val="20"/>
                <w:szCs w:val="20"/>
              </w:rPr>
            </w:pPr>
            <w:r w:rsidRPr="00D314A6">
              <w:rPr>
                <w:rFonts w:eastAsia="Times New Roman"/>
                <w:sz w:val="20"/>
                <w:szCs w:val="20"/>
              </w:rPr>
              <w:t xml:space="preserve">Transport Strategy </w:t>
            </w:r>
          </w:p>
        </w:tc>
        <w:tc>
          <w:tcPr>
            <w:tcW w:w="1831" w:type="dxa"/>
            <w:hideMark/>
          </w:tcPr>
          <w:p w14:paraId="6249F0F3" w14:textId="77777777" w:rsidR="00EC32C3" w:rsidRPr="00D314A6" w:rsidRDefault="00EC32C3" w:rsidP="00E7574D">
            <w:pPr>
              <w:spacing w:after="0"/>
              <w:jc w:val="right"/>
              <w:rPr>
                <w:rFonts w:eastAsia="Times New Roman"/>
                <w:color w:val="000000"/>
                <w:sz w:val="20"/>
                <w:szCs w:val="20"/>
              </w:rPr>
            </w:pPr>
            <w:r w:rsidRPr="00D314A6">
              <w:rPr>
                <w:rFonts w:eastAsia="Times New Roman"/>
                <w:color w:val="000000"/>
                <w:sz w:val="20"/>
                <w:szCs w:val="20"/>
              </w:rPr>
              <w:t>£29,711</w:t>
            </w:r>
          </w:p>
        </w:tc>
      </w:tr>
      <w:tr w:rsidR="00EC32C3" w:rsidRPr="00D314A6" w14:paraId="6FBBA821" w14:textId="77777777" w:rsidTr="00B5396A">
        <w:trPr>
          <w:trHeight w:val="290"/>
        </w:trPr>
        <w:tc>
          <w:tcPr>
            <w:tcW w:w="7100" w:type="dxa"/>
            <w:hideMark/>
          </w:tcPr>
          <w:p w14:paraId="2082BB18" w14:textId="77777777" w:rsidR="00EC32C3" w:rsidRPr="00D314A6" w:rsidRDefault="00EC32C3" w:rsidP="00E7574D">
            <w:pPr>
              <w:spacing w:after="0"/>
              <w:rPr>
                <w:rFonts w:eastAsia="Times New Roman"/>
                <w:sz w:val="20"/>
                <w:szCs w:val="20"/>
              </w:rPr>
            </w:pPr>
            <w:r w:rsidRPr="00D314A6">
              <w:rPr>
                <w:rFonts w:eastAsia="Times New Roman"/>
                <w:sz w:val="20"/>
                <w:szCs w:val="20"/>
              </w:rPr>
              <w:t xml:space="preserve">A12 Wick Lane Junction </w:t>
            </w:r>
          </w:p>
        </w:tc>
        <w:tc>
          <w:tcPr>
            <w:tcW w:w="1831" w:type="dxa"/>
            <w:hideMark/>
          </w:tcPr>
          <w:p w14:paraId="52505AE3" w14:textId="77777777" w:rsidR="00EC32C3" w:rsidRPr="00D314A6" w:rsidRDefault="00EC32C3" w:rsidP="00E7574D">
            <w:pPr>
              <w:spacing w:after="0"/>
              <w:jc w:val="right"/>
              <w:rPr>
                <w:rFonts w:eastAsia="Times New Roman"/>
                <w:sz w:val="20"/>
                <w:szCs w:val="20"/>
              </w:rPr>
            </w:pPr>
            <w:r w:rsidRPr="00D314A6">
              <w:rPr>
                <w:rFonts w:eastAsia="Times New Roman"/>
                <w:sz w:val="20"/>
                <w:szCs w:val="20"/>
              </w:rPr>
              <w:t>£39,067</w:t>
            </w:r>
          </w:p>
        </w:tc>
      </w:tr>
      <w:tr w:rsidR="00EC32C3" w:rsidRPr="00D314A6" w14:paraId="3EA99D9B" w14:textId="77777777" w:rsidTr="00B5396A">
        <w:trPr>
          <w:trHeight w:val="290"/>
        </w:trPr>
        <w:tc>
          <w:tcPr>
            <w:tcW w:w="7100" w:type="dxa"/>
            <w:hideMark/>
          </w:tcPr>
          <w:p w14:paraId="0D2DE8E3" w14:textId="77777777" w:rsidR="00EC32C3" w:rsidRPr="00D314A6" w:rsidRDefault="00EC32C3" w:rsidP="00E7574D">
            <w:pPr>
              <w:spacing w:after="0"/>
              <w:rPr>
                <w:rFonts w:eastAsia="Times New Roman"/>
                <w:sz w:val="20"/>
                <w:szCs w:val="20"/>
              </w:rPr>
            </w:pPr>
            <w:r w:rsidRPr="00D314A6">
              <w:rPr>
                <w:rFonts w:eastAsia="Times New Roman"/>
                <w:sz w:val="20"/>
                <w:szCs w:val="20"/>
              </w:rPr>
              <w:t>City Island</w:t>
            </w:r>
          </w:p>
        </w:tc>
        <w:tc>
          <w:tcPr>
            <w:tcW w:w="1831" w:type="dxa"/>
            <w:noWrap/>
            <w:vAlign w:val="bottom"/>
            <w:hideMark/>
          </w:tcPr>
          <w:p w14:paraId="354BF959" w14:textId="77777777" w:rsidR="00EC32C3" w:rsidRPr="00D314A6" w:rsidRDefault="00EC32C3" w:rsidP="00E7574D">
            <w:pPr>
              <w:spacing w:after="0"/>
              <w:jc w:val="right"/>
              <w:rPr>
                <w:rFonts w:eastAsia="Times New Roman"/>
                <w:color w:val="000000"/>
                <w:sz w:val="20"/>
                <w:szCs w:val="20"/>
              </w:rPr>
            </w:pPr>
            <w:r w:rsidRPr="00D314A6">
              <w:rPr>
                <w:rFonts w:eastAsia="Times New Roman"/>
                <w:color w:val="000000"/>
                <w:sz w:val="20"/>
                <w:szCs w:val="20"/>
              </w:rPr>
              <w:t>£94,982</w:t>
            </w:r>
          </w:p>
        </w:tc>
      </w:tr>
      <w:tr w:rsidR="00EC32C3" w:rsidRPr="00D314A6" w14:paraId="7EB030FA" w14:textId="77777777" w:rsidTr="00B5396A">
        <w:trPr>
          <w:trHeight w:val="290"/>
        </w:trPr>
        <w:tc>
          <w:tcPr>
            <w:tcW w:w="7100" w:type="dxa"/>
            <w:shd w:val="clear" w:color="auto" w:fill="D9D9D9" w:themeFill="background1" w:themeFillShade="D9"/>
            <w:hideMark/>
          </w:tcPr>
          <w:p w14:paraId="0C1007B9" w14:textId="77777777" w:rsidR="00EC32C3" w:rsidRPr="00D314A6" w:rsidRDefault="00EC32C3" w:rsidP="00E7574D">
            <w:pPr>
              <w:spacing w:after="0"/>
              <w:jc w:val="right"/>
              <w:rPr>
                <w:rFonts w:eastAsia="Times New Roman"/>
                <w:b/>
                <w:bCs/>
                <w:sz w:val="20"/>
                <w:szCs w:val="20"/>
              </w:rPr>
            </w:pPr>
            <w:r w:rsidRPr="00D314A6">
              <w:rPr>
                <w:rFonts w:eastAsia="Times New Roman"/>
                <w:b/>
                <w:bCs/>
                <w:sz w:val="20"/>
                <w:szCs w:val="20"/>
              </w:rPr>
              <w:t>Total</w:t>
            </w:r>
          </w:p>
        </w:tc>
        <w:tc>
          <w:tcPr>
            <w:tcW w:w="1831" w:type="dxa"/>
            <w:shd w:val="clear" w:color="auto" w:fill="D9D9D9" w:themeFill="background1" w:themeFillShade="D9"/>
            <w:noWrap/>
            <w:vAlign w:val="bottom"/>
            <w:hideMark/>
          </w:tcPr>
          <w:p w14:paraId="5E04F176" w14:textId="77777777" w:rsidR="00EC32C3" w:rsidRPr="00D314A6" w:rsidRDefault="00EC32C3" w:rsidP="00E7574D">
            <w:pPr>
              <w:spacing w:after="0"/>
              <w:jc w:val="right"/>
              <w:rPr>
                <w:rFonts w:eastAsia="Times New Roman"/>
                <w:b/>
                <w:bCs/>
                <w:color w:val="000000"/>
                <w:sz w:val="20"/>
                <w:szCs w:val="20"/>
              </w:rPr>
            </w:pPr>
            <w:r w:rsidRPr="00D314A6">
              <w:rPr>
                <w:rFonts w:eastAsia="Times New Roman"/>
                <w:b/>
                <w:bCs/>
                <w:color w:val="000000"/>
                <w:sz w:val="20"/>
                <w:szCs w:val="20"/>
              </w:rPr>
              <w:t>£20,962,331</w:t>
            </w:r>
          </w:p>
        </w:tc>
      </w:tr>
    </w:tbl>
    <w:p w14:paraId="6B79383B" w14:textId="77777777" w:rsidR="00EC32C3" w:rsidRPr="00D314A6" w:rsidRDefault="00EC32C3" w:rsidP="00CD7FA2">
      <w:pPr>
        <w:rPr>
          <w:b/>
          <w:bCs/>
          <w:color w:val="000000" w:themeColor="text1"/>
          <w:sz w:val="20"/>
          <w:szCs w:val="20"/>
        </w:rPr>
      </w:pPr>
    </w:p>
    <w:p w14:paraId="56836362" w14:textId="7104CDD8" w:rsidR="00CD7FA2" w:rsidRDefault="00CD7FA2" w:rsidP="00D874B3">
      <w:pPr>
        <w:pStyle w:val="Heading1"/>
      </w:pPr>
      <w:bookmarkStart w:id="7" w:name="_Toc199758364"/>
      <w:bookmarkStart w:id="8" w:name="_Toc215736105"/>
      <w:r w:rsidRPr="00D314A6">
        <w:rPr>
          <w:sz w:val="20"/>
          <w:szCs w:val="20"/>
        </w:rPr>
        <w:br w:type="page"/>
      </w:r>
      <w:bookmarkStart w:id="9" w:name="_Toc216258121"/>
      <w:r w:rsidR="00907643">
        <w:lastRenderedPageBreak/>
        <w:t>3</w:t>
      </w:r>
      <w:r w:rsidRPr="00A22509">
        <w:t>.0 Community Infrastructure Levy (CIL)</w:t>
      </w:r>
      <w:bookmarkEnd w:id="7"/>
      <w:bookmarkEnd w:id="8"/>
      <w:r w:rsidRPr="00A22509">
        <w:t xml:space="preserve"> </w:t>
      </w:r>
      <w:r w:rsidR="00D874B3">
        <w:t>Report</w:t>
      </w:r>
      <w:bookmarkEnd w:id="9"/>
    </w:p>
    <w:p w14:paraId="1E501E37" w14:textId="77777777" w:rsidR="00632763" w:rsidRPr="00632763" w:rsidRDefault="00632763" w:rsidP="00632763"/>
    <w:p w14:paraId="266712C9" w14:textId="6EFEF279" w:rsidR="00CD7FA2" w:rsidRPr="00632763" w:rsidRDefault="00CD7FA2" w:rsidP="00CD7FA2">
      <w:pPr>
        <w:rPr>
          <w:b/>
          <w:bCs/>
          <w:color w:val="000000" w:themeColor="text1"/>
          <w:sz w:val="22"/>
          <w:szCs w:val="22"/>
        </w:rPr>
      </w:pPr>
      <w:r w:rsidRPr="00632763">
        <w:rPr>
          <w:b/>
          <w:bCs/>
          <w:color w:val="000000" w:themeColor="text1"/>
          <w:sz w:val="22"/>
          <w:szCs w:val="22"/>
        </w:rPr>
        <w:t xml:space="preserve">Table </w:t>
      </w:r>
      <w:r w:rsidR="00907643">
        <w:rPr>
          <w:b/>
          <w:bCs/>
          <w:color w:val="000000" w:themeColor="text1"/>
          <w:sz w:val="22"/>
          <w:szCs w:val="22"/>
        </w:rPr>
        <w:t>3</w:t>
      </w:r>
      <w:r w:rsidRPr="00632763">
        <w:rPr>
          <w:b/>
          <w:bCs/>
          <w:color w:val="000000" w:themeColor="text1"/>
          <w:sz w:val="22"/>
          <w:szCs w:val="22"/>
        </w:rPr>
        <w:t>.1 CIL Summary of Income and Expenditure 2024/2025</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
        <w:gridCol w:w="5484"/>
        <w:gridCol w:w="2962"/>
      </w:tblGrid>
      <w:tr w:rsidR="00CD7FA2" w:rsidRPr="00D874B3" w14:paraId="5730D0C1" w14:textId="77777777" w:rsidTr="732A479B">
        <w:trPr>
          <w:trHeight w:val="351"/>
        </w:trPr>
        <w:tc>
          <w:tcPr>
            <w:tcW w:w="799" w:type="dxa"/>
            <w:shd w:val="clear" w:color="auto" w:fill="00B0F0"/>
          </w:tcPr>
          <w:p w14:paraId="5B487991" w14:textId="77777777" w:rsidR="00CD7FA2" w:rsidRPr="00D874B3" w:rsidRDefault="00CD7FA2" w:rsidP="00470D85">
            <w:pPr>
              <w:rPr>
                <w:b/>
                <w:bCs/>
                <w:color w:val="000000" w:themeColor="text1"/>
                <w:sz w:val="20"/>
                <w:szCs w:val="20"/>
              </w:rPr>
            </w:pPr>
          </w:p>
        </w:tc>
        <w:tc>
          <w:tcPr>
            <w:tcW w:w="5895" w:type="dxa"/>
            <w:shd w:val="clear" w:color="auto" w:fill="00B0F0"/>
          </w:tcPr>
          <w:p w14:paraId="066C93A2" w14:textId="77777777" w:rsidR="00CD7FA2" w:rsidRPr="00D874B3" w:rsidRDefault="00CD7FA2" w:rsidP="00470D85">
            <w:pPr>
              <w:rPr>
                <w:b/>
                <w:bCs/>
                <w:color w:val="000000" w:themeColor="text1"/>
                <w:sz w:val="20"/>
                <w:szCs w:val="20"/>
              </w:rPr>
            </w:pPr>
            <w:r w:rsidRPr="00D874B3">
              <w:rPr>
                <w:b/>
                <w:bCs/>
                <w:color w:val="000000" w:themeColor="text1"/>
                <w:sz w:val="20"/>
                <w:szCs w:val="20"/>
              </w:rPr>
              <w:t>Description</w:t>
            </w:r>
          </w:p>
        </w:tc>
        <w:tc>
          <w:tcPr>
            <w:tcW w:w="2232" w:type="dxa"/>
            <w:shd w:val="clear" w:color="auto" w:fill="00B0F0"/>
          </w:tcPr>
          <w:p w14:paraId="0E686D2B" w14:textId="1BD9BC48" w:rsidR="00CD7FA2" w:rsidRPr="00D874B3" w:rsidRDefault="00CD7FA2" w:rsidP="00470D85">
            <w:pPr>
              <w:jc w:val="right"/>
              <w:rPr>
                <w:b/>
                <w:bCs/>
                <w:color w:val="000000" w:themeColor="text1"/>
                <w:sz w:val="20"/>
                <w:szCs w:val="20"/>
              </w:rPr>
            </w:pPr>
            <w:r w:rsidRPr="732A479B">
              <w:rPr>
                <w:b/>
                <w:bCs/>
                <w:color w:val="000000" w:themeColor="text1"/>
                <w:sz w:val="20"/>
                <w:szCs w:val="20"/>
              </w:rPr>
              <w:t>Total 2024/25</w:t>
            </w:r>
          </w:p>
        </w:tc>
      </w:tr>
      <w:tr w:rsidR="00CD7FA2" w:rsidRPr="00D874B3" w14:paraId="05AD0AFE" w14:textId="77777777" w:rsidTr="732A479B">
        <w:tc>
          <w:tcPr>
            <w:tcW w:w="799" w:type="dxa"/>
          </w:tcPr>
          <w:p w14:paraId="06C5568E" w14:textId="77777777" w:rsidR="00CD7FA2" w:rsidRPr="00D874B3" w:rsidRDefault="00CD7FA2" w:rsidP="00470D85">
            <w:pPr>
              <w:rPr>
                <w:color w:val="000000" w:themeColor="text1"/>
                <w:sz w:val="20"/>
                <w:szCs w:val="20"/>
              </w:rPr>
            </w:pPr>
            <w:r w:rsidRPr="00D874B3">
              <w:rPr>
                <w:color w:val="000000" w:themeColor="text1"/>
                <w:sz w:val="20"/>
                <w:szCs w:val="20"/>
              </w:rPr>
              <w:t>A</w:t>
            </w:r>
          </w:p>
        </w:tc>
        <w:tc>
          <w:tcPr>
            <w:tcW w:w="5895" w:type="dxa"/>
          </w:tcPr>
          <w:p w14:paraId="5B964247" w14:textId="77777777" w:rsidR="00CD7FA2" w:rsidRPr="00D874B3" w:rsidRDefault="00CD7FA2" w:rsidP="00470D85">
            <w:pPr>
              <w:rPr>
                <w:color w:val="000000" w:themeColor="text1"/>
                <w:sz w:val="20"/>
                <w:szCs w:val="20"/>
              </w:rPr>
            </w:pPr>
            <w:r w:rsidRPr="00D874B3">
              <w:rPr>
                <w:color w:val="000000" w:themeColor="text1"/>
                <w:sz w:val="20"/>
                <w:szCs w:val="20"/>
              </w:rPr>
              <w:t>total value of demand notices issued in the reported year</w:t>
            </w:r>
          </w:p>
        </w:tc>
        <w:tc>
          <w:tcPr>
            <w:tcW w:w="2232" w:type="dxa"/>
          </w:tcPr>
          <w:p w14:paraId="2E797C94" w14:textId="77777777" w:rsidR="00CD7FA2" w:rsidRPr="00D874B3" w:rsidRDefault="00CD7FA2" w:rsidP="00470D85">
            <w:pPr>
              <w:jc w:val="right"/>
              <w:rPr>
                <w:color w:val="000000" w:themeColor="text1"/>
                <w:sz w:val="20"/>
                <w:szCs w:val="20"/>
              </w:rPr>
            </w:pPr>
            <w:r w:rsidRPr="00D874B3">
              <w:rPr>
                <w:color w:val="000000" w:themeColor="text1"/>
                <w:sz w:val="20"/>
                <w:szCs w:val="20"/>
              </w:rPr>
              <w:t>£56,162,027</w:t>
            </w:r>
          </w:p>
        </w:tc>
      </w:tr>
      <w:tr w:rsidR="00CD7FA2" w:rsidRPr="00D874B3" w14:paraId="2C96A628" w14:textId="77777777" w:rsidTr="732A479B">
        <w:tc>
          <w:tcPr>
            <w:tcW w:w="799" w:type="dxa"/>
          </w:tcPr>
          <w:p w14:paraId="5A8B61DA" w14:textId="77777777" w:rsidR="00CD7FA2" w:rsidRPr="00D874B3" w:rsidRDefault="00CD7FA2" w:rsidP="00470D85">
            <w:pPr>
              <w:rPr>
                <w:color w:val="000000" w:themeColor="text1"/>
                <w:sz w:val="20"/>
                <w:szCs w:val="20"/>
              </w:rPr>
            </w:pPr>
            <w:r w:rsidRPr="00D874B3">
              <w:rPr>
                <w:color w:val="000000" w:themeColor="text1"/>
                <w:sz w:val="20"/>
                <w:szCs w:val="20"/>
              </w:rPr>
              <w:t>B</w:t>
            </w:r>
          </w:p>
        </w:tc>
        <w:tc>
          <w:tcPr>
            <w:tcW w:w="5895" w:type="dxa"/>
          </w:tcPr>
          <w:p w14:paraId="3035CF26" w14:textId="77777777" w:rsidR="00CD7FA2" w:rsidRPr="00D874B3" w:rsidRDefault="00CD7FA2" w:rsidP="00470D85">
            <w:pPr>
              <w:rPr>
                <w:color w:val="000000" w:themeColor="text1"/>
                <w:sz w:val="20"/>
                <w:szCs w:val="20"/>
              </w:rPr>
            </w:pPr>
            <w:r w:rsidRPr="00D874B3">
              <w:rPr>
                <w:color w:val="000000" w:themeColor="text1"/>
                <w:sz w:val="20"/>
                <w:szCs w:val="20"/>
              </w:rPr>
              <w:t xml:space="preserve">total value of CIL receipts for the reported year. </w:t>
            </w:r>
          </w:p>
          <w:p w14:paraId="1B58AE50" w14:textId="77777777" w:rsidR="00CD7FA2" w:rsidRPr="00D874B3" w:rsidRDefault="00CD7FA2" w:rsidP="00CD7FA2">
            <w:pPr>
              <w:pStyle w:val="ListParagraph"/>
              <w:numPr>
                <w:ilvl w:val="0"/>
                <w:numId w:val="5"/>
              </w:numPr>
              <w:spacing w:line="240" w:lineRule="auto"/>
              <w:rPr>
                <w:rFonts w:ascii="Arial" w:hAnsi="Arial" w:cs="Arial"/>
                <w:color w:val="000000" w:themeColor="text1"/>
                <w:sz w:val="20"/>
                <w:szCs w:val="20"/>
              </w:rPr>
            </w:pPr>
            <w:r w:rsidRPr="00D874B3">
              <w:rPr>
                <w:rFonts w:ascii="Arial" w:hAnsi="Arial" w:cs="Arial"/>
                <w:color w:val="000000" w:themeColor="text1"/>
                <w:sz w:val="20"/>
                <w:szCs w:val="20"/>
              </w:rPr>
              <w:t xml:space="preserve">Borough CIL </w:t>
            </w:r>
          </w:p>
          <w:p w14:paraId="3423EDCF" w14:textId="77777777" w:rsidR="00CD7FA2" w:rsidRPr="00D874B3" w:rsidRDefault="00CD7FA2" w:rsidP="00CD7FA2">
            <w:pPr>
              <w:pStyle w:val="ListParagraph"/>
              <w:numPr>
                <w:ilvl w:val="0"/>
                <w:numId w:val="5"/>
              </w:numPr>
              <w:spacing w:line="240" w:lineRule="auto"/>
              <w:rPr>
                <w:rFonts w:ascii="Arial" w:hAnsi="Arial" w:cs="Arial"/>
                <w:color w:val="000000" w:themeColor="text1"/>
                <w:sz w:val="20"/>
                <w:szCs w:val="20"/>
              </w:rPr>
            </w:pPr>
            <w:r w:rsidRPr="00D874B3">
              <w:rPr>
                <w:rFonts w:ascii="Arial" w:hAnsi="Arial" w:cs="Arial"/>
                <w:color w:val="000000" w:themeColor="text1"/>
                <w:sz w:val="20"/>
                <w:szCs w:val="20"/>
              </w:rPr>
              <w:t>Mayoral CIL</w:t>
            </w:r>
          </w:p>
        </w:tc>
        <w:tc>
          <w:tcPr>
            <w:tcW w:w="2232" w:type="dxa"/>
          </w:tcPr>
          <w:p w14:paraId="6166E142" w14:textId="77777777" w:rsidR="00CD7FA2" w:rsidRPr="00D874B3" w:rsidRDefault="00CD7FA2" w:rsidP="00470D85">
            <w:pPr>
              <w:rPr>
                <w:color w:val="000000" w:themeColor="text1"/>
                <w:sz w:val="20"/>
                <w:szCs w:val="20"/>
              </w:rPr>
            </w:pPr>
          </w:p>
          <w:p w14:paraId="42DC909F" w14:textId="77777777" w:rsidR="00CD7FA2" w:rsidRPr="00D874B3" w:rsidRDefault="00CD7FA2" w:rsidP="00CD7FA2">
            <w:pPr>
              <w:pStyle w:val="ListParagraph"/>
              <w:numPr>
                <w:ilvl w:val="0"/>
                <w:numId w:val="23"/>
              </w:numPr>
              <w:spacing w:line="240" w:lineRule="auto"/>
              <w:jc w:val="right"/>
              <w:rPr>
                <w:rFonts w:ascii="Arial" w:hAnsi="Arial" w:cs="Arial"/>
                <w:color w:val="000000" w:themeColor="text1"/>
                <w:sz w:val="20"/>
                <w:szCs w:val="20"/>
              </w:rPr>
            </w:pPr>
            <w:r w:rsidRPr="00D874B3">
              <w:rPr>
                <w:rFonts w:ascii="Arial" w:hAnsi="Arial" w:cs="Arial"/>
                <w:color w:val="000000" w:themeColor="text1"/>
                <w:sz w:val="20"/>
                <w:szCs w:val="20"/>
              </w:rPr>
              <w:t>£14,084,329</w:t>
            </w:r>
          </w:p>
          <w:p w14:paraId="22A4EFF7" w14:textId="77777777" w:rsidR="00CD7FA2" w:rsidRPr="00D874B3" w:rsidRDefault="00CD7FA2" w:rsidP="00CD7FA2">
            <w:pPr>
              <w:pStyle w:val="ListParagraph"/>
              <w:numPr>
                <w:ilvl w:val="0"/>
                <w:numId w:val="23"/>
              </w:numPr>
              <w:spacing w:line="240" w:lineRule="auto"/>
              <w:jc w:val="right"/>
              <w:rPr>
                <w:rFonts w:ascii="Arial" w:hAnsi="Arial" w:cs="Arial"/>
                <w:color w:val="000000" w:themeColor="text1"/>
                <w:sz w:val="20"/>
                <w:szCs w:val="20"/>
              </w:rPr>
            </w:pPr>
            <w:r w:rsidRPr="00D874B3">
              <w:rPr>
                <w:rFonts w:ascii="Arial" w:hAnsi="Arial" w:cs="Arial"/>
                <w:color w:val="000000" w:themeColor="text1"/>
                <w:sz w:val="20"/>
                <w:szCs w:val="20"/>
              </w:rPr>
              <w:t>£11,297,870</w:t>
            </w:r>
          </w:p>
        </w:tc>
      </w:tr>
      <w:tr w:rsidR="00CD7FA2" w:rsidRPr="00D874B3" w14:paraId="1A50439B" w14:textId="77777777" w:rsidTr="732A479B">
        <w:tc>
          <w:tcPr>
            <w:tcW w:w="799" w:type="dxa"/>
          </w:tcPr>
          <w:p w14:paraId="2A7114B0" w14:textId="77777777" w:rsidR="00CD7FA2" w:rsidRPr="00D874B3" w:rsidRDefault="00CD7FA2" w:rsidP="00470D85">
            <w:pPr>
              <w:rPr>
                <w:color w:val="000000" w:themeColor="text1"/>
                <w:sz w:val="20"/>
                <w:szCs w:val="20"/>
              </w:rPr>
            </w:pPr>
            <w:r w:rsidRPr="00D874B3">
              <w:rPr>
                <w:color w:val="000000" w:themeColor="text1"/>
                <w:sz w:val="20"/>
                <w:szCs w:val="20"/>
              </w:rPr>
              <w:t>C</w:t>
            </w:r>
          </w:p>
        </w:tc>
        <w:tc>
          <w:tcPr>
            <w:tcW w:w="5895" w:type="dxa"/>
          </w:tcPr>
          <w:p w14:paraId="4F337AB4" w14:textId="77777777" w:rsidR="00CD7FA2" w:rsidRPr="00D874B3" w:rsidRDefault="00CD7FA2" w:rsidP="00470D85">
            <w:pPr>
              <w:rPr>
                <w:color w:val="000000" w:themeColor="text1"/>
                <w:sz w:val="20"/>
                <w:szCs w:val="20"/>
              </w:rPr>
            </w:pPr>
            <w:r w:rsidRPr="00D874B3">
              <w:rPr>
                <w:color w:val="000000" w:themeColor="text1"/>
                <w:sz w:val="20"/>
                <w:szCs w:val="20"/>
              </w:rPr>
              <w:t>Total value of CIL receipts collected prior to reported year (2024/2025 which have not been allocated</w:t>
            </w:r>
          </w:p>
        </w:tc>
        <w:tc>
          <w:tcPr>
            <w:tcW w:w="2232" w:type="dxa"/>
          </w:tcPr>
          <w:p w14:paraId="04F73245" w14:textId="77777777" w:rsidR="00CD7FA2" w:rsidRPr="00D874B3" w:rsidRDefault="00CD7FA2" w:rsidP="00470D85">
            <w:pPr>
              <w:jc w:val="right"/>
              <w:rPr>
                <w:color w:val="000000" w:themeColor="text1"/>
                <w:sz w:val="20"/>
                <w:szCs w:val="20"/>
              </w:rPr>
            </w:pPr>
            <w:r w:rsidRPr="00D874B3">
              <w:rPr>
                <w:color w:val="000000" w:themeColor="text1"/>
                <w:sz w:val="20"/>
                <w:szCs w:val="20"/>
              </w:rPr>
              <w:t>£45,148,764</w:t>
            </w:r>
          </w:p>
        </w:tc>
      </w:tr>
      <w:tr w:rsidR="00CD7FA2" w:rsidRPr="00D874B3" w14:paraId="741C3A58" w14:textId="77777777" w:rsidTr="732A479B">
        <w:tc>
          <w:tcPr>
            <w:tcW w:w="799" w:type="dxa"/>
          </w:tcPr>
          <w:p w14:paraId="143E502D" w14:textId="77777777" w:rsidR="00CD7FA2" w:rsidRPr="00D874B3" w:rsidRDefault="00CD7FA2" w:rsidP="00470D85">
            <w:pPr>
              <w:rPr>
                <w:color w:val="000000" w:themeColor="text1"/>
                <w:sz w:val="20"/>
                <w:szCs w:val="20"/>
              </w:rPr>
            </w:pPr>
            <w:r w:rsidRPr="00D874B3">
              <w:rPr>
                <w:color w:val="000000" w:themeColor="text1"/>
                <w:sz w:val="20"/>
                <w:szCs w:val="20"/>
              </w:rPr>
              <w:t>D</w:t>
            </w:r>
          </w:p>
        </w:tc>
        <w:tc>
          <w:tcPr>
            <w:tcW w:w="5895" w:type="dxa"/>
          </w:tcPr>
          <w:p w14:paraId="35969109" w14:textId="77777777" w:rsidR="00CD7FA2" w:rsidRPr="00D874B3" w:rsidRDefault="00CD7FA2" w:rsidP="00470D85">
            <w:pPr>
              <w:rPr>
                <w:color w:val="000000" w:themeColor="text1"/>
                <w:sz w:val="20"/>
                <w:szCs w:val="20"/>
              </w:rPr>
            </w:pPr>
            <w:r w:rsidRPr="00D874B3">
              <w:rPr>
                <w:color w:val="000000" w:themeColor="text1"/>
                <w:sz w:val="20"/>
                <w:szCs w:val="20"/>
              </w:rPr>
              <w:t>total value of CIL receipts collected prior to 2024/2025 which have been allocated</w:t>
            </w:r>
          </w:p>
        </w:tc>
        <w:tc>
          <w:tcPr>
            <w:tcW w:w="2232" w:type="dxa"/>
          </w:tcPr>
          <w:p w14:paraId="6C46D312" w14:textId="77777777" w:rsidR="00CD7FA2" w:rsidRPr="00D874B3" w:rsidRDefault="00CD7FA2" w:rsidP="00470D85">
            <w:pPr>
              <w:jc w:val="right"/>
              <w:rPr>
                <w:color w:val="000000" w:themeColor="text1"/>
                <w:sz w:val="20"/>
                <w:szCs w:val="20"/>
              </w:rPr>
            </w:pPr>
            <w:r w:rsidRPr="00D874B3">
              <w:rPr>
                <w:color w:val="000000" w:themeColor="text1"/>
                <w:sz w:val="20"/>
                <w:szCs w:val="20"/>
              </w:rPr>
              <w:t>£52,800,000</w:t>
            </w:r>
          </w:p>
        </w:tc>
      </w:tr>
      <w:tr w:rsidR="00CD7FA2" w:rsidRPr="00D874B3" w14:paraId="61543F7C" w14:textId="77777777" w:rsidTr="732A479B">
        <w:tc>
          <w:tcPr>
            <w:tcW w:w="799" w:type="dxa"/>
          </w:tcPr>
          <w:p w14:paraId="79F735E1" w14:textId="77777777" w:rsidR="00CD7FA2" w:rsidRPr="00D874B3" w:rsidRDefault="00CD7FA2" w:rsidP="00470D85">
            <w:pPr>
              <w:rPr>
                <w:color w:val="000000" w:themeColor="text1"/>
                <w:sz w:val="20"/>
                <w:szCs w:val="20"/>
              </w:rPr>
            </w:pPr>
            <w:r w:rsidRPr="00D874B3">
              <w:rPr>
                <w:color w:val="000000" w:themeColor="text1"/>
                <w:sz w:val="20"/>
                <w:szCs w:val="20"/>
              </w:rPr>
              <w:t>E</w:t>
            </w:r>
          </w:p>
        </w:tc>
        <w:tc>
          <w:tcPr>
            <w:tcW w:w="5895" w:type="dxa"/>
          </w:tcPr>
          <w:p w14:paraId="1BDAF8F1" w14:textId="77777777" w:rsidR="00CD7FA2" w:rsidRPr="00D874B3" w:rsidRDefault="00CD7FA2" w:rsidP="00470D85">
            <w:pPr>
              <w:rPr>
                <w:color w:val="000000" w:themeColor="text1"/>
                <w:sz w:val="20"/>
                <w:szCs w:val="20"/>
              </w:rPr>
            </w:pPr>
            <w:r w:rsidRPr="00D874B3">
              <w:rPr>
                <w:color w:val="000000" w:themeColor="text1"/>
                <w:sz w:val="20"/>
                <w:szCs w:val="20"/>
              </w:rPr>
              <w:t>total value of CIL expenditure (including NCIL) for the reported year</w:t>
            </w:r>
          </w:p>
        </w:tc>
        <w:tc>
          <w:tcPr>
            <w:tcW w:w="2232" w:type="dxa"/>
          </w:tcPr>
          <w:p w14:paraId="3A8D074C" w14:textId="77777777" w:rsidR="00CD7FA2" w:rsidRPr="00D874B3" w:rsidRDefault="00CD7FA2" w:rsidP="00470D85">
            <w:pPr>
              <w:jc w:val="right"/>
              <w:rPr>
                <w:color w:val="000000" w:themeColor="text1"/>
                <w:sz w:val="20"/>
                <w:szCs w:val="20"/>
              </w:rPr>
            </w:pPr>
            <w:r w:rsidRPr="00D874B3">
              <w:rPr>
                <w:color w:val="000000" w:themeColor="text1"/>
                <w:sz w:val="20"/>
                <w:szCs w:val="20"/>
              </w:rPr>
              <w:t>                     THCIL£4,861,751</w:t>
            </w:r>
          </w:p>
          <w:p w14:paraId="4F5DCEF7" w14:textId="77777777" w:rsidR="00CD7FA2" w:rsidRPr="00D874B3" w:rsidRDefault="00CD7FA2" w:rsidP="00470D85">
            <w:pPr>
              <w:jc w:val="right"/>
              <w:rPr>
                <w:color w:val="000000"/>
                <w:sz w:val="20"/>
                <w:szCs w:val="20"/>
              </w:rPr>
            </w:pPr>
            <w:r w:rsidRPr="00D874B3">
              <w:rPr>
                <w:color w:val="000000"/>
                <w:sz w:val="20"/>
                <w:szCs w:val="20"/>
              </w:rPr>
              <w:t>NCIL £4,539,252</w:t>
            </w:r>
          </w:p>
          <w:p w14:paraId="5CD9CA32" w14:textId="77777777" w:rsidR="00CD7FA2" w:rsidRPr="00D874B3" w:rsidRDefault="00CD7FA2" w:rsidP="00470D85">
            <w:pPr>
              <w:jc w:val="right"/>
              <w:rPr>
                <w:color w:val="000000"/>
                <w:sz w:val="20"/>
                <w:szCs w:val="20"/>
              </w:rPr>
            </w:pPr>
          </w:p>
          <w:p w14:paraId="2A2ED2A8" w14:textId="77777777" w:rsidR="00CD7FA2" w:rsidRPr="00D874B3" w:rsidRDefault="00CD7FA2" w:rsidP="00470D85">
            <w:pPr>
              <w:jc w:val="right"/>
              <w:rPr>
                <w:color w:val="000000" w:themeColor="text1"/>
                <w:sz w:val="20"/>
                <w:szCs w:val="20"/>
              </w:rPr>
            </w:pPr>
          </w:p>
        </w:tc>
      </w:tr>
      <w:tr w:rsidR="00CD7FA2" w:rsidRPr="00D874B3" w14:paraId="20108DE2" w14:textId="77777777" w:rsidTr="732A479B">
        <w:tc>
          <w:tcPr>
            <w:tcW w:w="799" w:type="dxa"/>
          </w:tcPr>
          <w:p w14:paraId="78146AAF" w14:textId="77777777" w:rsidR="00CD7FA2" w:rsidRPr="00D874B3" w:rsidRDefault="00CD7FA2" w:rsidP="00470D85">
            <w:pPr>
              <w:rPr>
                <w:color w:val="000000" w:themeColor="text1"/>
                <w:sz w:val="20"/>
                <w:szCs w:val="20"/>
              </w:rPr>
            </w:pPr>
            <w:r w:rsidRPr="00D874B3">
              <w:rPr>
                <w:color w:val="000000" w:themeColor="text1"/>
                <w:sz w:val="20"/>
                <w:szCs w:val="20"/>
              </w:rPr>
              <w:t>F</w:t>
            </w:r>
          </w:p>
        </w:tc>
        <w:tc>
          <w:tcPr>
            <w:tcW w:w="5895" w:type="dxa"/>
          </w:tcPr>
          <w:p w14:paraId="424DB854" w14:textId="77777777" w:rsidR="00CD7FA2" w:rsidRPr="00D874B3" w:rsidRDefault="00CD7FA2" w:rsidP="00470D85">
            <w:pPr>
              <w:rPr>
                <w:color w:val="000000" w:themeColor="text1"/>
                <w:sz w:val="20"/>
                <w:szCs w:val="20"/>
              </w:rPr>
            </w:pPr>
            <w:r w:rsidRPr="00D874B3">
              <w:rPr>
                <w:color w:val="000000" w:themeColor="text1"/>
                <w:sz w:val="20"/>
                <w:szCs w:val="20"/>
              </w:rPr>
              <w:t>(i) total value of CIL receipts whenever collected which were allocated but not spent during the reported year (2024/2025)</w:t>
            </w:r>
          </w:p>
          <w:p w14:paraId="3AA558FD" w14:textId="77777777" w:rsidR="00CD7FA2" w:rsidRPr="00D874B3" w:rsidRDefault="00CD7FA2" w:rsidP="00470D85">
            <w:pPr>
              <w:rPr>
                <w:color w:val="000000" w:themeColor="text1"/>
                <w:sz w:val="20"/>
                <w:szCs w:val="20"/>
              </w:rPr>
            </w:pPr>
            <w:r w:rsidRPr="00D874B3">
              <w:rPr>
                <w:color w:val="000000" w:themeColor="text1"/>
                <w:sz w:val="20"/>
                <w:szCs w:val="20"/>
              </w:rPr>
              <w:t>(ii)the items of infrastructure on which CIL (including land payments) has been spent, and the amount of CIL spent on each item (including NCIL)</w:t>
            </w:r>
          </w:p>
          <w:p w14:paraId="7453C004" w14:textId="77777777" w:rsidR="00CD7FA2" w:rsidRPr="00D874B3" w:rsidRDefault="00CD7FA2" w:rsidP="00470D85">
            <w:pPr>
              <w:rPr>
                <w:color w:val="000000" w:themeColor="text1"/>
                <w:sz w:val="20"/>
                <w:szCs w:val="20"/>
              </w:rPr>
            </w:pPr>
            <w:r w:rsidRPr="00D874B3">
              <w:rPr>
                <w:color w:val="000000" w:themeColor="text1"/>
                <w:sz w:val="20"/>
                <w:szCs w:val="20"/>
              </w:rPr>
              <w:t>(iii)the amount of CIL spent on repaying money borrowed, including any interest, with details of the items of infrastructure which that money was used to provide (wholly or in part)</w:t>
            </w:r>
          </w:p>
          <w:p w14:paraId="4BFA5F0D" w14:textId="77777777" w:rsidR="00CD7FA2" w:rsidRPr="00D874B3" w:rsidRDefault="00CD7FA2" w:rsidP="00470D85">
            <w:pPr>
              <w:rPr>
                <w:color w:val="000000" w:themeColor="text1"/>
                <w:sz w:val="20"/>
                <w:szCs w:val="20"/>
              </w:rPr>
            </w:pPr>
            <w:r w:rsidRPr="00D874B3">
              <w:rPr>
                <w:color w:val="000000" w:themeColor="text1"/>
                <w:sz w:val="20"/>
                <w:szCs w:val="20"/>
              </w:rPr>
              <w:t xml:space="preserve">(iv) total value of CIL spent on admin expenses </w:t>
            </w:r>
          </w:p>
          <w:p w14:paraId="5F1D4A77" w14:textId="6C161192" w:rsidR="00CD7FA2" w:rsidRPr="00D874B3" w:rsidRDefault="00CD7FA2" w:rsidP="00CD7FA2">
            <w:pPr>
              <w:pStyle w:val="ListParagraph"/>
              <w:numPr>
                <w:ilvl w:val="0"/>
                <w:numId w:val="37"/>
              </w:numPr>
              <w:spacing w:line="240" w:lineRule="auto"/>
              <w:rPr>
                <w:rFonts w:ascii="Arial" w:hAnsi="Arial" w:cs="Arial"/>
                <w:color w:val="000000" w:themeColor="text1"/>
                <w:sz w:val="20"/>
                <w:szCs w:val="20"/>
              </w:rPr>
            </w:pPr>
            <w:r w:rsidRPr="00D874B3">
              <w:rPr>
                <w:rFonts w:ascii="Arial" w:hAnsi="Arial" w:cs="Arial"/>
                <w:color w:val="000000" w:themeColor="text1"/>
                <w:sz w:val="20"/>
                <w:szCs w:val="20"/>
              </w:rPr>
              <w:t xml:space="preserve">Borough –5% </w:t>
            </w:r>
          </w:p>
          <w:p w14:paraId="01BEA1C8" w14:textId="77777777" w:rsidR="00CD7FA2" w:rsidRPr="00D874B3" w:rsidRDefault="00CD7FA2" w:rsidP="00CD7FA2">
            <w:pPr>
              <w:pStyle w:val="ListParagraph"/>
              <w:numPr>
                <w:ilvl w:val="0"/>
                <w:numId w:val="37"/>
              </w:numPr>
              <w:spacing w:line="240" w:lineRule="auto"/>
              <w:rPr>
                <w:rFonts w:ascii="Arial" w:hAnsi="Arial" w:cs="Arial"/>
                <w:color w:val="000000" w:themeColor="text1"/>
                <w:sz w:val="20"/>
                <w:szCs w:val="20"/>
              </w:rPr>
            </w:pPr>
            <w:r w:rsidRPr="00D874B3">
              <w:rPr>
                <w:rFonts w:ascii="Arial" w:hAnsi="Arial" w:cs="Arial"/>
                <w:color w:val="000000" w:themeColor="text1"/>
                <w:sz w:val="20"/>
                <w:szCs w:val="20"/>
              </w:rPr>
              <w:t>Mayoral – 4%</w:t>
            </w:r>
          </w:p>
        </w:tc>
        <w:tc>
          <w:tcPr>
            <w:tcW w:w="2232" w:type="dxa"/>
          </w:tcPr>
          <w:p w14:paraId="09513460" w14:textId="77777777" w:rsidR="00CD7FA2" w:rsidRPr="00D874B3" w:rsidRDefault="00CD7FA2" w:rsidP="00470D85">
            <w:pPr>
              <w:jc w:val="right"/>
              <w:rPr>
                <w:sz w:val="20"/>
                <w:szCs w:val="20"/>
              </w:rPr>
            </w:pPr>
            <w:r w:rsidRPr="00D874B3">
              <w:rPr>
                <w:sz w:val="20"/>
                <w:szCs w:val="20"/>
              </w:rPr>
              <w:t>(i)£43,398,997</w:t>
            </w:r>
          </w:p>
          <w:p w14:paraId="0B52FBA1" w14:textId="77777777" w:rsidR="00CD7FA2" w:rsidRPr="00D874B3" w:rsidRDefault="00CD7FA2" w:rsidP="00470D85">
            <w:pPr>
              <w:rPr>
                <w:color w:val="000000" w:themeColor="text1"/>
                <w:sz w:val="20"/>
                <w:szCs w:val="20"/>
              </w:rPr>
            </w:pPr>
          </w:p>
          <w:p w14:paraId="2E78D1D1" w14:textId="77777777" w:rsidR="00632763" w:rsidRPr="00D874B3" w:rsidRDefault="00632763" w:rsidP="00470D85">
            <w:pPr>
              <w:jc w:val="right"/>
              <w:rPr>
                <w:color w:val="000000" w:themeColor="text1"/>
                <w:sz w:val="20"/>
                <w:szCs w:val="20"/>
              </w:rPr>
            </w:pPr>
          </w:p>
          <w:p w14:paraId="098C152A" w14:textId="15426065" w:rsidR="00CD7FA2" w:rsidRPr="00D874B3" w:rsidRDefault="00CD7FA2" w:rsidP="00470D85">
            <w:pPr>
              <w:jc w:val="right"/>
              <w:rPr>
                <w:color w:val="000000" w:themeColor="text1"/>
                <w:sz w:val="20"/>
                <w:szCs w:val="20"/>
              </w:rPr>
            </w:pPr>
            <w:r w:rsidRPr="00D874B3">
              <w:rPr>
                <w:color w:val="000000" w:themeColor="text1"/>
                <w:sz w:val="20"/>
                <w:szCs w:val="20"/>
              </w:rPr>
              <w:t>(ii)£9,401,003</w:t>
            </w:r>
          </w:p>
          <w:p w14:paraId="5E14B3FE" w14:textId="7CE62505" w:rsidR="00CD7FA2" w:rsidRPr="00D874B3" w:rsidRDefault="00CD7FA2" w:rsidP="00470D85">
            <w:pPr>
              <w:jc w:val="right"/>
              <w:rPr>
                <w:sz w:val="20"/>
                <w:szCs w:val="20"/>
              </w:rPr>
            </w:pPr>
            <w:r w:rsidRPr="00D874B3">
              <w:rPr>
                <w:sz w:val="20"/>
                <w:szCs w:val="20"/>
              </w:rPr>
              <w:t xml:space="preserve">Table </w:t>
            </w:r>
            <w:r w:rsidR="00907643">
              <w:rPr>
                <w:sz w:val="20"/>
                <w:szCs w:val="20"/>
              </w:rPr>
              <w:t>3</w:t>
            </w:r>
            <w:r w:rsidRPr="00D874B3">
              <w:rPr>
                <w:sz w:val="20"/>
                <w:szCs w:val="20"/>
              </w:rPr>
              <w:t>.2</w:t>
            </w:r>
          </w:p>
          <w:p w14:paraId="3ED5D9A5" w14:textId="77777777" w:rsidR="00CD7FA2" w:rsidRPr="00D874B3" w:rsidRDefault="00CD7FA2" w:rsidP="00470D85">
            <w:pPr>
              <w:rPr>
                <w:color w:val="000000" w:themeColor="text1"/>
                <w:sz w:val="20"/>
                <w:szCs w:val="20"/>
              </w:rPr>
            </w:pPr>
          </w:p>
          <w:p w14:paraId="2D0B5B25" w14:textId="77777777" w:rsidR="00CD7FA2" w:rsidRPr="00D874B3" w:rsidRDefault="00CD7FA2" w:rsidP="00470D85">
            <w:pPr>
              <w:jc w:val="right"/>
              <w:rPr>
                <w:color w:val="000000" w:themeColor="text1"/>
                <w:sz w:val="20"/>
                <w:szCs w:val="20"/>
              </w:rPr>
            </w:pPr>
            <w:r w:rsidRPr="00D874B3">
              <w:rPr>
                <w:color w:val="000000" w:themeColor="text1"/>
                <w:sz w:val="20"/>
                <w:szCs w:val="20"/>
              </w:rPr>
              <w:t>(iii)£0.00</w:t>
            </w:r>
          </w:p>
          <w:p w14:paraId="27B469DE" w14:textId="77777777" w:rsidR="00CD7FA2" w:rsidRPr="00D874B3" w:rsidRDefault="00CD7FA2" w:rsidP="00470D85">
            <w:pPr>
              <w:rPr>
                <w:color w:val="000000" w:themeColor="text1"/>
                <w:sz w:val="20"/>
                <w:szCs w:val="20"/>
              </w:rPr>
            </w:pPr>
          </w:p>
          <w:p w14:paraId="4F4E31CE" w14:textId="77777777" w:rsidR="00CD7FA2" w:rsidRPr="00D874B3" w:rsidRDefault="00CD7FA2" w:rsidP="00470D85">
            <w:pPr>
              <w:rPr>
                <w:color w:val="000000" w:themeColor="text1"/>
                <w:sz w:val="20"/>
                <w:szCs w:val="20"/>
              </w:rPr>
            </w:pPr>
          </w:p>
          <w:p w14:paraId="05D9829B" w14:textId="77777777" w:rsidR="00CD7FA2" w:rsidRPr="00D874B3" w:rsidRDefault="00CD7FA2" w:rsidP="00470D85">
            <w:pPr>
              <w:jc w:val="right"/>
              <w:rPr>
                <w:color w:val="000000" w:themeColor="text1"/>
                <w:sz w:val="20"/>
                <w:szCs w:val="20"/>
              </w:rPr>
            </w:pPr>
          </w:p>
          <w:p w14:paraId="047434D3" w14:textId="77777777" w:rsidR="00CD7FA2" w:rsidRPr="00D874B3" w:rsidRDefault="00CD7FA2" w:rsidP="00470D85">
            <w:pPr>
              <w:jc w:val="right"/>
              <w:rPr>
                <w:color w:val="000000" w:themeColor="text1"/>
                <w:sz w:val="20"/>
                <w:szCs w:val="20"/>
              </w:rPr>
            </w:pPr>
            <w:r w:rsidRPr="00D874B3">
              <w:rPr>
                <w:color w:val="000000" w:themeColor="text1"/>
                <w:sz w:val="20"/>
                <w:szCs w:val="20"/>
              </w:rPr>
              <w:t>(iv)</w:t>
            </w:r>
          </w:p>
          <w:p w14:paraId="791B452F" w14:textId="77777777" w:rsidR="00CD7FA2" w:rsidRPr="00D874B3" w:rsidRDefault="00CD7FA2" w:rsidP="00470D85">
            <w:pPr>
              <w:pStyle w:val="ListParagraph"/>
              <w:ind w:left="1080"/>
              <w:jc w:val="right"/>
              <w:rPr>
                <w:rFonts w:ascii="Arial" w:hAnsi="Arial" w:cs="Arial"/>
                <w:color w:val="000000" w:themeColor="text1"/>
                <w:sz w:val="20"/>
                <w:szCs w:val="20"/>
              </w:rPr>
            </w:pPr>
            <w:r w:rsidRPr="00D874B3">
              <w:rPr>
                <w:rFonts w:ascii="Arial" w:hAnsi="Arial" w:cs="Arial"/>
                <w:color w:val="000000" w:themeColor="text1"/>
                <w:sz w:val="20"/>
                <w:szCs w:val="20"/>
              </w:rPr>
              <w:t>£704,216</w:t>
            </w:r>
          </w:p>
          <w:p w14:paraId="263A27AB" w14:textId="77777777" w:rsidR="00CD7FA2" w:rsidRPr="00D874B3" w:rsidRDefault="00CD7FA2" w:rsidP="00470D85">
            <w:pPr>
              <w:pStyle w:val="ListParagraph"/>
              <w:ind w:left="1080"/>
              <w:jc w:val="right"/>
              <w:rPr>
                <w:rFonts w:ascii="Arial" w:hAnsi="Arial" w:cs="Arial"/>
                <w:color w:val="000000" w:themeColor="text1"/>
                <w:sz w:val="20"/>
                <w:szCs w:val="20"/>
              </w:rPr>
            </w:pPr>
            <w:r w:rsidRPr="00D874B3">
              <w:rPr>
                <w:rFonts w:ascii="Arial" w:hAnsi="Arial" w:cs="Arial"/>
                <w:color w:val="000000" w:themeColor="text1"/>
                <w:sz w:val="20"/>
                <w:szCs w:val="20"/>
              </w:rPr>
              <w:t>£451,915</w:t>
            </w:r>
          </w:p>
        </w:tc>
      </w:tr>
      <w:tr w:rsidR="00CD7FA2" w:rsidRPr="00D874B3" w14:paraId="4014E12D" w14:textId="77777777" w:rsidTr="732A479B">
        <w:tc>
          <w:tcPr>
            <w:tcW w:w="799" w:type="dxa"/>
          </w:tcPr>
          <w:p w14:paraId="361FEADF" w14:textId="77777777" w:rsidR="00CD7FA2" w:rsidRPr="00D874B3" w:rsidRDefault="00CD7FA2" w:rsidP="00470D85">
            <w:pPr>
              <w:rPr>
                <w:color w:val="000000" w:themeColor="text1"/>
                <w:sz w:val="20"/>
                <w:szCs w:val="20"/>
              </w:rPr>
            </w:pPr>
            <w:r w:rsidRPr="00D874B3">
              <w:rPr>
                <w:color w:val="000000" w:themeColor="text1"/>
                <w:sz w:val="20"/>
                <w:szCs w:val="20"/>
              </w:rPr>
              <w:t>G</w:t>
            </w:r>
          </w:p>
        </w:tc>
        <w:tc>
          <w:tcPr>
            <w:tcW w:w="5895" w:type="dxa"/>
          </w:tcPr>
          <w:p w14:paraId="018249B4" w14:textId="77777777" w:rsidR="00CD7FA2" w:rsidRPr="00D874B3" w:rsidRDefault="00CD7FA2" w:rsidP="00470D85">
            <w:pPr>
              <w:rPr>
                <w:color w:val="000000" w:themeColor="text1"/>
                <w:sz w:val="20"/>
                <w:szCs w:val="20"/>
              </w:rPr>
            </w:pPr>
            <w:r w:rsidRPr="00D874B3">
              <w:rPr>
                <w:color w:val="000000" w:themeColor="text1"/>
                <w:sz w:val="20"/>
                <w:szCs w:val="20"/>
              </w:rPr>
              <w:t>summary details of the items of infrastructure on which CIL (including NCIL) has been allocated, and the amount of CIL allocated to each item</w:t>
            </w:r>
          </w:p>
        </w:tc>
        <w:tc>
          <w:tcPr>
            <w:tcW w:w="2232" w:type="dxa"/>
          </w:tcPr>
          <w:p w14:paraId="7E5225F3" w14:textId="0F5C7576" w:rsidR="00CD7FA2" w:rsidRPr="00D874B3" w:rsidRDefault="00CD7FA2" w:rsidP="00470D85">
            <w:pPr>
              <w:jc w:val="right"/>
              <w:rPr>
                <w:color w:val="000000" w:themeColor="text1"/>
                <w:sz w:val="20"/>
                <w:szCs w:val="20"/>
              </w:rPr>
            </w:pPr>
            <w:r w:rsidRPr="00D874B3">
              <w:rPr>
                <w:color w:val="000000" w:themeColor="text1"/>
                <w:sz w:val="20"/>
                <w:szCs w:val="20"/>
              </w:rPr>
              <w:t xml:space="preserve">Table </w:t>
            </w:r>
            <w:r w:rsidR="00907643">
              <w:rPr>
                <w:color w:val="000000" w:themeColor="text1"/>
                <w:sz w:val="20"/>
                <w:szCs w:val="20"/>
              </w:rPr>
              <w:t>3</w:t>
            </w:r>
            <w:r w:rsidRPr="00D874B3">
              <w:rPr>
                <w:color w:val="000000" w:themeColor="text1"/>
                <w:sz w:val="20"/>
                <w:szCs w:val="20"/>
              </w:rPr>
              <w:t>.3</w:t>
            </w:r>
          </w:p>
          <w:p w14:paraId="3086D7E3" w14:textId="77777777" w:rsidR="00CD7FA2" w:rsidRPr="00D874B3" w:rsidRDefault="00CD7FA2" w:rsidP="00470D85">
            <w:pPr>
              <w:jc w:val="right"/>
              <w:rPr>
                <w:color w:val="000000" w:themeColor="text1"/>
                <w:sz w:val="20"/>
                <w:szCs w:val="20"/>
              </w:rPr>
            </w:pPr>
          </w:p>
        </w:tc>
      </w:tr>
    </w:tbl>
    <w:p w14:paraId="0F880202" w14:textId="77777777" w:rsidR="006014E4" w:rsidRDefault="006014E4" w:rsidP="00CD7FA2">
      <w:pPr>
        <w:rPr>
          <w:b/>
          <w:bCs/>
          <w:sz w:val="22"/>
          <w:szCs w:val="22"/>
        </w:rPr>
      </w:pPr>
    </w:p>
    <w:p w14:paraId="36892C2E" w14:textId="28847BD1" w:rsidR="00CD7FA2" w:rsidRDefault="00CD7FA2" w:rsidP="00CD7FA2">
      <w:pPr>
        <w:rPr>
          <w:b/>
          <w:bCs/>
          <w:sz w:val="22"/>
          <w:szCs w:val="22"/>
        </w:rPr>
      </w:pPr>
      <w:r w:rsidRPr="00632763">
        <w:rPr>
          <w:b/>
          <w:bCs/>
          <w:sz w:val="22"/>
          <w:szCs w:val="22"/>
        </w:rPr>
        <w:t xml:space="preserve">Table </w:t>
      </w:r>
      <w:r w:rsidR="00907643">
        <w:rPr>
          <w:b/>
          <w:bCs/>
          <w:sz w:val="22"/>
          <w:szCs w:val="22"/>
        </w:rPr>
        <w:t>3</w:t>
      </w:r>
      <w:r w:rsidRPr="00632763">
        <w:rPr>
          <w:b/>
          <w:bCs/>
          <w:sz w:val="22"/>
          <w:szCs w:val="22"/>
        </w:rPr>
        <w:t>.2 CIL Expenditure (including NCIL) 2024/2025</w:t>
      </w:r>
    </w:p>
    <w:tbl>
      <w:tblPr>
        <w:tblW w:w="9209" w:type="dxa"/>
        <w:tblLook w:val="04A0" w:firstRow="1" w:lastRow="0" w:firstColumn="1" w:lastColumn="0" w:noHBand="0" w:noVBand="1"/>
      </w:tblPr>
      <w:tblGrid>
        <w:gridCol w:w="7366"/>
        <w:gridCol w:w="1843"/>
      </w:tblGrid>
      <w:tr w:rsidR="00534BA3" w:rsidRPr="00551A30" w14:paraId="40F6F679" w14:textId="77777777" w:rsidTr="732A479B">
        <w:trPr>
          <w:trHeight w:val="290"/>
          <w:tblHeader/>
        </w:trPr>
        <w:tc>
          <w:tcPr>
            <w:tcW w:w="7366" w:type="dxa"/>
            <w:tcBorders>
              <w:top w:val="single" w:sz="4" w:space="0" w:color="auto"/>
              <w:left w:val="single" w:sz="4" w:space="0" w:color="auto"/>
              <w:bottom w:val="single" w:sz="4" w:space="0" w:color="auto"/>
              <w:right w:val="single" w:sz="4" w:space="0" w:color="auto"/>
            </w:tcBorders>
            <w:shd w:val="clear" w:color="auto" w:fill="00B0F0"/>
            <w:noWrap/>
            <w:vAlign w:val="center"/>
            <w:hideMark/>
          </w:tcPr>
          <w:p w14:paraId="0CDF3D00" w14:textId="77777777" w:rsidR="00534BA3" w:rsidRPr="00551A30" w:rsidRDefault="00534BA3" w:rsidP="00E7574D">
            <w:pPr>
              <w:spacing w:after="0"/>
              <w:rPr>
                <w:rFonts w:eastAsia="Times New Roman"/>
                <w:b/>
                <w:bCs/>
                <w:color w:val="000000"/>
                <w:sz w:val="20"/>
                <w:szCs w:val="20"/>
              </w:rPr>
            </w:pPr>
            <w:r w:rsidRPr="00551A30">
              <w:rPr>
                <w:rFonts w:eastAsia="Times New Roman"/>
                <w:b/>
                <w:bCs/>
                <w:color w:val="000000"/>
                <w:sz w:val="20"/>
                <w:szCs w:val="20"/>
              </w:rPr>
              <w:t>Project Name</w:t>
            </w:r>
          </w:p>
        </w:tc>
        <w:tc>
          <w:tcPr>
            <w:tcW w:w="1843" w:type="dxa"/>
            <w:tcBorders>
              <w:top w:val="single" w:sz="4" w:space="0" w:color="auto"/>
              <w:left w:val="nil"/>
              <w:bottom w:val="single" w:sz="4" w:space="0" w:color="auto"/>
              <w:right w:val="single" w:sz="4" w:space="0" w:color="auto"/>
            </w:tcBorders>
            <w:shd w:val="clear" w:color="auto" w:fill="00B0F0"/>
            <w:noWrap/>
            <w:vAlign w:val="center"/>
            <w:hideMark/>
          </w:tcPr>
          <w:p w14:paraId="6B33E577" w14:textId="7197F7F8" w:rsidR="00534BA3" w:rsidRPr="00551A30" w:rsidRDefault="00534BA3" w:rsidP="732A479B">
            <w:pPr>
              <w:spacing w:after="0"/>
              <w:jc w:val="right"/>
              <w:rPr>
                <w:rFonts w:eastAsia="Times New Roman"/>
                <w:b/>
                <w:bCs/>
                <w:i/>
                <w:iCs/>
                <w:color w:val="000000"/>
                <w:sz w:val="20"/>
                <w:szCs w:val="20"/>
              </w:rPr>
            </w:pPr>
            <w:r w:rsidRPr="732A479B">
              <w:rPr>
                <w:rFonts w:eastAsia="Times New Roman"/>
                <w:b/>
                <w:bCs/>
                <w:color w:val="000000" w:themeColor="text1"/>
                <w:sz w:val="20"/>
                <w:szCs w:val="20"/>
              </w:rPr>
              <w:t>Total 2024/25</w:t>
            </w:r>
          </w:p>
        </w:tc>
      </w:tr>
      <w:tr w:rsidR="00534BA3" w:rsidRPr="00551A30" w14:paraId="37922C5C" w14:textId="77777777" w:rsidTr="732A479B">
        <w:trPr>
          <w:trHeight w:val="290"/>
        </w:trPr>
        <w:tc>
          <w:tcPr>
            <w:tcW w:w="7366" w:type="dxa"/>
            <w:tcBorders>
              <w:top w:val="nil"/>
              <w:left w:val="single" w:sz="4" w:space="0" w:color="auto"/>
              <w:bottom w:val="single" w:sz="4" w:space="0" w:color="auto"/>
              <w:right w:val="single" w:sz="4" w:space="0" w:color="auto"/>
            </w:tcBorders>
            <w:noWrap/>
            <w:vAlign w:val="center"/>
            <w:hideMark/>
          </w:tcPr>
          <w:p w14:paraId="5D5A5DB1" w14:textId="77777777" w:rsidR="00534BA3" w:rsidRPr="00551A30" w:rsidRDefault="00534BA3" w:rsidP="00E7574D">
            <w:pPr>
              <w:spacing w:after="0"/>
              <w:rPr>
                <w:rFonts w:eastAsia="Times New Roman"/>
                <w:color w:val="000000"/>
                <w:sz w:val="20"/>
                <w:szCs w:val="20"/>
              </w:rPr>
            </w:pPr>
            <w:r w:rsidRPr="00551A30">
              <w:rPr>
                <w:rFonts w:eastAsia="Times New Roman"/>
                <w:color w:val="000000"/>
                <w:sz w:val="20"/>
                <w:szCs w:val="20"/>
              </w:rPr>
              <w:t>Wood Wharf Expansion</w:t>
            </w:r>
          </w:p>
        </w:tc>
        <w:tc>
          <w:tcPr>
            <w:tcW w:w="1843" w:type="dxa"/>
            <w:tcBorders>
              <w:top w:val="nil"/>
              <w:left w:val="nil"/>
              <w:bottom w:val="single" w:sz="4" w:space="0" w:color="auto"/>
              <w:right w:val="single" w:sz="4" w:space="0" w:color="auto"/>
            </w:tcBorders>
            <w:noWrap/>
            <w:vAlign w:val="center"/>
            <w:hideMark/>
          </w:tcPr>
          <w:p w14:paraId="6EC9320E" w14:textId="77777777" w:rsidR="00534BA3" w:rsidRPr="00BC400B" w:rsidRDefault="00534BA3" w:rsidP="00E7574D">
            <w:pPr>
              <w:spacing w:after="0"/>
              <w:jc w:val="right"/>
              <w:rPr>
                <w:rFonts w:eastAsia="Times New Roman"/>
                <w:color w:val="000000"/>
                <w:sz w:val="20"/>
                <w:szCs w:val="20"/>
              </w:rPr>
            </w:pPr>
            <w:r w:rsidRPr="00BC400B">
              <w:rPr>
                <w:rFonts w:eastAsia="Times New Roman"/>
                <w:color w:val="000000"/>
                <w:sz w:val="20"/>
                <w:szCs w:val="20"/>
              </w:rPr>
              <w:t>£854,268</w:t>
            </w:r>
          </w:p>
        </w:tc>
      </w:tr>
      <w:tr w:rsidR="00534BA3" w:rsidRPr="00551A30" w14:paraId="1BA6E7E4" w14:textId="77777777" w:rsidTr="732A479B">
        <w:trPr>
          <w:trHeight w:val="290"/>
        </w:trPr>
        <w:tc>
          <w:tcPr>
            <w:tcW w:w="7366" w:type="dxa"/>
            <w:tcBorders>
              <w:top w:val="nil"/>
              <w:left w:val="single" w:sz="4" w:space="0" w:color="auto"/>
              <w:bottom w:val="single" w:sz="4" w:space="0" w:color="auto"/>
              <w:right w:val="single" w:sz="4" w:space="0" w:color="auto"/>
            </w:tcBorders>
            <w:noWrap/>
            <w:vAlign w:val="center"/>
            <w:hideMark/>
          </w:tcPr>
          <w:p w14:paraId="7DBCA733" w14:textId="77777777" w:rsidR="00534BA3" w:rsidRPr="00551A30" w:rsidRDefault="00534BA3" w:rsidP="00E7574D">
            <w:pPr>
              <w:spacing w:after="0"/>
              <w:rPr>
                <w:rFonts w:eastAsia="Times New Roman"/>
                <w:color w:val="000000"/>
                <w:sz w:val="20"/>
                <w:szCs w:val="20"/>
              </w:rPr>
            </w:pPr>
            <w:r w:rsidRPr="00551A30">
              <w:rPr>
                <w:rFonts w:eastAsia="Times New Roman"/>
                <w:color w:val="000000"/>
                <w:sz w:val="20"/>
                <w:szCs w:val="20"/>
              </w:rPr>
              <w:t>Youth Provision Phase 2</w:t>
            </w:r>
          </w:p>
        </w:tc>
        <w:tc>
          <w:tcPr>
            <w:tcW w:w="1843" w:type="dxa"/>
            <w:tcBorders>
              <w:top w:val="nil"/>
              <w:left w:val="nil"/>
              <w:bottom w:val="single" w:sz="4" w:space="0" w:color="auto"/>
              <w:right w:val="single" w:sz="4" w:space="0" w:color="auto"/>
            </w:tcBorders>
            <w:noWrap/>
            <w:vAlign w:val="center"/>
            <w:hideMark/>
          </w:tcPr>
          <w:p w14:paraId="4967514E" w14:textId="77777777" w:rsidR="00534BA3" w:rsidRPr="00BC400B" w:rsidRDefault="00534BA3" w:rsidP="00E7574D">
            <w:pPr>
              <w:spacing w:after="0"/>
              <w:jc w:val="right"/>
              <w:rPr>
                <w:rFonts w:eastAsia="Times New Roman"/>
                <w:color w:val="000000"/>
                <w:sz w:val="20"/>
                <w:szCs w:val="20"/>
              </w:rPr>
            </w:pPr>
            <w:r w:rsidRPr="00BC400B">
              <w:rPr>
                <w:rFonts w:eastAsia="Times New Roman"/>
                <w:color w:val="000000"/>
                <w:sz w:val="20"/>
                <w:szCs w:val="20"/>
              </w:rPr>
              <w:t>£483,655</w:t>
            </w:r>
          </w:p>
        </w:tc>
      </w:tr>
      <w:tr w:rsidR="00534BA3" w:rsidRPr="00551A30" w14:paraId="06D24E32" w14:textId="77777777" w:rsidTr="732A479B">
        <w:trPr>
          <w:trHeight w:val="290"/>
        </w:trPr>
        <w:tc>
          <w:tcPr>
            <w:tcW w:w="7366" w:type="dxa"/>
            <w:tcBorders>
              <w:top w:val="nil"/>
              <w:left w:val="single" w:sz="4" w:space="0" w:color="auto"/>
              <w:bottom w:val="single" w:sz="4" w:space="0" w:color="auto"/>
              <w:right w:val="single" w:sz="4" w:space="0" w:color="auto"/>
            </w:tcBorders>
            <w:noWrap/>
            <w:vAlign w:val="center"/>
            <w:hideMark/>
          </w:tcPr>
          <w:p w14:paraId="6D1AE566" w14:textId="77777777" w:rsidR="00534BA3" w:rsidRPr="00551A30" w:rsidRDefault="00534BA3" w:rsidP="00E7574D">
            <w:pPr>
              <w:spacing w:after="0"/>
              <w:rPr>
                <w:rFonts w:eastAsia="Times New Roman"/>
                <w:color w:val="000000"/>
                <w:sz w:val="20"/>
                <w:szCs w:val="20"/>
              </w:rPr>
            </w:pPr>
            <w:r w:rsidRPr="00551A30">
              <w:rPr>
                <w:rFonts w:eastAsia="Times New Roman"/>
                <w:color w:val="000000"/>
                <w:sz w:val="20"/>
                <w:szCs w:val="20"/>
              </w:rPr>
              <w:t>Secondary Schools Kitchen Equipment</w:t>
            </w:r>
          </w:p>
        </w:tc>
        <w:tc>
          <w:tcPr>
            <w:tcW w:w="1843" w:type="dxa"/>
            <w:tcBorders>
              <w:top w:val="nil"/>
              <w:left w:val="nil"/>
              <w:bottom w:val="single" w:sz="4" w:space="0" w:color="auto"/>
              <w:right w:val="single" w:sz="4" w:space="0" w:color="auto"/>
            </w:tcBorders>
            <w:noWrap/>
            <w:vAlign w:val="center"/>
            <w:hideMark/>
          </w:tcPr>
          <w:p w14:paraId="3BDF7683" w14:textId="77777777" w:rsidR="00534BA3" w:rsidRPr="00BC400B" w:rsidRDefault="00534BA3" w:rsidP="00E7574D">
            <w:pPr>
              <w:spacing w:after="0"/>
              <w:jc w:val="right"/>
              <w:rPr>
                <w:rFonts w:eastAsia="Times New Roman"/>
                <w:color w:val="000000"/>
                <w:sz w:val="20"/>
                <w:szCs w:val="20"/>
              </w:rPr>
            </w:pPr>
            <w:r w:rsidRPr="00BC400B">
              <w:rPr>
                <w:rFonts w:eastAsia="Times New Roman"/>
                <w:color w:val="000000"/>
                <w:sz w:val="20"/>
                <w:szCs w:val="20"/>
              </w:rPr>
              <w:t>£48,391</w:t>
            </w:r>
          </w:p>
        </w:tc>
      </w:tr>
      <w:tr w:rsidR="00534BA3" w:rsidRPr="00551A30" w14:paraId="3D19EC56" w14:textId="77777777" w:rsidTr="732A479B">
        <w:trPr>
          <w:trHeight w:val="290"/>
        </w:trPr>
        <w:tc>
          <w:tcPr>
            <w:tcW w:w="7366" w:type="dxa"/>
            <w:tcBorders>
              <w:top w:val="nil"/>
              <w:left w:val="single" w:sz="4" w:space="0" w:color="auto"/>
              <w:bottom w:val="single" w:sz="4" w:space="0" w:color="auto"/>
              <w:right w:val="single" w:sz="4" w:space="0" w:color="auto"/>
            </w:tcBorders>
            <w:noWrap/>
            <w:vAlign w:val="center"/>
            <w:hideMark/>
          </w:tcPr>
          <w:p w14:paraId="4D0E7608" w14:textId="77777777" w:rsidR="00534BA3" w:rsidRPr="00551A30" w:rsidRDefault="00534BA3" w:rsidP="00E7574D">
            <w:pPr>
              <w:spacing w:after="0"/>
              <w:rPr>
                <w:rFonts w:eastAsia="Times New Roman"/>
                <w:color w:val="000000"/>
                <w:sz w:val="20"/>
                <w:szCs w:val="20"/>
              </w:rPr>
            </w:pPr>
            <w:r w:rsidRPr="00551A30">
              <w:rPr>
                <w:rFonts w:eastAsia="Times New Roman"/>
                <w:color w:val="000000"/>
                <w:sz w:val="20"/>
                <w:szCs w:val="20"/>
              </w:rPr>
              <w:t>Poplar Baths Gaming Pitch</w:t>
            </w:r>
          </w:p>
        </w:tc>
        <w:tc>
          <w:tcPr>
            <w:tcW w:w="1843" w:type="dxa"/>
            <w:tcBorders>
              <w:top w:val="nil"/>
              <w:left w:val="nil"/>
              <w:bottom w:val="single" w:sz="4" w:space="0" w:color="auto"/>
              <w:right w:val="single" w:sz="4" w:space="0" w:color="auto"/>
            </w:tcBorders>
            <w:noWrap/>
            <w:vAlign w:val="center"/>
            <w:hideMark/>
          </w:tcPr>
          <w:p w14:paraId="3ED2EEA4" w14:textId="77777777" w:rsidR="00534BA3" w:rsidRPr="00BC400B" w:rsidRDefault="00534BA3" w:rsidP="00E7574D">
            <w:pPr>
              <w:spacing w:after="0"/>
              <w:jc w:val="right"/>
              <w:rPr>
                <w:rFonts w:eastAsia="Times New Roman"/>
                <w:color w:val="000000"/>
                <w:sz w:val="20"/>
                <w:szCs w:val="20"/>
              </w:rPr>
            </w:pPr>
            <w:r w:rsidRPr="00BC400B">
              <w:rPr>
                <w:rFonts w:eastAsia="Times New Roman"/>
                <w:color w:val="000000"/>
                <w:sz w:val="20"/>
                <w:szCs w:val="20"/>
              </w:rPr>
              <w:t>£33,343</w:t>
            </w:r>
          </w:p>
        </w:tc>
      </w:tr>
      <w:tr w:rsidR="00534BA3" w:rsidRPr="00551A30" w14:paraId="3F048CD2" w14:textId="77777777" w:rsidTr="732A479B">
        <w:trPr>
          <w:trHeight w:val="290"/>
        </w:trPr>
        <w:tc>
          <w:tcPr>
            <w:tcW w:w="7366" w:type="dxa"/>
            <w:tcBorders>
              <w:top w:val="nil"/>
              <w:left w:val="single" w:sz="4" w:space="0" w:color="auto"/>
              <w:bottom w:val="single" w:sz="4" w:space="0" w:color="auto"/>
              <w:right w:val="single" w:sz="4" w:space="0" w:color="auto"/>
            </w:tcBorders>
            <w:noWrap/>
            <w:vAlign w:val="center"/>
            <w:hideMark/>
          </w:tcPr>
          <w:p w14:paraId="268C6228" w14:textId="77777777" w:rsidR="00534BA3" w:rsidRPr="00551A30" w:rsidRDefault="00534BA3" w:rsidP="00E7574D">
            <w:pPr>
              <w:spacing w:after="0"/>
              <w:rPr>
                <w:rFonts w:eastAsia="Times New Roman"/>
                <w:color w:val="000000"/>
                <w:sz w:val="20"/>
                <w:szCs w:val="20"/>
              </w:rPr>
            </w:pPr>
            <w:r w:rsidRPr="00551A30">
              <w:rPr>
                <w:rFonts w:eastAsia="Times New Roman"/>
                <w:color w:val="000000"/>
                <w:sz w:val="20"/>
                <w:szCs w:val="20"/>
              </w:rPr>
              <w:t>York Hall Spa</w:t>
            </w:r>
          </w:p>
        </w:tc>
        <w:tc>
          <w:tcPr>
            <w:tcW w:w="1843" w:type="dxa"/>
            <w:tcBorders>
              <w:top w:val="nil"/>
              <w:left w:val="nil"/>
              <w:bottom w:val="single" w:sz="4" w:space="0" w:color="auto"/>
              <w:right w:val="single" w:sz="4" w:space="0" w:color="auto"/>
            </w:tcBorders>
            <w:noWrap/>
            <w:vAlign w:val="center"/>
            <w:hideMark/>
          </w:tcPr>
          <w:p w14:paraId="729E53DF" w14:textId="77777777" w:rsidR="00534BA3" w:rsidRPr="00BC400B" w:rsidRDefault="00534BA3" w:rsidP="00E7574D">
            <w:pPr>
              <w:spacing w:after="0"/>
              <w:jc w:val="right"/>
              <w:rPr>
                <w:rFonts w:eastAsia="Times New Roman"/>
                <w:color w:val="000000"/>
                <w:sz w:val="20"/>
                <w:szCs w:val="20"/>
              </w:rPr>
            </w:pPr>
            <w:r w:rsidRPr="00BC400B">
              <w:rPr>
                <w:rFonts w:eastAsia="Times New Roman"/>
                <w:color w:val="000000"/>
                <w:sz w:val="20"/>
                <w:szCs w:val="20"/>
              </w:rPr>
              <w:t>£631,044</w:t>
            </w:r>
          </w:p>
        </w:tc>
      </w:tr>
      <w:tr w:rsidR="00534BA3" w:rsidRPr="00551A30" w14:paraId="3BA3E9F7" w14:textId="77777777" w:rsidTr="732A479B">
        <w:trPr>
          <w:trHeight w:val="290"/>
        </w:trPr>
        <w:tc>
          <w:tcPr>
            <w:tcW w:w="7366" w:type="dxa"/>
            <w:tcBorders>
              <w:top w:val="nil"/>
              <w:left w:val="single" w:sz="4" w:space="0" w:color="auto"/>
              <w:bottom w:val="single" w:sz="4" w:space="0" w:color="auto"/>
              <w:right w:val="single" w:sz="4" w:space="0" w:color="auto"/>
            </w:tcBorders>
            <w:noWrap/>
            <w:vAlign w:val="center"/>
            <w:hideMark/>
          </w:tcPr>
          <w:p w14:paraId="2C9B230A" w14:textId="77777777" w:rsidR="00534BA3" w:rsidRPr="00551A30" w:rsidRDefault="00534BA3" w:rsidP="00E7574D">
            <w:pPr>
              <w:spacing w:after="0"/>
              <w:rPr>
                <w:rFonts w:eastAsia="Times New Roman"/>
                <w:color w:val="000000"/>
                <w:sz w:val="20"/>
                <w:szCs w:val="20"/>
              </w:rPr>
            </w:pPr>
            <w:r w:rsidRPr="00551A30">
              <w:rPr>
                <w:rFonts w:eastAsia="Times New Roman"/>
                <w:color w:val="000000"/>
                <w:sz w:val="20"/>
                <w:szCs w:val="20"/>
              </w:rPr>
              <w:t>Victoria Park Toilet Improvements Project</w:t>
            </w:r>
          </w:p>
        </w:tc>
        <w:tc>
          <w:tcPr>
            <w:tcW w:w="1843" w:type="dxa"/>
            <w:tcBorders>
              <w:top w:val="nil"/>
              <w:left w:val="nil"/>
              <w:bottom w:val="single" w:sz="4" w:space="0" w:color="auto"/>
              <w:right w:val="single" w:sz="4" w:space="0" w:color="auto"/>
            </w:tcBorders>
            <w:noWrap/>
            <w:vAlign w:val="center"/>
            <w:hideMark/>
          </w:tcPr>
          <w:p w14:paraId="569C0CCD" w14:textId="77777777" w:rsidR="00534BA3" w:rsidRPr="00BC400B" w:rsidRDefault="00534BA3" w:rsidP="00E7574D">
            <w:pPr>
              <w:spacing w:after="0"/>
              <w:jc w:val="right"/>
              <w:rPr>
                <w:rFonts w:eastAsia="Times New Roman"/>
                <w:color w:val="000000"/>
                <w:sz w:val="20"/>
                <w:szCs w:val="20"/>
              </w:rPr>
            </w:pPr>
            <w:r w:rsidRPr="00BC400B">
              <w:rPr>
                <w:rFonts w:eastAsia="Times New Roman"/>
                <w:color w:val="000000"/>
                <w:sz w:val="20"/>
                <w:szCs w:val="20"/>
              </w:rPr>
              <w:t>£7,107</w:t>
            </w:r>
          </w:p>
        </w:tc>
      </w:tr>
      <w:tr w:rsidR="00534BA3" w:rsidRPr="00551A30" w14:paraId="7F353766" w14:textId="77777777" w:rsidTr="732A479B">
        <w:trPr>
          <w:trHeight w:val="290"/>
        </w:trPr>
        <w:tc>
          <w:tcPr>
            <w:tcW w:w="7366" w:type="dxa"/>
            <w:tcBorders>
              <w:top w:val="nil"/>
              <w:left w:val="single" w:sz="4" w:space="0" w:color="auto"/>
              <w:bottom w:val="single" w:sz="4" w:space="0" w:color="auto"/>
              <w:right w:val="single" w:sz="4" w:space="0" w:color="auto"/>
            </w:tcBorders>
            <w:noWrap/>
            <w:vAlign w:val="center"/>
            <w:hideMark/>
          </w:tcPr>
          <w:p w14:paraId="1A538C3D" w14:textId="77777777" w:rsidR="00534BA3" w:rsidRPr="00551A30" w:rsidRDefault="00534BA3" w:rsidP="00E7574D">
            <w:pPr>
              <w:spacing w:after="0"/>
              <w:rPr>
                <w:rFonts w:eastAsia="Times New Roman"/>
                <w:color w:val="000000"/>
                <w:sz w:val="20"/>
                <w:szCs w:val="20"/>
              </w:rPr>
            </w:pPr>
            <w:r w:rsidRPr="00551A30">
              <w:rPr>
                <w:rFonts w:eastAsia="Times New Roman"/>
                <w:color w:val="000000"/>
                <w:sz w:val="20"/>
                <w:szCs w:val="20"/>
              </w:rPr>
              <w:t>Victoria Park Electric Charging (EV) for Ice Cream Vans</w:t>
            </w:r>
          </w:p>
        </w:tc>
        <w:tc>
          <w:tcPr>
            <w:tcW w:w="1843" w:type="dxa"/>
            <w:tcBorders>
              <w:top w:val="nil"/>
              <w:left w:val="nil"/>
              <w:bottom w:val="single" w:sz="4" w:space="0" w:color="auto"/>
              <w:right w:val="single" w:sz="4" w:space="0" w:color="auto"/>
            </w:tcBorders>
            <w:noWrap/>
            <w:vAlign w:val="center"/>
            <w:hideMark/>
          </w:tcPr>
          <w:p w14:paraId="1237BC08" w14:textId="77777777" w:rsidR="00534BA3" w:rsidRPr="00BC400B" w:rsidRDefault="00534BA3" w:rsidP="00E7574D">
            <w:pPr>
              <w:spacing w:after="0"/>
              <w:jc w:val="right"/>
              <w:rPr>
                <w:rFonts w:eastAsia="Times New Roman"/>
                <w:color w:val="000000"/>
                <w:sz w:val="20"/>
                <w:szCs w:val="20"/>
              </w:rPr>
            </w:pPr>
            <w:r w:rsidRPr="00BC400B">
              <w:rPr>
                <w:rFonts w:eastAsia="Times New Roman"/>
                <w:color w:val="000000"/>
                <w:sz w:val="20"/>
                <w:szCs w:val="20"/>
              </w:rPr>
              <w:t>£70,644</w:t>
            </w:r>
          </w:p>
        </w:tc>
      </w:tr>
      <w:tr w:rsidR="00534BA3" w:rsidRPr="00551A30" w14:paraId="5D55A4F8" w14:textId="77777777" w:rsidTr="732A479B">
        <w:trPr>
          <w:trHeight w:val="290"/>
        </w:trPr>
        <w:tc>
          <w:tcPr>
            <w:tcW w:w="7366" w:type="dxa"/>
            <w:tcBorders>
              <w:top w:val="nil"/>
              <w:left w:val="single" w:sz="4" w:space="0" w:color="auto"/>
              <w:bottom w:val="single" w:sz="4" w:space="0" w:color="auto"/>
              <w:right w:val="single" w:sz="4" w:space="0" w:color="auto"/>
            </w:tcBorders>
            <w:noWrap/>
            <w:vAlign w:val="center"/>
            <w:hideMark/>
          </w:tcPr>
          <w:p w14:paraId="379B429C" w14:textId="77777777" w:rsidR="00534BA3" w:rsidRPr="00551A30" w:rsidRDefault="00534BA3" w:rsidP="00E7574D">
            <w:pPr>
              <w:spacing w:after="0"/>
              <w:rPr>
                <w:rFonts w:eastAsia="Times New Roman"/>
                <w:color w:val="000000"/>
                <w:sz w:val="20"/>
                <w:szCs w:val="20"/>
              </w:rPr>
            </w:pPr>
            <w:r w:rsidRPr="00551A30">
              <w:rPr>
                <w:rFonts w:eastAsia="Times New Roman"/>
                <w:color w:val="000000"/>
                <w:sz w:val="20"/>
                <w:szCs w:val="20"/>
              </w:rPr>
              <w:t>Interim Depot Strategy</w:t>
            </w:r>
          </w:p>
        </w:tc>
        <w:tc>
          <w:tcPr>
            <w:tcW w:w="1843" w:type="dxa"/>
            <w:tcBorders>
              <w:top w:val="nil"/>
              <w:left w:val="nil"/>
              <w:bottom w:val="single" w:sz="4" w:space="0" w:color="auto"/>
              <w:right w:val="single" w:sz="4" w:space="0" w:color="auto"/>
            </w:tcBorders>
            <w:noWrap/>
            <w:vAlign w:val="center"/>
            <w:hideMark/>
          </w:tcPr>
          <w:p w14:paraId="5A572C91" w14:textId="77777777" w:rsidR="00534BA3" w:rsidRPr="00BC400B" w:rsidRDefault="00534BA3" w:rsidP="00E7574D">
            <w:pPr>
              <w:spacing w:after="0"/>
              <w:jc w:val="right"/>
              <w:rPr>
                <w:rFonts w:eastAsia="Times New Roman"/>
                <w:color w:val="000000"/>
                <w:sz w:val="20"/>
                <w:szCs w:val="20"/>
              </w:rPr>
            </w:pPr>
            <w:r w:rsidRPr="00BC400B">
              <w:rPr>
                <w:rFonts w:eastAsia="Times New Roman"/>
                <w:color w:val="000000"/>
                <w:sz w:val="20"/>
                <w:szCs w:val="20"/>
              </w:rPr>
              <w:t>£24,693</w:t>
            </w:r>
          </w:p>
        </w:tc>
      </w:tr>
      <w:tr w:rsidR="00534BA3" w:rsidRPr="00551A30" w14:paraId="52EDB588" w14:textId="77777777" w:rsidTr="732A479B">
        <w:trPr>
          <w:trHeight w:val="290"/>
        </w:trPr>
        <w:tc>
          <w:tcPr>
            <w:tcW w:w="7366" w:type="dxa"/>
            <w:tcBorders>
              <w:top w:val="nil"/>
              <w:left w:val="single" w:sz="4" w:space="0" w:color="auto"/>
              <w:bottom w:val="single" w:sz="4" w:space="0" w:color="auto"/>
              <w:right w:val="single" w:sz="4" w:space="0" w:color="auto"/>
            </w:tcBorders>
            <w:noWrap/>
            <w:vAlign w:val="center"/>
            <w:hideMark/>
          </w:tcPr>
          <w:p w14:paraId="39A6A652" w14:textId="77777777" w:rsidR="00534BA3" w:rsidRPr="00551A30" w:rsidRDefault="00534BA3" w:rsidP="00E7574D">
            <w:pPr>
              <w:spacing w:after="0"/>
              <w:rPr>
                <w:rFonts w:eastAsia="Times New Roman"/>
                <w:color w:val="000000"/>
                <w:sz w:val="20"/>
                <w:szCs w:val="20"/>
              </w:rPr>
            </w:pPr>
            <w:r w:rsidRPr="00551A30">
              <w:rPr>
                <w:rFonts w:eastAsia="Times New Roman"/>
                <w:color w:val="000000"/>
                <w:sz w:val="20"/>
                <w:szCs w:val="20"/>
              </w:rPr>
              <w:t>Flats Recycling Package</w:t>
            </w:r>
          </w:p>
        </w:tc>
        <w:tc>
          <w:tcPr>
            <w:tcW w:w="1843" w:type="dxa"/>
            <w:tcBorders>
              <w:top w:val="nil"/>
              <w:left w:val="nil"/>
              <w:bottom w:val="single" w:sz="4" w:space="0" w:color="auto"/>
              <w:right w:val="single" w:sz="4" w:space="0" w:color="auto"/>
            </w:tcBorders>
            <w:noWrap/>
            <w:vAlign w:val="center"/>
            <w:hideMark/>
          </w:tcPr>
          <w:p w14:paraId="494764AA" w14:textId="77777777" w:rsidR="00534BA3" w:rsidRPr="00BC400B" w:rsidRDefault="00534BA3" w:rsidP="00E7574D">
            <w:pPr>
              <w:spacing w:after="0"/>
              <w:jc w:val="right"/>
              <w:rPr>
                <w:rFonts w:eastAsia="Times New Roman"/>
                <w:color w:val="000000"/>
                <w:sz w:val="20"/>
                <w:szCs w:val="20"/>
              </w:rPr>
            </w:pPr>
            <w:r w:rsidRPr="00BC400B">
              <w:rPr>
                <w:rFonts w:eastAsia="Times New Roman"/>
                <w:color w:val="000000"/>
                <w:sz w:val="20"/>
                <w:szCs w:val="20"/>
              </w:rPr>
              <w:t>£949,451</w:t>
            </w:r>
          </w:p>
        </w:tc>
      </w:tr>
      <w:tr w:rsidR="00534BA3" w:rsidRPr="00551A30" w14:paraId="544E4F4D" w14:textId="77777777" w:rsidTr="732A479B">
        <w:trPr>
          <w:trHeight w:val="290"/>
        </w:trPr>
        <w:tc>
          <w:tcPr>
            <w:tcW w:w="7366" w:type="dxa"/>
            <w:tcBorders>
              <w:top w:val="nil"/>
              <w:left w:val="single" w:sz="4" w:space="0" w:color="auto"/>
              <w:bottom w:val="single" w:sz="4" w:space="0" w:color="auto"/>
              <w:right w:val="single" w:sz="4" w:space="0" w:color="auto"/>
            </w:tcBorders>
            <w:noWrap/>
            <w:vAlign w:val="center"/>
            <w:hideMark/>
          </w:tcPr>
          <w:p w14:paraId="045A1234" w14:textId="77777777" w:rsidR="00534BA3" w:rsidRPr="00551A30" w:rsidRDefault="00534BA3" w:rsidP="00E7574D">
            <w:pPr>
              <w:spacing w:after="0"/>
              <w:rPr>
                <w:rFonts w:eastAsia="Times New Roman"/>
                <w:color w:val="000000"/>
                <w:sz w:val="20"/>
                <w:szCs w:val="20"/>
              </w:rPr>
            </w:pPr>
            <w:r w:rsidRPr="00551A30">
              <w:rPr>
                <w:rFonts w:eastAsia="Times New Roman"/>
                <w:color w:val="000000"/>
                <w:sz w:val="20"/>
                <w:szCs w:val="20"/>
              </w:rPr>
              <w:t>Electric Waste Vehicles</w:t>
            </w:r>
          </w:p>
        </w:tc>
        <w:tc>
          <w:tcPr>
            <w:tcW w:w="1843" w:type="dxa"/>
            <w:tcBorders>
              <w:top w:val="nil"/>
              <w:left w:val="nil"/>
              <w:bottom w:val="single" w:sz="4" w:space="0" w:color="auto"/>
              <w:right w:val="single" w:sz="4" w:space="0" w:color="auto"/>
            </w:tcBorders>
            <w:noWrap/>
            <w:vAlign w:val="center"/>
            <w:hideMark/>
          </w:tcPr>
          <w:p w14:paraId="0E7908AB" w14:textId="77777777" w:rsidR="00534BA3" w:rsidRPr="00BC400B" w:rsidRDefault="00534BA3" w:rsidP="00E7574D">
            <w:pPr>
              <w:spacing w:after="0"/>
              <w:jc w:val="right"/>
              <w:rPr>
                <w:rFonts w:eastAsia="Times New Roman"/>
                <w:color w:val="000000"/>
                <w:sz w:val="20"/>
                <w:szCs w:val="20"/>
              </w:rPr>
            </w:pPr>
            <w:r w:rsidRPr="00BC400B">
              <w:rPr>
                <w:rFonts w:eastAsia="Times New Roman"/>
                <w:color w:val="000000"/>
                <w:sz w:val="20"/>
                <w:szCs w:val="20"/>
              </w:rPr>
              <w:t>£58,247</w:t>
            </w:r>
          </w:p>
        </w:tc>
      </w:tr>
      <w:tr w:rsidR="00534BA3" w:rsidRPr="00551A30" w14:paraId="48C552EA" w14:textId="77777777" w:rsidTr="732A479B">
        <w:trPr>
          <w:trHeight w:val="290"/>
        </w:trPr>
        <w:tc>
          <w:tcPr>
            <w:tcW w:w="7366" w:type="dxa"/>
            <w:tcBorders>
              <w:top w:val="nil"/>
              <w:left w:val="single" w:sz="4" w:space="0" w:color="auto"/>
              <w:bottom w:val="single" w:sz="4" w:space="0" w:color="auto"/>
              <w:right w:val="single" w:sz="4" w:space="0" w:color="auto"/>
            </w:tcBorders>
            <w:noWrap/>
            <w:vAlign w:val="center"/>
            <w:hideMark/>
          </w:tcPr>
          <w:p w14:paraId="5B452C3D" w14:textId="77777777" w:rsidR="00534BA3" w:rsidRPr="00551A30" w:rsidRDefault="00534BA3" w:rsidP="00E7574D">
            <w:pPr>
              <w:spacing w:after="0"/>
              <w:rPr>
                <w:rFonts w:eastAsia="Times New Roman"/>
                <w:color w:val="000000"/>
                <w:sz w:val="20"/>
                <w:szCs w:val="20"/>
              </w:rPr>
            </w:pPr>
            <w:r w:rsidRPr="00551A30">
              <w:rPr>
                <w:rFonts w:eastAsia="Times New Roman"/>
                <w:color w:val="000000"/>
                <w:sz w:val="20"/>
                <w:szCs w:val="20"/>
              </w:rPr>
              <w:t>Additional Rubbish and Recycling Bins</w:t>
            </w:r>
          </w:p>
        </w:tc>
        <w:tc>
          <w:tcPr>
            <w:tcW w:w="1843" w:type="dxa"/>
            <w:tcBorders>
              <w:top w:val="nil"/>
              <w:left w:val="nil"/>
              <w:bottom w:val="single" w:sz="4" w:space="0" w:color="auto"/>
              <w:right w:val="single" w:sz="4" w:space="0" w:color="auto"/>
            </w:tcBorders>
            <w:noWrap/>
            <w:vAlign w:val="center"/>
            <w:hideMark/>
          </w:tcPr>
          <w:p w14:paraId="07BF1640" w14:textId="77777777" w:rsidR="00534BA3" w:rsidRPr="00BC400B" w:rsidRDefault="00534BA3" w:rsidP="00E7574D">
            <w:pPr>
              <w:spacing w:after="0"/>
              <w:jc w:val="right"/>
              <w:rPr>
                <w:rFonts w:eastAsia="Times New Roman"/>
                <w:color w:val="000000"/>
                <w:sz w:val="20"/>
                <w:szCs w:val="20"/>
              </w:rPr>
            </w:pPr>
            <w:r w:rsidRPr="00BC400B">
              <w:rPr>
                <w:rFonts w:eastAsia="Times New Roman"/>
                <w:color w:val="000000"/>
                <w:sz w:val="20"/>
                <w:szCs w:val="20"/>
              </w:rPr>
              <w:t>£352,753</w:t>
            </w:r>
          </w:p>
        </w:tc>
      </w:tr>
      <w:tr w:rsidR="00534BA3" w:rsidRPr="00551A30" w14:paraId="4CB192CF" w14:textId="77777777" w:rsidTr="732A479B">
        <w:trPr>
          <w:trHeight w:val="290"/>
        </w:trPr>
        <w:tc>
          <w:tcPr>
            <w:tcW w:w="7366" w:type="dxa"/>
            <w:tcBorders>
              <w:top w:val="nil"/>
              <w:left w:val="single" w:sz="4" w:space="0" w:color="auto"/>
              <w:bottom w:val="single" w:sz="4" w:space="0" w:color="auto"/>
              <w:right w:val="single" w:sz="4" w:space="0" w:color="auto"/>
            </w:tcBorders>
            <w:noWrap/>
            <w:vAlign w:val="center"/>
            <w:hideMark/>
          </w:tcPr>
          <w:p w14:paraId="550AC7A7" w14:textId="77777777" w:rsidR="00534BA3" w:rsidRPr="00551A30" w:rsidRDefault="00534BA3" w:rsidP="00E7574D">
            <w:pPr>
              <w:spacing w:after="0"/>
              <w:rPr>
                <w:rFonts w:eastAsia="Times New Roman"/>
                <w:color w:val="000000"/>
                <w:sz w:val="20"/>
                <w:szCs w:val="20"/>
              </w:rPr>
            </w:pPr>
            <w:r w:rsidRPr="00551A30">
              <w:rPr>
                <w:rFonts w:eastAsia="Times New Roman"/>
                <w:color w:val="000000"/>
                <w:sz w:val="20"/>
                <w:szCs w:val="20"/>
              </w:rPr>
              <w:t>Whitechapel Road Tensile Structure</w:t>
            </w:r>
          </w:p>
        </w:tc>
        <w:tc>
          <w:tcPr>
            <w:tcW w:w="1843" w:type="dxa"/>
            <w:tcBorders>
              <w:top w:val="nil"/>
              <w:left w:val="nil"/>
              <w:bottom w:val="single" w:sz="4" w:space="0" w:color="auto"/>
              <w:right w:val="single" w:sz="4" w:space="0" w:color="auto"/>
            </w:tcBorders>
            <w:noWrap/>
            <w:vAlign w:val="center"/>
            <w:hideMark/>
          </w:tcPr>
          <w:p w14:paraId="199A3A0C" w14:textId="77777777" w:rsidR="00534BA3" w:rsidRPr="00BC400B" w:rsidRDefault="00534BA3" w:rsidP="00E7574D">
            <w:pPr>
              <w:spacing w:after="0"/>
              <w:jc w:val="right"/>
              <w:rPr>
                <w:rFonts w:eastAsia="Times New Roman"/>
                <w:color w:val="000000"/>
                <w:sz w:val="20"/>
                <w:szCs w:val="20"/>
              </w:rPr>
            </w:pPr>
            <w:r w:rsidRPr="00BC400B">
              <w:rPr>
                <w:rFonts w:eastAsia="Times New Roman"/>
                <w:color w:val="000000"/>
                <w:sz w:val="20"/>
                <w:szCs w:val="20"/>
              </w:rPr>
              <w:t>£24,050</w:t>
            </w:r>
          </w:p>
        </w:tc>
      </w:tr>
      <w:tr w:rsidR="00534BA3" w:rsidRPr="00551A30" w14:paraId="75D6576A" w14:textId="77777777" w:rsidTr="732A479B">
        <w:trPr>
          <w:trHeight w:val="290"/>
        </w:trPr>
        <w:tc>
          <w:tcPr>
            <w:tcW w:w="7366" w:type="dxa"/>
            <w:tcBorders>
              <w:top w:val="nil"/>
              <w:left w:val="single" w:sz="4" w:space="0" w:color="auto"/>
              <w:bottom w:val="single" w:sz="4" w:space="0" w:color="auto"/>
              <w:right w:val="single" w:sz="4" w:space="0" w:color="auto"/>
            </w:tcBorders>
            <w:noWrap/>
            <w:vAlign w:val="center"/>
            <w:hideMark/>
          </w:tcPr>
          <w:p w14:paraId="5359EEBB" w14:textId="77777777" w:rsidR="00534BA3" w:rsidRPr="00551A30" w:rsidRDefault="00534BA3" w:rsidP="00E7574D">
            <w:pPr>
              <w:spacing w:after="0"/>
              <w:rPr>
                <w:rFonts w:eastAsia="Times New Roman"/>
                <w:color w:val="000000"/>
                <w:sz w:val="20"/>
                <w:szCs w:val="20"/>
              </w:rPr>
            </w:pPr>
            <w:r w:rsidRPr="00551A30">
              <w:rPr>
                <w:rFonts w:eastAsia="Times New Roman"/>
                <w:color w:val="000000"/>
                <w:sz w:val="20"/>
                <w:szCs w:val="20"/>
              </w:rPr>
              <w:t>Roman Road West Regeneration Programme</w:t>
            </w:r>
          </w:p>
        </w:tc>
        <w:tc>
          <w:tcPr>
            <w:tcW w:w="1843" w:type="dxa"/>
            <w:tcBorders>
              <w:top w:val="nil"/>
              <w:left w:val="nil"/>
              <w:bottom w:val="single" w:sz="4" w:space="0" w:color="auto"/>
              <w:right w:val="single" w:sz="4" w:space="0" w:color="auto"/>
            </w:tcBorders>
            <w:noWrap/>
            <w:vAlign w:val="center"/>
            <w:hideMark/>
          </w:tcPr>
          <w:p w14:paraId="3C286C7A" w14:textId="77777777" w:rsidR="00534BA3" w:rsidRPr="00BC400B" w:rsidRDefault="00534BA3" w:rsidP="00E7574D">
            <w:pPr>
              <w:spacing w:after="0"/>
              <w:jc w:val="right"/>
              <w:rPr>
                <w:rFonts w:eastAsia="Times New Roman"/>
                <w:color w:val="000000"/>
                <w:sz w:val="20"/>
                <w:szCs w:val="20"/>
              </w:rPr>
            </w:pPr>
            <w:r w:rsidRPr="00BC400B">
              <w:rPr>
                <w:rFonts w:eastAsia="Times New Roman"/>
                <w:color w:val="000000"/>
                <w:sz w:val="20"/>
                <w:szCs w:val="20"/>
              </w:rPr>
              <w:t>£124,765</w:t>
            </w:r>
          </w:p>
        </w:tc>
      </w:tr>
      <w:tr w:rsidR="00534BA3" w:rsidRPr="00551A30" w14:paraId="7BE3E826" w14:textId="77777777" w:rsidTr="732A479B">
        <w:trPr>
          <w:trHeight w:val="290"/>
        </w:trPr>
        <w:tc>
          <w:tcPr>
            <w:tcW w:w="7366" w:type="dxa"/>
            <w:tcBorders>
              <w:top w:val="nil"/>
              <w:left w:val="single" w:sz="4" w:space="0" w:color="auto"/>
              <w:bottom w:val="single" w:sz="4" w:space="0" w:color="auto"/>
              <w:right w:val="single" w:sz="4" w:space="0" w:color="auto"/>
            </w:tcBorders>
            <w:noWrap/>
            <w:vAlign w:val="center"/>
            <w:hideMark/>
          </w:tcPr>
          <w:p w14:paraId="3AE46835" w14:textId="77777777" w:rsidR="00534BA3" w:rsidRPr="00551A30" w:rsidRDefault="00534BA3" w:rsidP="00E7574D">
            <w:pPr>
              <w:spacing w:after="0"/>
              <w:rPr>
                <w:rFonts w:eastAsia="Times New Roman"/>
                <w:color w:val="000000"/>
                <w:sz w:val="20"/>
                <w:szCs w:val="20"/>
              </w:rPr>
            </w:pPr>
            <w:r w:rsidRPr="00551A30">
              <w:rPr>
                <w:rFonts w:eastAsia="Times New Roman"/>
                <w:color w:val="000000"/>
                <w:sz w:val="20"/>
                <w:szCs w:val="20"/>
              </w:rPr>
              <w:t>South Dock Bridge</w:t>
            </w:r>
          </w:p>
        </w:tc>
        <w:tc>
          <w:tcPr>
            <w:tcW w:w="1843" w:type="dxa"/>
            <w:tcBorders>
              <w:top w:val="nil"/>
              <w:left w:val="nil"/>
              <w:bottom w:val="single" w:sz="4" w:space="0" w:color="auto"/>
              <w:right w:val="single" w:sz="4" w:space="0" w:color="auto"/>
            </w:tcBorders>
            <w:noWrap/>
            <w:vAlign w:val="center"/>
            <w:hideMark/>
          </w:tcPr>
          <w:p w14:paraId="677E85E7" w14:textId="77777777" w:rsidR="00534BA3" w:rsidRPr="00BC400B" w:rsidRDefault="00534BA3" w:rsidP="00E7574D">
            <w:pPr>
              <w:spacing w:after="0"/>
              <w:jc w:val="right"/>
              <w:rPr>
                <w:rFonts w:eastAsia="Times New Roman"/>
                <w:color w:val="000000"/>
                <w:sz w:val="20"/>
                <w:szCs w:val="20"/>
              </w:rPr>
            </w:pPr>
            <w:r w:rsidRPr="00BC400B">
              <w:rPr>
                <w:rFonts w:eastAsia="Times New Roman"/>
                <w:color w:val="000000"/>
                <w:sz w:val="20"/>
                <w:szCs w:val="20"/>
              </w:rPr>
              <w:t>£107,720</w:t>
            </w:r>
          </w:p>
        </w:tc>
      </w:tr>
      <w:tr w:rsidR="00534BA3" w:rsidRPr="00551A30" w14:paraId="2C47DC4C" w14:textId="77777777" w:rsidTr="732A479B">
        <w:trPr>
          <w:trHeight w:val="290"/>
        </w:trPr>
        <w:tc>
          <w:tcPr>
            <w:tcW w:w="7366" w:type="dxa"/>
            <w:tcBorders>
              <w:top w:val="nil"/>
              <w:left w:val="single" w:sz="4" w:space="0" w:color="auto"/>
              <w:bottom w:val="single" w:sz="4" w:space="0" w:color="auto"/>
              <w:right w:val="single" w:sz="4" w:space="0" w:color="auto"/>
            </w:tcBorders>
            <w:noWrap/>
            <w:vAlign w:val="center"/>
            <w:hideMark/>
          </w:tcPr>
          <w:p w14:paraId="714DF5F5" w14:textId="77777777" w:rsidR="00534BA3" w:rsidRPr="00551A30" w:rsidRDefault="00534BA3" w:rsidP="00E7574D">
            <w:pPr>
              <w:spacing w:after="0"/>
              <w:rPr>
                <w:rFonts w:eastAsia="Times New Roman"/>
                <w:color w:val="000000"/>
                <w:sz w:val="20"/>
                <w:szCs w:val="20"/>
              </w:rPr>
            </w:pPr>
            <w:r w:rsidRPr="00551A30">
              <w:rPr>
                <w:rFonts w:eastAsia="Times New Roman"/>
                <w:color w:val="000000"/>
                <w:sz w:val="20"/>
                <w:szCs w:val="20"/>
              </w:rPr>
              <w:t>St Georges Town Hall Refurbishment Programme (initial requirement)</w:t>
            </w:r>
          </w:p>
        </w:tc>
        <w:tc>
          <w:tcPr>
            <w:tcW w:w="1843" w:type="dxa"/>
            <w:tcBorders>
              <w:top w:val="nil"/>
              <w:left w:val="nil"/>
              <w:bottom w:val="single" w:sz="4" w:space="0" w:color="auto"/>
              <w:right w:val="single" w:sz="4" w:space="0" w:color="auto"/>
            </w:tcBorders>
            <w:noWrap/>
            <w:vAlign w:val="center"/>
            <w:hideMark/>
          </w:tcPr>
          <w:p w14:paraId="56E1B775" w14:textId="77777777" w:rsidR="00534BA3" w:rsidRPr="00BC400B" w:rsidRDefault="00534BA3" w:rsidP="00E7574D">
            <w:pPr>
              <w:spacing w:after="0"/>
              <w:jc w:val="right"/>
              <w:rPr>
                <w:rFonts w:eastAsia="Times New Roman"/>
                <w:color w:val="000000"/>
                <w:sz w:val="20"/>
                <w:szCs w:val="20"/>
              </w:rPr>
            </w:pPr>
            <w:r w:rsidRPr="00BC400B">
              <w:rPr>
                <w:rFonts w:eastAsia="Times New Roman"/>
                <w:color w:val="000000"/>
                <w:sz w:val="20"/>
                <w:szCs w:val="20"/>
              </w:rPr>
              <w:t>£3,716</w:t>
            </w:r>
          </w:p>
        </w:tc>
      </w:tr>
      <w:tr w:rsidR="00534BA3" w:rsidRPr="00551A30" w14:paraId="39DCEB7B" w14:textId="77777777" w:rsidTr="732A479B">
        <w:trPr>
          <w:trHeight w:val="290"/>
        </w:trPr>
        <w:tc>
          <w:tcPr>
            <w:tcW w:w="7366" w:type="dxa"/>
            <w:tcBorders>
              <w:top w:val="nil"/>
              <w:left w:val="single" w:sz="4" w:space="0" w:color="auto"/>
              <w:bottom w:val="single" w:sz="4" w:space="0" w:color="auto"/>
              <w:right w:val="single" w:sz="4" w:space="0" w:color="auto"/>
            </w:tcBorders>
            <w:noWrap/>
            <w:vAlign w:val="center"/>
            <w:hideMark/>
          </w:tcPr>
          <w:p w14:paraId="5BDB0C73" w14:textId="77777777" w:rsidR="00534BA3" w:rsidRPr="00551A30" w:rsidRDefault="00534BA3" w:rsidP="00E7574D">
            <w:pPr>
              <w:spacing w:after="0"/>
              <w:rPr>
                <w:rFonts w:eastAsia="Times New Roman"/>
                <w:color w:val="000000"/>
                <w:sz w:val="20"/>
                <w:szCs w:val="20"/>
              </w:rPr>
            </w:pPr>
            <w:r w:rsidRPr="00551A30">
              <w:rPr>
                <w:rFonts w:eastAsia="Times New Roman"/>
                <w:color w:val="000000"/>
                <w:sz w:val="20"/>
                <w:szCs w:val="20"/>
              </w:rPr>
              <w:t>Artichoke Pub Site</w:t>
            </w:r>
          </w:p>
        </w:tc>
        <w:tc>
          <w:tcPr>
            <w:tcW w:w="1843" w:type="dxa"/>
            <w:tcBorders>
              <w:top w:val="nil"/>
              <w:left w:val="nil"/>
              <w:bottom w:val="single" w:sz="4" w:space="0" w:color="auto"/>
              <w:right w:val="single" w:sz="4" w:space="0" w:color="auto"/>
            </w:tcBorders>
            <w:noWrap/>
            <w:vAlign w:val="center"/>
            <w:hideMark/>
          </w:tcPr>
          <w:p w14:paraId="7D79847F" w14:textId="77777777" w:rsidR="00534BA3" w:rsidRPr="00BC400B" w:rsidRDefault="00534BA3" w:rsidP="00E7574D">
            <w:pPr>
              <w:spacing w:after="0"/>
              <w:jc w:val="right"/>
              <w:rPr>
                <w:rFonts w:eastAsia="Times New Roman"/>
                <w:color w:val="000000"/>
                <w:sz w:val="20"/>
                <w:szCs w:val="20"/>
              </w:rPr>
            </w:pPr>
            <w:r w:rsidRPr="00BC400B">
              <w:rPr>
                <w:rFonts w:eastAsia="Times New Roman"/>
                <w:color w:val="000000"/>
                <w:sz w:val="20"/>
                <w:szCs w:val="20"/>
              </w:rPr>
              <w:t>£3,195</w:t>
            </w:r>
          </w:p>
        </w:tc>
      </w:tr>
      <w:tr w:rsidR="00534BA3" w:rsidRPr="00551A30" w14:paraId="22D1779C" w14:textId="77777777" w:rsidTr="732A479B">
        <w:trPr>
          <w:trHeight w:val="290"/>
        </w:trPr>
        <w:tc>
          <w:tcPr>
            <w:tcW w:w="7366" w:type="dxa"/>
            <w:tcBorders>
              <w:top w:val="nil"/>
              <w:left w:val="single" w:sz="4" w:space="0" w:color="auto"/>
              <w:bottom w:val="single" w:sz="4" w:space="0" w:color="auto"/>
              <w:right w:val="single" w:sz="4" w:space="0" w:color="auto"/>
            </w:tcBorders>
            <w:noWrap/>
            <w:vAlign w:val="center"/>
            <w:hideMark/>
          </w:tcPr>
          <w:p w14:paraId="6B42A486" w14:textId="77777777" w:rsidR="00534BA3" w:rsidRPr="00551A30" w:rsidRDefault="00534BA3" w:rsidP="00E7574D">
            <w:pPr>
              <w:spacing w:after="0"/>
              <w:rPr>
                <w:rFonts w:eastAsia="Times New Roman"/>
                <w:color w:val="000000"/>
                <w:sz w:val="20"/>
                <w:szCs w:val="20"/>
              </w:rPr>
            </w:pPr>
            <w:r w:rsidRPr="00551A30">
              <w:rPr>
                <w:rFonts w:eastAsia="Times New Roman"/>
                <w:color w:val="000000"/>
                <w:sz w:val="20"/>
                <w:szCs w:val="20"/>
              </w:rPr>
              <w:lastRenderedPageBreak/>
              <w:t>Cubitt Town Library Feasibility</w:t>
            </w:r>
          </w:p>
        </w:tc>
        <w:tc>
          <w:tcPr>
            <w:tcW w:w="1843" w:type="dxa"/>
            <w:tcBorders>
              <w:top w:val="nil"/>
              <w:left w:val="nil"/>
              <w:bottom w:val="single" w:sz="4" w:space="0" w:color="auto"/>
              <w:right w:val="single" w:sz="4" w:space="0" w:color="auto"/>
            </w:tcBorders>
            <w:noWrap/>
            <w:vAlign w:val="center"/>
            <w:hideMark/>
          </w:tcPr>
          <w:p w14:paraId="76AE9686" w14:textId="77777777" w:rsidR="00534BA3" w:rsidRPr="00BC400B" w:rsidRDefault="00534BA3" w:rsidP="00E7574D">
            <w:pPr>
              <w:spacing w:after="0"/>
              <w:jc w:val="right"/>
              <w:rPr>
                <w:rFonts w:eastAsia="Times New Roman"/>
                <w:color w:val="000000"/>
                <w:sz w:val="20"/>
                <w:szCs w:val="20"/>
              </w:rPr>
            </w:pPr>
            <w:r w:rsidRPr="00BC400B">
              <w:rPr>
                <w:rFonts w:eastAsia="Times New Roman"/>
                <w:color w:val="000000"/>
                <w:sz w:val="20"/>
                <w:szCs w:val="20"/>
              </w:rPr>
              <w:t>£754</w:t>
            </w:r>
          </w:p>
        </w:tc>
      </w:tr>
      <w:tr w:rsidR="00534BA3" w:rsidRPr="00551A30" w14:paraId="25100A1A" w14:textId="77777777" w:rsidTr="732A479B">
        <w:trPr>
          <w:trHeight w:val="290"/>
        </w:trPr>
        <w:tc>
          <w:tcPr>
            <w:tcW w:w="7366" w:type="dxa"/>
            <w:tcBorders>
              <w:top w:val="nil"/>
              <w:left w:val="single" w:sz="4" w:space="0" w:color="auto"/>
              <w:bottom w:val="single" w:sz="4" w:space="0" w:color="auto"/>
              <w:right w:val="single" w:sz="4" w:space="0" w:color="auto"/>
            </w:tcBorders>
            <w:noWrap/>
            <w:vAlign w:val="center"/>
            <w:hideMark/>
          </w:tcPr>
          <w:p w14:paraId="58E668EC" w14:textId="77777777" w:rsidR="00534BA3" w:rsidRPr="00551A30" w:rsidRDefault="00534BA3" w:rsidP="00E7574D">
            <w:pPr>
              <w:spacing w:after="0"/>
              <w:rPr>
                <w:rFonts w:eastAsia="Times New Roman"/>
                <w:color w:val="000000"/>
                <w:sz w:val="20"/>
                <w:szCs w:val="20"/>
              </w:rPr>
            </w:pPr>
            <w:r w:rsidRPr="00551A30">
              <w:rPr>
                <w:rFonts w:eastAsia="Times New Roman"/>
                <w:color w:val="000000"/>
                <w:sz w:val="20"/>
                <w:szCs w:val="20"/>
              </w:rPr>
              <w:t>Montefiore Centre Refurbishment Programme (initial requirement)</w:t>
            </w:r>
          </w:p>
        </w:tc>
        <w:tc>
          <w:tcPr>
            <w:tcW w:w="1843" w:type="dxa"/>
            <w:tcBorders>
              <w:top w:val="nil"/>
              <w:left w:val="nil"/>
              <w:bottom w:val="single" w:sz="4" w:space="0" w:color="auto"/>
              <w:right w:val="single" w:sz="4" w:space="0" w:color="auto"/>
            </w:tcBorders>
            <w:noWrap/>
            <w:vAlign w:val="center"/>
            <w:hideMark/>
          </w:tcPr>
          <w:p w14:paraId="1A5409FE" w14:textId="77777777" w:rsidR="00534BA3" w:rsidRPr="00BC400B" w:rsidRDefault="00534BA3" w:rsidP="00E7574D">
            <w:pPr>
              <w:spacing w:after="0"/>
              <w:jc w:val="right"/>
              <w:rPr>
                <w:rFonts w:eastAsia="Times New Roman"/>
                <w:color w:val="000000"/>
                <w:sz w:val="20"/>
                <w:szCs w:val="20"/>
              </w:rPr>
            </w:pPr>
            <w:r w:rsidRPr="00BC400B">
              <w:rPr>
                <w:rFonts w:eastAsia="Times New Roman"/>
                <w:color w:val="000000"/>
                <w:sz w:val="20"/>
                <w:szCs w:val="20"/>
              </w:rPr>
              <w:t>£254</w:t>
            </w:r>
          </w:p>
        </w:tc>
      </w:tr>
      <w:tr w:rsidR="00534BA3" w:rsidRPr="00551A30" w14:paraId="07F10B14" w14:textId="77777777" w:rsidTr="732A479B">
        <w:trPr>
          <w:trHeight w:val="290"/>
        </w:trPr>
        <w:tc>
          <w:tcPr>
            <w:tcW w:w="7366" w:type="dxa"/>
            <w:tcBorders>
              <w:top w:val="nil"/>
              <w:left w:val="single" w:sz="4" w:space="0" w:color="auto"/>
              <w:bottom w:val="single" w:sz="4" w:space="0" w:color="auto"/>
              <w:right w:val="single" w:sz="4" w:space="0" w:color="auto"/>
            </w:tcBorders>
            <w:noWrap/>
            <w:vAlign w:val="center"/>
            <w:hideMark/>
          </w:tcPr>
          <w:p w14:paraId="73603D17" w14:textId="77777777" w:rsidR="00534BA3" w:rsidRPr="00551A30" w:rsidRDefault="00534BA3" w:rsidP="00E7574D">
            <w:pPr>
              <w:spacing w:after="0"/>
              <w:rPr>
                <w:rFonts w:eastAsia="Times New Roman"/>
                <w:color w:val="000000"/>
                <w:sz w:val="20"/>
                <w:szCs w:val="20"/>
              </w:rPr>
            </w:pPr>
            <w:r w:rsidRPr="00551A30">
              <w:rPr>
                <w:rFonts w:eastAsia="Times New Roman"/>
                <w:color w:val="000000"/>
                <w:sz w:val="20"/>
                <w:szCs w:val="20"/>
              </w:rPr>
              <w:t>Public Realm Improvement New Town Hall</w:t>
            </w:r>
          </w:p>
        </w:tc>
        <w:tc>
          <w:tcPr>
            <w:tcW w:w="1843" w:type="dxa"/>
            <w:tcBorders>
              <w:top w:val="nil"/>
              <w:left w:val="nil"/>
              <w:bottom w:val="single" w:sz="4" w:space="0" w:color="auto"/>
              <w:right w:val="single" w:sz="4" w:space="0" w:color="auto"/>
            </w:tcBorders>
            <w:noWrap/>
            <w:vAlign w:val="center"/>
            <w:hideMark/>
          </w:tcPr>
          <w:p w14:paraId="4E149DA8" w14:textId="77777777" w:rsidR="00534BA3" w:rsidRPr="00BC400B" w:rsidRDefault="00534BA3" w:rsidP="00E7574D">
            <w:pPr>
              <w:spacing w:after="0"/>
              <w:jc w:val="right"/>
              <w:rPr>
                <w:rFonts w:eastAsia="Times New Roman"/>
                <w:color w:val="000000"/>
                <w:sz w:val="20"/>
                <w:szCs w:val="20"/>
              </w:rPr>
            </w:pPr>
            <w:r w:rsidRPr="00BC400B">
              <w:rPr>
                <w:rFonts w:eastAsia="Times New Roman"/>
                <w:color w:val="000000"/>
                <w:sz w:val="20"/>
                <w:szCs w:val="20"/>
              </w:rPr>
              <w:t>£8,671</w:t>
            </w:r>
          </w:p>
        </w:tc>
      </w:tr>
      <w:tr w:rsidR="00534BA3" w:rsidRPr="00551A30" w14:paraId="0801B5FB" w14:textId="77777777" w:rsidTr="732A479B">
        <w:trPr>
          <w:trHeight w:val="290"/>
        </w:trPr>
        <w:tc>
          <w:tcPr>
            <w:tcW w:w="7366" w:type="dxa"/>
            <w:tcBorders>
              <w:top w:val="nil"/>
              <w:left w:val="single" w:sz="4" w:space="0" w:color="auto"/>
              <w:bottom w:val="single" w:sz="4" w:space="0" w:color="auto"/>
              <w:right w:val="single" w:sz="4" w:space="0" w:color="auto"/>
            </w:tcBorders>
            <w:noWrap/>
            <w:vAlign w:val="center"/>
            <w:hideMark/>
          </w:tcPr>
          <w:p w14:paraId="4542B7F6" w14:textId="77777777" w:rsidR="00534BA3" w:rsidRPr="00551A30" w:rsidRDefault="00534BA3" w:rsidP="00E7574D">
            <w:pPr>
              <w:spacing w:after="0"/>
              <w:rPr>
                <w:rFonts w:eastAsia="Times New Roman"/>
                <w:color w:val="000000"/>
                <w:sz w:val="20"/>
                <w:szCs w:val="20"/>
              </w:rPr>
            </w:pPr>
            <w:r w:rsidRPr="00551A30">
              <w:rPr>
                <w:rFonts w:eastAsia="Times New Roman"/>
                <w:color w:val="000000"/>
                <w:sz w:val="20"/>
                <w:szCs w:val="20"/>
              </w:rPr>
              <w:t>Shapla Conversion to Offices</w:t>
            </w:r>
          </w:p>
        </w:tc>
        <w:tc>
          <w:tcPr>
            <w:tcW w:w="1843" w:type="dxa"/>
            <w:tcBorders>
              <w:top w:val="nil"/>
              <w:left w:val="nil"/>
              <w:bottom w:val="single" w:sz="4" w:space="0" w:color="auto"/>
              <w:right w:val="single" w:sz="4" w:space="0" w:color="auto"/>
            </w:tcBorders>
            <w:noWrap/>
            <w:vAlign w:val="center"/>
            <w:hideMark/>
          </w:tcPr>
          <w:p w14:paraId="2B982CF6" w14:textId="77777777" w:rsidR="00534BA3" w:rsidRPr="00BC400B" w:rsidRDefault="00534BA3" w:rsidP="00E7574D">
            <w:pPr>
              <w:spacing w:after="0"/>
              <w:jc w:val="right"/>
              <w:rPr>
                <w:rFonts w:eastAsia="Times New Roman"/>
                <w:color w:val="000000"/>
                <w:sz w:val="20"/>
                <w:szCs w:val="20"/>
              </w:rPr>
            </w:pPr>
            <w:r w:rsidRPr="00BC400B">
              <w:rPr>
                <w:rFonts w:eastAsia="Times New Roman"/>
                <w:color w:val="000000"/>
                <w:sz w:val="20"/>
                <w:szCs w:val="20"/>
              </w:rPr>
              <w:t>£320,000</w:t>
            </w:r>
          </w:p>
        </w:tc>
      </w:tr>
      <w:tr w:rsidR="00534BA3" w:rsidRPr="00551A30" w14:paraId="7CEDBB22" w14:textId="77777777" w:rsidTr="732A479B">
        <w:trPr>
          <w:trHeight w:val="290"/>
        </w:trPr>
        <w:tc>
          <w:tcPr>
            <w:tcW w:w="7366" w:type="dxa"/>
            <w:tcBorders>
              <w:top w:val="nil"/>
              <w:left w:val="single" w:sz="4" w:space="0" w:color="auto"/>
              <w:bottom w:val="single" w:sz="4" w:space="0" w:color="auto"/>
              <w:right w:val="single" w:sz="4" w:space="0" w:color="auto"/>
            </w:tcBorders>
            <w:noWrap/>
            <w:vAlign w:val="center"/>
            <w:hideMark/>
          </w:tcPr>
          <w:p w14:paraId="44AF2524" w14:textId="77777777" w:rsidR="00534BA3" w:rsidRPr="00551A30" w:rsidRDefault="00534BA3" w:rsidP="00E7574D">
            <w:pPr>
              <w:spacing w:after="0"/>
              <w:rPr>
                <w:rFonts w:eastAsia="Times New Roman"/>
                <w:color w:val="000000"/>
                <w:sz w:val="20"/>
                <w:szCs w:val="20"/>
              </w:rPr>
            </w:pPr>
            <w:r w:rsidRPr="00551A30">
              <w:rPr>
                <w:rFonts w:eastAsia="Times New Roman"/>
                <w:color w:val="000000"/>
                <w:sz w:val="20"/>
                <w:szCs w:val="20"/>
              </w:rPr>
              <w:t>Sewardstone Road Adult Social Care</w:t>
            </w:r>
          </w:p>
        </w:tc>
        <w:tc>
          <w:tcPr>
            <w:tcW w:w="1843" w:type="dxa"/>
            <w:tcBorders>
              <w:top w:val="nil"/>
              <w:left w:val="nil"/>
              <w:bottom w:val="single" w:sz="4" w:space="0" w:color="auto"/>
              <w:right w:val="single" w:sz="4" w:space="0" w:color="auto"/>
            </w:tcBorders>
            <w:noWrap/>
            <w:vAlign w:val="center"/>
            <w:hideMark/>
          </w:tcPr>
          <w:p w14:paraId="0E30B072" w14:textId="77777777" w:rsidR="00534BA3" w:rsidRPr="00BC400B" w:rsidRDefault="00534BA3" w:rsidP="00E7574D">
            <w:pPr>
              <w:spacing w:after="0"/>
              <w:jc w:val="right"/>
              <w:rPr>
                <w:rFonts w:eastAsia="Times New Roman"/>
                <w:color w:val="000000"/>
                <w:sz w:val="20"/>
                <w:szCs w:val="20"/>
              </w:rPr>
            </w:pPr>
            <w:r w:rsidRPr="00BC400B">
              <w:rPr>
                <w:rFonts w:eastAsia="Times New Roman"/>
                <w:color w:val="000000"/>
                <w:sz w:val="20"/>
                <w:szCs w:val="20"/>
              </w:rPr>
              <w:t>£114,000</w:t>
            </w:r>
          </w:p>
        </w:tc>
      </w:tr>
      <w:tr w:rsidR="00534BA3" w:rsidRPr="00551A30" w14:paraId="76215E22" w14:textId="77777777" w:rsidTr="732A479B">
        <w:trPr>
          <w:trHeight w:val="290"/>
        </w:trPr>
        <w:tc>
          <w:tcPr>
            <w:tcW w:w="7366" w:type="dxa"/>
            <w:tcBorders>
              <w:top w:val="nil"/>
              <w:left w:val="single" w:sz="4" w:space="0" w:color="auto"/>
              <w:bottom w:val="single" w:sz="4" w:space="0" w:color="auto"/>
              <w:right w:val="single" w:sz="4" w:space="0" w:color="auto"/>
            </w:tcBorders>
            <w:noWrap/>
            <w:vAlign w:val="center"/>
            <w:hideMark/>
          </w:tcPr>
          <w:p w14:paraId="4731109F" w14:textId="77777777" w:rsidR="00534BA3" w:rsidRPr="00551A30" w:rsidRDefault="00534BA3" w:rsidP="00E7574D">
            <w:pPr>
              <w:spacing w:after="0"/>
              <w:rPr>
                <w:rFonts w:eastAsia="Times New Roman"/>
                <w:color w:val="000000"/>
                <w:sz w:val="20"/>
                <w:szCs w:val="20"/>
              </w:rPr>
            </w:pPr>
            <w:r w:rsidRPr="00551A30">
              <w:rPr>
                <w:rFonts w:eastAsia="Times New Roman"/>
                <w:color w:val="000000"/>
                <w:sz w:val="20"/>
                <w:szCs w:val="20"/>
              </w:rPr>
              <w:t>Care Technology Transformation</w:t>
            </w:r>
          </w:p>
        </w:tc>
        <w:tc>
          <w:tcPr>
            <w:tcW w:w="1843" w:type="dxa"/>
            <w:tcBorders>
              <w:top w:val="nil"/>
              <w:left w:val="nil"/>
              <w:bottom w:val="single" w:sz="4" w:space="0" w:color="auto"/>
              <w:right w:val="single" w:sz="4" w:space="0" w:color="auto"/>
            </w:tcBorders>
            <w:noWrap/>
            <w:vAlign w:val="center"/>
            <w:hideMark/>
          </w:tcPr>
          <w:p w14:paraId="4057749C" w14:textId="77777777" w:rsidR="00534BA3" w:rsidRPr="00BC400B" w:rsidRDefault="00534BA3" w:rsidP="00E7574D">
            <w:pPr>
              <w:spacing w:after="0"/>
              <w:jc w:val="right"/>
              <w:rPr>
                <w:rFonts w:eastAsia="Times New Roman"/>
                <w:color w:val="000000"/>
                <w:sz w:val="20"/>
                <w:szCs w:val="20"/>
              </w:rPr>
            </w:pPr>
            <w:r w:rsidRPr="00BC400B">
              <w:rPr>
                <w:rFonts w:eastAsia="Times New Roman"/>
                <w:color w:val="000000"/>
                <w:sz w:val="20"/>
                <w:szCs w:val="20"/>
              </w:rPr>
              <w:t>£261,207</w:t>
            </w:r>
          </w:p>
        </w:tc>
      </w:tr>
      <w:tr w:rsidR="00534BA3" w:rsidRPr="00551A30" w14:paraId="3028BB17" w14:textId="77777777" w:rsidTr="732A479B">
        <w:trPr>
          <w:trHeight w:val="290"/>
        </w:trPr>
        <w:tc>
          <w:tcPr>
            <w:tcW w:w="7366" w:type="dxa"/>
            <w:tcBorders>
              <w:top w:val="nil"/>
              <w:left w:val="single" w:sz="4" w:space="0" w:color="auto"/>
              <w:bottom w:val="single" w:sz="4" w:space="0" w:color="auto"/>
              <w:right w:val="single" w:sz="4" w:space="0" w:color="auto"/>
            </w:tcBorders>
            <w:noWrap/>
            <w:vAlign w:val="center"/>
            <w:hideMark/>
          </w:tcPr>
          <w:p w14:paraId="792539E8" w14:textId="77777777" w:rsidR="00534BA3" w:rsidRPr="00551A30" w:rsidRDefault="00534BA3" w:rsidP="00E7574D">
            <w:pPr>
              <w:spacing w:after="0"/>
              <w:rPr>
                <w:rFonts w:eastAsia="Times New Roman"/>
                <w:color w:val="000000"/>
                <w:sz w:val="20"/>
                <w:szCs w:val="20"/>
              </w:rPr>
            </w:pPr>
            <w:r w:rsidRPr="00551A30">
              <w:rPr>
                <w:rFonts w:eastAsia="Times New Roman"/>
                <w:color w:val="000000"/>
                <w:sz w:val="20"/>
                <w:szCs w:val="20"/>
              </w:rPr>
              <w:t>Culturally Sensitive Misuse Recovery Centre</w:t>
            </w:r>
          </w:p>
        </w:tc>
        <w:tc>
          <w:tcPr>
            <w:tcW w:w="1843" w:type="dxa"/>
            <w:tcBorders>
              <w:top w:val="nil"/>
              <w:left w:val="nil"/>
              <w:bottom w:val="single" w:sz="4" w:space="0" w:color="auto"/>
              <w:right w:val="single" w:sz="4" w:space="0" w:color="auto"/>
            </w:tcBorders>
            <w:noWrap/>
            <w:vAlign w:val="center"/>
            <w:hideMark/>
          </w:tcPr>
          <w:p w14:paraId="242B675A" w14:textId="77777777" w:rsidR="00534BA3" w:rsidRPr="00BC400B" w:rsidRDefault="00534BA3" w:rsidP="00E7574D">
            <w:pPr>
              <w:spacing w:after="0"/>
              <w:jc w:val="right"/>
              <w:rPr>
                <w:rFonts w:eastAsia="Times New Roman"/>
                <w:color w:val="000000"/>
                <w:sz w:val="20"/>
                <w:szCs w:val="20"/>
              </w:rPr>
            </w:pPr>
            <w:r w:rsidRPr="00BC400B">
              <w:rPr>
                <w:rFonts w:eastAsia="Times New Roman"/>
                <w:color w:val="000000"/>
                <w:sz w:val="20"/>
                <w:szCs w:val="20"/>
              </w:rPr>
              <w:t>£160,670</w:t>
            </w:r>
          </w:p>
        </w:tc>
      </w:tr>
      <w:tr w:rsidR="00534BA3" w:rsidRPr="00551A30" w14:paraId="727419D6" w14:textId="77777777" w:rsidTr="732A479B">
        <w:trPr>
          <w:trHeight w:val="290"/>
        </w:trPr>
        <w:tc>
          <w:tcPr>
            <w:tcW w:w="7366" w:type="dxa"/>
            <w:tcBorders>
              <w:top w:val="nil"/>
              <w:left w:val="single" w:sz="4" w:space="0" w:color="auto"/>
              <w:bottom w:val="single" w:sz="4" w:space="0" w:color="auto"/>
              <w:right w:val="single" w:sz="4" w:space="0" w:color="auto"/>
            </w:tcBorders>
            <w:noWrap/>
            <w:vAlign w:val="center"/>
            <w:hideMark/>
          </w:tcPr>
          <w:p w14:paraId="259E4191" w14:textId="77777777" w:rsidR="00534BA3" w:rsidRPr="00551A30" w:rsidRDefault="00534BA3" w:rsidP="00E7574D">
            <w:pPr>
              <w:spacing w:after="0"/>
              <w:rPr>
                <w:rFonts w:eastAsia="Times New Roman"/>
                <w:color w:val="000000"/>
                <w:sz w:val="20"/>
                <w:szCs w:val="20"/>
              </w:rPr>
            </w:pPr>
            <w:r w:rsidRPr="00551A30">
              <w:rPr>
                <w:rFonts w:eastAsia="Times New Roman"/>
                <w:color w:val="000000"/>
                <w:sz w:val="20"/>
                <w:szCs w:val="20"/>
              </w:rPr>
              <w:t>Transformation of CCTV System</w:t>
            </w:r>
          </w:p>
        </w:tc>
        <w:tc>
          <w:tcPr>
            <w:tcW w:w="1843" w:type="dxa"/>
            <w:tcBorders>
              <w:top w:val="nil"/>
              <w:left w:val="nil"/>
              <w:bottom w:val="single" w:sz="4" w:space="0" w:color="auto"/>
              <w:right w:val="single" w:sz="4" w:space="0" w:color="auto"/>
            </w:tcBorders>
            <w:noWrap/>
            <w:vAlign w:val="center"/>
            <w:hideMark/>
          </w:tcPr>
          <w:p w14:paraId="434613D8" w14:textId="77777777" w:rsidR="00534BA3" w:rsidRPr="00BC400B" w:rsidRDefault="00534BA3" w:rsidP="00E7574D">
            <w:pPr>
              <w:spacing w:after="0"/>
              <w:jc w:val="right"/>
              <w:rPr>
                <w:rFonts w:eastAsia="Times New Roman"/>
                <w:color w:val="000000"/>
                <w:sz w:val="20"/>
                <w:szCs w:val="20"/>
              </w:rPr>
            </w:pPr>
            <w:r w:rsidRPr="00BC400B">
              <w:rPr>
                <w:rFonts w:eastAsia="Times New Roman"/>
                <w:color w:val="000000"/>
                <w:sz w:val="20"/>
                <w:szCs w:val="20"/>
              </w:rPr>
              <w:t>£219,153</w:t>
            </w:r>
          </w:p>
        </w:tc>
      </w:tr>
      <w:tr w:rsidR="00534BA3" w:rsidRPr="00551A30" w14:paraId="6F9B933E" w14:textId="77777777" w:rsidTr="732A479B">
        <w:trPr>
          <w:trHeight w:val="290"/>
        </w:trPr>
        <w:tc>
          <w:tcPr>
            <w:tcW w:w="7366" w:type="dxa"/>
            <w:tcBorders>
              <w:top w:val="nil"/>
              <w:left w:val="single" w:sz="4" w:space="0" w:color="auto"/>
              <w:bottom w:val="single" w:sz="4" w:space="0" w:color="auto"/>
              <w:right w:val="single" w:sz="4" w:space="0" w:color="auto"/>
            </w:tcBorders>
            <w:noWrap/>
            <w:vAlign w:val="center"/>
          </w:tcPr>
          <w:p w14:paraId="6B60EE06" w14:textId="5A6E743D" w:rsidR="00534BA3" w:rsidRPr="00551A30" w:rsidRDefault="00534BA3" w:rsidP="00E7574D">
            <w:pPr>
              <w:spacing w:after="0"/>
              <w:rPr>
                <w:rFonts w:eastAsia="Times New Roman"/>
                <w:color w:val="000000"/>
                <w:sz w:val="20"/>
                <w:szCs w:val="20"/>
              </w:rPr>
            </w:pPr>
            <w:r w:rsidRPr="00551A30">
              <w:rPr>
                <w:rFonts w:eastAsia="Times New Roman"/>
                <w:color w:val="000000"/>
                <w:sz w:val="20"/>
                <w:szCs w:val="20"/>
              </w:rPr>
              <w:t>NCIL</w:t>
            </w:r>
          </w:p>
        </w:tc>
        <w:tc>
          <w:tcPr>
            <w:tcW w:w="1843" w:type="dxa"/>
            <w:tcBorders>
              <w:top w:val="nil"/>
              <w:left w:val="nil"/>
              <w:bottom w:val="single" w:sz="4" w:space="0" w:color="auto"/>
              <w:right w:val="single" w:sz="4" w:space="0" w:color="auto"/>
            </w:tcBorders>
            <w:noWrap/>
            <w:vAlign w:val="center"/>
          </w:tcPr>
          <w:p w14:paraId="00985904" w14:textId="4F012153" w:rsidR="00534BA3" w:rsidRPr="00BC400B" w:rsidRDefault="00534BA3" w:rsidP="00E7574D">
            <w:pPr>
              <w:spacing w:after="0"/>
              <w:jc w:val="right"/>
              <w:rPr>
                <w:rFonts w:eastAsia="Times New Roman"/>
                <w:color w:val="000000"/>
                <w:sz w:val="20"/>
                <w:szCs w:val="20"/>
              </w:rPr>
            </w:pPr>
            <w:r w:rsidRPr="00BC400B">
              <w:rPr>
                <w:rFonts w:eastAsia="Times New Roman"/>
                <w:color w:val="000000"/>
                <w:sz w:val="20"/>
                <w:szCs w:val="20"/>
              </w:rPr>
              <w:t>£4,539,252</w:t>
            </w:r>
          </w:p>
        </w:tc>
      </w:tr>
      <w:tr w:rsidR="00534BA3" w:rsidRPr="00551A30" w14:paraId="5C449149" w14:textId="77777777" w:rsidTr="732A479B">
        <w:trPr>
          <w:trHeight w:val="290"/>
        </w:trPr>
        <w:tc>
          <w:tcPr>
            <w:tcW w:w="736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B1014CF" w14:textId="77777777" w:rsidR="00534BA3" w:rsidRPr="00551A30" w:rsidRDefault="00534BA3" w:rsidP="732A479B">
            <w:pPr>
              <w:spacing w:after="0"/>
              <w:jc w:val="right"/>
              <w:rPr>
                <w:rFonts w:eastAsia="Times New Roman"/>
                <w:b/>
                <w:bCs/>
                <w:color w:val="000000" w:themeColor="text1"/>
                <w:sz w:val="20"/>
                <w:szCs w:val="20"/>
              </w:rPr>
            </w:pPr>
            <w:r w:rsidRPr="732A479B">
              <w:rPr>
                <w:rFonts w:eastAsia="Times New Roman"/>
                <w:b/>
                <w:bCs/>
                <w:sz w:val="20"/>
                <w:szCs w:val="20"/>
              </w:rPr>
              <w:t>Total</w:t>
            </w:r>
          </w:p>
        </w:tc>
        <w:tc>
          <w:tcPr>
            <w:tcW w:w="1843" w:type="dxa"/>
            <w:tcBorders>
              <w:top w:val="single" w:sz="4" w:space="0" w:color="auto"/>
              <w:left w:val="nil"/>
              <w:bottom w:val="single" w:sz="4" w:space="0" w:color="auto"/>
              <w:right w:val="single" w:sz="4" w:space="0" w:color="auto"/>
            </w:tcBorders>
            <w:shd w:val="clear" w:color="auto" w:fill="DBDBDB" w:themeFill="accent3" w:themeFillTint="66"/>
            <w:noWrap/>
            <w:vAlign w:val="bottom"/>
            <w:hideMark/>
          </w:tcPr>
          <w:p w14:paraId="62FB42F5" w14:textId="007F20F5" w:rsidR="00534BA3" w:rsidRPr="00BC400B" w:rsidRDefault="00551A30" w:rsidP="732A479B">
            <w:pPr>
              <w:spacing w:after="0"/>
              <w:jc w:val="right"/>
              <w:rPr>
                <w:rFonts w:eastAsia="Times New Roman"/>
                <w:b/>
                <w:bCs/>
                <w:sz w:val="20"/>
                <w:szCs w:val="20"/>
              </w:rPr>
            </w:pPr>
            <w:r w:rsidRPr="732A479B">
              <w:rPr>
                <w:rFonts w:eastAsia="Times New Roman"/>
                <w:b/>
                <w:bCs/>
                <w:color w:val="000000" w:themeColor="text1"/>
                <w:sz w:val="20"/>
                <w:szCs w:val="20"/>
              </w:rPr>
              <w:fldChar w:fldCharType="begin"/>
            </w:r>
            <w:r w:rsidRPr="732A479B">
              <w:rPr>
                <w:rFonts w:eastAsia="Times New Roman"/>
                <w:b/>
                <w:bCs/>
                <w:color w:val="000000" w:themeColor="text1"/>
                <w:sz w:val="20"/>
                <w:szCs w:val="20"/>
              </w:rPr>
              <w:instrText xml:space="preserve"> =SUM(ABOVE) </w:instrText>
            </w:r>
            <w:r w:rsidRPr="732A479B">
              <w:rPr>
                <w:rFonts w:eastAsia="Times New Roman"/>
                <w:b/>
                <w:bCs/>
                <w:color w:val="000000" w:themeColor="text1"/>
                <w:sz w:val="20"/>
                <w:szCs w:val="20"/>
              </w:rPr>
              <w:fldChar w:fldCharType="separate"/>
            </w:r>
            <w:r w:rsidR="3C93FBC2" w:rsidRPr="732A479B">
              <w:rPr>
                <w:rFonts w:eastAsia="Times New Roman"/>
                <w:b/>
                <w:bCs/>
                <w:noProof/>
                <w:color w:val="000000" w:themeColor="text1"/>
                <w:sz w:val="20"/>
                <w:szCs w:val="20"/>
              </w:rPr>
              <w:t>£9,401,003.00</w:t>
            </w:r>
            <w:r w:rsidRPr="732A479B">
              <w:rPr>
                <w:rFonts w:eastAsia="Times New Roman"/>
                <w:b/>
                <w:bCs/>
                <w:color w:val="000000" w:themeColor="text1"/>
                <w:sz w:val="20"/>
                <w:szCs w:val="20"/>
              </w:rPr>
              <w:fldChar w:fldCharType="end"/>
            </w:r>
          </w:p>
        </w:tc>
      </w:tr>
    </w:tbl>
    <w:p w14:paraId="02073241" w14:textId="77777777" w:rsidR="00534BA3" w:rsidRDefault="00534BA3" w:rsidP="00CD7FA2">
      <w:pPr>
        <w:rPr>
          <w:b/>
          <w:bCs/>
          <w:sz w:val="22"/>
          <w:szCs w:val="22"/>
        </w:rPr>
      </w:pPr>
    </w:p>
    <w:p w14:paraId="468112EB" w14:textId="21C64738" w:rsidR="00CD7FA2" w:rsidRPr="00632763" w:rsidRDefault="00534BA3" w:rsidP="00CD7FA2">
      <w:pPr>
        <w:rPr>
          <w:sz w:val="22"/>
          <w:szCs w:val="22"/>
        </w:rPr>
      </w:pPr>
      <w:r>
        <w:rPr>
          <w:sz w:val="22"/>
          <w:szCs w:val="22"/>
        </w:rPr>
        <w:t>A</w:t>
      </w:r>
      <w:r w:rsidR="00CD7FA2" w:rsidRPr="00632763">
        <w:rPr>
          <w:sz w:val="22"/>
          <w:szCs w:val="22"/>
        </w:rPr>
        <w:t xml:space="preserve"> summary of the items of infrastructure on which CIL (including land payments) has been allocated, and the amount of CIL allocated to each item is set out below in Table </w:t>
      </w:r>
      <w:r w:rsidR="0094275E">
        <w:rPr>
          <w:sz w:val="22"/>
          <w:szCs w:val="22"/>
        </w:rPr>
        <w:t>3</w:t>
      </w:r>
      <w:r w:rsidR="00CD7FA2" w:rsidRPr="00632763">
        <w:rPr>
          <w:sz w:val="22"/>
          <w:szCs w:val="22"/>
        </w:rPr>
        <w:t>.3.</w:t>
      </w:r>
    </w:p>
    <w:p w14:paraId="60BF97C3" w14:textId="77777777" w:rsidR="00CD7FA2" w:rsidRPr="00632763" w:rsidRDefault="00CD7FA2" w:rsidP="00CD7FA2">
      <w:pPr>
        <w:rPr>
          <w:b/>
          <w:bCs/>
          <w:sz w:val="22"/>
          <w:szCs w:val="22"/>
        </w:rPr>
      </w:pPr>
    </w:p>
    <w:p w14:paraId="5AB6409C" w14:textId="31522A2C" w:rsidR="0094275E" w:rsidRDefault="003535E8" w:rsidP="0094275E">
      <w:pPr>
        <w:rPr>
          <w:b/>
          <w:bCs/>
          <w:sz w:val="22"/>
          <w:szCs w:val="22"/>
        </w:rPr>
      </w:pPr>
      <w:r>
        <w:rPr>
          <w:b/>
          <w:bCs/>
          <w:sz w:val="22"/>
          <w:szCs w:val="22"/>
        </w:rPr>
        <w:t>T</w:t>
      </w:r>
      <w:r w:rsidR="00CD7FA2" w:rsidRPr="00632763">
        <w:rPr>
          <w:b/>
          <w:bCs/>
          <w:sz w:val="22"/>
          <w:szCs w:val="22"/>
        </w:rPr>
        <w:t xml:space="preserve">able </w:t>
      </w:r>
      <w:r w:rsidR="00907643">
        <w:rPr>
          <w:b/>
          <w:bCs/>
          <w:sz w:val="22"/>
          <w:szCs w:val="22"/>
        </w:rPr>
        <w:t>3</w:t>
      </w:r>
      <w:r w:rsidR="00CD7FA2" w:rsidRPr="00632763">
        <w:rPr>
          <w:b/>
          <w:bCs/>
          <w:sz w:val="22"/>
          <w:szCs w:val="22"/>
        </w:rPr>
        <w:t>.3 CIL</w:t>
      </w:r>
      <w:r w:rsidR="0094275E">
        <w:rPr>
          <w:b/>
          <w:bCs/>
          <w:sz w:val="22"/>
          <w:szCs w:val="22"/>
        </w:rPr>
        <w:t xml:space="preserve"> Allocations 2024/25</w:t>
      </w:r>
      <w:r w:rsidR="00CD7FA2" w:rsidRPr="00632763">
        <w:rPr>
          <w:b/>
          <w:bCs/>
          <w:sz w:val="22"/>
          <w:szCs w:val="22"/>
        </w:rPr>
        <w:t xml:space="preserve"> </w:t>
      </w:r>
    </w:p>
    <w:tbl>
      <w:tblPr>
        <w:tblW w:w="9067" w:type="dxa"/>
        <w:tblLook w:val="04A0" w:firstRow="1" w:lastRow="0" w:firstColumn="1" w:lastColumn="0" w:noHBand="0" w:noVBand="1"/>
      </w:tblPr>
      <w:tblGrid>
        <w:gridCol w:w="7083"/>
        <w:gridCol w:w="1984"/>
      </w:tblGrid>
      <w:tr w:rsidR="0094275E" w:rsidRPr="00D56C12" w14:paraId="4C8C2664" w14:textId="77777777" w:rsidTr="732A479B">
        <w:trPr>
          <w:trHeight w:val="640"/>
        </w:trPr>
        <w:tc>
          <w:tcPr>
            <w:tcW w:w="7083" w:type="dxa"/>
            <w:tcBorders>
              <w:top w:val="single" w:sz="4" w:space="0" w:color="auto"/>
              <w:left w:val="single" w:sz="4" w:space="0" w:color="auto"/>
              <w:bottom w:val="single" w:sz="4" w:space="0" w:color="auto"/>
              <w:right w:val="single" w:sz="4" w:space="0" w:color="auto"/>
            </w:tcBorders>
            <w:shd w:val="clear" w:color="auto" w:fill="00B0F0"/>
            <w:hideMark/>
          </w:tcPr>
          <w:p w14:paraId="723499D5" w14:textId="77777777" w:rsidR="0094275E" w:rsidRPr="00D56C12" w:rsidRDefault="0094275E" w:rsidP="732A479B">
            <w:pPr>
              <w:spacing w:after="0"/>
              <w:rPr>
                <w:rFonts w:eastAsia="Times New Roman"/>
                <w:b/>
                <w:bCs/>
                <w:color w:val="000000"/>
                <w:sz w:val="20"/>
                <w:szCs w:val="20"/>
              </w:rPr>
            </w:pPr>
            <w:r w:rsidRPr="732A479B">
              <w:rPr>
                <w:rFonts w:eastAsia="Times New Roman"/>
                <w:b/>
                <w:bCs/>
                <w:color w:val="000000" w:themeColor="text1"/>
                <w:sz w:val="20"/>
                <w:szCs w:val="20"/>
              </w:rPr>
              <w:t xml:space="preserve">Name of Project </w:t>
            </w:r>
          </w:p>
        </w:tc>
        <w:tc>
          <w:tcPr>
            <w:tcW w:w="1984" w:type="dxa"/>
            <w:tcBorders>
              <w:top w:val="single" w:sz="4" w:space="0" w:color="auto"/>
              <w:left w:val="nil"/>
              <w:bottom w:val="single" w:sz="4" w:space="0" w:color="auto"/>
              <w:right w:val="single" w:sz="4" w:space="0" w:color="auto"/>
            </w:tcBorders>
            <w:shd w:val="clear" w:color="auto" w:fill="00B0F0"/>
            <w:hideMark/>
          </w:tcPr>
          <w:p w14:paraId="66FE8048" w14:textId="77777777" w:rsidR="0094275E" w:rsidRPr="00D56C12" w:rsidRDefault="0094275E" w:rsidP="732A479B">
            <w:pPr>
              <w:spacing w:after="0"/>
              <w:jc w:val="right"/>
              <w:rPr>
                <w:rFonts w:eastAsia="Times New Roman"/>
                <w:b/>
                <w:bCs/>
                <w:color w:val="000000" w:themeColor="text1"/>
                <w:sz w:val="22"/>
                <w:szCs w:val="22"/>
              </w:rPr>
            </w:pPr>
            <w:r w:rsidRPr="732A479B">
              <w:rPr>
                <w:rFonts w:eastAsia="Times New Roman"/>
                <w:b/>
                <w:bCs/>
                <w:color w:val="000000" w:themeColor="text1"/>
                <w:sz w:val="20"/>
                <w:szCs w:val="20"/>
              </w:rPr>
              <w:t>Total 2024/25</w:t>
            </w:r>
          </w:p>
        </w:tc>
      </w:tr>
      <w:tr w:rsidR="0094275E" w:rsidRPr="00D56C12" w14:paraId="59C02E11" w14:textId="77777777" w:rsidTr="732A479B">
        <w:trPr>
          <w:trHeight w:val="258"/>
        </w:trPr>
        <w:tc>
          <w:tcPr>
            <w:tcW w:w="7083" w:type="dxa"/>
            <w:tcBorders>
              <w:top w:val="nil"/>
              <w:left w:val="single" w:sz="4" w:space="0" w:color="auto"/>
              <w:bottom w:val="single" w:sz="4" w:space="0" w:color="auto"/>
              <w:right w:val="single" w:sz="4" w:space="0" w:color="auto"/>
            </w:tcBorders>
            <w:noWrap/>
            <w:vAlign w:val="center"/>
            <w:hideMark/>
          </w:tcPr>
          <w:p w14:paraId="37A9BB2C" w14:textId="77777777" w:rsidR="0094275E" w:rsidRPr="00D56C12" w:rsidRDefault="0094275E" w:rsidP="00F546E7">
            <w:pPr>
              <w:spacing w:after="0"/>
              <w:rPr>
                <w:rFonts w:eastAsia="Times New Roman"/>
                <w:color w:val="000000"/>
                <w:sz w:val="22"/>
                <w:szCs w:val="22"/>
              </w:rPr>
            </w:pPr>
            <w:r w:rsidRPr="00D56C12">
              <w:rPr>
                <w:rFonts w:eastAsia="Times New Roman"/>
                <w:color w:val="000000"/>
                <w:sz w:val="22"/>
                <w:szCs w:val="22"/>
              </w:rPr>
              <w:t>Electrical Points in Parks</w:t>
            </w:r>
          </w:p>
        </w:tc>
        <w:tc>
          <w:tcPr>
            <w:tcW w:w="1984" w:type="dxa"/>
            <w:tcBorders>
              <w:top w:val="nil"/>
              <w:left w:val="nil"/>
              <w:bottom w:val="single" w:sz="4" w:space="0" w:color="auto"/>
              <w:right w:val="single" w:sz="4" w:space="0" w:color="auto"/>
            </w:tcBorders>
            <w:vAlign w:val="center"/>
            <w:hideMark/>
          </w:tcPr>
          <w:p w14:paraId="057E4F98" w14:textId="77777777" w:rsidR="0094275E" w:rsidRPr="00D56C12" w:rsidRDefault="0094275E" w:rsidP="00F546E7">
            <w:pPr>
              <w:spacing w:after="0"/>
              <w:jc w:val="right"/>
              <w:rPr>
                <w:rFonts w:eastAsia="Times New Roman"/>
                <w:color w:val="000000"/>
                <w:sz w:val="22"/>
                <w:szCs w:val="22"/>
              </w:rPr>
            </w:pPr>
            <w:r w:rsidRPr="00D56C12">
              <w:rPr>
                <w:rFonts w:eastAsia="Times New Roman"/>
                <w:color w:val="000000"/>
                <w:sz w:val="22"/>
                <w:szCs w:val="22"/>
              </w:rPr>
              <w:t>£232,000</w:t>
            </w:r>
          </w:p>
        </w:tc>
      </w:tr>
      <w:tr w:rsidR="0094275E" w:rsidRPr="00D56C12" w14:paraId="4CD4C117" w14:textId="77777777" w:rsidTr="732A479B">
        <w:trPr>
          <w:trHeight w:val="135"/>
        </w:trPr>
        <w:tc>
          <w:tcPr>
            <w:tcW w:w="7083" w:type="dxa"/>
            <w:tcBorders>
              <w:top w:val="nil"/>
              <w:left w:val="single" w:sz="4" w:space="0" w:color="auto"/>
              <w:bottom w:val="single" w:sz="4" w:space="0" w:color="auto"/>
              <w:right w:val="single" w:sz="4" w:space="0" w:color="auto"/>
            </w:tcBorders>
            <w:noWrap/>
            <w:vAlign w:val="center"/>
            <w:hideMark/>
          </w:tcPr>
          <w:p w14:paraId="3CB436B1" w14:textId="77777777" w:rsidR="0094275E" w:rsidRPr="00D56C12" w:rsidRDefault="0094275E" w:rsidP="00F546E7">
            <w:pPr>
              <w:spacing w:after="0"/>
              <w:rPr>
                <w:rFonts w:eastAsia="Times New Roman"/>
                <w:color w:val="000000"/>
                <w:sz w:val="22"/>
                <w:szCs w:val="22"/>
              </w:rPr>
            </w:pPr>
            <w:r w:rsidRPr="00D56C12">
              <w:rPr>
                <w:rFonts w:eastAsia="Times New Roman"/>
                <w:color w:val="000000"/>
                <w:sz w:val="22"/>
                <w:szCs w:val="22"/>
              </w:rPr>
              <w:t>Flats Food Waste Service</w:t>
            </w:r>
          </w:p>
        </w:tc>
        <w:tc>
          <w:tcPr>
            <w:tcW w:w="1984" w:type="dxa"/>
            <w:tcBorders>
              <w:top w:val="nil"/>
              <w:left w:val="nil"/>
              <w:bottom w:val="single" w:sz="4" w:space="0" w:color="auto"/>
              <w:right w:val="single" w:sz="4" w:space="0" w:color="auto"/>
            </w:tcBorders>
            <w:vAlign w:val="center"/>
            <w:hideMark/>
          </w:tcPr>
          <w:p w14:paraId="68A2E915" w14:textId="77777777" w:rsidR="0094275E" w:rsidRPr="00D56C12" w:rsidRDefault="0094275E" w:rsidP="00F546E7">
            <w:pPr>
              <w:spacing w:after="0"/>
              <w:jc w:val="right"/>
              <w:rPr>
                <w:rFonts w:eastAsia="Times New Roman"/>
                <w:color w:val="000000"/>
                <w:sz w:val="22"/>
                <w:szCs w:val="22"/>
              </w:rPr>
            </w:pPr>
            <w:r w:rsidRPr="00D56C12">
              <w:rPr>
                <w:rFonts w:eastAsia="Times New Roman"/>
                <w:color w:val="000000"/>
                <w:sz w:val="22"/>
                <w:szCs w:val="22"/>
              </w:rPr>
              <w:t>£1,772,000</w:t>
            </w:r>
          </w:p>
        </w:tc>
      </w:tr>
      <w:tr w:rsidR="0094275E" w:rsidRPr="00D56C12" w14:paraId="1199DF67" w14:textId="77777777" w:rsidTr="732A479B">
        <w:trPr>
          <w:trHeight w:val="320"/>
        </w:trPr>
        <w:tc>
          <w:tcPr>
            <w:tcW w:w="7083" w:type="dxa"/>
            <w:tcBorders>
              <w:top w:val="nil"/>
              <w:left w:val="single" w:sz="4" w:space="0" w:color="auto"/>
              <w:bottom w:val="single" w:sz="4" w:space="0" w:color="auto"/>
              <w:right w:val="single" w:sz="4" w:space="0" w:color="auto"/>
            </w:tcBorders>
            <w:noWrap/>
            <w:vAlign w:val="center"/>
            <w:hideMark/>
          </w:tcPr>
          <w:p w14:paraId="19006FDE" w14:textId="77777777" w:rsidR="0094275E" w:rsidRPr="00D56C12" w:rsidRDefault="0094275E" w:rsidP="00F546E7">
            <w:pPr>
              <w:spacing w:after="0"/>
              <w:rPr>
                <w:rFonts w:eastAsia="Times New Roman"/>
                <w:color w:val="000000"/>
                <w:sz w:val="22"/>
                <w:szCs w:val="22"/>
              </w:rPr>
            </w:pPr>
            <w:r w:rsidRPr="00D56C12">
              <w:rPr>
                <w:rFonts w:eastAsia="Times New Roman"/>
                <w:color w:val="000000"/>
                <w:sz w:val="22"/>
                <w:szCs w:val="22"/>
              </w:rPr>
              <w:t>Brabazon Street</w:t>
            </w:r>
          </w:p>
        </w:tc>
        <w:tc>
          <w:tcPr>
            <w:tcW w:w="1984" w:type="dxa"/>
            <w:tcBorders>
              <w:top w:val="nil"/>
              <w:left w:val="nil"/>
              <w:bottom w:val="single" w:sz="4" w:space="0" w:color="auto"/>
              <w:right w:val="single" w:sz="4" w:space="0" w:color="auto"/>
            </w:tcBorders>
            <w:vAlign w:val="center"/>
            <w:hideMark/>
          </w:tcPr>
          <w:p w14:paraId="40D04954" w14:textId="77777777" w:rsidR="0094275E" w:rsidRPr="00D56C12" w:rsidRDefault="0094275E" w:rsidP="00F546E7">
            <w:pPr>
              <w:spacing w:after="0"/>
              <w:jc w:val="right"/>
              <w:rPr>
                <w:rFonts w:eastAsia="Times New Roman"/>
                <w:color w:val="000000"/>
                <w:sz w:val="22"/>
                <w:szCs w:val="22"/>
              </w:rPr>
            </w:pPr>
            <w:r w:rsidRPr="00D56C12">
              <w:rPr>
                <w:rFonts w:eastAsia="Times New Roman"/>
                <w:color w:val="000000"/>
                <w:sz w:val="22"/>
                <w:szCs w:val="22"/>
              </w:rPr>
              <w:t>£31,691</w:t>
            </w:r>
          </w:p>
        </w:tc>
      </w:tr>
      <w:tr w:rsidR="0094275E" w:rsidRPr="00D56C12" w14:paraId="2D8752F8" w14:textId="77777777" w:rsidTr="732A479B">
        <w:trPr>
          <w:trHeight w:val="229"/>
        </w:trPr>
        <w:tc>
          <w:tcPr>
            <w:tcW w:w="7083" w:type="dxa"/>
            <w:tcBorders>
              <w:top w:val="nil"/>
              <w:left w:val="single" w:sz="4" w:space="0" w:color="auto"/>
              <w:bottom w:val="single" w:sz="4" w:space="0" w:color="auto"/>
              <w:right w:val="single" w:sz="4" w:space="0" w:color="auto"/>
            </w:tcBorders>
            <w:noWrap/>
            <w:vAlign w:val="center"/>
            <w:hideMark/>
          </w:tcPr>
          <w:p w14:paraId="571C3B9F" w14:textId="77777777" w:rsidR="0094275E" w:rsidRPr="00D56C12" w:rsidRDefault="0094275E" w:rsidP="00F546E7">
            <w:pPr>
              <w:spacing w:after="0"/>
              <w:rPr>
                <w:rFonts w:eastAsia="Times New Roman"/>
                <w:color w:val="000000"/>
                <w:sz w:val="22"/>
                <w:szCs w:val="22"/>
              </w:rPr>
            </w:pPr>
            <w:r w:rsidRPr="00D56C12">
              <w:rPr>
                <w:rFonts w:eastAsia="Times New Roman"/>
                <w:color w:val="000000"/>
                <w:sz w:val="22"/>
                <w:szCs w:val="22"/>
              </w:rPr>
              <w:t>Mile End Stadium and Leisure Centre</w:t>
            </w:r>
          </w:p>
        </w:tc>
        <w:tc>
          <w:tcPr>
            <w:tcW w:w="1984" w:type="dxa"/>
            <w:tcBorders>
              <w:top w:val="nil"/>
              <w:left w:val="nil"/>
              <w:bottom w:val="single" w:sz="4" w:space="0" w:color="auto"/>
              <w:right w:val="single" w:sz="4" w:space="0" w:color="auto"/>
            </w:tcBorders>
            <w:vAlign w:val="center"/>
            <w:hideMark/>
          </w:tcPr>
          <w:p w14:paraId="71282E5B" w14:textId="77777777" w:rsidR="0094275E" w:rsidRPr="00D56C12" w:rsidRDefault="0094275E" w:rsidP="00F546E7">
            <w:pPr>
              <w:spacing w:after="0"/>
              <w:jc w:val="right"/>
              <w:rPr>
                <w:rFonts w:eastAsia="Times New Roman"/>
                <w:color w:val="000000"/>
                <w:sz w:val="22"/>
                <w:szCs w:val="22"/>
              </w:rPr>
            </w:pPr>
            <w:r w:rsidRPr="00D56C12">
              <w:rPr>
                <w:rFonts w:eastAsia="Times New Roman"/>
                <w:color w:val="000000"/>
                <w:sz w:val="22"/>
                <w:szCs w:val="22"/>
              </w:rPr>
              <w:t>£458,435</w:t>
            </w:r>
          </w:p>
        </w:tc>
      </w:tr>
      <w:tr w:rsidR="0094275E" w:rsidRPr="00D56C12" w14:paraId="07036AC5" w14:textId="77777777" w:rsidTr="732A479B">
        <w:trPr>
          <w:trHeight w:val="375"/>
        </w:trPr>
        <w:tc>
          <w:tcPr>
            <w:tcW w:w="7083" w:type="dxa"/>
            <w:tcBorders>
              <w:top w:val="nil"/>
              <w:left w:val="single" w:sz="4" w:space="0" w:color="auto"/>
              <w:bottom w:val="single" w:sz="4" w:space="0" w:color="auto"/>
              <w:right w:val="single" w:sz="4" w:space="0" w:color="auto"/>
            </w:tcBorders>
            <w:noWrap/>
            <w:vAlign w:val="center"/>
            <w:hideMark/>
          </w:tcPr>
          <w:p w14:paraId="3B86BBF3" w14:textId="77777777" w:rsidR="0094275E" w:rsidRPr="00D56C12" w:rsidRDefault="0094275E" w:rsidP="00F546E7">
            <w:pPr>
              <w:spacing w:after="0"/>
              <w:rPr>
                <w:rFonts w:eastAsia="Times New Roman"/>
                <w:color w:val="000000"/>
                <w:sz w:val="22"/>
                <w:szCs w:val="22"/>
              </w:rPr>
            </w:pPr>
            <w:r w:rsidRPr="00D56C12">
              <w:rPr>
                <w:rFonts w:eastAsia="Times New Roman"/>
                <w:color w:val="000000"/>
                <w:sz w:val="22"/>
                <w:szCs w:val="22"/>
              </w:rPr>
              <w:t>Shapla Conversion to Offices</w:t>
            </w:r>
          </w:p>
        </w:tc>
        <w:tc>
          <w:tcPr>
            <w:tcW w:w="1984" w:type="dxa"/>
            <w:tcBorders>
              <w:top w:val="nil"/>
              <w:left w:val="nil"/>
              <w:bottom w:val="single" w:sz="4" w:space="0" w:color="auto"/>
              <w:right w:val="single" w:sz="4" w:space="0" w:color="auto"/>
            </w:tcBorders>
            <w:vAlign w:val="center"/>
            <w:hideMark/>
          </w:tcPr>
          <w:p w14:paraId="3AE53A89" w14:textId="77777777" w:rsidR="0094275E" w:rsidRPr="00D56C12" w:rsidRDefault="0094275E" w:rsidP="00F546E7">
            <w:pPr>
              <w:spacing w:after="0"/>
              <w:jc w:val="right"/>
              <w:rPr>
                <w:rFonts w:eastAsia="Times New Roman"/>
                <w:color w:val="000000"/>
                <w:sz w:val="22"/>
                <w:szCs w:val="22"/>
              </w:rPr>
            </w:pPr>
            <w:r w:rsidRPr="00D56C12">
              <w:rPr>
                <w:rFonts w:eastAsia="Times New Roman"/>
                <w:color w:val="000000"/>
                <w:sz w:val="22"/>
                <w:szCs w:val="22"/>
              </w:rPr>
              <w:t>£320,000</w:t>
            </w:r>
          </w:p>
        </w:tc>
      </w:tr>
      <w:tr w:rsidR="0094275E" w:rsidRPr="00D56C12" w14:paraId="3FF765B9" w14:textId="77777777" w:rsidTr="732A479B">
        <w:trPr>
          <w:trHeight w:val="320"/>
        </w:trPr>
        <w:tc>
          <w:tcPr>
            <w:tcW w:w="7083" w:type="dxa"/>
            <w:tcBorders>
              <w:top w:val="nil"/>
              <w:left w:val="single" w:sz="4" w:space="0" w:color="auto"/>
              <w:bottom w:val="single" w:sz="4" w:space="0" w:color="auto"/>
              <w:right w:val="single" w:sz="4" w:space="0" w:color="auto"/>
            </w:tcBorders>
            <w:noWrap/>
            <w:vAlign w:val="center"/>
            <w:hideMark/>
          </w:tcPr>
          <w:p w14:paraId="2923C89B" w14:textId="77777777" w:rsidR="0094275E" w:rsidRPr="00D56C12" w:rsidRDefault="0094275E" w:rsidP="00F546E7">
            <w:pPr>
              <w:spacing w:after="0"/>
              <w:rPr>
                <w:rFonts w:eastAsia="Times New Roman"/>
                <w:color w:val="000000"/>
                <w:sz w:val="22"/>
                <w:szCs w:val="22"/>
              </w:rPr>
            </w:pPr>
            <w:r w:rsidRPr="00D56C12">
              <w:rPr>
                <w:rFonts w:eastAsia="Times New Roman"/>
                <w:color w:val="000000"/>
                <w:sz w:val="22"/>
                <w:szCs w:val="22"/>
              </w:rPr>
              <w:t>York Hall Spa</w:t>
            </w:r>
          </w:p>
        </w:tc>
        <w:tc>
          <w:tcPr>
            <w:tcW w:w="1984" w:type="dxa"/>
            <w:tcBorders>
              <w:top w:val="nil"/>
              <w:left w:val="nil"/>
              <w:bottom w:val="single" w:sz="4" w:space="0" w:color="auto"/>
              <w:right w:val="single" w:sz="4" w:space="0" w:color="auto"/>
            </w:tcBorders>
            <w:vAlign w:val="center"/>
            <w:hideMark/>
          </w:tcPr>
          <w:p w14:paraId="5CD3AF42" w14:textId="77777777" w:rsidR="0094275E" w:rsidRPr="00D56C12" w:rsidRDefault="0094275E" w:rsidP="00F546E7">
            <w:pPr>
              <w:spacing w:after="0"/>
              <w:jc w:val="right"/>
              <w:rPr>
                <w:rFonts w:eastAsia="Times New Roman"/>
                <w:color w:val="000000"/>
                <w:sz w:val="22"/>
                <w:szCs w:val="22"/>
              </w:rPr>
            </w:pPr>
            <w:r w:rsidRPr="00D56C12">
              <w:rPr>
                <w:rFonts w:eastAsia="Times New Roman"/>
                <w:color w:val="000000"/>
                <w:sz w:val="22"/>
                <w:szCs w:val="22"/>
              </w:rPr>
              <w:t>£408,199</w:t>
            </w:r>
          </w:p>
        </w:tc>
      </w:tr>
      <w:tr w:rsidR="0094275E" w:rsidRPr="00D56C12" w14:paraId="4D938041" w14:textId="77777777" w:rsidTr="732A479B">
        <w:trPr>
          <w:trHeight w:val="229"/>
        </w:trPr>
        <w:tc>
          <w:tcPr>
            <w:tcW w:w="7083" w:type="dxa"/>
            <w:tcBorders>
              <w:top w:val="nil"/>
              <w:left w:val="single" w:sz="4" w:space="0" w:color="auto"/>
              <w:bottom w:val="single" w:sz="4" w:space="0" w:color="auto"/>
              <w:right w:val="single" w:sz="4" w:space="0" w:color="auto"/>
            </w:tcBorders>
            <w:noWrap/>
            <w:vAlign w:val="center"/>
            <w:hideMark/>
          </w:tcPr>
          <w:p w14:paraId="11062F85" w14:textId="77777777" w:rsidR="0094275E" w:rsidRPr="00D56C12" w:rsidRDefault="0094275E" w:rsidP="00F546E7">
            <w:pPr>
              <w:spacing w:after="0"/>
              <w:rPr>
                <w:rFonts w:eastAsia="Times New Roman"/>
                <w:color w:val="000000"/>
                <w:sz w:val="22"/>
                <w:szCs w:val="22"/>
              </w:rPr>
            </w:pPr>
            <w:r w:rsidRPr="00D56C12">
              <w:rPr>
                <w:rFonts w:eastAsia="Times New Roman"/>
                <w:color w:val="000000"/>
                <w:sz w:val="22"/>
                <w:szCs w:val="22"/>
              </w:rPr>
              <w:t>Culturally Sensitive Misuse Recovery Centre</w:t>
            </w:r>
          </w:p>
        </w:tc>
        <w:tc>
          <w:tcPr>
            <w:tcW w:w="1984" w:type="dxa"/>
            <w:tcBorders>
              <w:top w:val="nil"/>
              <w:left w:val="nil"/>
              <w:bottom w:val="single" w:sz="4" w:space="0" w:color="auto"/>
              <w:right w:val="single" w:sz="4" w:space="0" w:color="auto"/>
            </w:tcBorders>
            <w:vAlign w:val="center"/>
            <w:hideMark/>
          </w:tcPr>
          <w:p w14:paraId="3559B578" w14:textId="77777777" w:rsidR="0094275E" w:rsidRPr="00D56C12" w:rsidRDefault="0094275E" w:rsidP="00F546E7">
            <w:pPr>
              <w:spacing w:after="0"/>
              <w:jc w:val="right"/>
              <w:rPr>
                <w:rFonts w:eastAsia="Times New Roman"/>
                <w:color w:val="000000"/>
                <w:sz w:val="22"/>
                <w:szCs w:val="22"/>
              </w:rPr>
            </w:pPr>
            <w:r w:rsidRPr="00D56C12">
              <w:rPr>
                <w:rFonts w:eastAsia="Times New Roman"/>
                <w:color w:val="000000"/>
                <w:sz w:val="22"/>
                <w:szCs w:val="22"/>
              </w:rPr>
              <w:t>£1,510,000</w:t>
            </w:r>
          </w:p>
        </w:tc>
      </w:tr>
      <w:tr w:rsidR="0094275E" w:rsidRPr="00D56C12" w14:paraId="08D627C1" w14:textId="77777777" w:rsidTr="732A479B">
        <w:trPr>
          <w:trHeight w:val="233"/>
        </w:trPr>
        <w:tc>
          <w:tcPr>
            <w:tcW w:w="7083" w:type="dxa"/>
            <w:tcBorders>
              <w:top w:val="nil"/>
              <w:left w:val="single" w:sz="4" w:space="0" w:color="auto"/>
              <w:bottom w:val="single" w:sz="4" w:space="0" w:color="auto"/>
              <w:right w:val="single" w:sz="4" w:space="0" w:color="auto"/>
            </w:tcBorders>
            <w:noWrap/>
            <w:vAlign w:val="center"/>
            <w:hideMark/>
          </w:tcPr>
          <w:p w14:paraId="2EAC1847" w14:textId="77777777" w:rsidR="0094275E" w:rsidRPr="00D56C12" w:rsidRDefault="0094275E" w:rsidP="00F546E7">
            <w:pPr>
              <w:spacing w:after="0"/>
              <w:rPr>
                <w:rFonts w:eastAsia="Times New Roman"/>
                <w:color w:val="000000"/>
                <w:sz w:val="22"/>
                <w:szCs w:val="22"/>
              </w:rPr>
            </w:pPr>
            <w:r w:rsidRPr="00D56C12">
              <w:rPr>
                <w:rFonts w:eastAsia="Times New Roman"/>
                <w:color w:val="000000"/>
                <w:sz w:val="22"/>
                <w:szCs w:val="22"/>
              </w:rPr>
              <w:t>Sewardstone Road</w:t>
            </w:r>
          </w:p>
        </w:tc>
        <w:tc>
          <w:tcPr>
            <w:tcW w:w="1984" w:type="dxa"/>
            <w:tcBorders>
              <w:top w:val="nil"/>
              <w:left w:val="nil"/>
              <w:bottom w:val="single" w:sz="4" w:space="0" w:color="auto"/>
              <w:right w:val="single" w:sz="4" w:space="0" w:color="auto"/>
            </w:tcBorders>
            <w:vAlign w:val="center"/>
            <w:hideMark/>
          </w:tcPr>
          <w:p w14:paraId="1B2C2D64" w14:textId="77777777" w:rsidR="0094275E" w:rsidRPr="00D56C12" w:rsidRDefault="0094275E" w:rsidP="00F546E7">
            <w:pPr>
              <w:spacing w:after="0"/>
              <w:jc w:val="right"/>
              <w:rPr>
                <w:rFonts w:eastAsia="Times New Roman"/>
                <w:color w:val="000000"/>
                <w:sz w:val="22"/>
                <w:szCs w:val="22"/>
              </w:rPr>
            </w:pPr>
            <w:r w:rsidRPr="00D56C12">
              <w:rPr>
                <w:rFonts w:eastAsia="Times New Roman"/>
                <w:color w:val="000000"/>
                <w:sz w:val="22"/>
                <w:szCs w:val="22"/>
              </w:rPr>
              <w:t>£114,000</w:t>
            </w:r>
          </w:p>
        </w:tc>
      </w:tr>
      <w:tr w:rsidR="0094275E" w:rsidRPr="00D56C12" w14:paraId="7523BB5D" w14:textId="77777777" w:rsidTr="732A479B">
        <w:trPr>
          <w:trHeight w:val="320"/>
        </w:trPr>
        <w:tc>
          <w:tcPr>
            <w:tcW w:w="7083" w:type="dxa"/>
            <w:tcBorders>
              <w:top w:val="nil"/>
              <w:left w:val="single" w:sz="4" w:space="0" w:color="auto"/>
              <w:bottom w:val="single" w:sz="4" w:space="0" w:color="auto"/>
              <w:right w:val="single" w:sz="4" w:space="0" w:color="auto"/>
            </w:tcBorders>
            <w:noWrap/>
            <w:vAlign w:val="center"/>
            <w:hideMark/>
          </w:tcPr>
          <w:p w14:paraId="1ABFC319" w14:textId="77777777" w:rsidR="0094275E" w:rsidRPr="00D56C12" w:rsidRDefault="0094275E" w:rsidP="00F546E7">
            <w:pPr>
              <w:spacing w:after="0"/>
              <w:rPr>
                <w:rFonts w:eastAsia="Times New Roman"/>
                <w:color w:val="000000"/>
                <w:sz w:val="22"/>
                <w:szCs w:val="22"/>
              </w:rPr>
            </w:pPr>
            <w:r w:rsidRPr="00D56C12">
              <w:rPr>
                <w:rFonts w:eastAsia="Times New Roman"/>
                <w:color w:val="000000"/>
                <w:sz w:val="22"/>
                <w:szCs w:val="22"/>
              </w:rPr>
              <w:t>Youth Investment</w:t>
            </w:r>
          </w:p>
        </w:tc>
        <w:tc>
          <w:tcPr>
            <w:tcW w:w="1984" w:type="dxa"/>
            <w:tcBorders>
              <w:top w:val="nil"/>
              <w:left w:val="nil"/>
              <w:bottom w:val="single" w:sz="4" w:space="0" w:color="auto"/>
              <w:right w:val="single" w:sz="4" w:space="0" w:color="auto"/>
            </w:tcBorders>
            <w:vAlign w:val="center"/>
            <w:hideMark/>
          </w:tcPr>
          <w:p w14:paraId="49AC6176" w14:textId="77777777" w:rsidR="0094275E" w:rsidRPr="00D56C12" w:rsidRDefault="0094275E" w:rsidP="00F546E7">
            <w:pPr>
              <w:spacing w:after="0"/>
              <w:jc w:val="right"/>
              <w:rPr>
                <w:rFonts w:eastAsia="Times New Roman"/>
                <w:color w:val="000000"/>
                <w:sz w:val="22"/>
                <w:szCs w:val="22"/>
              </w:rPr>
            </w:pPr>
            <w:r w:rsidRPr="00D56C12">
              <w:rPr>
                <w:rFonts w:eastAsia="Times New Roman"/>
                <w:color w:val="000000"/>
                <w:sz w:val="22"/>
                <w:szCs w:val="22"/>
              </w:rPr>
              <w:t>£903,700</w:t>
            </w:r>
          </w:p>
        </w:tc>
      </w:tr>
      <w:tr w:rsidR="0094275E" w:rsidRPr="00D56C12" w14:paraId="3B61443B" w14:textId="77777777" w:rsidTr="732A479B">
        <w:trPr>
          <w:trHeight w:val="320"/>
        </w:trPr>
        <w:tc>
          <w:tcPr>
            <w:tcW w:w="7083" w:type="dxa"/>
            <w:tcBorders>
              <w:top w:val="nil"/>
              <w:left w:val="single" w:sz="4" w:space="0" w:color="auto"/>
              <w:bottom w:val="single" w:sz="4" w:space="0" w:color="auto"/>
              <w:right w:val="single" w:sz="4" w:space="0" w:color="auto"/>
            </w:tcBorders>
            <w:noWrap/>
            <w:vAlign w:val="center"/>
            <w:hideMark/>
          </w:tcPr>
          <w:p w14:paraId="76D7D445" w14:textId="77777777" w:rsidR="0094275E" w:rsidRPr="00D56C12" w:rsidRDefault="0094275E" w:rsidP="00F546E7">
            <w:pPr>
              <w:spacing w:after="0"/>
              <w:rPr>
                <w:rFonts w:eastAsia="Times New Roman"/>
                <w:color w:val="000000"/>
                <w:sz w:val="22"/>
                <w:szCs w:val="22"/>
              </w:rPr>
            </w:pPr>
            <w:r w:rsidRPr="00D56C12">
              <w:rPr>
                <w:rFonts w:eastAsia="Times New Roman"/>
                <w:color w:val="000000"/>
                <w:sz w:val="22"/>
                <w:szCs w:val="22"/>
              </w:rPr>
              <w:t>Investment Works Rolling Program</w:t>
            </w:r>
          </w:p>
        </w:tc>
        <w:tc>
          <w:tcPr>
            <w:tcW w:w="1984" w:type="dxa"/>
            <w:tcBorders>
              <w:top w:val="nil"/>
              <w:left w:val="nil"/>
              <w:bottom w:val="single" w:sz="4" w:space="0" w:color="auto"/>
              <w:right w:val="single" w:sz="4" w:space="0" w:color="auto"/>
            </w:tcBorders>
            <w:vAlign w:val="center"/>
            <w:hideMark/>
          </w:tcPr>
          <w:p w14:paraId="50F75413" w14:textId="77777777" w:rsidR="0094275E" w:rsidRPr="00D56C12" w:rsidRDefault="0094275E" w:rsidP="00F546E7">
            <w:pPr>
              <w:spacing w:after="0"/>
              <w:jc w:val="right"/>
              <w:rPr>
                <w:rFonts w:eastAsia="Times New Roman"/>
                <w:color w:val="000000"/>
                <w:sz w:val="22"/>
                <w:szCs w:val="22"/>
              </w:rPr>
            </w:pPr>
            <w:r w:rsidRPr="00D56C12">
              <w:rPr>
                <w:rFonts w:eastAsia="Times New Roman"/>
                <w:color w:val="000000"/>
                <w:sz w:val="22"/>
                <w:szCs w:val="22"/>
              </w:rPr>
              <w:t>£282,000</w:t>
            </w:r>
          </w:p>
        </w:tc>
      </w:tr>
      <w:tr w:rsidR="0094275E" w:rsidRPr="00D56C12" w14:paraId="4A1A21CF" w14:textId="77777777" w:rsidTr="732A479B">
        <w:trPr>
          <w:trHeight w:val="290"/>
        </w:trPr>
        <w:tc>
          <w:tcPr>
            <w:tcW w:w="7083" w:type="dxa"/>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14:paraId="1D83516B" w14:textId="77777777" w:rsidR="0094275E" w:rsidRPr="00D56C12" w:rsidRDefault="0094275E" w:rsidP="00F546E7">
            <w:pPr>
              <w:spacing w:after="0"/>
              <w:jc w:val="right"/>
              <w:rPr>
                <w:rFonts w:eastAsia="Times New Roman"/>
                <w:b/>
                <w:bCs/>
                <w:color w:val="000000"/>
                <w:sz w:val="22"/>
                <w:szCs w:val="22"/>
              </w:rPr>
            </w:pPr>
            <w:r w:rsidRPr="00D56C12">
              <w:rPr>
                <w:rFonts w:eastAsia="Times New Roman"/>
                <w:b/>
                <w:bCs/>
                <w:color w:val="000000"/>
                <w:sz w:val="22"/>
                <w:szCs w:val="22"/>
              </w:rPr>
              <w:t>Total</w:t>
            </w:r>
          </w:p>
        </w:tc>
        <w:tc>
          <w:tcPr>
            <w:tcW w:w="1984" w:type="dxa"/>
            <w:tcBorders>
              <w:top w:val="single" w:sz="4" w:space="0" w:color="auto"/>
              <w:left w:val="nil"/>
              <w:bottom w:val="single" w:sz="4" w:space="0" w:color="auto"/>
              <w:right w:val="single" w:sz="4" w:space="0" w:color="auto"/>
            </w:tcBorders>
            <w:shd w:val="clear" w:color="auto" w:fill="DBDBDB" w:themeFill="accent3" w:themeFillTint="66"/>
            <w:hideMark/>
          </w:tcPr>
          <w:p w14:paraId="51D7425F" w14:textId="77777777" w:rsidR="0094275E" w:rsidRPr="00D56C12" w:rsidRDefault="0094275E" w:rsidP="00F546E7">
            <w:pPr>
              <w:spacing w:after="0"/>
              <w:jc w:val="right"/>
              <w:rPr>
                <w:rFonts w:eastAsia="Times New Roman"/>
                <w:b/>
                <w:bCs/>
                <w:color w:val="000000"/>
                <w:sz w:val="22"/>
                <w:szCs w:val="22"/>
              </w:rPr>
            </w:pPr>
            <w:r w:rsidRPr="00D56C12">
              <w:rPr>
                <w:rFonts w:eastAsia="Times New Roman"/>
                <w:b/>
                <w:bCs/>
                <w:color w:val="000000"/>
                <w:sz w:val="22"/>
                <w:szCs w:val="22"/>
              </w:rPr>
              <w:t>£6,032,025</w:t>
            </w:r>
          </w:p>
        </w:tc>
      </w:tr>
    </w:tbl>
    <w:p w14:paraId="554F8D52" w14:textId="77777777" w:rsidR="0094275E" w:rsidRDefault="0094275E" w:rsidP="0094275E">
      <w:pPr>
        <w:rPr>
          <w:b/>
          <w:bCs/>
          <w:sz w:val="22"/>
          <w:szCs w:val="22"/>
        </w:rPr>
      </w:pPr>
    </w:p>
    <w:p w14:paraId="6FA2AA6B" w14:textId="3828AAFC" w:rsidR="00CD7FA2" w:rsidRPr="005F7802" w:rsidRDefault="0094275E" w:rsidP="0094275E">
      <w:pPr>
        <w:rPr>
          <w:b/>
          <w:bCs/>
          <w:sz w:val="22"/>
          <w:szCs w:val="22"/>
        </w:rPr>
      </w:pPr>
      <w:r>
        <w:rPr>
          <w:b/>
          <w:bCs/>
          <w:sz w:val="22"/>
          <w:szCs w:val="22"/>
        </w:rPr>
        <w:t>C</w:t>
      </w:r>
      <w:r w:rsidR="00CD7FA2" w:rsidRPr="005F7802">
        <w:rPr>
          <w:b/>
          <w:bCs/>
          <w:sz w:val="22"/>
          <w:szCs w:val="22"/>
        </w:rPr>
        <w:t xml:space="preserve">IL in-kind </w:t>
      </w:r>
    </w:p>
    <w:p w14:paraId="4E70C41B" w14:textId="77777777" w:rsidR="00CD7FA2" w:rsidRPr="005F7802" w:rsidRDefault="00CD7FA2" w:rsidP="00CD7FA2">
      <w:pPr>
        <w:rPr>
          <w:b/>
          <w:bCs/>
          <w:sz w:val="22"/>
          <w:szCs w:val="22"/>
        </w:rPr>
      </w:pPr>
      <w:r w:rsidRPr="732A479B">
        <w:rPr>
          <w:sz w:val="22"/>
          <w:szCs w:val="22"/>
        </w:rPr>
        <w:t>The CIL Regulations 2010 (as amended) Regulation 73 specifies that a Local Planning Authority (LPA) can accept land and buildings as payment in lieu of CIL. In such circumstances, the “CIL In-kind” should equate to the agreed value of the land and buildings acquired in kind (as determined by an independent person</w:t>
      </w:r>
      <w:r w:rsidRPr="732A479B">
        <w:rPr>
          <w:b/>
          <w:bCs/>
          <w:sz w:val="22"/>
          <w:szCs w:val="22"/>
        </w:rPr>
        <w:t>).</w:t>
      </w:r>
      <w:r w:rsidRPr="732A479B">
        <w:rPr>
          <w:sz w:val="22"/>
          <w:szCs w:val="22"/>
        </w:rPr>
        <w:t xml:space="preserve"> In 2024/25 there were no CIL In-kind payments.</w:t>
      </w:r>
    </w:p>
    <w:p w14:paraId="572015C0" w14:textId="77777777" w:rsidR="00CD7FA2" w:rsidRPr="005F7802" w:rsidRDefault="00CD7FA2" w:rsidP="00CD7FA2">
      <w:pPr>
        <w:rPr>
          <w:b/>
          <w:bCs/>
          <w:sz w:val="22"/>
          <w:szCs w:val="22"/>
        </w:rPr>
      </w:pPr>
      <w:bookmarkStart w:id="10" w:name="_Toc215736107"/>
      <w:r w:rsidRPr="005F7802">
        <w:rPr>
          <w:rFonts w:eastAsiaTheme="minorHAnsi"/>
          <w:b/>
          <w:bCs/>
          <w:sz w:val="22"/>
          <w:szCs w:val="22"/>
        </w:rPr>
        <w:br w:type="page"/>
      </w:r>
    </w:p>
    <w:p w14:paraId="04EF4DB5" w14:textId="17A9C2E5" w:rsidR="00CD7FA2" w:rsidRPr="00A22509" w:rsidRDefault="00EA7615" w:rsidP="00CD7FA2">
      <w:pPr>
        <w:pStyle w:val="Heading1"/>
        <w:rPr>
          <w:highlight w:val="red"/>
        </w:rPr>
      </w:pPr>
      <w:bookmarkStart w:id="11" w:name="_Toc215739264"/>
      <w:bookmarkStart w:id="12" w:name="_Toc216258122"/>
      <w:r>
        <w:lastRenderedPageBreak/>
        <w:t>4</w:t>
      </w:r>
      <w:r w:rsidR="00CD7FA2">
        <w:t xml:space="preserve">.0 </w:t>
      </w:r>
      <w:r w:rsidR="00CD7FA2" w:rsidRPr="00E02D3B">
        <w:t>London Legacy Development Corporation (LLDC)</w:t>
      </w:r>
      <w:bookmarkStart w:id="13" w:name="_Toc199758365"/>
      <w:bookmarkEnd w:id="10"/>
      <w:bookmarkEnd w:id="11"/>
      <w:bookmarkEnd w:id="12"/>
    </w:p>
    <w:p w14:paraId="6E295FCE" w14:textId="77777777" w:rsidR="00A511D9" w:rsidRDefault="00A511D9" w:rsidP="00CD7FA2">
      <w:pPr>
        <w:rPr>
          <w:b/>
          <w:bCs/>
          <w:sz w:val="22"/>
          <w:szCs w:val="22"/>
        </w:rPr>
      </w:pPr>
    </w:p>
    <w:p w14:paraId="5E29214C" w14:textId="77777777" w:rsidR="00CD7FA2" w:rsidRPr="005F7802" w:rsidRDefault="00CD7FA2" w:rsidP="00CD7FA2">
      <w:pPr>
        <w:rPr>
          <w:sz w:val="22"/>
          <w:szCs w:val="22"/>
        </w:rPr>
      </w:pPr>
      <w:r w:rsidRPr="005F7802">
        <w:rPr>
          <w:sz w:val="22"/>
          <w:szCs w:val="22"/>
        </w:rPr>
        <w:t>On 1 December 2024, the London Legacy Development Corporation’s (LLDC) planning powers for the Tower Hamlets area (Hackney Wick and Bow) were returned to the London Borough of Tower Hamlets.</w:t>
      </w:r>
    </w:p>
    <w:p w14:paraId="6AEF4A08" w14:textId="77777777" w:rsidR="00CD7FA2" w:rsidRPr="005F7802" w:rsidRDefault="00CD7FA2" w:rsidP="00CD7FA2">
      <w:pPr>
        <w:rPr>
          <w:sz w:val="22"/>
          <w:szCs w:val="22"/>
        </w:rPr>
      </w:pPr>
      <w:r w:rsidRPr="005F7802">
        <w:rPr>
          <w:sz w:val="22"/>
          <w:szCs w:val="22"/>
        </w:rPr>
        <w:t>This statement provides a summary of infrastructure funding activity for the LLDC for the period 1 December 2024 to 31 March</w:t>
      </w:r>
      <w:r w:rsidRPr="005F7802">
        <w:rPr>
          <w:color w:val="ED0000"/>
          <w:sz w:val="22"/>
          <w:szCs w:val="22"/>
        </w:rPr>
        <w:t xml:space="preserve"> </w:t>
      </w:r>
      <w:r w:rsidRPr="005F7802">
        <w:rPr>
          <w:sz w:val="22"/>
          <w:szCs w:val="22"/>
        </w:rPr>
        <w:t>2025. This reporting period coincides with the transition of planning powers from the London Legacy Development Corporation (LLDC) to the London Borough of Tower Hamlets (LBTH), effective from 1</w:t>
      </w:r>
      <w:r w:rsidRPr="005F7802">
        <w:rPr>
          <w:sz w:val="22"/>
          <w:szCs w:val="22"/>
          <w:vertAlign w:val="superscript"/>
        </w:rPr>
        <w:t>st</w:t>
      </w:r>
      <w:r w:rsidRPr="005F7802">
        <w:rPr>
          <w:sz w:val="22"/>
          <w:szCs w:val="22"/>
        </w:rPr>
        <w:t xml:space="preserve"> December 2024.</w:t>
      </w:r>
    </w:p>
    <w:p w14:paraId="78F8048C" w14:textId="77777777" w:rsidR="00CD7FA2" w:rsidRPr="005F7802" w:rsidRDefault="00CD7FA2" w:rsidP="00CD7FA2">
      <w:pPr>
        <w:rPr>
          <w:sz w:val="22"/>
          <w:szCs w:val="22"/>
        </w:rPr>
      </w:pPr>
      <w:r w:rsidRPr="005F7802">
        <w:rPr>
          <w:sz w:val="22"/>
          <w:szCs w:val="22"/>
        </w:rPr>
        <w:t>This transition marks a significant milestone in the winding down of the LLDC’s planning functions and the integration of legacy development oversight into local authority structures. The statement outlines headline figures for income, expenditure, allocated and unallocated funds related to the Community Infrastructure Levy (CIL) and Section 106 (S106) planning obligations.</w:t>
      </w:r>
    </w:p>
    <w:p w14:paraId="5DD36193" w14:textId="1C8155DB" w:rsidR="00CD7FA2" w:rsidRPr="005F7802" w:rsidRDefault="00CD7FA2" w:rsidP="00CD7FA2">
      <w:pPr>
        <w:rPr>
          <w:b/>
          <w:bCs/>
          <w:sz w:val="22"/>
          <w:szCs w:val="22"/>
        </w:rPr>
      </w:pPr>
      <w:r w:rsidRPr="005F7802">
        <w:rPr>
          <w:b/>
          <w:bCs/>
          <w:sz w:val="22"/>
          <w:szCs w:val="22"/>
        </w:rPr>
        <w:t xml:space="preserve">Table </w:t>
      </w:r>
      <w:r w:rsidR="00EA7615">
        <w:rPr>
          <w:b/>
          <w:bCs/>
          <w:sz w:val="22"/>
          <w:szCs w:val="22"/>
        </w:rPr>
        <w:t>4</w:t>
      </w:r>
      <w:r w:rsidRPr="005F7802">
        <w:rPr>
          <w:b/>
          <w:bCs/>
          <w:sz w:val="22"/>
          <w:szCs w:val="22"/>
        </w:rPr>
        <w:t xml:space="preserve">.1 Key Income, and Expenditure, Allocated &amp; Unallocated Headline Figures for the LLDC for the period 01/12/2024-31/03/2025. </w:t>
      </w:r>
    </w:p>
    <w:tbl>
      <w:tblPr>
        <w:tblW w:w="9067" w:type="dxa"/>
        <w:tblLook w:val="04A0" w:firstRow="1" w:lastRow="0" w:firstColumn="1" w:lastColumn="0" w:noHBand="0" w:noVBand="1"/>
      </w:tblPr>
      <w:tblGrid>
        <w:gridCol w:w="1720"/>
        <w:gridCol w:w="1720"/>
        <w:gridCol w:w="1720"/>
        <w:gridCol w:w="1781"/>
        <w:gridCol w:w="2126"/>
      </w:tblGrid>
      <w:tr w:rsidR="00CD7FA2" w:rsidRPr="006D4ECF" w14:paraId="50D507E9" w14:textId="77777777" w:rsidTr="732A479B">
        <w:trPr>
          <w:trHeight w:val="1450"/>
        </w:trPr>
        <w:tc>
          <w:tcPr>
            <w:tcW w:w="1720" w:type="dxa"/>
            <w:tcBorders>
              <w:top w:val="single" w:sz="4" w:space="0" w:color="auto"/>
              <w:left w:val="single" w:sz="4" w:space="0" w:color="auto"/>
              <w:bottom w:val="single" w:sz="4" w:space="0" w:color="auto"/>
              <w:right w:val="single" w:sz="4" w:space="0" w:color="auto"/>
            </w:tcBorders>
            <w:shd w:val="clear" w:color="auto" w:fill="00B0F0"/>
            <w:noWrap/>
            <w:vAlign w:val="bottom"/>
            <w:hideMark/>
          </w:tcPr>
          <w:p w14:paraId="115321D7" w14:textId="77777777" w:rsidR="00CD7FA2" w:rsidRPr="006D4ECF" w:rsidRDefault="00CD7FA2" w:rsidP="00470D85">
            <w:pPr>
              <w:spacing w:after="0"/>
              <w:rPr>
                <w:rFonts w:eastAsia="Times New Roman"/>
                <w:b/>
                <w:bCs/>
                <w:color w:val="000000"/>
                <w:sz w:val="20"/>
                <w:szCs w:val="20"/>
              </w:rPr>
            </w:pPr>
            <w:r w:rsidRPr="006D4ECF">
              <w:rPr>
                <w:rFonts w:eastAsia="Times New Roman"/>
                <w:b/>
                <w:bCs/>
                <w:color w:val="000000"/>
                <w:sz w:val="20"/>
                <w:szCs w:val="20"/>
              </w:rPr>
              <w:t> </w:t>
            </w:r>
          </w:p>
        </w:tc>
        <w:tc>
          <w:tcPr>
            <w:tcW w:w="1720" w:type="dxa"/>
            <w:tcBorders>
              <w:top w:val="single" w:sz="4" w:space="0" w:color="auto"/>
              <w:left w:val="nil"/>
              <w:bottom w:val="single" w:sz="4" w:space="0" w:color="auto"/>
              <w:right w:val="single" w:sz="4" w:space="0" w:color="auto"/>
            </w:tcBorders>
            <w:shd w:val="clear" w:color="auto" w:fill="00B0F0"/>
            <w:hideMark/>
          </w:tcPr>
          <w:p w14:paraId="3D45FBFD" w14:textId="77777777" w:rsidR="00CD7FA2" w:rsidRPr="006D4ECF" w:rsidRDefault="00CD7FA2" w:rsidP="00470D85">
            <w:pPr>
              <w:spacing w:after="0"/>
              <w:jc w:val="right"/>
              <w:rPr>
                <w:rFonts w:eastAsia="Times New Roman"/>
                <w:b/>
                <w:bCs/>
                <w:color w:val="000000"/>
                <w:sz w:val="20"/>
                <w:szCs w:val="20"/>
              </w:rPr>
            </w:pPr>
            <w:r w:rsidRPr="006D4ECF">
              <w:rPr>
                <w:rFonts w:eastAsia="Times New Roman"/>
                <w:b/>
                <w:bCs/>
                <w:color w:val="000000"/>
                <w:sz w:val="20"/>
                <w:szCs w:val="20"/>
              </w:rPr>
              <w:t>Total Income Received</w:t>
            </w:r>
            <w:r w:rsidRPr="006D4ECF">
              <w:rPr>
                <w:rFonts w:eastAsia="Times New Roman"/>
                <w:b/>
                <w:bCs/>
                <w:color w:val="000000"/>
                <w:sz w:val="20"/>
                <w:szCs w:val="20"/>
              </w:rPr>
              <w:br/>
              <w:t>(Transferred from LLDC)</w:t>
            </w:r>
          </w:p>
        </w:tc>
        <w:tc>
          <w:tcPr>
            <w:tcW w:w="1720" w:type="dxa"/>
            <w:tcBorders>
              <w:top w:val="single" w:sz="4" w:space="0" w:color="auto"/>
              <w:left w:val="nil"/>
              <w:bottom w:val="single" w:sz="4" w:space="0" w:color="auto"/>
              <w:right w:val="single" w:sz="4" w:space="0" w:color="auto"/>
            </w:tcBorders>
            <w:shd w:val="clear" w:color="auto" w:fill="00B0F0"/>
            <w:noWrap/>
            <w:hideMark/>
          </w:tcPr>
          <w:p w14:paraId="40E0EC4E" w14:textId="77777777" w:rsidR="00CD7FA2" w:rsidRPr="006D4ECF" w:rsidRDefault="00CD7FA2" w:rsidP="00470D85">
            <w:pPr>
              <w:spacing w:after="0"/>
              <w:jc w:val="right"/>
              <w:rPr>
                <w:rFonts w:eastAsia="Times New Roman"/>
                <w:b/>
                <w:bCs/>
                <w:color w:val="000000"/>
                <w:sz w:val="20"/>
                <w:szCs w:val="20"/>
              </w:rPr>
            </w:pPr>
            <w:r w:rsidRPr="006D4ECF">
              <w:rPr>
                <w:rFonts w:eastAsia="Times New Roman"/>
                <w:b/>
                <w:bCs/>
                <w:color w:val="000000"/>
                <w:sz w:val="20"/>
                <w:szCs w:val="20"/>
              </w:rPr>
              <w:t>Expenditure</w:t>
            </w:r>
          </w:p>
        </w:tc>
        <w:tc>
          <w:tcPr>
            <w:tcW w:w="1781" w:type="dxa"/>
            <w:tcBorders>
              <w:top w:val="single" w:sz="4" w:space="0" w:color="auto"/>
              <w:left w:val="nil"/>
              <w:bottom w:val="single" w:sz="4" w:space="0" w:color="auto"/>
              <w:right w:val="single" w:sz="4" w:space="0" w:color="auto"/>
            </w:tcBorders>
            <w:shd w:val="clear" w:color="auto" w:fill="00B0F0"/>
            <w:noWrap/>
            <w:hideMark/>
          </w:tcPr>
          <w:p w14:paraId="0FD64C8C" w14:textId="77777777" w:rsidR="00CD7FA2" w:rsidRPr="006D4ECF" w:rsidRDefault="00CD7FA2" w:rsidP="00470D85">
            <w:pPr>
              <w:spacing w:after="0"/>
              <w:jc w:val="right"/>
              <w:rPr>
                <w:rFonts w:eastAsia="Times New Roman"/>
                <w:b/>
                <w:bCs/>
                <w:color w:val="000000"/>
                <w:sz w:val="20"/>
                <w:szCs w:val="20"/>
              </w:rPr>
            </w:pPr>
            <w:r w:rsidRPr="006D4ECF">
              <w:rPr>
                <w:rFonts w:eastAsia="Times New Roman"/>
                <w:b/>
                <w:bCs/>
                <w:color w:val="000000"/>
                <w:sz w:val="20"/>
                <w:szCs w:val="20"/>
              </w:rPr>
              <w:t>Allocated</w:t>
            </w:r>
          </w:p>
        </w:tc>
        <w:tc>
          <w:tcPr>
            <w:tcW w:w="2126" w:type="dxa"/>
            <w:tcBorders>
              <w:top w:val="single" w:sz="4" w:space="0" w:color="auto"/>
              <w:left w:val="nil"/>
              <w:bottom w:val="single" w:sz="4" w:space="0" w:color="auto"/>
              <w:right w:val="single" w:sz="4" w:space="0" w:color="auto"/>
            </w:tcBorders>
            <w:shd w:val="clear" w:color="auto" w:fill="00B0F0"/>
            <w:noWrap/>
            <w:hideMark/>
          </w:tcPr>
          <w:p w14:paraId="2B435307" w14:textId="77777777" w:rsidR="00CD7FA2" w:rsidRPr="006D4ECF" w:rsidRDefault="00CD7FA2" w:rsidP="00470D85">
            <w:pPr>
              <w:spacing w:after="0"/>
              <w:jc w:val="right"/>
              <w:rPr>
                <w:rFonts w:eastAsia="Times New Roman"/>
                <w:b/>
                <w:bCs/>
                <w:color w:val="000000"/>
                <w:sz w:val="20"/>
                <w:szCs w:val="20"/>
              </w:rPr>
            </w:pPr>
            <w:r w:rsidRPr="006D4ECF">
              <w:rPr>
                <w:rFonts w:eastAsia="Times New Roman"/>
                <w:b/>
                <w:bCs/>
                <w:color w:val="000000"/>
                <w:sz w:val="20"/>
                <w:szCs w:val="20"/>
              </w:rPr>
              <w:t>Unallocated</w:t>
            </w:r>
          </w:p>
        </w:tc>
      </w:tr>
      <w:tr w:rsidR="00CD7FA2" w:rsidRPr="006D4ECF" w14:paraId="1E802B8B" w14:textId="77777777" w:rsidTr="732A479B">
        <w:trPr>
          <w:trHeight w:val="290"/>
        </w:trPr>
        <w:tc>
          <w:tcPr>
            <w:tcW w:w="1720" w:type="dxa"/>
            <w:tcBorders>
              <w:top w:val="nil"/>
              <w:left w:val="single" w:sz="4" w:space="0" w:color="auto"/>
              <w:bottom w:val="single" w:sz="4" w:space="0" w:color="auto"/>
              <w:right w:val="single" w:sz="4" w:space="0" w:color="auto"/>
            </w:tcBorders>
            <w:noWrap/>
            <w:vAlign w:val="bottom"/>
            <w:hideMark/>
          </w:tcPr>
          <w:p w14:paraId="179D63B8" w14:textId="77777777" w:rsidR="00CD7FA2" w:rsidRPr="006D4ECF" w:rsidRDefault="00CD7FA2" w:rsidP="00470D85">
            <w:pPr>
              <w:spacing w:after="0"/>
              <w:rPr>
                <w:rFonts w:eastAsia="Times New Roman"/>
                <w:color w:val="000000"/>
                <w:sz w:val="20"/>
                <w:szCs w:val="20"/>
              </w:rPr>
            </w:pPr>
            <w:r w:rsidRPr="006D4ECF">
              <w:rPr>
                <w:rFonts w:eastAsia="Times New Roman"/>
                <w:color w:val="000000"/>
                <w:sz w:val="20"/>
                <w:szCs w:val="20"/>
              </w:rPr>
              <w:t>s106</w:t>
            </w:r>
          </w:p>
        </w:tc>
        <w:tc>
          <w:tcPr>
            <w:tcW w:w="1720" w:type="dxa"/>
            <w:tcBorders>
              <w:top w:val="nil"/>
              <w:left w:val="nil"/>
              <w:bottom w:val="single" w:sz="4" w:space="0" w:color="auto"/>
              <w:right w:val="single" w:sz="4" w:space="0" w:color="auto"/>
            </w:tcBorders>
            <w:noWrap/>
            <w:vAlign w:val="bottom"/>
            <w:hideMark/>
          </w:tcPr>
          <w:p w14:paraId="0C0736CE" w14:textId="77777777" w:rsidR="00CD7FA2" w:rsidRPr="006D4ECF" w:rsidRDefault="00CD7FA2" w:rsidP="00470D85">
            <w:pPr>
              <w:spacing w:after="0"/>
              <w:jc w:val="right"/>
              <w:rPr>
                <w:rFonts w:eastAsia="Times New Roman"/>
                <w:color w:val="000000"/>
                <w:sz w:val="20"/>
                <w:szCs w:val="20"/>
              </w:rPr>
            </w:pPr>
            <w:r w:rsidRPr="006D4ECF">
              <w:rPr>
                <w:rFonts w:eastAsia="Times New Roman"/>
                <w:color w:val="000000"/>
                <w:sz w:val="20"/>
                <w:szCs w:val="20"/>
              </w:rPr>
              <w:t>£9,486,461</w:t>
            </w:r>
          </w:p>
        </w:tc>
        <w:tc>
          <w:tcPr>
            <w:tcW w:w="1720" w:type="dxa"/>
            <w:tcBorders>
              <w:top w:val="nil"/>
              <w:left w:val="nil"/>
              <w:bottom w:val="single" w:sz="4" w:space="0" w:color="auto"/>
              <w:right w:val="single" w:sz="4" w:space="0" w:color="auto"/>
            </w:tcBorders>
            <w:noWrap/>
            <w:vAlign w:val="bottom"/>
            <w:hideMark/>
          </w:tcPr>
          <w:p w14:paraId="0BCE2FB7" w14:textId="77777777" w:rsidR="00CD7FA2" w:rsidRPr="006D4ECF" w:rsidRDefault="00CD7FA2" w:rsidP="00470D85">
            <w:pPr>
              <w:spacing w:after="0"/>
              <w:jc w:val="right"/>
              <w:rPr>
                <w:rFonts w:eastAsia="Times New Roman"/>
                <w:color w:val="000000"/>
                <w:sz w:val="20"/>
                <w:szCs w:val="20"/>
              </w:rPr>
            </w:pPr>
            <w:r w:rsidRPr="006D4ECF">
              <w:rPr>
                <w:rFonts w:eastAsia="Times New Roman"/>
                <w:color w:val="000000"/>
                <w:sz w:val="20"/>
                <w:szCs w:val="20"/>
              </w:rPr>
              <w:t>£0</w:t>
            </w:r>
          </w:p>
        </w:tc>
        <w:tc>
          <w:tcPr>
            <w:tcW w:w="1781" w:type="dxa"/>
            <w:tcBorders>
              <w:top w:val="nil"/>
              <w:left w:val="nil"/>
              <w:bottom w:val="single" w:sz="4" w:space="0" w:color="auto"/>
              <w:right w:val="single" w:sz="4" w:space="0" w:color="auto"/>
            </w:tcBorders>
            <w:noWrap/>
            <w:vAlign w:val="bottom"/>
            <w:hideMark/>
          </w:tcPr>
          <w:p w14:paraId="00093FC6" w14:textId="77777777" w:rsidR="00CD7FA2" w:rsidRPr="006D4ECF" w:rsidRDefault="00CD7FA2" w:rsidP="00470D85">
            <w:pPr>
              <w:spacing w:after="0"/>
              <w:jc w:val="right"/>
              <w:rPr>
                <w:rFonts w:eastAsia="Times New Roman"/>
                <w:color w:val="000000"/>
                <w:sz w:val="20"/>
                <w:szCs w:val="20"/>
              </w:rPr>
            </w:pPr>
            <w:r w:rsidRPr="006D4ECF">
              <w:rPr>
                <w:rFonts w:eastAsia="Times New Roman"/>
                <w:color w:val="000000"/>
                <w:sz w:val="20"/>
                <w:szCs w:val="20"/>
              </w:rPr>
              <w:t>£7,343,052</w:t>
            </w:r>
          </w:p>
        </w:tc>
        <w:tc>
          <w:tcPr>
            <w:tcW w:w="2126" w:type="dxa"/>
            <w:tcBorders>
              <w:top w:val="nil"/>
              <w:left w:val="nil"/>
              <w:bottom w:val="single" w:sz="4" w:space="0" w:color="auto"/>
              <w:right w:val="single" w:sz="4" w:space="0" w:color="auto"/>
            </w:tcBorders>
            <w:noWrap/>
            <w:vAlign w:val="bottom"/>
            <w:hideMark/>
          </w:tcPr>
          <w:p w14:paraId="7DE03C8F" w14:textId="77777777" w:rsidR="00CD7FA2" w:rsidRPr="006D4ECF" w:rsidRDefault="00CD7FA2" w:rsidP="00470D85">
            <w:pPr>
              <w:spacing w:after="0"/>
              <w:jc w:val="right"/>
              <w:rPr>
                <w:rFonts w:eastAsia="Times New Roman"/>
                <w:color w:val="000000"/>
                <w:sz w:val="20"/>
                <w:szCs w:val="20"/>
              </w:rPr>
            </w:pPr>
            <w:r w:rsidRPr="006D4ECF">
              <w:rPr>
                <w:rFonts w:eastAsia="Times New Roman"/>
                <w:color w:val="000000"/>
                <w:sz w:val="20"/>
                <w:szCs w:val="20"/>
              </w:rPr>
              <w:t>£2,143,409</w:t>
            </w:r>
          </w:p>
        </w:tc>
      </w:tr>
      <w:tr w:rsidR="00CD7FA2" w:rsidRPr="006D4ECF" w14:paraId="688D1ECB" w14:textId="77777777" w:rsidTr="732A479B">
        <w:trPr>
          <w:trHeight w:val="290"/>
        </w:trPr>
        <w:tc>
          <w:tcPr>
            <w:tcW w:w="1720" w:type="dxa"/>
            <w:tcBorders>
              <w:top w:val="nil"/>
              <w:left w:val="single" w:sz="4" w:space="0" w:color="auto"/>
              <w:bottom w:val="single" w:sz="4" w:space="0" w:color="auto"/>
              <w:right w:val="single" w:sz="4" w:space="0" w:color="auto"/>
            </w:tcBorders>
            <w:noWrap/>
            <w:vAlign w:val="bottom"/>
            <w:hideMark/>
          </w:tcPr>
          <w:p w14:paraId="361342D9" w14:textId="77777777" w:rsidR="00CD7FA2" w:rsidRPr="006D4ECF" w:rsidRDefault="00CD7FA2" w:rsidP="00470D85">
            <w:pPr>
              <w:spacing w:after="0"/>
              <w:rPr>
                <w:rFonts w:eastAsia="Times New Roman"/>
                <w:color w:val="000000"/>
                <w:sz w:val="20"/>
                <w:szCs w:val="20"/>
              </w:rPr>
            </w:pPr>
            <w:r w:rsidRPr="006D4ECF">
              <w:rPr>
                <w:rFonts w:eastAsia="Times New Roman"/>
                <w:color w:val="000000"/>
                <w:sz w:val="20"/>
                <w:szCs w:val="20"/>
              </w:rPr>
              <w:t>CIL</w:t>
            </w:r>
          </w:p>
        </w:tc>
        <w:tc>
          <w:tcPr>
            <w:tcW w:w="1720" w:type="dxa"/>
            <w:tcBorders>
              <w:top w:val="nil"/>
              <w:left w:val="nil"/>
              <w:bottom w:val="single" w:sz="4" w:space="0" w:color="auto"/>
              <w:right w:val="single" w:sz="4" w:space="0" w:color="auto"/>
            </w:tcBorders>
            <w:noWrap/>
            <w:vAlign w:val="bottom"/>
            <w:hideMark/>
          </w:tcPr>
          <w:p w14:paraId="1BF84006" w14:textId="77777777" w:rsidR="00CD7FA2" w:rsidRPr="006D4ECF" w:rsidRDefault="00CD7FA2" w:rsidP="00470D85">
            <w:pPr>
              <w:spacing w:after="0"/>
              <w:jc w:val="right"/>
              <w:rPr>
                <w:rFonts w:eastAsia="Times New Roman"/>
                <w:color w:val="000000"/>
                <w:sz w:val="20"/>
                <w:szCs w:val="20"/>
              </w:rPr>
            </w:pPr>
            <w:r w:rsidRPr="006D4ECF">
              <w:rPr>
                <w:rFonts w:eastAsia="Times New Roman"/>
                <w:color w:val="000000"/>
                <w:sz w:val="20"/>
                <w:szCs w:val="20"/>
              </w:rPr>
              <w:t>£5,117,931</w:t>
            </w:r>
          </w:p>
        </w:tc>
        <w:tc>
          <w:tcPr>
            <w:tcW w:w="1720" w:type="dxa"/>
            <w:tcBorders>
              <w:top w:val="nil"/>
              <w:left w:val="nil"/>
              <w:bottom w:val="single" w:sz="4" w:space="0" w:color="auto"/>
              <w:right w:val="single" w:sz="4" w:space="0" w:color="auto"/>
            </w:tcBorders>
            <w:noWrap/>
            <w:vAlign w:val="bottom"/>
            <w:hideMark/>
          </w:tcPr>
          <w:p w14:paraId="1DBCDAB5" w14:textId="77777777" w:rsidR="00CD7FA2" w:rsidRPr="006D4ECF" w:rsidRDefault="00CD7FA2" w:rsidP="00470D85">
            <w:pPr>
              <w:spacing w:after="0"/>
              <w:jc w:val="right"/>
              <w:rPr>
                <w:rFonts w:eastAsia="Times New Roman"/>
                <w:color w:val="000000"/>
                <w:sz w:val="20"/>
                <w:szCs w:val="20"/>
              </w:rPr>
            </w:pPr>
            <w:r w:rsidRPr="006D4ECF">
              <w:rPr>
                <w:rFonts w:eastAsia="Times New Roman"/>
                <w:color w:val="000000"/>
                <w:sz w:val="20"/>
                <w:szCs w:val="20"/>
              </w:rPr>
              <w:t>£0</w:t>
            </w:r>
          </w:p>
        </w:tc>
        <w:tc>
          <w:tcPr>
            <w:tcW w:w="1781" w:type="dxa"/>
            <w:tcBorders>
              <w:top w:val="nil"/>
              <w:left w:val="nil"/>
              <w:bottom w:val="single" w:sz="4" w:space="0" w:color="auto"/>
              <w:right w:val="single" w:sz="4" w:space="0" w:color="auto"/>
            </w:tcBorders>
            <w:noWrap/>
            <w:vAlign w:val="bottom"/>
            <w:hideMark/>
          </w:tcPr>
          <w:p w14:paraId="711F11E4" w14:textId="77777777" w:rsidR="00CD7FA2" w:rsidRPr="006D4ECF" w:rsidRDefault="00CD7FA2" w:rsidP="00470D85">
            <w:pPr>
              <w:spacing w:after="0"/>
              <w:jc w:val="right"/>
              <w:rPr>
                <w:rFonts w:eastAsia="Times New Roman"/>
                <w:color w:val="000000"/>
                <w:sz w:val="20"/>
                <w:szCs w:val="20"/>
              </w:rPr>
            </w:pPr>
            <w:r w:rsidRPr="006D4ECF">
              <w:rPr>
                <w:rFonts w:eastAsia="Times New Roman"/>
                <w:color w:val="000000"/>
                <w:sz w:val="20"/>
                <w:szCs w:val="20"/>
              </w:rPr>
              <w:t>£5,117,931</w:t>
            </w:r>
          </w:p>
        </w:tc>
        <w:tc>
          <w:tcPr>
            <w:tcW w:w="2126" w:type="dxa"/>
            <w:tcBorders>
              <w:top w:val="nil"/>
              <w:left w:val="nil"/>
              <w:bottom w:val="single" w:sz="4" w:space="0" w:color="auto"/>
              <w:right w:val="single" w:sz="4" w:space="0" w:color="auto"/>
            </w:tcBorders>
            <w:noWrap/>
            <w:vAlign w:val="bottom"/>
            <w:hideMark/>
          </w:tcPr>
          <w:p w14:paraId="4FFE4440" w14:textId="77777777" w:rsidR="00CD7FA2" w:rsidRPr="006D4ECF" w:rsidRDefault="00CD7FA2" w:rsidP="00470D85">
            <w:pPr>
              <w:spacing w:after="0"/>
              <w:jc w:val="right"/>
              <w:rPr>
                <w:rFonts w:eastAsia="Times New Roman"/>
                <w:color w:val="000000"/>
                <w:sz w:val="20"/>
                <w:szCs w:val="20"/>
              </w:rPr>
            </w:pPr>
            <w:r w:rsidRPr="006D4ECF">
              <w:rPr>
                <w:rFonts w:eastAsia="Times New Roman"/>
                <w:color w:val="000000"/>
                <w:sz w:val="20"/>
                <w:szCs w:val="20"/>
              </w:rPr>
              <w:t>£0</w:t>
            </w:r>
          </w:p>
        </w:tc>
      </w:tr>
      <w:tr w:rsidR="00CD7FA2" w:rsidRPr="006D4ECF" w14:paraId="45E24AAB" w14:textId="77777777" w:rsidTr="732A479B">
        <w:trPr>
          <w:trHeight w:val="290"/>
        </w:trPr>
        <w:tc>
          <w:tcPr>
            <w:tcW w:w="1720" w:type="dxa"/>
            <w:tcBorders>
              <w:top w:val="nil"/>
              <w:left w:val="single" w:sz="4" w:space="0" w:color="auto"/>
              <w:bottom w:val="single" w:sz="4" w:space="0" w:color="auto"/>
              <w:right w:val="single" w:sz="4" w:space="0" w:color="auto"/>
            </w:tcBorders>
            <w:noWrap/>
            <w:vAlign w:val="bottom"/>
            <w:hideMark/>
          </w:tcPr>
          <w:p w14:paraId="08E33FE5" w14:textId="77777777" w:rsidR="00CD7FA2" w:rsidRPr="006D4ECF" w:rsidRDefault="00CD7FA2" w:rsidP="00470D85">
            <w:pPr>
              <w:spacing w:after="0"/>
              <w:rPr>
                <w:rFonts w:eastAsia="Times New Roman"/>
                <w:color w:val="000000"/>
                <w:sz w:val="20"/>
                <w:szCs w:val="20"/>
              </w:rPr>
            </w:pPr>
            <w:r w:rsidRPr="006D4ECF">
              <w:rPr>
                <w:rFonts w:eastAsia="Times New Roman"/>
                <w:color w:val="000000"/>
                <w:sz w:val="20"/>
                <w:szCs w:val="20"/>
              </w:rPr>
              <w:t>NCIL</w:t>
            </w:r>
          </w:p>
        </w:tc>
        <w:tc>
          <w:tcPr>
            <w:tcW w:w="1720" w:type="dxa"/>
            <w:tcBorders>
              <w:top w:val="nil"/>
              <w:left w:val="nil"/>
              <w:bottom w:val="single" w:sz="4" w:space="0" w:color="auto"/>
              <w:right w:val="single" w:sz="4" w:space="0" w:color="auto"/>
            </w:tcBorders>
            <w:noWrap/>
            <w:vAlign w:val="bottom"/>
            <w:hideMark/>
          </w:tcPr>
          <w:p w14:paraId="1116E81F" w14:textId="77777777" w:rsidR="00CD7FA2" w:rsidRPr="006D4ECF" w:rsidRDefault="00CD7FA2" w:rsidP="00470D85">
            <w:pPr>
              <w:spacing w:after="0"/>
              <w:jc w:val="right"/>
              <w:rPr>
                <w:rFonts w:eastAsia="Times New Roman"/>
                <w:color w:val="000000"/>
                <w:sz w:val="20"/>
                <w:szCs w:val="20"/>
              </w:rPr>
            </w:pPr>
            <w:r w:rsidRPr="006D4ECF">
              <w:rPr>
                <w:rFonts w:eastAsia="Times New Roman"/>
                <w:color w:val="000000"/>
                <w:sz w:val="20"/>
                <w:szCs w:val="20"/>
              </w:rPr>
              <w:t>£233,752</w:t>
            </w:r>
          </w:p>
        </w:tc>
        <w:tc>
          <w:tcPr>
            <w:tcW w:w="1720" w:type="dxa"/>
            <w:tcBorders>
              <w:top w:val="nil"/>
              <w:left w:val="nil"/>
              <w:bottom w:val="single" w:sz="4" w:space="0" w:color="auto"/>
              <w:right w:val="single" w:sz="4" w:space="0" w:color="auto"/>
            </w:tcBorders>
            <w:noWrap/>
            <w:vAlign w:val="bottom"/>
            <w:hideMark/>
          </w:tcPr>
          <w:p w14:paraId="36D39C05" w14:textId="77777777" w:rsidR="00CD7FA2" w:rsidRPr="006D4ECF" w:rsidRDefault="00CD7FA2" w:rsidP="00470D85">
            <w:pPr>
              <w:spacing w:after="0"/>
              <w:jc w:val="right"/>
              <w:rPr>
                <w:rFonts w:eastAsia="Times New Roman"/>
                <w:color w:val="000000"/>
                <w:sz w:val="20"/>
                <w:szCs w:val="20"/>
              </w:rPr>
            </w:pPr>
            <w:r w:rsidRPr="006D4ECF">
              <w:rPr>
                <w:rFonts w:eastAsia="Times New Roman"/>
                <w:color w:val="000000"/>
                <w:sz w:val="20"/>
                <w:szCs w:val="20"/>
              </w:rPr>
              <w:t>£0</w:t>
            </w:r>
          </w:p>
        </w:tc>
        <w:tc>
          <w:tcPr>
            <w:tcW w:w="1781" w:type="dxa"/>
            <w:tcBorders>
              <w:top w:val="nil"/>
              <w:left w:val="nil"/>
              <w:bottom w:val="single" w:sz="4" w:space="0" w:color="auto"/>
              <w:right w:val="single" w:sz="4" w:space="0" w:color="auto"/>
            </w:tcBorders>
            <w:noWrap/>
            <w:vAlign w:val="bottom"/>
            <w:hideMark/>
          </w:tcPr>
          <w:p w14:paraId="6F152C7A" w14:textId="77777777" w:rsidR="00CD7FA2" w:rsidRPr="006D4ECF" w:rsidRDefault="00CD7FA2" w:rsidP="00470D85">
            <w:pPr>
              <w:spacing w:after="0"/>
              <w:jc w:val="right"/>
              <w:rPr>
                <w:rFonts w:eastAsia="Times New Roman"/>
                <w:color w:val="000000"/>
                <w:sz w:val="20"/>
                <w:szCs w:val="20"/>
              </w:rPr>
            </w:pPr>
            <w:r w:rsidRPr="006D4ECF">
              <w:rPr>
                <w:rFonts w:eastAsia="Times New Roman"/>
                <w:color w:val="000000"/>
                <w:sz w:val="20"/>
                <w:szCs w:val="20"/>
              </w:rPr>
              <w:t>£11,180</w:t>
            </w:r>
          </w:p>
        </w:tc>
        <w:tc>
          <w:tcPr>
            <w:tcW w:w="2126" w:type="dxa"/>
            <w:tcBorders>
              <w:top w:val="nil"/>
              <w:left w:val="nil"/>
              <w:bottom w:val="single" w:sz="4" w:space="0" w:color="auto"/>
              <w:right w:val="single" w:sz="4" w:space="0" w:color="auto"/>
            </w:tcBorders>
            <w:noWrap/>
            <w:vAlign w:val="bottom"/>
            <w:hideMark/>
          </w:tcPr>
          <w:p w14:paraId="1A583B29" w14:textId="77777777" w:rsidR="00CD7FA2" w:rsidRPr="006D4ECF" w:rsidRDefault="00CD7FA2" w:rsidP="00470D85">
            <w:pPr>
              <w:spacing w:after="0"/>
              <w:jc w:val="right"/>
              <w:rPr>
                <w:rFonts w:eastAsia="Times New Roman"/>
                <w:color w:val="000000"/>
                <w:sz w:val="20"/>
                <w:szCs w:val="20"/>
              </w:rPr>
            </w:pPr>
            <w:r w:rsidRPr="006D4ECF">
              <w:rPr>
                <w:rFonts w:eastAsia="Times New Roman"/>
                <w:color w:val="000000"/>
                <w:sz w:val="20"/>
                <w:szCs w:val="20"/>
              </w:rPr>
              <w:t>£222,572</w:t>
            </w:r>
          </w:p>
        </w:tc>
      </w:tr>
      <w:tr w:rsidR="00CD7FA2" w:rsidRPr="006D4ECF" w14:paraId="48D53752" w14:textId="77777777" w:rsidTr="732A479B">
        <w:trPr>
          <w:trHeight w:val="580"/>
        </w:trPr>
        <w:tc>
          <w:tcPr>
            <w:tcW w:w="1720"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1557537F" w14:textId="77777777" w:rsidR="00CD7FA2" w:rsidRPr="006D4ECF" w:rsidRDefault="00CD7FA2" w:rsidP="00470D85">
            <w:pPr>
              <w:spacing w:after="0"/>
              <w:jc w:val="right"/>
              <w:rPr>
                <w:rFonts w:eastAsia="Times New Roman"/>
                <w:b/>
                <w:bCs/>
                <w:color w:val="000000"/>
                <w:sz w:val="20"/>
                <w:szCs w:val="20"/>
              </w:rPr>
            </w:pPr>
            <w:r w:rsidRPr="006D4ECF">
              <w:rPr>
                <w:rFonts w:eastAsia="Times New Roman"/>
                <w:b/>
                <w:bCs/>
                <w:color w:val="000000"/>
                <w:sz w:val="20"/>
                <w:szCs w:val="20"/>
              </w:rPr>
              <w:t>Total</w:t>
            </w:r>
          </w:p>
        </w:tc>
        <w:tc>
          <w:tcPr>
            <w:tcW w:w="1720" w:type="dxa"/>
            <w:tcBorders>
              <w:top w:val="nil"/>
              <w:left w:val="nil"/>
              <w:bottom w:val="single" w:sz="4" w:space="0" w:color="auto"/>
              <w:right w:val="single" w:sz="4" w:space="0" w:color="auto"/>
            </w:tcBorders>
            <w:shd w:val="clear" w:color="auto" w:fill="D9D9D9" w:themeFill="background1" w:themeFillShade="D9"/>
            <w:noWrap/>
            <w:vAlign w:val="bottom"/>
            <w:hideMark/>
          </w:tcPr>
          <w:p w14:paraId="522AECA7" w14:textId="77777777" w:rsidR="00CD7FA2" w:rsidRPr="006D4ECF" w:rsidRDefault="00CD7FA2" w:rsidP="00470D85">
            <w:pPr>
              <w:spacing w:after="0"/>
              <w:jc w:val="right"/>
              <w:rPr>
                <w:rFonts w:eastAsia="Times New Roman"/>
                <w:b/>
                <w:bCs/>
                <w:color w:val="000000"/>
                <w:sz w:val="20"/>
                <w:szCs w:val="20"/>
              </w:rPr>
            </w:pPr>
            <w:r w:rsidRPr="006D4ECF">
              <w:rPr>
                <w:rFonts w:eastAsia="Times New Roman"/>
                <w:b/>
                <w:bCs/>
                <w:color w:val="000000"/>
                <w:sz w:val="20"/>
                <w:szCs w:val="20"/>
              </w:rPr>
              <w:t>£14,838,145</w:t>
            </w:r>
          </w:p>
        </w:tc>
        <w:tc>
          <w:tcPr>
            <w:tcW w:w="1720" w:type="dxa"/>
            <w:tcBorders>
              <w:top w:val="nil"/>
              <w:left w:val="nil"/>
              <w:bottom w:val="single" w:sz="4" w:space="0" w:color="auto"/>
              <w:right w:val="single" w:sz="4" w:space="0" w:color="auto"/>
            </w:tcBorders>
            <w:shd w:val="clear" w:color="auto" w:fill="D9D9D9" w:themeFill="background1" w:themeFillShade="D9"/>
            <w:noWrap/>
            <w:vAlign w:val="bottom"/>
            <w:hideMark/>
          </w:tcPr>
          <w:p w14:paraId="53C5A160" w14:textId="77777777" w:rsidR="00CD7FA2" w:rsidRPr="006D4ECF" w:rsidRDefault="00CD7FA2" w:rsidP="00470D85">
            <w:pPr>
              <w:spacing w:after="0"/>
              <w:jc w:val="right"/>
              <w:rPr>
                <w:rFonts w:eastAsia="Times New Roman"/>
                <w:b/>
                <w:bCs/>
                <w:color w:val="000000"/>
                <w:sz w:val="20"/>
                <w:szCs w:val="20"/>
              </w:rPr>
            </w:pPr>
            <w:r w:rsidRPr="006D4ECF">
              <w:rPr>
                <w:rFonts w:eastAsia="Times New Roman"/>
                <w:b/>
                <w:bCs/>
                <w:color w:val="000000"/>
                <w:sz w:val="20"/>
                <w:szCs w:val="20"/>
              </w:rPr>
              <w:t>£0</w:t>
            </w:r>
          </w:p>
        </w:tc>
        <w:tc>
          <w:tcPr>
            <w:tcW w:w="1781" w:type="dxa"/>
            <w:tcBorders>
              <w:top w:val="nil"/>
              <w:left w:val="nil"/>
              <w:bottom w:val="single" w:sz="4" w:space="0" w:color="auto"/>
              <w:right w:val="single" w:sz="4" w:space="0" w:color="auto"/>
            </w:tcBorders>
            <w:shd w:val="clear" w:color="auto" w:fill="D9D9D9" w:themeFill="background1" w:themeFillShade="D9"/>
            <w:noWrap/>
            <w:vAlign w:val="bottom"/>
            <w:hideMark/>
          </w:tcPr>
          <w:p w14:paraId="5FCCD07E" w14:textId="77777777" w:rsidR="00CD7FA2" w:rsidRPr="006D4ECF" w:rsidRDefault="00CD7FA2" w:rsidP="00470D85">
            <w:pPr>
              <w:spacing w:after="0"/>
              <w:jc w:val="right"/>
              <w:rPr>
                <w:rFonts w:eastAsia="Times New Roman"/>
                <w:b/>
                <w:bCs/>
                <w:color w:val="000000"/>
                <w:sz w:val="20"/>
                <w:szCs w:val="20"/>
              </w:rPr>
            </w:pPr>
            <w:r w:rsidRPr="006D4ECF">
              <w:rPr>
                <w:rFonts w:eastAsia="Times New Roman"/>
                <w:b/>
                <w:bCs/>
                <w:color w:val="000000"/>
                <w:sz w:val="20"/>
                <w:szCs w:val="20"/>
              </w:rPr>
              <w:t>£12,472,163</w:t>
            </w:r>
          </w:p>
        </w:tc>
        <w:tc>
          <w:tcPr>
            <w:tcW w:w="2126" w:type="dxa"/>
            <w:tcBorders>
              <w:top w:val="nil"/>
              <w:left w:val="nil"/>
              <w:bottom w:val="single" w:sz="4" w:space="0" w:color="auto"/>
              <w:right w:val="single" w:sz="4" w:space="0" w:color="auto"/>
            </w:tcBorders>
            <w:shd w:val="clear" w:color="auto" w:fill="D9D9D9" w:themeFill="background1" w:themeFillShade="D9"/>
            <w:noWrap/>
            <w:vAlign w:val="bottom"/>
            <w:hideMark/>
          </w:tcPr>
          <w:p w14:paraId="4F674BD6" w14:textId="77777777" w:rsidR="00CD7FA2" w:rsidRPr="006D4ECF" w:rsidRDefault="00CD7FA2" w:rsidP="00470D85">
            <w:pPr>
              <w:spacing w:after="0"/>
              <w:jc w:val="right"/>
              <w:rPr>
                <w:rFonts w:eastAsia="Times New Roman"/>
                <w:b/>
                <w:bCs/>
                <w:color w:val="000000"/>
                <w:sz w:val="20"/>
                <w:szCs w:val="20"/>
              </w:rPr>
            </w:pPr>
            <w:r w:rsidRPr="006D4ECF">
              <w:rPr>
                <w:rFonts w:eastAsia="Times New Roman"/>
                <w:b/>
                <w:bCs/>
                <w:color w:val="000000"/>
                <w:sz w:val="20"/>
                <w:szCs w:val="20"/>
              </w:rPr>
              <w:t>£2,365,982</w:t>
            </w:r>
          </w:p>
        </w:tc>
      </w:tr>
    </w:tbl>
    <w:p w14:paraId="25A4FF54" w14:textId="77777777" w:rsidR="005F7802" w:rsidRDefault="005F7802" w:rsidP="00CD7FA2">
      <w:pPr>
        <w:rPr>
          <w:sz w:val="22"/>
          <w:szCs w:val="22"/>
        </w:rPr>
      </w:pPr>
    </w:p>
    <w:p w14:paraId="36B811D1" w14:textId="2A7F47C2" w:rsidR="00CD7FA2" w:rsidRPr="005F7802" w:rsidRDefault="00CD7FA2" w:rsidP="00CD7FA2">
      <w:pPr>
        <w:rPr>
          <w:sz w:val="22"/>
          <w:szCs w:val="22"/>
        </w:rPr>
      </w:pPr>
      <w:r w:rsidRPr="005F7802">
        <w:rPr>
          <w:sz w:val="22"/>
          <w:szCs w:val="22"/>
        </w:rPr>
        <w:t xml:space="preserve">For a full breakdown of what projects funds have been allocated to, see Tables </w:t>
      </w:r>
      <w:r w:rsidR="00EA7615">
        <w:rPr>
          <w:sz w:val="22"/>
          <w:szCs w:val="22"/>
        </w:rPr>
        <w:t>4</w:t>
      </w:r>
      <w:r w:rsidRPr="005F7802">
        <w:rPr>
          <w:sz w:val="22"/>
          <w:szCs w:val="22"/>
        </w:rPr>
        <w:t xml:space="preserve">.2, </w:t>
      </w:r>
      <w:r w:rsidR="00EA7615">
        <w:rPr>
          <w:sz w:val="22"/>
          <w:szCs w:val="22"/>
        </w:rPr>
        <w:t>4</w:t>
      </w:r>
      <w:r w:rsidRPr="005F7802">
        <w:rPr>
          <w:sz w:val="22"/>
          <w:szCs w:val="22"/>
        </w:rPr>
        <w:t xml:space="preserve">.3 and </w:t>
      </w:r>
      <w:r w:rsidR="00EA7615">
        <w:rPr>
          <w:sz w:val="22"/>
          <w:szCs w:val="22"/>
        </w:rPr>
        <w:t>4</w:t>
      </w:r>
      <w:r w:rsidR="005F7802" w:rsidRPr="005F7802">
        <w:rPr>
          <w:sz w:val="22"/>
          <w:szCs w:val="22"/>
        </w:rPr>
        <w:t>.</w:t>
      </w:r>
      <w:r w:rsidRPr="005F7802">
        <w:rPr>
          <w:sz w:val="22"/>
          <w:szCs w:val="22"/>
        </w:rPr>
        <w:t>4 for s106, CIL and NCIL, respectively.</w:t>
      </w:r>
    </w:p>
    <w:p w14:paraId="4E904E46" w14:textId="1D756478" w:rsidR="00CD7FA2" w:rsidRPr="005F7802" w:rsidRDefault="00CD7FA2" w:rsidP="00CD7FA2">
      <w:pPr>
        <w:rPr>
          <w:b/>
          <w:bCs/>
          <w:sz w:val="22"/>
          <w:szCs w:val="22"/>
        </w:rPr>
      </w:pPr>
      <w:r w:rsidRPr="005F7802">
        <w:rPr>
          <w:b/>
          <w:bCs/>
          <w:sz w:val="22"/>
          <w:szCs w:val="22"/>
        </w:rPr>
        <w:t xml:space="preserve">Table </w:t>
      </w:r>
      <w:r w:rsidR="00EA7615">
        <w:rPr>
          <w:b/>
          <w:bCs/>
          <w:sz w:val="22"/>
          <w:szCs w:val="22"/>
        </w:rPr>
        <w:t>4</w:t>
      </w:r>
      <w:r w:rsidRPr="005F7802">
        <w:rPr>
          <w:b/>
          <w:bCs/>
          <w:sz w:val="22"/>
          <w:szCs w:val="22"/>
        </w:rPr>
        <w:t xml:space="preserve">.2 s106 Allocated Funds to Projects </w:t>
      </w:r>
    </w:p>
    <w:tbl>
      <w:tblPr>
        <w:tblpPr w:leftFromText="180" w:rightFromText="180" w:vertAnchor="text" w:tblpY="1"/>
        <w:tblOverlap w:val="never"/>
        <w:tblW w:w="5200" w:type="dxa"/>
        <w:tblLook w:val="04A0" w:firstRow="1" w:lastRow="0" w:firstColumn="1" w:lastColumn="0" w:noHBand="0" w:noVBand="1"/>
      </w:tblPr>
      <w:tblGrid>
        <w:gridCol w:w="3539"/>
        <w:gridCol w:w="1661"/>
      </w:tblGrid>
      <w:tr w:rsidR="00CD7FA2" w:rsidRPr="006D4ECF" w14:paraId="30283B0B" w14:textId="77777777" w:rsidTr="732A479B">
        <w:trPr>
          <w:trHeight w:val="300"/>
        </w:trPr>
        <w:tc>
          <w:tcPr>
            <w:tcW w:w="3539"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1117BAFC" w14:textId="77777777" w:rsidR="00CD7FA2" w:rsidRPr="006D4ECF" w:rsidRDefault="00CD7FA2" w:rsidP="00470D85">
            <w:pPr>
              <w:spacing w:after="0"/>
              <w:rPr>
                <w:rFonts w:eastAsia="Times New Roman"/>
                <w:b/>
                <w:bCs/>
                <w:color w:val="000000"/>
                <w:sz w:val="20"/>
                <w:szCs w:val="20"/>
              </w:rPr>
            </w:pPr>
            <w:r w:rsidRPr="006D4ECF">
              <w:rPr>
                <w:rFonts w:eastAsia="Times New Roman"/>
                <w:b/>
                <w:bCs/>
                <w:color w:val="000000"/>
                <w:sz w:val="20"/>
                <w:szCs w:val="20"/>
              </w:rPr>
              <w:t>Name of Project</w:t>
            </w:r>
          </w:p>
        </w:tc>
        <w:tc>
          <w:tcPr>
            <w:tcW w:w="1661" w:type="dxa"/>
            <w:tcBorders>
              <w:top w:val="single" w:sz="4" w:space="0" w:color="auto"/>
              <w:left w:val="nil"/>
              <w:bottom w:val="single" w:sz="4" w:space="0" w:color="auto"/>
              <w:right w:val="single" w:sz="4" w:space="0" w:color="auto"/>
            </w:tcBorders>
            <w:shd w:val="clear" w:color="auto" w:fill="00B0F0"/>
            <w:vAlign w:val="center"/>
            <w:hideMark/>
          </w:tcPr>
          <w:p w14:paraId="566D0A12" w14:textId="77777777" w:rsidR="00CD7FA2" w:rsidRPr="006D4ECF" w:rsidRDefault="00CD7FA2" w:rsidP="00470D85">
            <w:pPr>
              <w:spacing w:after="0"/>
              <w:jc w:val="right"/>
              <w:rPr>
                <w:rFonts w:eastAsia="Times New Roman"/>
                <w:b/>
                <w:bCs/>
                <w:color w:val="000000"/>
                <w:sz w:val="20"/>
                <w:szCs w:val="20"/>
              </w:rPr>
            </w:pPr>
            <w:r w:rsidRPr="006D4ECF">
              <w:rPr>
                <w:rFonts w:eastAsia="Times New Roman"/>
                <w:b/>
                <w:bCs/>
                <w:color w:val="000000"/>
                <w:sz w:val="20"/>
                <w:szCs w:val="20"/>
              </w:rPr>
              <w:t>2024/2025 Amount</w:t>
            </w:r>
          </w:p>
        </w:tc>
      </w:tr>
      <w:tr w:rsidR="00CD7FA2" w:rsidRPr="006D4ECF" w14:paraId="1E85DDC4" w14:textId="77777777" w:rsidTr="732A479B">
        <w:trPr>
          <w:trHeight w:val="300"/>
        </w:trPr>
        <w:tc>
          <w:tcPr>
            <w:tcW w:w="3539" w:type="dxa"/>
            <w:tcBorders>
              <w:top w:val="nil"/>
              <w:left w:val="single" w:sz="4" w:space="0" w:color="auto"/>
              <w:bottom w:val="single" w:sz="4" w:space="0" w:color="auto"/>
              <w:right w:val="single" w:sz="4" w:space="0" w:color="auto"/>
            </w:tcBorders>
            <w:vAlign w:val="center"/>
            <w:hideMark/>
          </w:tcPr>
          <w:p w14:paraId="126DDB0F" w14:textId="77777777" w:rsidR="00CD7FA2" w:rsidRPr="006D4ECF" w:rsidRDefault="00CD7FA2" w:rsidP="00470D85">
            <w:pPr>
              <w:spacing w:after="0"/>
              <w:rPr>
                <w:rFonts w:eastAsia="Times New Roman"/>
                <w:color w:val="000000"/>
                <w:sz w:val="20"/>
                <w:szCs w:val="20"/>
              </w:rPr>
            </w:pPr>
            <w:r w:rsidRPr="006D4ECF">
              <w:rPr>
                <w:rFonts w:eastAsia="Times New Roman"/>
                <w:color w:val="000000"/>
                <w:sz w:val="20"/>
                <w:szCs w:val="20"/>
              </w:rPr>
              <w:t>Bromley by Bow Tube Station</w:t>
            </w:r>
          </w:p>
        </w:tc>
        <w:tc>
          <w:tcPr>
            <w:tcW w:w="1661" w:type="dxa"/>
            <w:tcBorders>
              <w:top w:val="nil"/>
              <w:left w:val="nil"/>
              <w:bottom w:val="single" w:sz="4" w:space="0" w:color="auto"/>
              <w:right w:val="single" w:sz="4" w:space="0" w:color="auto"/>
            </w:tcBorders>
            <w:vAlign w:val="center"/>
            <w:hideMark/>
          </w:tcPr>
          <w:p w14:paraId="1B797B8F" w14:textId="77777777" w:rsidR="00CD7FA2" w:rsidRPr="006D4ECF" w:rsidRDefault="00CD7FA2" w:rsidP="00470D85">
            <w:pPr>
              <w:spacing w:after="0"/>
              <w:jc w:val="right"/>
              <w:rPr>
                <w:rFonts w:eastAsia="Times New Roman"/>
                <w:color w:val="000000"/>
                <w:sz w:val="20"/>
                <w:szCs w:val="20"/>
              </w:rPr>
            </w:pPr>
            <w:r w:rsidRPr="006D4ECF">
              <w:rPr>
                <w:rFonts w:eastAsia="Times New Roman"/>
                <w:color w:val="000000"/>
                <w:sz w:val="20"/>
                <w:szCs w:val="20"/>
              </w:rPr>
              <w:t>£198,795</w:t>
            </w:r>
          </w:p>
        </w:tc>
      </w:tr>
      <w:tr w:rsidR="00CD7FA2" w:rsidRPr="006D4ECF" w14:paraId="2A8639D3" w14:textId="77777777" w:rsidTr="732A479B">
        <w:trPr>
          <w:trHeight w:val="300"/>
        </w:trPr>
        <w:tc>
          <w:tcPr>
            <w:tcW w:w="3539" w:type="dxa"/>
            <w:tcBorders>
              <w:top w:val="nil"/>
              <w:left w:val="single" w:sz="4" w:space="0" w:color="auto"/>
              <w:bottom w:val="single" w:sz="4" w:space="0" w:color="auto"/>
              <w:right w:val="single" w:sz="4" w:space="0" w:color="auto"/>
            </w:tcBorders>
            <w:vAlign w:val="center"/>
            <w:hideMark/>
          </w:tcPr>
          <w:p w14:paraId="10996041" w14:textId="77777777" w:rsidR="00CD7FA2" w:rsidRPr="006D4ECF" w:rsidRDefault="00CD7FA2" w:rsidP="00470D85">
            <w:pPr>
              <w:spacing w:after="0"/>
              <w:rPr>
                <w:rFonts w:eastAsia="Times New Roman"/>
                <w:color w:val="000000"/>
                <w:sz w:val="20"/>
                <w:szCs w:val="20"/>
              </w:rPr>
            </w:pPr>
            <w:r w:rsidRPr="006D4ECF">
              <w:rPr>
                <w:rFonts w:eastAsia="Times New Roman"/>
                <w:color w:val="000000"/>
                <w:sz w:val="20"/>
                <w:szCs w:val="20"/>
              </w:rPr>
              <w:t>Bromley by Bow</w:t>
            </w:r>
          </w:p>
        </w:tc>
        <w:tc>
          <w:tcPr>
            <w:tcW w:w="1661" w:type="dxa"/>
            <w:tcBorders>
              <w:top w:val="nil"/>
              <w:left w:val="nil"/>
              <w:bottom w:val="single" w:sz="4" w:space="0" w:color="auto"/>
              <w:right w:val="single" w:sz="4" w:space="0" w:color="auto"/>
            </w:tcBorders>
            <w:vAlign w:val="center"/>
            <w:hideMark/>
          </w:tcPr>
          <w:p w14:paraId="670E4BFE" w14:textId="77777777" w:rsidR="00CD7FA2" w:rsidRPr="006D4ECF" w:rsidRDefault="00CD7FA2" w:rsidP="00470D85">
            <w:pPr>
              <w:spacing w:after="0"/>
              <w:jc w:val="right"/>
              <w:rPr>
                <w:rFonts w:eastAsia="Times New Roman"/>
                <w:color w:val="000000"/>
                <w:sz w:val="20"/>
                <w:szCs w:val="20"/>
              </w:rPr>
            </w:pPr>
            <w:r w:rsidRPr="006D4ECF">
              <w:rPr>
                <w:rFonts w:eastAsia="Times New Roman"/>
                <w:color w:val="000000"/>
                <w:sz w:val="20"/>
                <w:szCs w:val="20"/>
              </w:rPr>
              <w:t>£5,922,474</w:t>
            </w:r>
          </w:p>
        </w:tc>
      </w:tr>
      <w:tr w:rsidR="00CD7FA2" w:rsidRPr="006D4ECF" w14:paraId="194B8E63" w14:textId="77777777" w:rsidTr="732A479B">
        <w:trPr>
          <w:trHeight w:val="300"/>
        </w:trPr>
        <w:tc>
          <w:tcPr>
            <w:tcW w:w="3539" w:type="dxa"/>
            <w:tcBorders>
              <w:top w:val="nil"/>
              <w:left w:val="single" w:sz="4" w:space="0" w:color="auto"/>
              <w:bottom w:val="single" w:sz="4" w:space="0" w:color="auto"/>
              <w:right w:val="single" w:sz="4" w:space="0" w:color="auto"/>
            </w:tcBorders>
            <w:vAlign w:val="center"/>
            <w:hideMark/>
          </w:tcPr>
          <w:p w14:paraId="7A65125D" w14:textId="77777777" w:rsidR="00CD7FA2" w:rsidRPr="006D4ECF" w:rsidRDefault="00CD7FA2" w:rsidP="00470D85">
            <w:pPr>
              <w:spacing w:after="0"/>
              <w:rPr>
                <w:rFonts w:eastAsia="Times New Roman"/>
                <w:color w:val="000000"/>
                <w:sz w:val="20"/>
                <w:szCs w:val="20"/>
              </w:rPr>
            </w:pPr>
            <w:r w:rsidRPr="006D4ECF">
              <w:rPr>
                <w:rFonts w:eastAsia="Times New Roman"/>
                <w:color w:val="000000"/>
                <w:sz w:val="20"/>
                <w:szCs w:val="20"/>
              </w:rPr>
              <w:t>Fish Island Canalside</w:t>
            </w:r>
          </w:p>
        </w:tc>
        <w:tc>
          <w:tcPr>
            <w:tcW w:w="1661" w:type="dxa"/>
            <w:tcBorders>
              <w:top w:val="nil"/>
              <w:left w:val="nil"/>
              <w:bottom w:val="single" w:sz="4" w:space="0" w:color="auto"/>
              <w:right w:val="single" w:sz="4" w:space="0" w:color="auto"/>
            </w:tcBorders>
            <w:vAlign w:val="center"/>
            <w:hideMark/>
          </w:tcPr>
          <w:p w14:paraId="127E7B44" w14:textId="77777777" w:rsidR="00CD7FA2" w:rsidRPr="006D4ECF" w:rsidRDefault="00CD7FA2" w:rsidP="00470D85">
            <w:pPr>
              <w:spacing w:after="0"/>
              <w:jc w:val="right"/>
              <w:rPr>
                <w:rFonts w:eastAsia="Times New Roman"/>
                <w:color w:val="000000"/>
                <w:sz w:val="20"/>
                <w:szCs w:val="20"/>
              </w:rPr>
            </w:pPr>
            <w:r w:rsidRPr="006D4ECF">
              <w:rPr>
                <w:rFonts w:eastAsia="Times New Roman"/>
                <w:color w:val="000000"/>
                <w:sz w:val="20"/>
                <w:szCs w:val="20"/>
              </w:rPr>
              <w:t>£37,561</w:t>
            </w:r>
          </w:p>
        </w:tc>
      </w:tr>
      <w:tr w:rsidR="00CD7FA2" w:rsidRPr="006D4ECF" w14:paraId="0378FE87" w14:textId="77777777" w:rsidTr="732A479B">
        <w:trPr>
          <w:trHeight w:val="300"/>
        </w:trPr>
        <w:tc>
          <w:tcPr>
            <w:tcW w:w="3539" w:type="dxa"/>
            <w:tcBorders>
              <w:top w:val="nil"/>
              <w:left w:val="single" w:sz="4" w:space="0" w:color="auto"/>
              <w:bottom w:val="single" w:sz="4" w:space="0" w:color="auto"/>
              <w:right w:val="single" w:sz="4" w:space="0" w:color="auto"/>
            </w:tcBorders>
            <w:vAlign w:val="center"/>
            <w:hideMark/>
          </w:tcPr>
          <w:p w14:paraId="02A225AA" w14:textId="77777777" w:rsidR="00CD7FA2" w:rsidRPr="006D4ECF" w:rsidRDefault="00CD7FA2" w:rsidP="00470D85">
            <w:pPr>
              <w:spacing w:after="0"/>
              <w:rPr>
                <w:rFonts w:eastAsia="Times New Roman"/>
                <w:color w:val="000000"/>
                <w:sz w:val="20"/>
                <w:szCs w:val="20"/>
              </w:rPr>
            </w:pPr>
            <w:r w:rsidRPr="006D4ECF">
              <w:rPr>
                <w:rFonts w:eastAsia="Times New Roman"/>
                <w:color w:val="000000"/>
                <w:sz w:val="20"/>
                <w:szCs w:val="20"/>
              </w:rPr>
              <w:t>Wick Lane Public Realm</w:t>
            </w:r>
          </w:p>
        </w:tc>
        <w:tc>
          <w:tcPr>
            <w:tcW w:w="1661" w:type="dxa"/>
            <w:tcBorders>
              <w:top w:val="nil"/>
              <w:left w:val="nil"/>
              <w:bottom w:val="single" w:sz="4" w:space="0" w:color="auto"/>
              <w:right w:val="single" w:sz="4" w:space="0" w:color="auto"/>
            </w:tcBorders>
            <w:vAlign w:val="center"/>
            <w:hideMark/>
          </w:tcPr>
          <w:p w14:paraId="218B98FE" w14:textId="77777777" w:rsidR="00CD7FA2" w:rsidRPr="006D4ECF" w:rsidRDefault="00CD7FA2" w:rsidP="00470D85">
            <w:pPr>
              <w:spacing w:after="0"/>
              <w:jc w:val="right"/>
              <w:rPr>
                <w:rFonts w:eastAsia="Times New Roman"/>
                <w:color w:val="000000"/>
                <w:sz w:val="20"/>
                <w:szCs w:val="20"/>
              </w:rPr>
            </w:pPr>
            <w:r w:rsidRPr="006D4ECF">
              <w:rPr>
                <w:rFonts w:eastAsia="Times New Roman"/>
                <w:color w:val="000000"/>
                <w:sz w:val="20"/>
                <w:szCs w:val="20"/>
              </w:rPr>
              <w:t>£135,000</w:t>
            </w:r>
          </w:p>
        </w:tc>
      </w:tr>
      <w:tr w:rsidR="00CD7FA2" w:rsidRPr="006D4ECF" w14:paraId="23F0BA4A" w14:textId="77777777" w:rsidTr="732A479B">
        <w:trPr>
          <w:trHeight w:val="300"/>
        </w:trPr>
        <w:tc>
          <w:tcPr>
            <w:tcW w:w="3539" w:type="dxa"/>
            <w:tcBorders>
              <w:top w:val="nil"/>
              <w:left w:val="single" w:sz="4" w:space="0" w:color="auto"/>
              <w:bottom w:val="single" w:sz="4" w:space="0" w:color="auto"/>
              <w:right w:val="single" w:sz="4" w:space="0" w:color="auto"/>
            </w:tcBorders>
            <w:vAlign w:val="center"/>
            <w:hideMark/>
          </w:tcPr>
          <w:p w14:paraId="53C938A4" w14:textId="77777777" w:rsidR="00CD7FA2" w:rsidRPr="006D4ECF" w:rsidRDefault="00CD7FA2" w:rsidP="00470D85">
            <w:pPr>
              <w:spacing w:after="0"/>
              <w:rPr>
                <w:rFonts w:eastAsia="Times New Roman"/>
                <w:color w:val="000000"/>
                <w:sz w:val="20"/>
                <w:szCs w:val="20"/>
              </w:rPr>
            </w:pPr>
            <w:r w:rsidRPr="006D4ECF">
              <w:rPr>
                <w:rFonts w:eastAsia="Times New Roman"/>
                <w:color w:val="000000"/>
                <w:sz w:val="20"/>
                <w:szCs w:val="20"/>
              </w:rPr>
              <w:t>Beatrice Tate School</w:t>
            </w:r>
          </w:p>
        </w:tc>
        <w:tc>
          <w:tcPr>
            <w:tcW w:w="1661" w:type="dxa"/>
            <w:tcBorders>
              <w:top w:val="nil"/>
              <w:left w:val="nil"/>
              <w:bottom w:val="single" w:sz="4" w:space="0" w:color="auto"/>
              <w:right w:val="single" w:sz="4" w:space="0" w:color="auto"/>
            </w:tcBorders>
            <w:vAlign w:val="center"/>
            <w:hideMark/>
          </w:tcPr>
          <w:p w14:paraId="698EBCE0" w14:textId="77777777" w:rsidR="00CD7FA2" w:rsidRPr="006D4ECF" w:rsidRDefault="00CD7FA2" w:rsidP="00470D85">
            <w:pPr>
              <w:spacing w:after="0"/>
              <w:jc w:val="right"/>
              <w:rPr>
                <w:rFonts w:eastAsia="Times New Roman"/>
                <w:color w:val="000000"/>
                <w:sz w:val="20"/>
                <w:szCs w:val="20"/>
              </w:rPr>
            </w:pPr>
            <w:r w:rsidRPr="006D4ECF">
              <w:rPr>
                <w:rFonts w:eastAsia="Times New Roman"/>
                <w:color w:val="000000"/>
                <w:sz w:val="20"/>
                <w:szCs w:val="20"/>
              </w:rPr>
              <w:t>£529,891</w:t>
            </w:r>
          </w:p>
        </w:tc>
      </w:tr>
      <w:tr w:rsidR="00CD7FA2" w:rsidRPr="006D4ECF" w14:paraId="36919FFD" w14:textId="77777777" w:rsidTr="732A479B">
        <w:trPr>
          <w:trHeight w:val="300"/>
        </w:trPr>
        <w:tc>
          <w:tcPr>
            <w:tcW w:w="3539" w:type="dxa"/>
            <w:tcBorders>
              <w:top w:val="nil"/>
              <w:left w:val="single" w:sz="4" w:space="0" w:color="auto"/>
              <w:bottom w:val="single" w:sz="4" w:space="0" w:color="auto"/>
              <w:right w:val="single" w:sz="4" w:space="0" w:color="auto"/>
            </w:tcBorders>
            <w:vAlign w:val="center"/>
            <w:hideMark/>
          </w:tcPr>
          <w:p w14:paraId="65276559" w14:textId="77777777" w:rsidR="00CD7FA2" w:rsidRPr="006D4ECF" w:rsidRDefault="00CD7FA2" w:rsidP="00470D85">
            <w:pPr>
              <w:spacing w:after="0"/>
              <w:rPr>
                <w:rFonts w:eastAsia="Times New Roman"/>
                <w:color w:val="000000"/>
                <w:sz w:val="20"/>
                <w:szCs w:val="20"/>
              </w:rPr>
            </w:pPr>
            <w:r w:rsidRPr="006D4ECF">
              <w:rPr>
                <w:rFonts w:eastAsia="Times New Roman"/>
                <w:color w:val="000000"/>
                <w:sz w:val="20"/>
                <w:szCs w:val="20"/>
              </w:rPr>
              <w:t>Idea Stores Digital Offer</w:t>
            </w:r>
          </w:p>
        </w:tc>
        <w:tc>
          <w:tcPr>
            <w:tcW w:w="1661" w:type="dxa"/>
            <w:tcBorders>
              <w:top w:val="nil"/>
              <w:left w:val="nil"/>
              <w:bottom w:val="single" w:sz="4" w:space="0" w:color="auto"/>
              <w:right w:val="single" w:sz="4" w:space="0" w:color="auto"/>
            </w:tcBorders>
            <w:vAlign w:val="center"/>
            <w:hideMark/>
          </w:tcPr>
          <w:p w14:paraId="3367F793" w14:textId="77777777" w:rsidR="00CD7FA2" w:rsidRPr="006D4ECF" w:rsidRDefault="00CD7FA2" w:rsidP="00470D85">
            <w:pPr>
              <w:spacing w:after="0"/>
              <w:jc w:val="right"/>
              <w:rPr>
                <w:rFonts w:eastAsia="Times New Roman"/>
                <w:color w:val="000000"/>
                <w:sz w:val="20"/>
                <w:szCs w:val="20"/>
              </w:rPr>
            </w:pPr>
            <w:r w:rsidRPr="006D4ECF">
              <w:rPr>
                <w:rFonts w:eastAsia="Times New Roman"/>
                <w:color w:val="000000"/>
                <w:sz w:val="20"/>
                <w:szCs w:val="20"/>
              </w:rPr>
              <w:t>£212,609</w:t>
            </w:r>
          </w:p>
        </w:tc>
      </w:tr>
      <w:tr w:rsidR="00CD7FA2" w:rsidRPr="006D4ECF" w14:paraId="7D1762F2" w14:textId="77777777" w:rsidTr="732A479B">
        <w:trPr>
          <w:trHeight w:val="300"/>
        </w:trPr>
        <w:tc>
          <w:tcPr>
            <w:tcW w:w="3539" w:type="dxa"/>
            <w:tcBorders>
              <w:top w:val="nil"/>
              <w:left w:val="single" w:sz="4" w:space="0" w:color="auto"/>
              <w:bottom w:val="single" w:sz="4" w:space="0" w:color="auto"/>
              <w:right w:val="single" w:sz="4" w:space="0" w:color="auto"/>
            </w:tcBorders>
            <w:vAlign w:val="center"/>
            <w:hideMark/>
          </w:tcPr>
          <w:p w14:paraId="0BB381BC" w14:textId="77777777" w:rsidR="00CD7FA2" w:rsidRPr="006D4ECF" w:rsidRDefault="00CD7FA2" w:rsidP="00470D85">
            <w:pPr>
              <w:spacing w:after="0"/>
              <w:rPr>
                <w:rFonts w:eastAsia="Times New Roman"/>
                <w:color w:val="000000"/>
                <w:sz w:val="20"/>
                <w:szCs w:val="20"/>
              </w:rPr>
            </w:pPr>
            <w:r w:rsidRPr="006D4ECF">
              <w:rPr>
                <w:rFonts w:eastAsia="Times New Roman"/>
                <w:color w:val="000000"/>
                <w:sz w:val="20"/>
                <w:szCs w:val="20"/>
              </w:rPr>
              <w:t>Yard Theatre</w:t>
            </w:r>
          </w:p>
        </w:tc>
        <w:tc>
          <w:tcPr>
            <w:tcW w:w="1661" w:type="dxa"/>
            <w:tcBorders>
              <w:top w:val="nil"/>
              <w:left w:val="nil"/>
              <w:bottom w:val="single" w:sz="4" w:space="0" w:color="auto"/>
              <w:right w:val="single" w:sz="4" w:space="0" w:color="auto"/>
            </w:tcBorders>
            <w:vAlign w:val="center"/>
            <w:hideMark/>
          </w:tcPr>
          <w:p w14:paraId="0084AE17" w14:textId="77777777" w:rsidR="00CD7FA2" w:rsidRPr="006D4ECF" w:rsidRDefault="00CD7FA2" w:rsidP="00470D85">
            <w:pPr>
              <w:spacing w:after="0"/>
              <w:jc w:val="right"/>
              <w:rPr>
                <w:rFonts w:eastAsia="Times New Roman"/>
                <w:color w:val="000000"/>
                <w:sz w:val="20"/>
                <w:szCs w:val="20"/>
              </w:rPr>
            </w:pPr>
            <w:r w:rsidRPr="006D4ECF">
              <w:rPr>
                <w:rFonts w:eastAsia="Times New Roman"/>
                <w:color w:val="000000"/>
                <w:sz w:val="20"/>
                <w:szCs w:val="20"/>
              </w:rPr>
              <w:t>£290,589</w:t>
            </w:r>
          </w:p>
        </w:tc>
      </w:tr>
      <w:tr w:rsidR="00CD7FA2" w:rsidRPr="006D4ECF" w14:paraId="6EFEBDFA" w14:textId="77777777" w:rsidTr="732A479B">
        <w:trPr>
          <w:trHeight w:val="300"/>
        </w:trPr>
        <w:tc>
          <w:tcPr>
            <w:tcW w:w="3539" w:type="dxa"/>
            <w:tcBorders>
              <w:top w:val="nil"/>
              <w:left w:val="single" w:sz="4" w:space="0" w:color="auto"/>
              <w:bottom w:val="single" w:sz="4" w:space="0" w:color="auto"/>
              <w:right w:val="single" w:sz="4" w:space="0" w:color="auto"/>
            </w:tcBorders>
            <w:vAlign w:val="center"/>
            <w:hideMark/>
          </w:tcPr>
          <w:p w14:paraId="053BDFC5" w14:textId="77777777" w:rsidR="00CD7FA2" w:rsidRPr="006D4ECF" w:rsidRDefault="00CD7FA2" w:rsidP="00470D85">
            <w:pPr>
              <w:spacing w:after="0"/>
              <w:rPr>
                <w:rFonts w:eastAsia="Times New Roman"/>
                <w:color w:val="000000"/>
                <w:sz w:val="20"/>
                <w:szCs w:val="20"/>
              </w:rPr>
            </w:pPr>
            <w:r w:rsidRPr="006D4ECF">
              <w:rPr>
                <w:rFonts w:eastAsia="Times New Roman"/>
                <w:color w:val="000000"/>
                <w:sz w:val="20"/>
                <w:szCs w:val="20"/>
              </w:rPr>
              <w:t>Sustain-a-Bow</w:t>
            </w:r>
          </w:p>
        </w:tc>
        <w:tc>
          <w:tcPr>
            <w:tcW w:w="1661" w:type="dxa"/>
            <w:tcBorders>
              <w:top w:val="nil"/>
              <w:left w:val="nil"/>
              <w:bottom w:val="single" w:sz="4" w:space="0" w:color="auto"/>
              <w:right w:val="single" w:sz="4" w:space="0" w:color="auto"/>
            </w:tcBorders>
            <w:vAlign w:val="center"/>
            <w:hideMark/>
          </w:tcPr>
          <w:p w14:paraId="65043F56" w14:textId="77777777" w:rsidR="00CD7FA2" w:rsidRPr="006D4ECF" w:rsidRDefault="00CD7FA2" w:rsidP="00470D85">
            <w:pPr>
              <w:spacing w:after="0"/>
              <w:jc w:val="right"/>
              <w:rPr>
                <w:rFonts w:eastAsia="Times New Roman"/>
                <w:color w:val="000000"/>
                <w:sz w:val="20"/>
                <w:szCs w:val="20"/>
              </w:rPr>
            </w:pPr>
            <w:r w:rsidRPr="006D4ECF">
              <w:rPr>
                <w:rFonts w:eastAsia="Times New Roman"/>
                <w:color w:val="000000"/>
                <w:sz w:val="20"/>
                <w:szCs w:val="20"/>
              </w:rPr>
              <w:t>£15,636</w:t>
            </w:r>
          </w:p>
        </w:tc>
      </w:tr>
      <w:tr w:rsidR="00CD7FA2" w:rsidRPr="006D4ECF" w14:paraId="7F79A4C8" w14:textId="77777777" w:rsidTr="732A479B">
        <w:trPr>
          <w:trHeight w:val="300"/>
        </w:trPr>
        <w:tc>
          <w:tcPr>
            <w:tcW w:w="3539" w:type="dxa"/>
            <w:tcBorders>
              <w:top w:val="nil"/>
              <w:left w:val="single" w:sz="4" w:space="0" w:color="auto"/>
              <w:bottom w:val="single" w:sz="4" w:space="0" w:color="auto"/>
              <w:right w:val="single" w:sz="4" w:space="0" w:color="auto"/>
            </w:tcBorders>
            <w:vAlign w:val="center"/>
            <w:hideMark/>
          </w:tcPr>
          <w:p w14:paraId="3DCB03B3" w14:textId="77777777" w:rsidR="00CD7FA2" w:rsidRPr="006D4ECF" w:rsidRDefault="00CD7FA2" w:rsidP="00470D85">
            <w:pPr>
              <w:spacing w:after="0"/>
              <w:rPr>
                <w:rFonts w:eastAsia="Times New Roman"/>
                <w:color w:val="000000"/>
                <w:sz w:val="20"/>
                <w:szCs w:val="20"/>
              </w:rPr>
            </w:pPr>
            <w:r w:rsidRPr="006D4ECF">
              <w:rPr>
                <w:rFonts w:eastAsia="Times New Roman"/>
                <w:color w:val="000000"/>
                <w:sz w:val="20"/>
                <w:szCs w:val="20"/>
              </w:rPr>
              <w:t>SPACE: Brickfield Solar PV</w:t>
            </w:r>
          </w:p>
        </w:tc>
        <w:tc>
          <w:tcPr>
            <w:tcW w:w="1661" w:type="dxa"/>
            <w:tcBorders>
              <w:top w:val="nil"/>
              <w:left w:val="nil"/>
              <w:bottom w:val="single" w:sz="4" w:space="0" w:color="auto"/>
              <w:right w:val="single" w:sz="4" w:space="0" w:color="auto"/>
            </w:tcBorders>
            <w:vAlign w:val="center"/>
            <w:hideMark/>
          </w:tcPr>
          <w:p w14:paraId="3059C8D0" w14:textId="77777777" w:rsidR="00CD7FA2" w:rsidRPr="006D4ECF" w:rsidRDefault="00CD7FA2" w:rsidP="00470D85">
            <w:pPr>
              <w:spacing w:after="0"/>
              <w:jc w:val="right"/>
              <w:rPr>
                <w:rFonts w:eastAsia="Times New Roman"/>
                <w:color w:val="000000"/>
                <w:sz w:val="20"/>
                <w:szCs w:val="20"/>
              </w:rPr>
            </w:pPr>
            <w:r w:rsidRPr="006D4ECF">
              <w:rPr>
                <w:rFonts w:eastAsia="Times New Roman"/>
                <w:color w:val="000000"/>
                <w:sz w:val="20"/>
                <w:szCs w:val="20"/>
              </w:rPr>
              <w:t>£498</w:t>
            </w:r>
          </w:p>
        </w:tc>
      </w:tr>
      <w:tr w:rsidR="00CD7FA2" w:rsidRPr="006D4ECF" w14:paraId="27A5EF3E" w14:textId="77777777" w:rsidTr="732A479B">
        <w:trPr>
          <w:trHeight w:val="300"/>
        </w:trPr>
        <w:tc>
          <w:tcPr>
            <w:tcW w:w="353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8B388F6" w14:textId="77777777" w:rsidR="00CD7FA2" w:rsidRPr="006D4ECF" w:rsidRDefault="00CD7FA2" w:rsidP="00470D85">
            <w:pPr>
              <w:spacing w:after="0"/>
              <w:jc w:val="right"/>
              <w:rPr>
                <w:rFonts w:eastAsia="Times New Roman"/>
                <w:b/>
                <w:bCs/>
                <w:color w:val="000000"/>
                <w:sz w:val="20"/>
                <w:szCs w:val="20"/>
              </w:rPr>
            </w:pPr>
            <w:r w:rsidRPr="006D4ECF">
              <w:rPr>
                <w:rFonts w:eastAsia="Times New Roman"/>
                <w:b/>
                <w:bCs/>
                <w:color w:val="000000"/>
                <w:sz w:val="20"/>
                <w:szCs w:val="20"/>
              </w:rPr>
              <w:t>Total</w:t>
            </w:r>
          </w:p>
        </w:tc>
        <w:tc>
          <w:tcPr>
            <w:tcW w:w="1661" w:type="dxa"/>
            <w:tcBorders>
              <w:top w:val="nil"/>
              <w:left w:val="nil"/>
              <w:bottom w:val="single" w:sz="4" w:space="0" w:color="auto"/>
              <w:right w:val="single" w:sz="4" w:space="0" w:color="auto"/>
            </w:tcBorders>
            <w:shd w:val="clear" w:color="auto" w:fill="D9D9D9" w:themeFill="background1" w:themeFillShade="D9"/>
            <w:noWrap/>
            <w:vAlign w:val="bottom"/>
            <w:hideMark/>
          </w:tcPr>
          <w:p w14:paraId="1A9A2C65" w14:textId="77777777" w:rsidR="00CD7FA2" w:rsidRPr="006D4ECF" w:rsidRDefault="00CD7FA2" w:rsidP="00470D85">
            <w:pPr>
              <w:spacing w:after="0"/>
              <w:jc w:val="right"/>
              <w:rPr>
                <w:rFonts w:eastAsia="Times New Roman"/>
                <w:b/>
                <w:bCs/>
                <w:color w:val="000000"/>
                <w:sz w:val="20"/>
                <w:szCs w:val="20"/>
              </w:rPr>
            </w:pPr>
            <w:r w:rsidRPr="006D4ECF">
              <w:rPr>
                <w:rFonts w:eastAsia="Times New Roman"/>
                <w:b/>
                <w:bCs/>
                <w:color w:val="000000"/>
                <w:sz w:val="20"/>
                <w:szCs w:val="20"/>
              </w:rPr>
              <w:t>£7,343,052</w:t>
            </w:r>
          </w:p>
        </w:tc>
      </w:tr>
    </w:tbl>
    <w:p w14:paraId="57A2546E" w14:textId="77777777" w:rsidR="005F7802" w:rsidRDefault="005F7802" w:rsidP="00CD7FA2">
      <w:pPr>
        <w:rPr>
          <w:b/>
          <w:bCs/>
          <w:sz w:val="22"/>
          <w:szCs w:val="22"/>
        </w:rPr>
      </w:pPr>
    </w:p>
    <w:p w14:paraId="2EC57C1B" w14:textId="77777777" w:rsidR="00F37804" w:rsidRDefault="00F37804" w:rsidP="00CD7FA2">
      <w:pPr>
        <w:rPr>
          <w:b/>
          <w:bCs/>
          <w:sz w:val="22"/>
          <w:szCs w:val="22"/>
        </w:rPr>
      </w:pPr>
    </w:p>
    <w:p w14:paraId="78A56438" w14:textId="77777777" w:rsidR="00F37804" w:rsidRDefault="00F37804" w:rsidP="00CD7FA2">
      <w:pPr>
        <w:rPr>
          <w:b/>
          <w:bCs/>
          <w:sz w:val="22"/>
          <w:szCs w:val="22"/>
        </w:rPr>
      </w:pPr>
    </w:p>
    <w:p w14:paraId="0F016986" w14:textId="77777777" w:rsidR="00F37804" w:rsidRDefault="00F37804" w:rsidP="00CD7FA2">
      <w:pPr>
        <w:rPr>
          <w:b/>
          <w:bCs/>
          <w:sz w:val="22"/>
          <w:szCs w:val="22"/>
        </w:rPr>
      </w:pPr>
    </w:p>
    <w:p w14:paraId="7EC19863" w14:textId="77777777" w:rsidR="00F37804" w:rsidRDefault="00F37804" w:rsidP="00CD7FA2">
      <w:pPr>
        <w:rPr>
          <w:b/>
          <w:bCs/>
          <w:sz w:val="22"/>
          <w:szCs w:val="22"/>
        </w:rPr>
      </w:pPr>
    </w:p>
    <w:p w14:paraId="714ED7D0" w14:textId="77777777" w:rsidR="00F37804" w:rsidRDefault="00F37804" w:rsidP="00CD7FA2">
      <w:pPr>
        <w:rPr>
          <w:b/>
          <w:bCs/>
          <w:sz w:val="22"/>
          <w:szCs w:val="22"/>
        </w:rPr>
      </w:pPr>
    </w:p>
    <w:p w14:paraId="1C8A46EB" w14:textId="77777777" w:rsidR="00F37804" w:rsidRDefault="00F37804" w:rsidP="00CD7FA2">
      <w:pPr>
        <w:rPr>
          <w:b/>
          <w:bCs/>
          <w:sz w:val="22"/>
          <w:szCs w:val="22"/>
        </w:rPr>
      </w:pPr>
    </w:p>
    <w:p w14:paraId="500654B6" w14:textId="77777777" w:rsidR="00F37804" w:rsidRDefault="00F37804" w:rsidP="00CD7FA2">
      <w:pPr>
        <w:rPr>
          <w:b/>
          <w:bCs/>
          <w:sz w:val="22"/>
          <w:szCs w:val="22"/>
        </w:rPr>
      </w:pPr>
    </w:p>
    <w:p w14:paraId="1B3535D9" w14:textId="77777777" w:rsidR="00F37804" w:rsidRDefault="00F37804" w:rsidP="00CD7FA2">
      <w:pPr>
        <w:rPr>
          <w:b/>
          <w:bCs/>
          <w:sz w:val="22"/>
          <w:szCs w:val="22"/>
        </w:rPr>
      </w:pPr>
    </w:p>
    <w:p w14:paraId="657AA6CB" w14:textId="77777777" w:rsidR="00F37804" w:rsidRDefault="00F37804" w:rsidP="00CD7FA2">
      <w:pPr>
        <w:rPr>
          <w:b/>
          <w:bCs/>
          <w:sz w:val="22"/>
          <w:szCs w:val="22"/>
        </w:rPr>
      </w:pPr>
    </w:p>
    <w:p w14:paraId="7DB987B5" w14:textId="77777777" w:rsidR="00F37804" w:rsidRDefault="00F37804" w:rsidP="00CD7FA2">
      <w:pPr>
        <w:rPr>
          <w:b/>
          <w:bCs/>
          <w:sz w:val="22"/>
          <w:szCs w:val="22"/>
        </w:rPr>
      </w:pPr>
    </w:p>
    <w:p w14:paraId="2AFDCD37" w14:textId="2D5DACC3" w:rsidR="00CD7FA2" w:rsidRPr="005F7802" w:rsidRDefault="00CD7FA2" w:rsidP="00CD7FA2">
      <w:pPr>
        <w:rPr>
          <w:b/>
          <w:bCs/>
          <w:sz w:val="22"/>
          <w:szCs w:val="22"/>
        </w:rPr>
      </w:pPr>
      <w:r w:rsidRPr="005F7802">
        <w:rPr>
          <w:b/>
          <w:bCs/>
          <w:sz w:val="22"/>
          <w:szCs w:val="22"/>
        </w:rPr>
        <w:lastRenderedPageBreak/>
        <w:t xml:space="preserve">Table </w:t>
      </w:r>
      <w:r w:rsidR="00EA7615">
        <w:rPr>
          <w:b/>
          <w:bCs/>
          <w:sz w:val="22"/>
          <w:szCs w:val="22"/>
        </w:rPr>
        <w:t>4</w:t>
      </w:r>
      <w:r w:rsidRPr="005F7802">
        <w:rPr>
          <w:b/>
          <w:bCs/>
          <w:sz w:val="22"/>
          <w:szCs w:val="22"/>
        </w:rPr>
        <w:t>.3 CIL Allocated Funds to Projects</w:t>
      </w:r>
    </w:p>
    <w:tbl>
      <w:tblPr>
        <w:tblW w:w="9067" w:type="dxa"/>
        <w:tblLook w:val="04A0" w:firstRow="1" w:lastRow="0" w:firstColumn="1" w:lastColumn="0" w:noHBand="0" w:noVBand="1"/>
      </w:tblPr>
      <w:tblGrid>
        <w:gridCol w:w="6941"/>
        <w:gridCol w:w="2126"/>
      </w:tblGrid>
      <w:tr w:rsidR="00CD7FA2" w:rsidRPr="006D4ECF" w14:paraId="576E8283" w14:textId="77777777" w:rsidTr="732A479B">
        <w:trPr>
          <w:trHeight w:val="290"/>
        </w:trPr>
        <w:tc>
          <w:tcPr>
            <w:tcW w:w="6941" w:type="dxa"/>
            <w:tcBorders>
              <w:top w:val="single" w:sz="4" w:space="0" w:color="auto"/>
              <w:left w:val="single" w:sz="4" w:space="0" w:color="auto"/>
              <w:bottom w:val="single" w:sz="4" w:space="0" w:color="auto"/>
              <w:right w:val="single" w:sz="4" w:space="0" w:color="auto"/>
            </w:tcBorders>
            <w:shd w:val="clear" w:color="auto" w:fill="00B0F0"/>
            <w:noWrap/>
            <w:vAlign w:val="bottom"/>
            <w:hideMark/>
          </w:tcPr>
          <w:p w14:paraId="65B67D1D" w14:textId="77777777" w:rsidR="00CD7FA2" w:rsidRPr="006D4ECF" w:rsidRDefault="00CD7FA2" w:rsidP="00470D85">
            <w:pPr>
              <w:spacing w:after="0"/>
              <w:rPr>
                <w:rFonts w:eastAsia="Times New Roman"/>
                <w:b/>
                <w:bCs/>
                <w:color w:val="000000"/>
                <w:sz w:val="20"/>
                <w:szCs w:val="20"/>
              </w:rPr>
            </w:pPr>
            <w:r w:rsidRPr="006D4ECF">
              <w:rPr>
                <w:rFonts w:eastAsia="Times New Roman"/>
                <w:b/>
                <w:bCs/>
                <w:color w:val="000000"/>
                <w:sz w:val="20"/>
                <w:szCs w:val="20"/>
              </w:rPr>
              <w:t>Name of Project</w:t>
            </w:r>
          </w:p>
        </w:tc>
        <w:tc>
          <w:tcPr>
            <w:tcW w:w="2126" w:type="dxa"/>
            <w:tcBorders>
              <w:top w:val="single" w:sz="4" w:space="0" w:color="auto"/>
              <w:left w:val="single" w:sz="4" w:space="0" w:color="auto"/>
              <w:bottom w:val="single" w:sz="4" w:space="0" w:color="auto"/>
              <w:right w:val="single" w:sz="4" w:space="0" w:color="auto"/>
            </w:tcBorders>
            <w:shd w:val="clear" w:color="auto" w:fill="00B0F0"/>
            <w:noWrap/>
            <w:vAlign w:val="bottom"/>
            <w:hideMark/>
          </w:tcPr>
          <w:p w14:paraId="24EA9BFA" w14:textId="77777777" w:rsidR="00CD7FA2" w:rsidRPr="006D4ECF" w:rsidRDefault="00CD7FA2" w:rsidP="00470D85">
            <w:pPr>
              <w:spacing w:after="0"/>
              <w:jc w:val="right"/>
              <w:rPr>
                <w:rFonts w:eastAsia="Times New Roman"/>
                <w:b/>
                <w:bCs/>
                <w:color w:val="000000"/>
                <w:sz w:val="20"/>
                <w:szCs w:val="20"/>
              </w:rPr>
            </w:pPr>
            <w:r w:rsidRPr="006D4ECF">
              <w:rPr>
                <w:rFonts w:eastAsia="Times New Roman"/>
                <w:b/>
                <w:bCs/>
                <w:color w:val="000000"/>
                <w:sz w:val="20"/>
                <w:szCs w:val="20"/>
              </w:rPr>
              <w:t>Total Amount 2024/2025</w:t>
            </w:r>
          </w:p>
        </w:tc>
      </w:tr>
      <w:tr w:rsidR="00CD7FA2" w:rsidRPr="006D4ECF" w14:paraId="79678306" w14:textId="77777777" w:rsidTr="732A479B">
        <w:trPr>
          <w:trHeight w:val="290"/>
        </w:trPr>
        <w:tc>
          <w:tcPr>
            <w:tcW w:w="6941" w:type="dxa"/>
            <w:tcBorders>
              <w:top w:val="nil"/>
              <w:left w:val="single" w:sz="4" w:space="0" w:color="auto"/>
              <w:bottom w:val="single" w:sz="4" w:space="0" w:color="auto"/>
              <w:right w:val="single" w:sz="4" w:space="0" w:color="auto"/>
            </w:tcBorders>
            <w:noWrap/>
            <w:vAlign w:val="bottom"/>
            <w:hideMark/>
          </w:tcPr>
          <w:p w14:paraId="4591BA60" w14:textId="77777777" w:rsidR="00CD7FA2" w:rsidRPr="006D4ECF" w:rsidRDefault="00CD7FA2" w:rsidP="00470D85">
            <w:pPr>
              <w:spacing w:after="0"/>
              <w:rPr>
                <w:rFonts w:eastAsia="Times New Roman"/>
                <w:color w:val="000000"/>
                <w:sz w:val="20"/>
                <w:szCs w:val="20"/>
              </w:rPr>
            </w:pPr>
            <w:r w:rsidRPr="006D4ECF">
              <w:rPr>
                <w:rFonts w:eastAsia="Times New Roman"/>
                <w:color w:val="000000"/>
                <w:sz w:val="20"/>
                <w:szCs w:val="20"/>
              </w:rPr>
              <w:t>Carpenters Road West</w:t>
            </w:r>
          </w:p>
        </w:tc>
        <w:tc>
          <w:tcPr>
            <w:tcW w:w="2126" w:type="dxa"/>
            <w:tcBorders>
              <w:top w:val="nil"/>
              <w:left w:val="nil"/>
              <w:bottom w:val="single" w:sz="4" w:space="0" w:color="auto"/>
              <w:right w:val="single" w:sz="4" w:space="0" w:color="auto"/>
            </w:tcBorders>
            <w:noWrap/>
            <w:vAlign w:val="bottom"/>
            <w:hideMark/>
          </w:tcPr>
          <w:p w14:paraId="02A7C61A" w14:textId="77777777" w:rsidR="00CD7FA2" w:rsidRPr="006D4ECF" w:rsidRDefault="00CD7FA2" w:rsidP="00470D85">
            <w:pPr>
              <w:spacing w:after="0"/>
              <w:jc w:val="right"/>
              <w:rPr>
                <w:rFonts w:eastAsia="Times New Roman"/>
                <w:color w:val="000000"/>
                <w:sz w:val="20"/>
                <w:szCs w:val="20"/>
              </w:rPr>
            </w:pPr>
            <w:r w:rsidRPr="006D4ECF">
              <w:rPr>
                <w:rFonts w:eastAsia="Times New Roman"/>
                <w:color w:val="000000"/>
                <w:sz w:val="20"/>
                <w:szCs w:val="20"/>
              </w:rPr>
              <w:t>£739,734</w:t>
            </w:r>
          </w:p>
        </w:tc>
      </w:tr>
      <w:tr w:rsidR="00CD7FA2" w:rsidRPr="006D4ECF" w14:paraId="33144BD6" w14:textId="77777777" w:rsidTr="732A479B">
        <w:trPr>
          <w:trHeight w:val="290"/>
        </w:trPr>
        <w:tc>
          <w:tcPr>
            <w:tcW w:w="6941" w:type="dxa"/>
            <w:tcBorders>
              <w:top w:val="nil"/>
              <w:left w:val="single" w:sz="4" w:space="0" w:color="auto"/>
              <w:bottom w:val="single" w:sz="4" w:space="0" w:color="auto"/>
              <w:right w:val="single" w:sz="4" w:space="0" w:color="auto"/>
            </w:tcBorders>
            <w:noWrap/>
            <w:vAlign w:val="bottom"/>
            <w:hideMark/>
          </w:tcPr>
          <w:p w14:paraId="131A6423" w14:textId="77777777" w:rsidR="00CD7FA2" w:rsidRPr="006D4ECF" w:rsidRDefault="00CD7FA2" w:rsidP="00470D85">
            <w:pPr>
              <w:spacing w:after="0"/>
              <w:rPr>
                <w:rFonts w:eastAsia="Times New Roman"/>
                <w:color w:val="000000"/>
                <w:sz w:val="20"/>
                <w:szCs w:val="20"/>
              </w:rPr>
            </w:pPr>
            <w:r w:rsidRPr="006D4ECF">
              <w:rPr>
                <w:rFonts w:eastAsia="Times New Roman"/>
                <w:color w:val="000000"/>
                <w:sz w:val="20"/>
                <w:szCs w:val="20"/>
              </w:rPr>
              <w:t>Marshgate Lane North and South Link</w:t>
            </w:r>
          </w:p>
        </w:tc>
        <w:tc>
          <w:tcPr>
            <w:tcW w:w="2126" w:type="dxa"/>
            <w:tcBorders>
              <w:top w:val="nil"/>
              <w:left w:val="nil"/>
              <w:bottom w:val="single" w:sz="4" w:space="0" w:color="auto"/>
              <w:right w:val="single" w:sz="4" w:space="0" w:color="auto"/>
            </w:tcBorders>
            <w:noWrap/>
            <w:vAlign w:val="bottom"/>
            <w:hideMark/>
          </w:tcPr>
          <w:p w14:paraId="76804CEE" w14:textId="77777777" w:rsidR="00CD7FA2" w:rsidRPr="006D4ECF" w:rsidRDefault="00CD7FA2" w:rsidP="00470D85">
            <w:pPr>
              <w:spacing w:after="0"/>
              <w:jc w:val="right"/>
              <w:rPr>
                <w:rFonts w:eastAsia="Times New Roman"/>
                <w:color w:val="000000"/>
                <w:sz w:val="20"/>
                <w:szCs w:val="20"/>
              </w:rPr>
            </w:pPr>
            <w:r w:rsidRPr="006D4ECF">
              <w:rPr>
                <w:rFonts w:eastAsia="Times New Roman"/>
                <w:color w:val="000000"/>
                <w:sz w:val="20"/>
                <w:szCs w:val="20"/>
              </w:rPr>
              <w:t>£1,492,000</w:t>
            </w:r>
          </w:p>
        </w:tc>
      </w:tr>
      <w:tr w:rsidR="00CD7FA2" w:rsidRPr="006D4ECF" w14:paraId="46770AE9" w14:textId="77777777" w:rsidTr="732A479B">
        <w:trPr>
          <w:trHeight w:val="290"/>
        </w:trPr>
        <w:tc>
          <w:tcPr>
            <w:tcW w:w="6941" w:type="dxa"/>
            <w:tcBorders>
              <w:top w:val="nil"/>
              <w:left w:val="single" w:sz="4" w:space="0" w:color="auto"/>
              <w:bottom w:val="single" w:sz="4" w:space="0" w:color="auto"/>
              <w:right w:val="single" w:sz="4" w:space="0" w:color="auto"/>
            </w:tcBorders>
            <w:noWrap/>
            <w:vAlign w:val="bottom"/>
            <w:hideMark/>
          </w:tcPr>
          <w:p w14:paraId="2CAE1082" w14:textId="77777777" w:rsidR="00CD7FA2" w:rsidRPr="006D4ECF" w:rsidRDefault="00CD7FA2" w:rsidP="00470D85">
            <w:pPr>
              <w:spacing w:after="0"/>
              <w:rPr>
                <w:rFonts w:eastAsia="Times New Roman"/>
                <w:color w:val="000000"/>
                <w:sz w:val="20"/>
                <w:szCs w:val="20"/>
              </w:rPr>
            </w:pPr>
            <w:r w:rsidRPr="006D4ECF">
              <w:rPr>
                <w:rFonts w:eastAsia="Times New Roman"/>
                <w:color w:val="000000"/>
                <w:sz w:val="20"/>
                <w:szCs w:val="20"/>
              </w:rPr>
              <w:t>Marshgate Lane Schools Link Stage 2</w:t>
            </w:r>
          </w:p>
        </w:tc>
        <w:tc>
          <w:tcPr>
            <w:tcW w:w="2126" w:type="dxa"/>
            <w:tcBorders>
              <w:top w:val="nil"/>
              <w:left w:val="nil"/>
              <w:bottom w:val="single" w:sz="4" w:space="0" w:color="auto"/>
              <w:right w:val="single" w:sz="4" w:space="0" w:color="auto"/>
            </w:tcBorders>
            <w:noWrap/>
            <w:vAlign w:val="bottom"/>
            <w:hideMark/>
          </w:tcPr>
          <w:p w14:paraId="2CBC14CF" w14:textId="77777777" w:rsidR="00CD7FA2" w:rsidRPr="006D4ECF" w:rsidRDefault="00CD7FA2" w:rsidP="00470D85">
            <w:pPr>
              <w:spacing w:after="0"/>
              <w:jc w:val="right"/>
              <w:rPr>
                <w:rFonts w:eastAsia="Times New Roman"/>
                <w:color w:val="000000"/>
                <w:sz w:val="20"/>
                <w:szCs w:val="20"/>
              </w:rPr>
            </w:pPr>
            <w:r w:rsidRPr="006D4ECF">
              <w:rPr>
                <w:rFonts w:eastAsia="Times New Roman"/>
                <w:color w:val="000000"/>
                <w:sz w:val="20"/>
                <w:szCs w:val="20"/>
              </w:rPr>
              <w:t>£483,079</w:t>
            </w:r>
          </w:p>
        </w:tc>
      </w:tr>
      <w:tr w:rsidR="00CD7FA2" w:rsidRPr="006D4ECF" w14:paraId="7D21D980" w14:textId="77777777" w:rsidTr="732A479B">
        <w:trPr>
          <w:trHeight w:val="290"/>
        </w:trPr>
        <w:tc>
          <w:tcPr>
            <w:tcW w:w="6941" w:type="dxa"/>
            <w:tcBorders>
              <w:top w:val="nil"/>
              <w:left w:val="single" w:sz="4" w:space="0" w:color="auto"/>
              <w:bottom w:val="single" w:sz="4" w:space="0" w:color="auto"/>
              <w:right w:val="single" w:sz="4" w:space="0" w:color="auto"/>
            </w:tcBorders>
            <w:noWrap/>
            <w:vAlign w:val="bottom"/>
            <w:hideMark/>
          </w:tcPr>
          <w:p w14:paraId="5FEA71F2" w14:textId="77777777" w:rsidR="00CD7FA2" w:rsidRPr="006D4ECF" w:rsidRDefault="00CD7FA2" w:rsidP="00470D85">
            <w:pPr>
              <w:spacing w:after="0"/>
              <w:rPr>
                <w:rFonts w:eastAsia="Times New Roman"/>
                <w:color w:val="000000"/>
                <w:sz w:val="20"/>
                <w:szCs w:val="20"/>
              </w:rPr>
            </w:pPr>
            <w:r w:rsidRPr="006D4ECF">
              <w:rPr>
                <w:rFonts w:eastAsia="Times New Roman"/>
                <w:color w:val="000000"/>
                <w:sz w:val="20"/>
                <w:szCs w:val="20"/>
              </w:rPr>
              <w:t>Monier Road Street Widening</w:t>
            </w:r>
          </w:p>
        </w:tc>
        <w:tc>
          <w:tcPr>
            <w:tcW w:w="2126" w:type="dxa"/>
            <w:tcBorders>
              <w:top w:val="nil"/>
              <w:left w:val="nil"/>
              <w:bottom w:val="single" w:sz="4" w:space="0" w:color="auto"/>
              <w:right w:val="single" w:sz="4" w:space="0" w:color="auto"/>
            </w:tcBorders>
            <w:noWrap/>
            <w:vAlign w:val="bottom"/>
            <w:hideMark/>
          </w:tcPr>
          <w:p w14:paraId="402240EF" w14:textId="77777777" w:rsidR="00CD7FA2" w:rsidRPr="006D4ECF" w:rsidRDefault="00CD7FA2" w:rsidP="00470D85">
            <w:pPr>
              <w:spacing w:after="0"/>
              <w:jc w:val="right"/>
              <w:rPr>
                <w:rFonts w:eastAsia="Times New Roman"/>
                <w:color w:val="000000"/>
                <w:sz w:val="20"/>
                <w:szCs w:val="20"/>
              </w:rPr>
            </w:pPr>
            <w:r w:rsidRPr="006D4ECF">
              <w:rPr>
                <w:rFonts w:eastAsia="Times New Roman"/>
                <w:color w:val="000000"/>
                <w:sz w:val="20"/>
                <w:szCs w:val="20"/>
              </w:rPr>
              <w:t>£50,000</w:t>
            </w:r>
          </w:p>
        </w:tc>
      </w:tr>
      <w:tr w:rsidR="00CD7FA2" w:rsidRPr="006D4ECF" w14:paraId="3608C25C" w14:textId="77777777" w:rsidTr="732A479B">
        <w:trPr>
          <w:trHeight w:val="290"/>
        </w:trPr>
        <w:tc>
          <w:tcPr>
            <w:tcW w:w="6941" w:type="dxa"/>
            <w:tcBorders>
              <w:top w:val="nil"/>
              <w:left w:val="single" w:sz="4" w:space="0" w:color="auto"/>
              <w:bottom w:val="single" w:sz="4" w:space="0" w:color="auto"/>
              <w:right w:val="single" w:sz="4" w:space="0" w:color="auto"/>
            </w:tcBorders>
            <w:noWrap/>
            <w:vAlign w:val="bottom"/>
            <w:hideMark/>
          </w:tcPr>
          <w:p w14:paraId="16A20B0C" w14:textId="77777777" w:rsidR="00CD7FA2" w:rsidRPr="006D4ECF" w:rsidRDefault="00CD7FA2" w:rsidP="00470D85">
            <w:pPr>
              <w:spacing w:after="0"/>
              <w:rPr>
                <w:rFonts w:eastAsia="Times New Roman"/>
                <w:color w:val="000000"/>
                <w:sz w:val="20"/>
                <w:szCs w:val="20"/>
              </w:rPr>
            </w:pPr>
            <w:r w:rsidRPr="006D4ECF">
              <w:rPr>
                <w:rFonts w:eastAsia="Times New Roman"/>
                <w:color w:val="000000"/>
                <w:sz w:val="20"/>
                <w:szCs w:val="20"/>
              </w:rPr>
              <w:t>Roach Point Bridge</w:t>
            </w:r>
          </w:p>
        </w:tc>
        <w:tc>
          <w:tcPr>
            <w:tcW w:w="2126" w:type="dxa"/>
            <w:tcBorders>
              <w:top w:val="nil"/>
              <w:left w:val="nil"/>
              <w:bottom w:val="single" w:sz="4" w:space="0" w:color="auto"/>
              <w:right w:val="single" w:sz="4" w:space="0" w:color="auto"/>
            </w:tcBorders>
            <w:noWrap/>
            <w:vAlign w:val="bottom"/>
            <w:hideMark/>
          </w:tcPr>
          <w:p w14:paraId="618E9576" w14:textId="77777777" w:rsidR="00CD7FA2" w:rsidRPr="006D4ECF" w:rsidRDefault="00CD7FA2" w:rsidP="00470D85">
            <w:pPr>
              <w:spacing w:after="0"/>
              <w:jc w:val="right"/>
              <w:rPr>
                <w:rFonts w:eastAsia="Times New Roman"/>
                <w:color w:val="000000"/>
                <w:sz w:val="20"/>
                <w:szCs w:val="20"/>
              </w:rPr>
            </w:pPr>
            <w:r w:rsidRPr="006D4ECF">
              <w:rPr>
                <w:rFonts w:eastAsia="Times New Roman"/>
                <w:color w:val="000000"/>
                <w:sz w:val="20"/>
                <w:szCs w:val="20"/>
              </w:rPr>
              <w:t>£294,800</w:t>
            </w:r>
          </w:p>
        </w:tc>
      </w:tr>
      <w:tr w:rsidR="00CD7FA2" w:rsidRPr="006D4ECF" w14:paraId="423006D8" w14:textId="77777777" w:rsidTr="732A479B">
        <w:trPr>
          <w:trHeight w:val="290"/>
        </w:trPr>
        <w:tc>
          <w:tcPr>
            <w:tcW w:w="6941" w:type="dxa"/>
            <w:tcBorders>
              <w:top w:val="nil"/>
              <w:left w:val="single" w:sz="4" w:space="0" w:color="auto"/>
              <w:bottom w:val="single" w:sz="4" w:space="0" w:color="auto"/>
              <w:right w:val="single" w:sz="4" w:space="0" w:color="auto"/>
            </w:tcBorders>
            <w:noWrap/>
            <w:vAlign w:val="bottom"/>
            <w:hideMark/>
          </w:tcPr>
          <w:p w14:paraId="09150BE2" w14:textId="77777777" w:rsidR="00CD7FA2" w:rsidRPr="006D4ECF" w:rsidRDefault="00CD7FA2" w:rsidP="00470D85">
            <w:pPr>
              <w:spacing w:after="0"/>
              <w:rPr>
                <w:rFonts w:eastAsia="Times New Roman"/>
                <w:color w:val="000000"/>
                <w:sz w:val="20"/>
                <w:szCs w:val="20"/>
              </w:rPr>
            </w:pPr>
            <w:r w:rsidRPr="006D4ECF">
              <w:rPr>
                <w:rFonts w:eastAsia="Times New Roman"/>
                <w:color w:val="000000"/>
                <w:sz w:val="20"/>
                <w:szCs w:val="20"/>
              </w:rPr>
              <w:t>Yard Theatre</w:t>
            </w:r>
          </w:p>
        </w:tc>
        <w:tc>
          <w:tcPr>
            <w:tcW w:w="2126" w:type="dxa"/>
            <w:tcBorders>
              <w:top w:val="nil"/>
              <w:left w:val="nil"/>
              <w:bottom w:val="single" w:sz="4" w:space="0" w:color="auto"/>
              <w:right w:val="single" w:sz="4" w:space="0" w:color="auto"/>
            </w:tcBorders>
            <w:noWrap/>
            <w:vAlign w:val="bottom"/>
            <w:hideMark/>
          </w:tcPr>
          <w:p w14:paraId="07758305" w14:textId="77777777" w:rsidR="00CD7FA2" w:rsidRPr="006D4ECF" w:rsidRDefault="00CD7FA2" w:rsidP="00470D85">
            <w:pPr>
              <w:spacing w:after="0"/>
              <w:jc w:val="right"/>
              <w:rPr>
                <w:rFonts w:eastAsia="Times New Roman"/>
                <w:color w:val="000000"/>
                <w:sz w:val="20"/>
                <w:szCs w:val="20"/>
              </w:rPr>
            </w:pPr>
            <w:r w:rsidRPr="006D4ECF">
              <w:rPr>
                <w:rFonts w:eastAsia="Times New Roman"/>
                <w:color w:val="000000"/>
                <w:sz w:val="20"/>
                <w:szCs w:val="20"/>
              </w:rPr>
              <w:t>£2,058,318</w:t>
            </w:r>
          </w:p>
        </w:tc>
      </w:tr>
      <w:tr w:rsidR="00CD7FA2" w:rsidRPr="006D4ECF" w14:paraId="11429DBE" w14:textId="77777777" w:rsidTr="732A479B">
        <w:trPr>
          <w:trHeight w:val="290"/>
        </w:trPr>
        <w:tc>
          <w:tcPr>
            <w:tcW w:w="694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478376DE" w14:textId="77777777" w:rsidR="00CD7FA2" w:rsidRPr="006D4ECF" w:rsidRDefault="00CD7FA2" w:rsidP="00470D85">
            <w:pPr>
              <w:spacing w:after="0"/>
              <w:jc w:val="right"/>
              <w:rPr>
                <w:rFonts w:eastAsia="Times New Roman"/>
                <w:b/>
                <w:bCs/>
                <w:color w:val="000000"/>
                <w:sz w:val="20"/>
                <w:szCs w:val="20"/>
              </w:rPr>
            </w:pPr>
            <w:r w:rsidRPr="006D4ECF">
              <w:rPr>
                <w:rFonts w:eastAsia="Times New Roman"/>
                <w:b/>
                <w:bCs/>
                <w:color w:val="000000"/>
                <w:sz w:val="20"/>
                <w:szCs w:val="20"/>
              </w:rPr>
              <w:t>Total</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1973F9CB" w14:textId="77777777" w:rsidR="00CD7FA2" w:rsidRPr="006D4ECF" w:rsidRDefault="00CD7FA2" w:rsidP="00470D85">
            <w:pPr>
              <w:spacing w:after="0"/>
              <w:jc w:val="right"/>
              <w:rPr>
                <w:rFonts w:eastAsia="Times New Roman"/>
                <w:b/>
                <w:bCs/>
                <w:color w:val="000000"/>
                <w:sz w:val="20"/>
                <w:szCs w:val="20"/>
              </w:rPr>
            </w:pPr>
            <w:r w:rsidRPr="006D4ECF">
              <w:rPr>
                <w:rFonts w:eastAsia="Times New Roman"/>
                <w:b/>
                <w:bCs/>
                <w:color w:val="000000"/>
                <w:sz w:val="20"/>
                <w:szCs w:val="20"/>
              </w:rPr>
              <w:t>£5,117,930</w:t>
            </w:r>
          </w:p>
        </w:tc>
      </w:tr>
    </w:tbl>
    <w:p w14:paraId="43AA2FF4" w14:textId="77777777" w:rsidR="00CD7FA2" w:rsidRPr="00A22509" w:rsidRDefault="00CD7FA2" w:rsidP="00CD7FA2">
      <w:pPr>
        <w:rPr>
          <w:b/>
          <w:bCs/>
          <w:i/>
          <w:iCs/>
          <w:sz w:val="22"/>
          <w:szCs w:val="22"/>
        </w:rPr>
      </w:pPr>
    </w:p>
    <w:p w14:paraId="72FE8ABD" w14:textId="5046D3AC" w:rsidR="00CD7FA2" w:rsidRPr="005F7802" w:rsidRDefault="00CD7FA2" w:rsidP="00CD7FA2">
      <w:pPr>
        <w:rPr>
          <w:b/>
          <w:bCs/>
          <w:sz w:val="22"/>
          <w:szCs w:val="22"/>
        </w:rPr>
      </w:pPr>
      <w:r w:rsidRPr="005F7802">
        <w:rPr>
          <w:b/>
          <w:bCs/>
          <w:sz w:val="22"/>
          <w:szCs w:val="22"/>
        </w:rPr>
        <w:t xml:space="preserve">Table </w:t>
      </w:r>
      <w:r w:rsidR="00EA7615">
        <w:rPr>
          <w:b/>
          <w:bCs/>
          <w:sz w:val="22"/>
          <w:szCs w:val="22"/>
        </w:rPr>
        <w:t>4</w:t>
      </w:r>
      <w:r w:rsidRPr="005F7802">
        <w:rPr>
          <w:b/>
          <w:bCs/>
          <w:sz w:val="22"/>
          <w:szCs w:val="22"/>
        </w:rPr>
        <w:t>.4 NCIL Allocated Funds to Projects</w:t>
      </w:r>
    </w:p>
    <w:tbl>
      <w:tblPr>
        <w:tblStyle w:val="TableGrid"/>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6941"/>
        <w:gridCol w:w="2126"/>
      </w:tblGrid>
      <w:tr w:rsidR="00CD7FA2" w:rsidRPr="006D4ECF" w14:paraId="5EF08F51" w14:textId="77777777" w:rsidTr="732A479B">
        <w:tc>
          <w:tcPr>
            <w:tcW w:w="6941" w:type="dxa"/>
            <w:shd w:val="clear" w:color="auto" w:fill="00B0F0"/>
          </w:tcPr>
          <w:p w14:paraId="2A1D7277" w14:textId="77777777" w:rsidR="00CD7FA2" w:rsidRPr="006D4ECF" w:rsidRDefault="00CD7FA2" w:rsidP="00470D85">
            <w:pPr>
              <w:rPr>
                <w:b/>
                <w:bCs/>
                <w:sz w:val="20"/>
                <w:szCs w:val="20"/>
              </w:rPr>
            </w:pPr>
          </w:p>
          <w:p w14:paraId="46BD182C" w14:textId="77777777" w:rsidR="00CD7FA2" w:rsidRPr="006D4ECF" w:rsidRDefault="00CD7FA2" w:rsidP="00470D85">
            <w:pPr>
              <w:rPr>
                <w:b/>
                <w:bCs/>
                <w:sz w:val="20"/>
                <w:szCs w:val="20"/>
              </w:rPr>
            </w:pPr>
            <w:r w:rsidRPr="006D4ECF">
              <w:rPr>
                <w:b/>
                <w:bCs/>
                <w:sz w:val="20"/>
                <w:szCs w:val="20"/>
              </w:rPr>
              <w:t>Project</w:t>
            </w:r>
          </w:p>
        </w:tc>
        <w:tc>
          <w:tcPr>
            <w:tcW w:w="2126" w:type="dxa"/>
            <w:shd w:val="clear" w:color="auto" w:fill="00B0F0"/>
          </w:tcPr>
          <w:p w14:paraId="5F551AC3" w14:textId="77777777" w:rsidR="00CD7FA2" w:rsidRPr="006D4ECF" w:rsidRDefault="00CD7FA2" w:rsidP="00470D85">
            <w:pPr>
              <w:jc w:val="right"/>
              <w:rPr>
                <w:b/>
                <w:bCs/>
                <w:sz w:val="20"/>
                <w:szCs w:val="20"/>
              </w:rPr>
            </w:pPr>
            <w:r w:rsidRPr="006D4ECF">
              <w:rPr>
                <w:b/>
                <w:bCs/>
                <w:sz w:val="20"/>
                <w:szCs w:val="20"/>
              </w:rPr>
              <w:t>Total Amount 2024/2025</w:t>
            </w:r>
          </w:p>
        </w:tc>
      </w:tr>
      <w:tr w:rsidR="00CD7FA2" w:rsidRPr="006D4ECF" w14:paraId="70463FCA" w14:textId="77777777" w:rsidTr="732A479B">
        <w:tc>
          <w:tcPr>
            <w:tcW w:w="6941" w:type="dxa"/>
          </w:tcPr>
          <w:p w14:paraId="4DB70685" w14:textId="77777777" w:rsidR="00CD7FA2" w:rsidRPr="006D4ECF" w:rsidRDefault="00CD7FA2" w:rsidP="00470D85">
            <w:pPr>
              <w:rPr>
                <w:b/>
                <w:bCs/>
                <w:sz w:val="20"/>
                <w:szCs w:val="20"/>
              </w:rPr>
            </w:pPr>
            <w:r w:rsidRPr="006D4ECF">
              <w:rPr>
                <w:rFonts w:eastAsia="Times New Roman"/>
                <w:color w:val="000000"/>
                <w:kern w:val="0"/>
                <w:sz w:val="20"/>
                <w:szCs w:val="20"/>
                <w14:ligatures w14:val="none"/>
              </w:rPr>
              <w:t>Yard Theatre</w:t>
            </w:r>
          </w:p>
        </w:tc>
        <w:tc>
          <w:tcPr>
            <w:tcW w:w="2126" w:type="dxa"/>
          </w:tcPr>
          <w:p w14:paraId="0181EBF8" w14:textId="77777777" w:rsidR="00CD7FA2" w:rsidRPr="006D4ECF" w:rsidRDefault="00CD7FA2" w:rsidP="00470D85">
            <w:pPr>
              <w:jc w:val="right"/>
              <w:rPr>
                <w:sz w:val="20"/>
                <w:szCs w:val="20"/>
              </w:rPr>
            </w:pPr>
            <w:r w:rsidRPr="006D4ECF">
              <w:rPr>
                <w:sz w:val="20"/>
                <w:szCs w:val="20"/>
              </w:rPr>
              <w:t>£11,180.00</w:t>
            </w:r>
          </w:p>
        </w:tc>
      </w:tr>
      <w:tr w:rsidR="00CD7FA2" w:rsidRPr="006D4ECF" w14:paraId="3AC37F20" w14:textId="77777777" w:rsidTr="732A479B">
        <w:tc>
          <w:tcPr>
            <w:tcW w:w="6941" w:type="dxa"/>
            <w:shd w:val="clear" w:color="auto" w:fill="D9D9D9" w:themeFill="background1" w:themeFillShade="D9"/>
          </w:tcPr>
          <w:p w14:paraId="520A1926" w14:textId="77777777" w:rsidR="00CD7FA2" w:rsidRPr="006D4ECF" w:rsidRDefault="00CD7FA2" w:rsidP="00470D85">
            <w:pPr>
              <w:jc w:val="right"/>
              <w:rPr>
                <w:rFonts w:eastAsia="Times New Roman"/>
                <w:b/>
                <w:bCs/>
                <w:color w:val="000000"/>
                <w:kern w:val="0"/>
                <w:sz w:val="20"/>
                <w:szCs w:val="20"/>
                <w14:ligatures w14:val="none"/>
              </w:rPr>
            </w:pPr>
            <w:r w:rsidRPr="006D4ECF">
              <w:rPr>
                <w:rFonts w:eastAsia="Times New Roman"/>
                <w:b/>
                <w:bCs/>
                <w:color w:val="000000"/>
                <w:kern w:val="0"/>
                <w:sz w:val="20"/>
                <w:szCs w:val="20"/>
                <w14:ligatures w14:val="none"/>
              </w:rPr>
              <w:t>Total</w:t>
            </w:r>
          </w:p>
        </w:tc>
        <w:tc>
          <w:tcPr>
            <w:tcW w:w="2126" w:type="dxa"/>
            <w:shd w:val="clear" w:color="auto" w:fill="D9D9D9" w:themeFill="background1" w:themeFillShade="D9"/>
          </w:tcPr>
          <w:p w14:paraId="6873BA6B" w14:textId="77777777" w:rsidR="00CD7FA2" w:rsidRPr="006D4ECF" w:rsidRDefault="00CD7FA2" w:rsidP="00470D85">
            <w:pPr>
              <w:jc w:val="right"/>
              <w:rPr>
                <w:b/>
                <w:bCs/>
                <w:sz w:val="20"/>
                <w:szCs w:val="20"/>
              </w:rPr>
            </w:pPr>
            <w:r w:rsidRPr="006D4ECF">
              <w:rPr>
                <w:b/>
                <w:bCs/>
                <w:sz w:val="20"/>
                <w:szCs w:val="20"/>
              </w:rPr>
              <w:t>£11,180.00</w:t>
            </w:r>
          </w:p>
        </w:tc>
      </w:tr>
    </w:tbl>
    <w:p w14:paraId="78F0C9CF" w14:textId="77777777" w:rsidR="00CD7FA2" w:rsidRPr="005F7802" w:rsidRDefault="00CD7FA2" w:rsidP="00CD7FA2">
      <w:pPr>
        <w:rPr>
          <w:b/>
          <w:bCs/>
          <w:sz w:val="22"/>
          <w:szCs w:val="22"/>
        </w:rPr>
      </w:pPr>
    </w:p>
    <w:p w14:paraId="273EFD7E" w14:textId="7A118F5D" w:rsidR="00CD7FA2" w:rsidRPr="005F7802" w:rsidRDefault="00CD7FA2" w:rsidP="00CD7FA2">
      <w:pPr>
        <w:rPr>
          <w:b/>
          <w:bCs/>
          <w:sz w:val="22"/>
          <w:szCs w:val="22"/>
        </w:rPr>
      </w:pPr>
      <w:r w:rsidRPr="732A479B">
        <w:rPr>
          <w:b/>
          <w:bCs/>
          <w:sz w:val="22"/>
          <w:szCs w:val="22"/>
        </w:rPr>
        <w:t>Historical Publications of the LLDC’s IFS</w:t>
      </w:r>
    </w:p>
    <w:p w14:paraId="368FA37D" w14:textId="315E6BC3" w:rsidR="00CD7FA2" w:rsidRPr="005F7802" w:rsidRDefault="00CD7FA2" w:rsidP="00CD7FA2">
      <w:pPr>
        <w:rPr>
          <w:sz w:val="22"/>
          <w:szCs w:val="22"/>
        </w:rPr>
      </w:pPr>
      <w:r w:rsidRPr="732A479B">
        <w:rPr>
          <w:sz w:val="22"/>
          <w:szCs w:val="22"/>
        </w:rPr>
        <w:t xml:space="preserve">The historical publications of the </w:t>
      </w:r>
      <w:r w:rsidR="473507AD" w:rsidRPr="732A479B">
        <w:rPr>
          <w:sz w:val="22"/>
          <w:szCs w:val="22"/>
        </w:rPr>
        <w:t>IFS</w:t>
      </w:r>
      <w:r w:rsidRPr="732A479B">
        <w:rPr>
          <w:sz w:val="22"/>
          <w:szCs w:val="22"/>
        </w:rPr>
        <w:t xml:space="preserve"> that were produced and published by the LLDC are as follows and can be found on </w:t>
      </w:r>
      <w:r w:rsidR="196D0CB8" w:rsidRPr="732A479B">
        <w:rPr>
          <w:sz w:val="22"/>
          <w:szCs w:val="22"/>
        </w:rPr>
        <w:t>the council'</w:t>
      </w:r>
      <w:r w:rsidRPr="732A479B">
        <w:rPr>
          <w:sz w:val="22"/>
          <w:szCs w:val="22"/>
        </w:rPr>
        <w:t>s website.</w:t>
      </w:r>
    </w:p>
    <w:p w14:paraId="3F7FCEA6" w14:textId="77777777" w:rsidR="00CD7FA2" w:rsidRPr="005F7802" w:rsidRDefault="00CD7FA2" w:rsidP="00CD7FA2">
      <w:pPr>
        <w:numPr>
          <w:ilvl w:val="0"/>
          <w:numId w:val="21"/>
        </w:numPr>
        <w:spacing w:line="278" w:lineRule="auto"/>
        <w:rPr>
          <w:sz w:val="22"/>
          <w:szCs w:val="22"/>
        </w:rPr>
      </w:pPr>
      <w:hyperlink r:id="rId15" w:tooltip="2023-24 Infrastructure Funding Statement" w:history="1">
        <w:r w:rsidRPr="005F7802">
          <w:rPr>
            <w:rStyle w:val="Hyperlink"/>
            <w:b/>
            <w:bCs/>
            <w:sz w:val="22"/>
            <w:szCs w:val="22"/>
          </w:rPr>
          <w:t>AMR and IFS 2023-2024</w:t>
        </w:r>
      </w:hyperlink>
    </w:p>
    <w:p w14:paraId="252780C9" w14:textId="77777777" w:rsidR="00CD7FA2" w:rsidRPr="005F7802" w:rsidRDefault="00CD7FA2" w:rsidP="00CD7FA2">
      <w:pPr>
        <w:numPr>
          <w:ilvl w:val="0"/>
          <w:numId w:val="21"/>
        </w:numPr>
        <w:spacing w:line="278" w:lineRule="auto"/>
        <w:rPr>
          <w:sz w:val="22"/>
          <w:szCs w:val="22"/>
        </w:rPr>
      </w:pPr>
      <w:hyperlink r:id="rId16" w:tooltip="2022-2023 LLDC Infrastructure Funding Statement" w:history="1">
        <w:r w:rsidRPr="005F7802">
          <w:rPr>
            <w:rStyle w:val="Hyperlink"/>
            <w:b/>
            <w:bCs/>
            <w:sz w:val="22"/>
            <w:szCs w:val="22"/>
          </w:rPr>
          <w:t>AMR and IFS 2022-2023</w:t>
        </w:r>
      </w:hyperlink>
    </w:p>
    <w:p w14:paraId="7784679F" w14:textId="77777777" w:rsidR="00CD7FA2" w:rsidRPr="005F7802" w:rsidRDefault="00CD7FA2" w:rsidP="00CD7FA2">
      <w:pPr>
        <w:numPr>
          <w:ilvl w:val="0"/>
          <w:numId w:val="21"/>
        </w:numPr>
        <w:spacing w:line="278" w:lineRule="auto"/>
        <w:rPr>
          <w:sz w:val="22"/>
          <w:szCs w:val="22"/>
        </w:rPr>
      </w:pPr>
      <w:hyperlink r:id="rId17" w:tooltip="AMR and IFS July 2022" w:history="1">
        <w:r w:rsidRPr="005F7802">
          <w:rPr>
            <w:rStyle w:val="Hyperlink"/>
            <w:b/>
            <w:bCs/>
            <w:sz w:val="22"/>
            <w:szCs w:val="22"/>
          </w:rPr>
          <w:t>AMR and IFS 2021-2022</w:t>
        </w:r>
      </w:hyperlink>
    </w:p>
    <w:p w14:paraId="2D883F57" w14:textId="77777777" w:rsidR="00CD7FA2" w:rsidRPr="005F7802" w:rsidRDefault="00CD7FA2" w:rsidP="00CD7FA2">
      <w:pPr>
        <w:numPr>
          <w:ilvl w:val="0"/>
          <w:numId w:val="21"/>
        </w:numPr>
        <w:spacing w:line="278" w:lineRule="auto"/>
        <w:rPr>
          <w:sz w:val="22"/>
          <w:szCs w:val="22"/>
        </w:rPr>
      </w:pPr>
      <w:hyperlink r:id="rId18" w:tooltip="2021 LLDC Infrastucture Funding Statement" w:history="1">
        <w:r w:rsidRPr="005F7802">
          <w:rPr>
            <w:rStyle w:val="Hyperlink"/>
            <w:b/>
            <w:bCs/>
            <w:sz w:val="22"/>
            <w:szCs w:val="22"/>
          </w:rPr>
          <w:t>IFS 2020/2021</w:t>
        </w:r>
      </w:hyperlink>
    </w:p>
    <w:p w14:paraId="5EF2BAC1" w14:textId="77777777" w:rsidR="00CD7FA2" w:rsidRPr="005F7802" w:rsidRDefault="00CD7FA2" w:rsidP="00CD7FA2">
      <w:pPr>
        <w:numPr>
          <w:ilvl w:val="0"/>
          <w:numId w:val="21"/>
        </w:numPr>
        <w:spacing w:line="278" w:lineRule="auto"/>
        <w:rPr>
          <w:sz w:val="22"/>
          <w:szCs w:val="22"/>
        </w:rPr>
      </w:pPr>
      <w:hyperlink r:id="rId19" w:tooltip="2019-2020 LLDC Infrastructure Funding Statement" w:history="1">
        <w:r w:rsidRPr="005F7802">
          <w:rPr>
            <w:rStyle w:val="Hyperlink"/>
            <w:b/>
            <w:bCs/>
            <w:sz w:val="22"/>
            <w:szCs w:val="22"/>
          </w:rPr>
          <w:t>IFS 2019/2020</w:t>
        </w:r>
      </w:hyperlink>
    </w:p>
    <w:p w14:paraId="20F36943" w14:textId="77777777" w:rsidR="00CD7FA2" w:rsidRPr="005F7802" w:rsidRDefault="00CD7FA2" w:rsidP="00CD7FA2">
      <w:pPr>
        <w:rPr>
          <w:sz w:val="22"/>
          <w:szCs w:val="22"/>
        </w:rPr>
      </w:pPr>
      <w:r w:rsidRPr="732A479B">
        <w:rPr>
          <w:sz w:val="22"/>
          <w:szCs w:val="22"/>
        </w:rPr>
        <w:t xml:space="preserve">Please note that the data published by the LLDC for previous years also includes the London Boroughs of Hackney, Newham, and Waltham Forest. </w:t>
      </w:r>
    </w:p>
    <w:p w14:paraId="02800241" w14:textId="74C35139" w:rsidR="732A479B" w:rsidRDefault="732A479B" w:rsidP="732A479B">
      <w:pPr>
        <w:rPr>
          <w:b/>
          <w:bCs/>
          <w:sz w:val="22"/>
          <w:szCs w:val="22"/>
        </w:rPr>
      </w:pPr>
    </w:p>
    <w:p w14:paraId="3519FF70" w14:textId="1EDA39D0" w:rsidR="00CD7FA2" w:rsidRPr="005F7802" w:rsidRDefault="00CD7FA2" w:rsidP="00CD7FA2">
      <w:pPr>
        <w:rPr>
          <w:b/>
          <w:bCs/>
          <w:sz w:val="22"/>
          <w:szCs w:val="22"/>
        </w:rPr>
      </w:pPr>
      <w:r w:rsidRPr="732A479B">
        <w:rPr>
          <w:b/>
          <w:bCs/>
          <w:sz w:val="22"/>
          <w:szCs w:val="22"/>
        </w:rPr>
        <w:t>Looking Ahead: LLDC Infrastructure Funding Statement 2025/2026</w:t>
      </w:r>
    </w:p>
    <w:p w14:paraId="41694C32" w14:textId="7452E68C" w:rsidR="00CD7FA2" w:rsidRPr="005F7802" w:rsidRDefault="00CD7FA2" w:rsidP="00CD7FA2">
      <w:pPr>
        <w:rPr>
          <w:sz w:val="22"/>
          <w:szCs w:val="22"/>
        </w:rPr>
      </w:pPr>
      <w:r w:rsidRPr="732A479B">
        <w:rPr>
          <w:sz w:val="22"/>
          <w:szCs w:val="22"/>
        </w:rPr>
        <w:t>Following the transfer of planning powers, LBTH will assume full responsibility for the collection, allocation, and monitoring of developer contributions within the former LLDC area. For the next I</w:t>
      </w:r>
      <w:r w:rsidR="399C2F7B" w:rsidRPr="732A479B">
        <w:rPr>
          <w:sz w:val="22"/>
          <w:szCs w:val="22"/>
        </w:rPr>
        <w:t>FS</w:t>
      </w:r>
      <w:r w:rsidRPr="732A479B">
        <w:rPr>
          <w:sz w:val="22"/>
          <w:szCs w:val="22"/>
        </w:rPr>
        <w:t xml:space="preserve"> reporting period (2025/2026), LLDC related figures will be incorporated into </w:t>
      </w:r>
      <w:r w:rsidR="735F8F5A" w:rsidRPr="732A479B">
        <w:rPr>
          <w:sz w:val="22"/>
          <w:szCs w:val="22"/>
        </w:rPr>
        <w:t>the council’s</w:t>
      </w:r>
      <w:r w:rsidRPr="732A479B">
        <w:rPr>
          <w:sz w:val="22"/>
          <w:szCs w:val="22"/>
        </w:rPr>
        <w:t xml:space="preserve"> </w:t>
      </w:r>
      <w:r w:rsidR="229E4615" w:rsidRPr="732A479B">
        <w:rPr>
          <w:sz w:val="22"/>
          <w:szCs w:val="22"/>
        </w:rPr>
        <w:t>overall figures</w:t>
      </w:r>
      <w:r w:rsidRPr="732A479B">
        <w:rPr>
          <w:sz w:val="22"/>
          <w:szCs w:val="22"/>
        </w:rPr>
        <w:t>.</w:t>
      </w:r>
    </w:p>
    <w:p w14:paraId="7F9CF234" w14:textId="77777777" w:rsidR="00CD7FA2" w:rsidRDefault="00CD7FA2" w:rsidP="00CD7FA2">
      <w:pPr>
        <w:rPr>
          <w:rFonts w:asciiTheme="majorHAnsi" w:eastAsiaTheme="majorEastAsia" w:hAnsiTheme="majorHAnsi" w:cstheme="majorBidi"/>
          <w:i/>
          <w:iCs/>
          <w:color w:val="2F5496" w:themeColor="accent1" w:themeShade="BF"/>
          <w:sz w:val="40"/>
          <w:szCs w:val="40"/>
        </w:rPr>
      </w:pPr>
      <w:r>
        <w:rPr>
          <w:i/>
          <w:iCs/>
        </w:rPr>
        <w:br w:type="page"/>
      </w:r>
    </w:p>
    <w:p w14:paraId="43049F24" w14:textId="18FC89B5" w:rsidR="00CD7FA2" w:rsidRPr="005F7802" w:rsidRDefault="00EA7615" w:rsidP="00CD7FA2">
      <w:pPr>
        <w:pStyle w:val="Heading1"/>
      </w:pPr>
      <w:bookmarkStart w:id="14" w:name="_Toc215736108"/>
      <w:bookmarkStart w:id="15" w:name="_Toc215739265"/>
      <w:bookmarkStart w:id="16" w:name="_Toc216258123"/>
      <w:r>
        <w:lastRenderedPageBreak/>
        <w:t>5</w:t>
      </w:r>
      <w:r w:rsidR="00CD7FA2" w:rsidRPr="005F7802">
        <w:t>.0 The Infrastructure List and Future Spending Priorities</w:t>
      </w:r>
      <w:bookmarkEnd w:id="13"/>
      <w:bookmarkEnd w:id="14"/>
      <w:bookmarkEnd w:id="15"/>
      <w:bookmarkEnd w:id="16"/>
    </w:p>
    <w:p w14:paraId="5AB860C2" w14:textId="77777777" w:rsidR="005F7802" w:rsidRPr="005F7802" w:rsidRDefault="005F7802" w:rsidP="005F7802"/>
    <w:p w14:paraId="2359F16F" w14:textId="315554DC" w:rsidR="00CD7FA2" w:rsidRPr="005F7802" w:rsidRDefault="00BC400B" w:rsidP="00CD7FA2">
      <w:pPr>
        <w:rPr>
          <w:sz w:val="22"/>
          <w:szCs w:val="22"/>
        </w:rPr>
      </w:pPr>
      <w:r>
        <w:rPr>
          <w:sz w:val="22"/>
          <w:szCs w:val="22"/>
        </w:rPr>
        <w:t>The</w:t>
      </w:r>
      <w:r w:rsidR="00CD7FA2" w:rsidRPr="005F7802">
        <w:rPr>
          <w:sz w:val="22"/>
          <w:szCs w:val="22"/>
        </w:rPr>
        <w:t xml:space="preserve"> council plans for infrastructure over the long term in supporting the adoption and delivery of the Local Plan, through the Infrastructure Delivery Plan (IDP). In the shorter term, the council identifies and agrees infrastructure priorities to be delivered using CIL and/or s106 and other funding through the Capital Programme (CP). </w:t>
      </w:r>
    </w:p>
    <w:p w14:paraId="4C90027F" w14:textId="77777777" w:rsidR="00CD7FA2" w:rsidRPr="005F7802" w:rsidRDefault="00CD7FA2" w:rsidP="00CD7FA2">
      <w:pPr>
        <w:rPr>
          <w:sz w:val="22"/>
          <w:szCs w:val="22"/>
        </w:rPr>
      </w:pPr>
      <w:r w:rsidRPr="005F7802">
        <w:rPr>
          <w:sz w:val="22"/>
          <w:szCs w:val="22"/>
        </w:rPr>
        <w:t>The CP is a list of schemes the council is investing in, and shows the approved budget allocation, source of funding, and where and when the scheme is planned for delivery. The CP is set over a three-year period and reviewed annually to ensure all known requirements are captured and assessed against existing and planned resources to enable expenditure.</w:t>
      </w:r>
    </w:p>
    <w:p w14:paraId="4BBC8D70" w14:textId="77777777" w:rsidR="00CD7FA2" w:rsidRPr="005F7802" w:rsidRDefault="00CD7FA2" w:rsidP="00CD7FA2">
      <w:pPr>
        <w:rPr>
          <w:sz w:val="22"/>
          <w:szCs w:val="22"/>
        </w:rPr>
      </w:pPr>
      <w:r w:rsidRPr="005F7802">
        <w:rPr>
          <w:sz w:val="22"/>
          <w:szCs w:val="22"/>
        </w:rPr>
        <w:t xml:space="preserve">The following common infrastructure themes may be funded by CIL and s106 through the CP. However, this list is not exclusive, and the Council will always consider how it will use funding and on what matters to best support growth and residents: </w:t>
      </w:r>
    </w:p>
    <w:p w14:paraId="1B8AF095" w14:textId="77777777" w:rsidR="00CD7FA2" w:rsidRPr="005F7802" w:rsidRDefault="00CD7FA2" w:rsidP="00CD7FA2">
      <w:pPr>
        <w:pStyle w:val="ListParagraph"/>
        <w:numPr>
          <w:ilvl w:val="0"/>
          <w:numId w:val="6"/>
        </w:numPr>
        <w:rPr>
          <w:rFonts w:ascii="Arial" w:hAnsi="Arial" w:cs="Arial"/>
          <w:sz w:val="22"/>
          <w:szCs w:val="22"/>
        </w:rPr>
      </w:pPr>
      <w:r w:rsidRPr="005F7802">
        <w:rPr>
          <w:rFonts w:ascii="Arial" w:hAnsi="Arial" w:cs="Arial"/>
          <w:sz w:val="22"/>
          <w:szCs w:val="22"/>
        </w:rPr>
        <w:t xml:space="preserve">education infrastructure </w:t>
      </w:r>
    </w:p>
    <w:p w14:paraId="3C3C5760" w14:textId="77777777" w:rsidR="00CD7FA2" w:rsidRPr="005F7802" w:rsidRDefault="00CD7FA2" w:rsidP="00CD7FA2">
      <w:pPr>
        <w:pStyle w:val="ListParagraph"/>
        <w:numPr>
          <w:ilvl w:val="0"/>
          <w:numId w:val="6"/>
        </w:numPr>
        <w:rPr>
          <w:rFonts w:ascii="Arial" w:hAnsi="Arial" w:cs="Arial"/>
          <w:sz w:val="22"/>
          <w:szCs w:val="22"/>
        </w:rPr>
      </w:pPr>
      <w:r w:rsidRPr="005F7802">
        <w:rPr>
          <w:rFonts w:ascii="Arial" w:hAnsi="Arial" w:cs="Arial"/>
          <w:sz w:val="22"/>
          <w:szCs w:val="22"/>
        </w:rPr>
        <w:t xml:space="preserve">health facilities </w:t>
      </w:r>
    </w:p>
    <w:p w14:paraId="71F0D025" w14:textId="77777777" w:rsidR="00CD7FA2" w:rsidRPr="005F7802" w:rsidRDefault="00CD7FA2" w:rsidP="00CD7FA2">
      <w:pPr>
        <w:pStyle w:val="ListParagraph"/>
        <w:numPr>
          <w:ilvl w:val="0"/>
          <w:numId w:val="6"/>
        </w:numPr>
        <w:rPr>
          <w:rFonts w:ascii="Arial" w:hAnsi="Arial" w:cs="Arial"/>
          <w:sz w:val="22"/>
          <w:szCs w:val="22"/>
        </w:rPr>
      </w:pPr>
      <w:r w:rsidRPr="005F7802">
        <w:rPr>
          <w:rFonts w:ascii="Arial" w:hAnsi="Arial" w:cs="Arial"/>
          <w:sz w:val="22"/>
          <w:szCs w:val="22"/>
        </w:rPr>
        <w:t xml:space="preserve">leisure and sports facilities </w:t>
      </w:r>
    </w:p>
    <w:p w14:paraId="3E6E0637" w14:textId="77777777" w:rsidR="00CD7FA2" w:rsidRPr="005F7802" w:rsidRDefault="00CD7FA2" w:rsidP="00CD7FA2">
      <w:pPr>
        <w:pStyle w:val="ListParagraph"/>
        <w:numPr>
          <w:ilvl w:val="0"/>
          <w:numId w:val="6"/>
        </w:numPr>
        <w:rPr>
          <w:rFonts w:ascii="Arial" w:hAnsi="Arial" w:cs="Arial"/>
          <w:sz w:val="22"/>
          <w:szCs w:val="22"/>
        </w:rPr>
      </w:pPr>
      <w:r w:rsidRPr="005F7802">
        <w:rPr>
          <w:rFonts w:ascii="Arial" w:hAnsi="Arial" w:cs="Arial"/>
          <w:sz w:val="22"/>
          <w:szCs w:val="22"/>
        </w:rPr>
        <w:t>Idea Store, library, or archives facilities</w:t>
      </w:r>
    </w:p>
    <w:p w14:paraId="1DF13FAE" w14:textId="77777777" w:rsidR="00CD7FA2" w:rsidRPr="005F7802" w:rsidRDefault="00CD7FA2" w:rsidP="00CD7FA2">
      <w:pPr>
        <w:pStyle w:val="ListParagraph"/>
        <w:numPr>
          <w:ilvl w:val="0"/>
          <w:numId w:val="6"/>
        </w:numPr>
        <w:rPr>
          <w:rFonts w:ascii="Arial" w:hAnsi="Arial" w:cs="Arial"/>
          <w:sz w:val="22"/>
          <w:szCs w:val="22"/>
        </w:rPr>
      </w:pPr>
      <w:r w:rsidRPr="005F7802">
        <w:rPr>
          <w:rFonts w:ascii="Arial" w:hAnsi="Arial" w:cs="Arial"/>
          <w:sz w:val="22"/>
          <w:szCs w:val="22"/>
        </w:rPr>
        <w:t xml:space="preserve">transportation, connectivity, and public realm infrastructure </w:t>
      </w:r>
    </w:p>
    <w:p w14:paraId="4B24A591" w14:textId="77777777" w:rsidR="00CD7FA2" w:rsidRPr="005F7802" w:rsidRDefault="00CD7FA2" w:rsidP="00CD7FA2">
      <w:pPr>
        <w:pStyle w:val="ListParagraph"/>
        <w:numPr>
          <w:ilvl w:val="0"/>
          <w:numId w:val="6"/>
        </w:numPr>
        <w:rPr>
          <w:rFonts w:ascii="Arial" w:hAnsi="Arial" w:cs="Arial"/>
          <w:sz w:val="22"/>
          <w:szCs w:val="22"/>
        </w:rPr>
      </w:pPr>
      <w:r w:rsidRPr="005F7802">
        <w:rPr>
          <w:rFonts w:ascii="Arial" w:hAnsi="Arial" w:cs="Arial"/>
          <w:sz w:val="22"/>
          <w:szCs w:val="22"/>
        </w:rPr>
        <w:t xml:space="preserve">publicly accessible open space </w:t>
      </w:r>
    </w:p>
    <w:p w14:paraId="57F07DB9" w14:textId="77777777" w:rsidR="00CD7FA2" w:rsidRPr="005F7802" w:rsidRDefault="00CD7FA2" w:rsidP="00CD7FA2">
      <w:pPr>
        <w:pStyle w:val="ListParagraph"/>
        <w:numPr>
          <w:ilvl w:val="0"/>
          <w:numId w:val="6"/>
        </w:numPr>
        <w:rPr>
          <w:rFonts w:ascii="Arial" w:hAnsi="Arial" w:cs="Arial"/>
          <w:sz w:val="22"/>
          <w:szCs w:val="22"/>
        </w:rPr>
      </w:pPr>
      <w:r w:rsidRPr="005F7802">
        <w:rPr>
          <w:rFonts w:ascii="Arial" w:hAnsi="Arial" w:cs="Arial"/>
          <w:sz w:val="22"/>
          <w:szCs w:val="22"/>
        </w:rPr>
        <w:t xml:space="preserve">employment and enterprise </w:t>
      </w:r>
    </w:p>
    <w:p w14:paraId="4013F813" w14:textId="77777777" w:rsidR="00CD7FA2" w:rsidRPr="005F7802" w:rsidRDefault="00CD7FA2" w:rsidP="00CD7FA2">
      <w:pPr>
        <w:pStyle w:val="ListParagraph"/>
        <w:numPr>
          <w:ilvl w:val="0"/>
          <w:numId w:val="6"/>
        </w:numPr>
        <w:rPr>
          <w:rFonts w:ascii="Arial" w:hAnsi="Arial" w:cs="Arial"/>
          <w:sz w:val="22"/>
          <w:szCs w:val="22"/>
        </w:rPr>
      </w:pPr>
      <w:r w:rsidRPr="005F7802">
        <w:rPr>
          <w:rFonts w:ascii="Arial" w:hAnsi="Arial" w:cs="Arial"/>
          <w:sz w:val="22"/>
          <w:szCs w:val="22"/>
        </w:rPr>
        <w:t>community centres</w:t>
      </w:r>
    </w:p>
    <w:p w14:paraId="5920D0E2" w14:textId="77777777" w:rsidR="00CD7FA2" w:rsidRPr="005F7802" w:rsidRDefault="00CD7FA2" w:rsidP="00CD7FA2">
      <w:pPr>
        <w:pStyle w:val="ListParagraph"/>
        <w:numPr>
          <w:ilvl w:val="0"/>
          <w:numId w:val="6"/>
        </w:numPr>
        <w:rPr>
          <w:rFonts w:ascii="Arial" w:hAnsi="Arial" w:cs="Arial"/>
          <w:sz w:val="22"/>
          <w:szCs w:val="22"/>
        </w:rPr>
      </w:pPr>
      <w:r w:rsidRPr="005F7802">
        <w:rPr>
          <w:rFonts w:ascii="Arial" w:hAnsi="Arial" w:cs="Arial"/>
          <w:sz w:val="22"/>
          <w:szCs w:val="22"/>
        </w:rPr>
        <w:t>youth facilities</w:t>
      </w:r>
    </w:p>
    <w:p w14:paraId="5AFA6217" w14:textId="77777777" w:rsidR="00CD7FA2" w:rsidRPr="005F7802" w:rsidRDefault="00CD7FA2" w:rsidP="00CD7FA2">
      <w:pPr>
        <w:pStyle w:val="ListParagraph"/>
        <w:numPr>
          <w:ilvl w:val="0"/>
          <w:numId w:val="6"/>
        </w:numPr>
        <w:rPr>
          <w:rFonts w:ascii="Arial" w:hAnsi="Arial" w:cs="Arial"/>
          <w:sz w:val="22"/>
          <w:szCs w:val="22"/>
        </w:rPr>
      </w:pPr>
      <w:r w:rsidRPr="005F7802">
        <w:rPr>
          <w:rFonts w:ascii="Arial" w:hAnsi="Arial" w:cs="Arial"/>
          <w:sz w:val="22"/>
          <w:szCs w:val="22"/>
        </w:rPr>
        <w:t xml:space="preserve">strategic energy and sustainable infrastructure </w:t>
      </w:r>
    </w:p>
    <w:p w14:paraId="5291ED16" w14:textId="77777777" w:rsidR="00CD7FA2" w:rsidRPr="005F7802" w:rsidRDefault="00CD7FA2" w:rsidP="00CD7FA2">
      <w:pPr>
        <w:pStyle w:val="ListParagraph"/>
        <w:numPr>
          <w:ilvl w:val="0"/>
          <w:numId w:val="6"/>
        </w:numPr>
        <w:rPr>
          <w:rFonts w:ascii="Arial" w:hAnsi="Arial" w:cs="Arial"/>
          <w:sz w:val="22"/>
          <w:szCs w:val="22"/>
        </w:rPr>
      </w:pPr>
      <w:r w:rsidRPr="005F7802">
        <w:rPr>
          <w:rFonts w:ascii="Arial" w:hAnsi="Arial" w:cs="Arial"/>
          <w:sz w:val="22"/>
          <w:szCs w:val="22"/>
        </w:rPr>
        <w:t xml:space="preserve">strategic flood defence infrastructure </w:t>
      </w:r>
    </w:p>
    <w:p w14:paraId="434151F0" w14:textId="77777777" w:rsidR="00CD7FA2" w:rsidRPr="005F7802" w:rsidRDefault="00CD7FA2" w:rsidP="00CD7FA2">
      <w:pPr>
        <w:pStyle w:val="ListParagraph"/>
        <w:numPr>
          <w:ilvl w:val="0"/>
          <w:numId w:val="6"/>
        </w:numPr>
        <w:rPr>
          <w:rFonts w:ascii="Arial" w:hAnsi="Arial" w:cs="Arial"/>
          <w:sz w:val="22"/>
          <w:szCs w:val="22"/>
        </w:rPr>
      </w:pPr>
      <w:r w:rsidRPr="005F7802">
        <w:rPr>
          <w:rFonts w:ascii="Arial" w:hAnsi="Arial" w:cs="Arial"/>
          <w:sz w:val="22"/>
          <w:szCs w:val="22"/>
        </w:rPr>
        <w:t>high streets and town centres</w:t>
      </w:r>
    </w:p>
    <w:p w14:paraId="3BF14213" w14:textId="77777777" w:rsidR="00CD7FA2" w:rsidRPr="005F7802" w:rsidRDefault="00CD7FA2" w:rsidP="00CD7FA2">
      <w:pPr>
        <w:pStyle w:val="ListParagraph"/>
        <w:numPr>
          <w:ilvl w:val="0"/>
          <w:numId w:val="6"/>
        </w:numPr>
        <w:rPr>
          <w:rFonts w:ascii="Arial" w:hAnsi="Arial" w:cs="Arial"/>
          <w:sz w:val="22"/>
          <w:szCs w:val="22"/>
        </w:rPr>
      </w:pPr>
      <w:r w:rsidRPr="005F7802">
        <w:rPr>
          <w:rFonts w:ascii="Arial" w:hAnsi="Arial" w:cs="Arial"/>
          <w:sz w:val="22"/>
          <w:szCs w:val="22"/>
        </w:rPr>
        <w:t xml:space="preserve">public safety and emergency services infrastructure </w:t>
      </w:r>
    </w:p>
    <w:p w14:paraId="31809D3B" w14:textId="367D01AF" w:rsidR="00CD7FA2" w:rsidRPr="005F7802" w:rsidRDefault="00CD7FA2" w:rsidP="00CD7FA2">
      <w:pPr>
        <w:pStyle w:val="ListParagraph"/>
        <w:numPr>
          <w:ilvl w:val="0"/>
          <w:numId w:val="6"/>
        </w:numPr>
        <w:rPr>
          <w:rFonts w:ascii="Arial" w:hAnsi="Arial" w:cs="Arial"/>
          <w:sz w:val="22"/>
          <w:szCs w:val="22"/>
        </w:rPr>
      </w:pPr>
      <w:r w:rsidRPr="005F7802">
        <w:rPr>
          <w:rFonts w:ascii="Arial" w:hAnsi="Arial" w:cs="Arial"/>
          <w:sz w:val="22"/>
          <w:szCs w:val="22"/>
        </w:rPr>
        <w:t xml:space="preserve">utilities (water, gas, electricity) and telecoms </w:t>
      </w:r>
      <w:r w:rsidR="00BC400B">
        <w:rPr>
          <w:rFonts w:ascii="Arial" w:hAnsi="Arial" w:cs="Arial"/>
          <w:sz w:val="22"/>
          <w:szCs w:val="22"/>
        </w:rPr>
        <w:t>i</w:t>
      </w:r>
      <w:r w:rsidRPr="005F7802">
        <w:rPr>
          <w:rFonts w:ascii="Arial" w:hAnsi="Arial" w:cs="Arial"/>
          <w:sz w:val="22"/>
          <w:szCs w:val="22"/>
        </w:rPr>
        <w:t>nfrastructure</w:t>
      </w:r>
    </w:p>
    <w:p w14:paraId="2E1CC178" w14:textId="77777777" w:rsidR="00CD7FA2" w:rsidRPr="005F7802" w:rsidRDefault="00CD7FA2" w:rsidP="00CD7FA2">
      <w:pPr>
        <w:pStyle w:val="ListParagraph"/>
        <w:numPr>
          <w:ilvl w:val="0"/>
          <w:numId w:val="6"/>
        </w:numPr>
        <w:rPr>
          <w:rFonts w:ascii="Arial" w:hAnsi="Arial" w:cs="Arial"/>
          <w:sz w:val="22"/>
          <w:szCs w:val="22"/>
        </w:rPr>
      </w:pPr>
      <w:r w:rsidRPr="005F7802">
        <w:rPr>
          <w:rFonts w:ascii="Arial" w:hAnsi="Arial" w:cs="Arial"/>
          <w:sz w:val="22"/>
          <w:szCs w:val="22"/>
        </w:rPr>
        <w:t xml:space="preserve">waste management </w:t>
      </w:r>
    </w:p>
    <w:p w14:paraId="728A3156" w14:textId="220E8691" w:rsidR="00CD7FA2" w:rsidRPr="00A22509" w:rsidRDefault="00CD7FA2" w:rsidP="732A479B">
      <w:pPr>
        <w:rPr>
          <w:i/>
          <w:iCs/>
        </w:rPr>
      </w:pPr>
      <w:r w:rsidRPr="732A479B">
        <w:rPr>
          <w:sz w:val="22"/>
          <w:szCs w:val="22"/>
        </w:rPr>
        <w:t xml:space="preserve">The council has a Capital Delivery governance process through which decisions are made on the spending of CIL, s106, and other funding. The allocations are approved by the Mayor in Cabinet. The Capital Programme is reviewed annually to ensure all known requirements are captured and assessed against existing and planned resources to enable expenditure in that current year. The review also enables members to make decisions about what to include in the programme based on a robust understanding of the funding sources currently available and forecast for the next three </w:t>
      </w:r>
      <w:r w:rsidR="093012AA" w:rsidRPr="732A479B">
        <w:rPr>
          <w:sz w:val="22"/>
          <w:szCs w:val="22"/>
        </w:rPr>
        <w:t>years. ￼</w:t>
      </w:r>
    </w:p>
    <w:p w14:paraId="1827660D" w14:textId="616D9220" w:rsidR="732A479B" w:rsidRDefault="732A479B" w:rsidP="732A479B">
      <w:pPr>
        <w:rPr>
          <w:sz w:val="22"/>
          <w:szCs w:val="22"/>
        </w:rPr>
      </w:pPr>
    </w:p>
    <w:p w14:paraId="7F4649BC" w14:textId="21537217" w:rsidR="732A479B" w:rsidRDefault="732A479B" w:rsidP="732A479B">
      <w:pPr>
        <w:rPr>
          <w:sz w:val="22"/>
          <w:szCs w:val="22"/>
        </w:rPr>
      </w:pPr>
    </w:p>
    <w:p w14:paraId="2DD903A5" w14:textId="2A384785" w:rsidR="732A479B" w:rsidRDefault="732A479B" w:rsidP="732A479B">
      <w:pPr>
        <w:rPr>
          <w:sz w:val="22"/>
          <w:szCs w:val="22"/>
        </w:rPr>
      </w:pPr>
    </w:p>
    <w:p w14:paraId="56889D65" w14:textId="2702641A" w:rsidR="732A479B" w:rsidRDefault="732A479B" w:rsidP="732A479B">
      <w:pPr>
        <w:rPr>
          <w:sz w:val="22"/>
          <w:szCs w:val="22"/>
        </w:rPr>
        <w:sectPr w:rsidR="732A479B" w:rsidSect="00EC32C3">
          <w:headerReference w:type="even" r:id="rId20"/>
          <w:headerReference w:type="default" r:id="rId21"/>
          <w:footerReference w:type="default" r:id="rId22"/>
          <w:headerReference w:type="first" r:id="rId23"/>
          <w:pgSz w:w="11906" w:h="16838"/>
          <w:pgMar w:top="1134" w:right="1361" w:bottom="1418" w:left="1361" w:header="709" w:footer="709" w:gutter="0"/>
          <w:cols w:space="708"/>
          <w:docGrid w:linePitch="360"/>
        </w:sectPr>
      </w:pPr>
    </w:p>
    <w:p w14:paraId="30B87A92" w14:textId="77777777" w:rsidR="00CD7FA2" w:rsidRPr="005F7802" w:rsidRDefault="00CD7FA2" w:rsidP="00CD7FA2">
      <w:pPr>
        <w:rPr>
          <w:sz w:val="36"/>
          <w:szCs w:val="36"/>
        </w:rPr>
      </w:pPr>
      <w:r w:rsidRPr="005F7802">
        <w:rPr>
          <w:sz w:val="36"/>
          <w:szCs w:val="36"/>
        </w:rPr>
        <w:lastRenderedPageBreak/>
        <w:t xml:space="preserve">Contact: Infrastructure Planning Team </w:t>
      </w:r>
    </w:p>
    <w:p w14:paraId="3042EF95" w14:textId="77777777" w:rsidR="00CD7FA2" w:rsidRPr="005F7802" w:rsidRDefault="00CD7FA2" w:rsidP="00CD7FA2">
      <w:pPr>
        <w:rPr>
          <w:sz w:val="36"/>
          <w:szCs w:val="36"/>
        </w:rPr>
      </w:pPr>
      <w:r w:rsidRPr="005F7802">
        <w:rPr>
          <w:sz w:val="36"/>
          <w:szCs w:val="36"/>
        </w:rPr>
        <w:t xml:space="preserve">Telephone: 0207 364 5009 (weekdays 9am to 1pm) </w:t>
      </w:r>
    </w:p>
    <w:p w14:paraId="12EDF7FB" w14:textId="77777777" w:rsidR="00CD7FA2" w:rsidRPr="005F7802" w:rsidRDefault="00CD7FA2" w:rsidP="00CD7FA2">
      <w:pPr>
        <w:rPr>
          <w:i/>
          <w:iCs/>
          <w:sz w:val="22"/>
          <w:szCs w:val="22"/>
        </w:rPr>
      </w:pPr>
      <w:r w:rsidRPr="005F7802">
        <w:rPr>
          <w:sz w:val="36"/>
          <w:szCs w:val="36"/>
        </w:rPr>
        <w:t>Visit us online (</w:t>
      </w:r>
      <w:hyperlink r:id="rId24" w:history="1">
        <w:r w:rsidRPr="005F7802">
          <w:rPr>
            <w:rStyle w:val="Hyperlink"/>
            <w:sz w:val="36"/>
            <w:szCs w:val="36"/>
          </w:rPr>
          <w:t>www.towerhamlets.gov.uk</w:t>
        </w:r>
      </w:hyperlink>
      <w:r w:rsidRPr="005F7802">
        <w:rPr>
          <w:i/>
          <w:iCs/>
          <w:sz w:val="22"/>
          <w:szCs w:val="22"/>
        </w:rPr>
        <w:t>)</w:t>
      </w:r>
    </w:p>
    <w:p w14:paraId="07C03078" w14:textId="77777777" w:rsidR="00CD7FA2" w:rsidRPr="00551A30" w:rsidRDefault="00CD7FA2" w:rsidP="00CD7FA2">
      <w:pPr>
        <w:rPr>
          <w:sz w:val="22"/>
          <w:szCs w:val="22"/>
        </w:rPr>
      </w:pPr>
    </w:p>
    <w:sectPr w:rsidR="00CD7FA2" w:rsidRPr="00551A30" w:rsidSect="00EC32C3">
      <w:headerReference w:type="first" r:id="rId25"/>
      <w:pgSz w:w="11906" w:h="16838"/>
      <w:pgMar w:top="113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D80BB" w14:textId="77777777" w:rsidR="000010AF" w:rsidRDefault="000010AF" w:rsidP="00101F8B">
      <w:r>
        <w:separator/>
      </w:r>
    </w:p>
    <w:p w14:paraId="32D05E80" w14:textId="77777777" w:rsidR="000010AF" w:rsidRDefault="000010AF" w:rsidP="00101F8B"/>
    <w:p w14:paraId="7EC622CC" w14:textId="77777777" w:rsidR="000010AF" w:rsidRDefault="000010AF" w:rsidP="00101F8B"/>
    <w:p w14:paraId="1231E532" w14:textId="77777777" w:rsidR="000010AF" w:rsidRDefault="000010AF" w:rsidP="00101F8B"/>
    <w:p w14:paraId="1F327706" w14:textId="77777777" w:rsidR="000010AF" w:rsidRDefault="000010AF" w:rsidP="00101F8B"/>
    <w:p w14:paraId="6E0CDC12" w14:textId="77777777" w:rsidR="000010AF" w:rsidRDefault="000010AF" w:rsidP="00101F8B"/>
  </w:endnote>
  <w:endnote w:type="continuationSeparator" w:id="0">
    <w:p w14:paraId="4D7A8008" w14:textId="77777777" w:rsidR="000010AF" w:rsidRDefault="000010AF" w:rsidP="00101F8B">
      <w:r>
        <w:continuationSeparator/>
      </w:r>
    </w:p>
    <w:p w14:paraId="6F8E86E6" w14:textId="77777777" w:rsidR="000010AF" w:rsidRDefault="000010AF" w:rsidP="00101F8B"/>
    <w:p w14:paraId="49DA1725" w14:textId="77777777" w:rsidR="000010AF" w:rsidRDefault="000010AF" w:rsidP="00101F8B"/>
    <w:p w14:paraId="4EB6CE5E" w14:textId="77777777" w:rsidR="000010AF" w:rsidRDefault="000010AF" w:rsidP="00101F8B"/>
    <w:p w14:paraId="5617C384" w14:textId="77777777" w:rsidR="000010AF" w:rsidRDefault="000010AF" w:rsidP="00101F8B"/>
    <w:p w14:paraId="68B470D9" w14:textId="77777777" w:rsidR="000010AF" w:rsidRDefault="000010AF" w:rsidP="00101F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altName w:val="Arial"/>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1129319"/>
      <w:docPartObj>
        <w:docPartGallery w:val="Page Numbers (Bottom of Page)"/>
        <w:docPartUnique/>
      </w:docPartObj>
    </w:sdtPr>
    <w:sdtEndPr>
      <w:rPr>
        <w:noProof/>
      </w:rPr>
    </w:sdtEndPr>
    <w:sdtContent>
      <w:p w14:paraId="2B457A28" w14:textId="77777777" w:rsidR="00CD7FA2" w:rsidRDefault="00CD7FA2">
        <w:pPr>
          <w:pStyle w:val="Footer"/>
        </w:pPr>
        <w:r>
          <w:fldChar w:fldCharType="begin"/>
        </w:r>
        <w:r>
          <w:instrText xml:space="preserve"> PAGE   \* MERGEFORMAT </w:instrText>
        </w:r>
        <w:r>
          <w:fldChar w:fldCharType="separate"/>
        </w:r>
        <w:r>
          <w:rPr>
            <w:noProof/>
          </w:rPr>
          <w:t>2</w:t>
        </w:r>
        <w:r>
          <w:rPr>
            <w:noProof/>
          </w:rPr>
          <w:fldChar w:fldCharType="end"/>
        </w:r>
      </w:p>
    </w:sdtContent>
  </w:sdt>
  <w:p w14:paraId="236C25E0" w14:textId="77777777" w:rsidR="00CD7FA2" w:rsidRDefault="00701382">
    <w:pPr>
      <w:pStyle w:val="Footer"/>
    </w:pPr>
    <w:sdt>
      <w:sdtPr>
        <w:id w:val="2111615363"/>
        <w:docPartObj>
          <w:docPartGallery w:val="Page Numbers (Bottom of Page)"/>
          <w:docPartUnique/>
        </w:docPartObj>
      </w:sdtPr>
      <w:sdtEndPr>
        <w:rPr>
          <w:noProof/>
        </w:rPr>
      </w:sdtEndPr>
      <w:sdtContent/>
    </w:sdt>
  </w:p>
  <w:p w14:paraId="06F5D7F2" w14:textId="77777777" w:rsidR="00CD7FA2" w:rsidRDefault="00CD7F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D26C5" w14:textId="77777777" w:rsidR="000010AF" w:rsidRDefault="000010AF" w:rsidP="00101F8B">
      <w:r>
        <w:separator/>
      </w:r>
    </w:p>
    <w:p w14:paraId="77355E68" w14:textId="77777777" w:rsidR="000010AF" w:rsidRDefault="000010AF" w:rsidP="00101F8B"/>
    <w:p w14:paraId="5573ABF3" w14:textId="77777777" w:rsidR="000010AF" w:rsidRDefault="000010AF" w:rsidP="00101F8B"/>
    <w:p w14:paraId="51985FF8" w14:textId="77777777" w:rsidR="000010AF" w:rsidRDefault="000010AF" w:rsidP="00101F8B"/>
    <w:p w14:paraId="5DA68D00" w14:textId="77777777" w:rsidR="000010AF" w:rsidRDefault="000010AF" w:rsidP="00101F8B"/>
    <w:p w14:paraId="597C2605" w14:textId="77777777" w:rsidR="000010AF" w:rsidRDefault="000010AF" w:rsidP="00101F8B"/>
  </w:footnote>
  <w:footnote w:type="continuationSeparator" w:id="0">
    <w:p w14:paraId="39FAF6B1" w14:textId="77777777" w:rsidR="000010AF" w:rsidRDefault="000010AF" w:rsidP="00101F8B">
      <w:r>
        <w:continuationSeparator/>
      </w:r>
    </w:p>
    <w:p w14:paraId="6BD6C5B5" w14:textId="77777777" w:rsidR="000010AF" w:rsidRDefault="000010AF" w:rsidP="00101F8B"/>
    <w:p w14:paraId="296B8FB1" w14:textId="77777777" w:rsidR="000010AF" w:rsidRDefault="000010AF" w:rsidP="00101F8B"/>
    <w:p w14:paraId="1E74322C" w14:textId="77777777" w:rsidR="000010AF" w:rsidRDefault="000010AF" w:rsidP="00101F8B"/>
    <w:p w14:paraId="6AB596A7" w14:textId="77777777" w:rsidR="000010AF" w:rsidRDefault="000010AF" w:rsidP="00101F8B"/>
    <w:p w14:paraId="5361683F" w14:textId="77777777" w:rsidR="000010AF" w:rsidRDefault="000010AF" w:rsidP="00101F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19089" w14:textId="4FE65EB4" w:rsidR="00DC0596" w:rsidRDefault="00DC0596" w:rsidP="00101F8B">
    <w:pPr>
      <w:pStyle w:val="Header"/>
    </w:pPr>
    <w:r>
      <w:rPr>
        <w:noProof/>
      </w:rPr>
      <w:drawing>
        <wp:anchor distT="0" distB="0" distL="114300" distR="114300" simplePos="0" relativeHeight="251658240" behindDoc="1" locked="0" layoutInCell="1" allowOverlap="1" wp14:anchorId="01959EBB" wp14:editId="49EF8BC1">
          <wp:simplePos x="0" y="0"/>
          <wp:positionH relativeFrom="page">
            <wp:align>right</wp:align>
          </wp:positionH>
          <wp:positionV relativeFrom="paragraph">
            <wp:posOffset>-449580</wp:posOffset>
          </wp:positionV>
          <wp:extent cx="7553325" cy="10681335"/>
          <wp:effectExtent l="0" t="0" r="9525" b="571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068133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41841" w14:textId="77777777" w:rsidR="00CD7FA2" w:rsidRDefault="00CD7F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005E9" w14:textId="77777777" w:rsidR="00CD7FA2" w:rsidRPr="00D56C12" w:rsidRDefault="00CD7FA2" w:rsidP="00D56C1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E7B4B" w14:textId="77777777" w:rsidR="00CD7FA2" w:rsidRDefault="00CD7FA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FDE95" w14:textId="77777777" w:rsidR="00DC0596" w:rsidRDefault="00DC0596" w:rsidP="00101F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07295"/>
    <w:multiLevelType w:val="hybridMultilevel"/>
    <w:tmpl w:val="11404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F12D88"/>
    <w:multiLevelType w:val="multilevel"/>
    <w:tmpl w:val="30B05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F57F1A"/>
    <w:multiLevelType w:val="multilevel"/>
    <w:tmpl w:val="A9DE4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715351"/>
    <w:multiLevelType w:val="hybridMultilevel"/>
    <w:tmpl w:val="A6905B20"/>
    <w:lvl w:ilvl="0" w:tplc="0068022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D14FE9"/>
    <w:multiLevelType w:val="multilevel"/>
    <w:tmpl w:val="D16A6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625A7B"/>
    <w:multiLevelType w:val="hybridMultilevel"/>
    <w:tmpl w:val="67909BB4"/>
    <w:lvl w:ilvl="0" w:tplc="C6322922">
      <w:start w:val="1"/>
      <w:numFmt w:val="lowerLetter"/>
      <w:lvlText w:val="%1)"/>
      <w:lvlJc w:val="left"/>
      <w:pPr>
        <w:ind w:left="410" w:hanging="360"/>
      </w:pPr>
      <w:rPr>
        <w:rFonts w:hint="default"/>
      </w:rPr>
    </w:lvl>
    <w:lvl w:ilvl="1" w:tplc="08090019" w:tentative="1">
      <w:start w:val="1"/>
      <w:numFmt w:val="lowerLetter"/>
      <w:lvlText w:val="%2."/>
      <w:lvlJc w:val="left"/>
      <w:pPr>
        <w:ind w:left="1130" w:hanging="360"/>
      </w:pPr>
    </w:lvl>
    <w:lvl w:ilvl="2" w:tplc="0809001B" w:tentative="1">
      <w:start w:val="1"/>
      <w:numFmt w:val="lowerRoman"/>
      <w:lvlText w:val="%3."/>
      <w:lvlJc w:val="right"/>
      <w:pPr>
        <w:ind w:left="1850" w:hanging="180"/>
      </w:pPr>
    </w:lvl>
    <w:lvl w:ilvl="3" w:tplc="0809000F" w:tentative="1">
      <w:start w:val="1"/>
      <w:numFmt w:val="decimal"/>
      <w:lvlText w:val="%4."/>
      <w:lvlJc w:val="left"/>
      <w:pPr>
        <w:ind w:left="2570" w:hanging="360"/>
      </w:pPr>
    </w:lvl>
    <w:lvl w:ilvl="4" w:tplc="08090019" w:tentative="1">
      <w:start w:val="1"/>
      <w:numFmt w:val="lowerLetter"/>
      <w:lvlText w:val="%5."/>
      <w:lvlJc w:val="left"/>
      <w:pPr>
        <w:ind w:left="3290" w:hanging="360"/>
      </w:pPr>
    </w:lvl>
    <w:lvl w:ilvl="5" w:tplc="0809001B" w:tentative="1">
      <w:start w:val="1"/>
      <w:numFmt w:val="lowerRoman"/>
      <w:lvlText w:val="%6."/>
      <w:lvlJc w:val="right"/>
      <w:pPr>
        <w:ind w:left="4010" w:hanging="180"/>
      </w:pPr>
    </w:lvl>
    <w:lvl w:ilvl="6" w:tplc="0809000F" w:tentative="1">
      <w:start w:val="1"/>
      <w:numFmt w:val="decimal"/>
      <w:lvlText w:val="%7."/>
      <w:lvlJc w:val="left"/>
      <w:pPr>
        <w:ind w:left="4730" w:hanging="360"/>
      </w:pPr>
    </w:lvl>
    <w:lvl w:ilvl="7" w:tplc="08090019" w:tentative="1">
      <w:start w:val="1"/>
      <w:numFmt w:val="lowerLetter"/>
      <w:lvlText w:val="%8."/>
      <w:lvlJc w:val="left"/>
      <w:pPr>
        <w:ind w:left="5450" w:hanging="360"/>
      </w:pPr>
    </w:lvl>
    <w:lvl w:ilvl="8" w:tplc="0809001B" w:tentative="1">
      <w:start w:val="1"/>
      <w:numFmt w:val="lowerRoman"/>
      <w:lvlText w:val="%9."/>
      <w:lvlJc w:val="right"/>
      <w:pPr>
        <w:ind w:left="6170" w:hanging="180"/>
      </w:pPr>
    </w:lvl>
  </w:abstractNum>
  <w:abstractNum w:abstractNumId="6" w15:restartNumberingAfterBreak="0">
    <w:nsid w:val="1AB82D73"/>
    <w:multiLevelType w:val="multilevel"/>
    <w:tmpl w:val="C04A6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F3AC91"/>
    <w:multiLevelType w:val="hybridMultilevel"/>
    <w:tmpl w:val="E9DEAFA0"/>
    <w:lvl w:ilvl="0" w:tplc="2F9E094E">
      <w:start w:val="1"/>
      <w:numFmt w:val="bullet"/>
      <w:lvlText w:val=""/>
      <w:lvlJc w:val="left"/>
      <w:pPr>
        <w:ind w:left="720" w:hanging="360"/>
      </w:pPr>
      <w:rPr>
        <w:rFonts w:ascii="Symbol" w:hAnsi="Symbol" w:hint="default"/>
      </w:rPr>
    </w:lvl>
    <w:lvl w:ilvl="1" w:tplc="3D2406D6">
      <w:start w:val="1"/>
      <w:numFmt w:val="bullet"/>
      <w:lvlText w:val="o"/>
      <w:lvlJc w:val="left"/>
      <w:pPr>
        <w:ind w:left="1440" w:hanging="360"/>
      </w:pPr>
      <w:rPr>
        <w:rFonts w:ascii="Courier New" w:hAnsi="Courier New" w:hint="default"/>
      </w:rPr>
    </w:lvl>
    <w:lvl w:ilvl="2" w:tplc="89A28334">
      <w:start w:val="1"/>
      <w:numFmt w:val="bullet"/>
      <w:lvlText w:val=""/>
      <w:lvlJc w:val="left"/>
      <w:pPr>
        <w:ind w:left="2160" w:hanging="360"/>
      </w:pPr>
      <w:rPr>
        <w:rFonts w:ascii="Wingdings" w:hAnsi="Wingdings" w:hint="default"/>
      </w:rPr>
    </w:lvl>
    <w:lvl w:ilvl="3" w:tplc="F3F48CCC">
      <w:start w:val="1"/>
      <w:numFmt w:val="bullet"/>
      <w:lvlText w:val=""/>
      <w:lvlJc w:val="left"/>
      <w:pPr>
        <w:ind w:left="2880" w:hanging="360"/>
      </w:pPr>
      <w:rPr>
        <w:rFonts w:ascii="Symbol" w:hAnsi="Symbol" w:hint="default"/>
      </w:rPr>
    </w:lvl>
    <w:lvl w:ilvl="4" w:tplc="E2A21B0A">
      <w:start w:val="1"/>
      <w:numFmt w:val="bullet"/>
      <w:lvlText w:val="o"/>
      <w:lvlJc w:val="left"/>
      <w:pPr>
        <w:ind w:left="3600" w:hanging="360"/>
      </w:pPr>
      <w:rPr>
        <w:rFonts w:ascii="Courier New" w:hAnsi="Courier New" w:hint="default"/>
      </w:rPr>
    </w:lvl>
    <w:lvl w:ilvl="5" w:tplc="A666463C">
      <w:start w:val="1"/>
      <w:numFmt w:val="bullet"/>
      <w:lvlText w:val=""/>
      <w:lvlJc w:val="left"/>
      <w:pPr>
        <w:ind w:left="4320" w:hanging="360"/>
      </w:pPr>
      <w:rPr>
        <w:rFonts w:ascii="Wingdings" w:hAnsi="Wingdings" w:hint="default"/>
      </w:rPr>
    </w:lvl>
    <w:lvl w:ilvl="6" w:tplc="CE067A0C">
      <w:start w:val="1"/>
      <w:numFmt w:val="bullet"/>
      <w:lvlText w:val=""/>
      <w:lvlJc w:val="left"/>
      <w:pPr>
        <w:ind w:left="5040" w:hanging="360"/>
      </w:pPr>
      <w:rPr>
        <w:rFonts w:ascii="Symbol" w:hAnsi="Symbol" w:hint="default"/>
      </w:rPr>
    </w:lvl>
    <w:lvl w:ilvl="7" w:tplc="98848B3A">
      <w:start w:val="1"/>
      <w:numFmt w:val="bullet"/>
      <w:lvlText w:val="o"/>
      <w:lvlJc w:val="left"/>
      <w:pPr>
        <w:ind w:left="5760" w:hanging="360"/>
      </w:pPr>
      <w:rPr>
        <w:rFonts w:ascii="Courier New" w:hAnsi="Courier New" w:hint="default"/>
      </w:rPr>
    </w:lvl>
    <w:lvl w:ilvl="8" w:tplc="B6D808A8">
      <w:start w:val="1"/>
      <w:numFmt w:val="bullet"/>
      <w:lvlText w:val=""/>
      <w:lvlJc w:val="left"/>
      <w:pPr>
        <w:ind w:left="6480" w:hanging="360"/>
      </w:pPr>
      <w:rPr>
        <w:rFonts w:ascii="Wingdings" w:hAnsi="Wingdings" w:hint="default"/>
      </w:rPr>
    </w:lvl>
  </w:abstractNum>
  <w:abstractNum w:abstractNumId="8" w15:restartNumberingAfterBreak="0">
    <w:nsid w:val="24E1791E"/>
    <w:multiLevelType w:val="hybridMultilevel"/>
    <w:tmpl w:val="C9680EF4"/>
    <w:lvl w:ilvl="0" w:tplc="0068022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5A85068"/>
    <w:multiLevelType w:val="multilevel"/>
    <w:tmpl w:val="B6C40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6705C21"/>
    <w:multiLevelType w:val="multilevel"/>
    <w:tmpl w:val="30B05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277DBF"/>
    <w:multiLevelType w:val="hybridMultilevel"/>
    <w:tmpl w:val="05C491B8"/>
    <w:lvl w:ilvl="0" w:tplc="6E36A7C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EF495F"/>
    <w:multiLevelType w:val="hybridMultilevel"/>
    <w:tmpl w:val="1A26A00E"/>
    <w:lvl w:ilvl="0" w:tplc="08090001">
      <w:start w:val="1"/>
      <w:numFmt w:val="bullet"/>
      <w:lvlText w:val=""/>
      <w:lvlJc w:val="left"/>
      <w:pPr>
        <w:ind w:left="2460" w:hanging="360"/>
      </w:pPr>
      <w:rPr>
        <w:rFonts w:ascii="Symbol" w:hAnsi="Symbol" w:hint="default"/>
      </w:rPr>
    </w:lvl>
    <w:lvl w:ilvl="1" w:tplc="08090003" w:tentative="1">
      <w:start w:val="1"/>
      <w:numFmt w:val="bullet"/>
      <w:lvlText w:val="o"/>
      <w:lvlJc w:val="left"/>
      <w:pPr>
        <w:ind w:left="3180" w:hanging="360"/>
      </w:pPr>
      <w:rPr>
        <w:rFonts w:ascii="Courier New" w:hAnsi="Courier New" w:cs="Courier New" w:hint="default"/>
      </w:rPr>
    </w:lvl>
    <w:lvl w:ilvl="2" w:tplc="08090005" w:tentative="1">
      <w:start w:val="1"/>
      <w:numFmt w:val="bullet"/>
      <w:lvlText w:val=""/>
      <w:lvlJc w:val="left"/>
      <w:pPr>
        <w:ind w:left="3900" w:hanging="360"/>
      </w:pPr>
      <w:rPr>
        <w:rFonts w:ascii="Wingdings" w:hAnsi="Wingdings" w:hint="default"/>
      </w:rPr>
    </w:lvl>
    <w:lvl w:ilvl="3" w:tplc="08090001" w:tentative="1">
      <w:start w:val="1"/>
      <w:numFmt w:val="bullet"/>
      <w:lvlText w:val=""/>
      <w:lvlJc w:val="left"/>
      <w:pPr>
        <w:ind w:left="4620" w:hanging="360"/>
      </w:pPr>
      <w:rPr>
        <w:rFonts w:ascii="Symbol" w:hAnsi="Symbol" w:hint="default"/>
      </w:rPr>
    </w:lvl>
    <w:lvl w:ilvl="4" w:tplc="08090003" w:tentative="1">
      <w:start w:val="1"/>
      <w:numFmt w:val="bullet"/>
      <w:lvlText w:val="o"/>
      <w:lvlJc w:val="left"/>
      <w:pPr>
        <w:ind w:left="5340" w:hanging="360"/>
      </w:pPr>
      <w:rPr>
        <w:rFonts w:ascii="Courier New" w:hAnsi="Courier New" w:cs="Courier New" w:hint="default"/>
      </w:rPr>
    </w:lvl>
    <w:lvl w:ilvl="5" w:tplc="08090005" w:tentative="1">
      <w:start w:val="1"/>
      <w:numFmt w:val="bullet"/>
      <w:lvlText w:val=""/>
      <w:lvlJc w:val="left"/>
      <w:pPr>
        <w:ind w:left="6060" w:hanging="360"/>
      </w:pPr>
      <w:rPr>
        <w:rFonts w:ascii="Wingdings" w:hAnsi="Wingdings" w:hint="default"/>
      </w:rPr>
    </w:lvl>
    <w:lvl w:ilvl="6" w:tplc="08090001" w:tentative="1">
      <w:start w:val="1"/>
      <w:numFmt w:val="bullet"/>
      <w:lvlText w:val=""/>
      <w:lvlJc w:val="left"/>
      <w:pPr>
        <w:ind w:left="6780" w:hanging="360"/>
      </w:pPr>
      <w:rPr>
        <w:rFonts w:ascii="Symbol" w:hAnsi="Symbol" w:hint="default"/>
      </w:rPr>
    </w:lvl>
    <w:lvl w:ilvl="7" w:tplc="08090003" w:tentative="1">
      <w:start w:val="1"/>
      <w:numFmt w:val="bullet"/>
      <w:lvlText w:val="o"/>
      <w:lvlJc w:val="left"/>
      <w:pPr>
        <w:ind w:left="7500" w:hanging="360"/>
      </w:pPr>
      <w:rPr>
        <w:rFonts w:ascii="Courier New" w:hAnsi="Courier New" w:cs="Courier New" w:hint="default"/>
      </w:rPr>
    </w:lvl>
    <w:lvl w:ilvl="8" w:tplc="08090005" w:tentative="1">
      <w:start w:val="1"/>
      <w:numFmt w:val="bullet"/>
      <w:lvlText w:val=""/>
      <w:lvlJc w:val="left"/>
      <w:pPr>
        <w:ind w:left="8220" w:hanging="360"/>
      </w:pPr>
      <w:rPr>
        <w:rFonts w:ascii="Wingdings" w:hAnsi="Wingdings" w:hint="default"/>
      </w:rPr>
    </w:lvl>
  </w:abstractNum>
  <w:abstractNum w:abstractNumId="13" w15:restartNumberingAfterBreak="0">
    <w:nsid w:val="2D123C69"/>
    <w:multiLevelType w:val="hybridMultilevel"/>
    <w:tmpl w:val="7DDAB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BD7AA3"/>
    <w:multiLevelType w:val="hybridMultilevel"/>
    <w:tmpl w:val="8DEAEBAC"/>
    <w:lvl w:ilvl="0" w:tplc="0DE8E812">
      <w:numFmt w:val="bullet"/>
      <w:lvlText w:val="•"/>
      <w:lvlJc w:val="left"/>
      <w:pPr>
        <w:ind w:left="410" w:hanging="360"/>
      </w:pPr>
      <w:rPr>
        <w:rFonts w:ascii="Aptos" w:eastAsiaTheme="minorHAnsi" w:hAnsi="Aptos" w:cstheme="minorBid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15" w15:restartNumberingAfterBreak="0">
    <w:nsid w:val="30723FEE"/>
    <w:multiLevelType w:val="hybridMultilevel"/>
    <w:tmpl w:val="EF1CB0FE"/>
    <w:lvl w:ilvl="0" w:tplc="3F040FCE">
      <w:numFmt w:val="bullet"/>
      <w:lvlText w:val="•"/>
      <w:lvlJc w:val="left"/>
      <w:pPr>
        <w:ind w:left="770" w:hanging="360"/>
      </w:pPr>
      <w:rPr>
        <w:rFonts w:ascii="Aptos" w:eastAsiaTheme="minorHAnsi" w:hAnsi="Aptos" w:cstheme="minorBidi"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6" w15:restartNumberingAfterBreak="0">
    <w:nsid w:val="35356837"/>
    <w:multiLevelType w:val="multilevel"/>
    <w:tmpl w:val="8CCA9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85129BC"/>
    <w:multiLevelType w:val="multilevel"/>
    <w:tmpl w:val="BBF2C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85A05AC"/>
    <w:multiLevelType w:val="hybridMultilevel"/>
    <w:tmpl w:val="024A3D40"/>
    <w:lvl w:ilvl="0" w:tplc="0068022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D2C06B6"/>
    <w:multiLevelType w:val="multilevel"/>
    <w:tmpl w:val="0A8C0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D551D0E"/>
    <w:multiLevelType w:val="multilevel"/>
    <w:tmpl w:val="D39A4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EB0189A"/>
    <w:multiLevelType w:val="hybridMultilevel"/>
    <w:tmpl w:val="02A4A34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7D57181"/>
    <w:multiLevelType w:val="multilevel"/>
    <w:tmpl w:val="4FE8D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C9B1621"/>
    <w:multiLevelType w:val="multilevel"/>
    <w:tmpl w:val="5CB63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DFC76B7"/>
    <w:multiLevelType w:val="multilevel"/>
    <w:tmpl w:val="1DBAD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F427022"/>
    <w:multiLevelType w:val="multilevel"/>
    <w:tmpl w:val="0A8C0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2ED0827"/>
    <w:multiLevelType w:val="multilevel"/>
    <w:tmpl w:val="F3BAD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83C4250"/>
    <w:multiLevelType w:val="hybridMultilevel"/>
    <w:tmpl w:val="9E42BDDC"/>
    <w:lvl w:ilvl="0" w:tplc="A9DAA3DC">
      <w:start w:val="3"/>
      <w:numFmt w:val="lowerRoman"/>
      <w:lvlText w:val="(%1)"/>
      <w:lvlJc w:val="left"/>
      <w:pPr>
        <w:ind w:left="1800" w:hanging="720"/>
      </w:pPr>
      <w:rPr>
        <w:rFonts w:hint="default"/>
        <w:color w:val="C0000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64E32129"/>
    <w:multiLevelType w:val="hybridMultilevel"/>
    <w:tmpl w:val="65886D0E"/>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68154923"/>
    <w:multiLevelType w:val="multilevel"/>
    <w:tmpl w:val="190C4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99F57EA"/>
    <w:multiLevelType w:val="hybridMultilevel"/>
    <w:tmpl w:val="E670D96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D053B9"/>
    <w:multiLevelType w:val="multilevel"/>
    <w:tmpl w:val="3C888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4AE1A20"/>
    <w:multiLevelType w:val="multilevel"/>
    <w:tmpl w:val="D786A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7543432"/>
    <w:multiLevelType w:val="multilevel"/>
    <w:tmpl w:val="60004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8BB6C9E"/>
    <w:multiLevelType w:val="multilevel"/>
    <w:tmpl w:val="5F6C4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A722CCB"/>
    <w:multiLevelType w:val="multilevel"/>
    <w:tmpl w:val="30B05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FA400BD"/>
    <w:multiLevelType w:val="multilevel"/>
    <w:tmpl w:val="F5CAC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02601927">
    <w:abstractNumId w:val="7"/>
  </w:num>
  <w:num w:numId="2" w16cid:durableId="203252107">
    <w:abstractNumId w:val="5"/>
  </w:num>
  <w:num w:numId="3" w16cid:durableId="122618288">
    <w:abstractNumId w:val="15"/>
  </w:num>
  <w:num w:numId="4" w16cid:durableId="829906846">
    <w:abstractNumId w:val="14"/>
  </w:num>
  <w:num w:numId="5" w16cid:durableId="1378968914">
    <w:abstractNumId w:val="11"/>
  </w:num>
  <w:num w:numId="6" w16cid:durableId="1885561213">
    <w:abstractNumId w:val="21"/>
  </w:num>
  <w:num w:numId="7" w16cid:durableId="201133375">
    <w:abstractNumId w:val="33"/>
  </w:num>
  <w:num w:numId="8" w16cid:durableId="939289596">
    <w:abstractNumId w:val="4"/>
  </w:num>
  <w:num w:numId="9" w16cid:durableId="224142195">
    <w:abstractNumId w:val="16"/>
  </w:num>
  <w:num w:numId="10" w16cid:durableId="1518035791">
    <w:abstractNumId w:val="9"/>
  </w:num>
  <w:num w:numId="11" w16cid:durableId="788082949">
    <w:abstractNumId w:val="26"/>
  </w:num>
  <w:num w:numId="12" w16cid:durableId="620763444">
    <w:abstractNumId w:val="20"/>
  </w:num>
  <w:num w:numId="13" w16cid:durableId="820655408">
    <w:abstractNumId w:val="31"/>
  </w:num>
  <w:num w:numId="14" w16cid:durableId="1613317011">
    <w:abstractNumId w:val="17"/>
  </w:num>
  <w:num w:numId="15" w16cid:durableId="1175994087">
    <w:abstractNumId w:val="22"/>
  </w:num>
  <w:num w:numId="16" w16cid:durableId="997227227">
    <w:abstractNumId w:val="36"/>
  </w:num>
  <w:num w:numId="17" w16cid:durableId="692343138">
    <w:abstractNumId w:val="32"/>
  </w:num>
  <w:num w:numId="18" w16cid:durableId="1844516744">
    <w:abstractNumId w:val="24"/>
  </w:num>
  <w:num w:numId="19" w16cid:durableId="1067340628">
    <w:abstractNumId w:val="29"/>
  </w:num>
  <w:num w:numId="20" w16cid:durableId="1136409691">
    <w:abstractNumId w:val="13"/>
  </w:num>
  <w:num w:numId="21" w16cid:durableId="1036350240">
    <w:abstractNumId w:val="34"/>
  </w:num>
  <w:num w:numId="22" w16cid:durableId="595673028">
    <w:abstractNumId w:val="0"/>
  </w:num>
  <w:num w:numId="23" w16cid:durableId="6180478">
    <w:abstractNumId w:val="3"/>
  </w:num>
  <w:num w:numId="24" w16cid:durableId="855386613">
    <w:abstractNumId w:val="8"/>
  </w:num>
  <w:num w:numId="25" w16cid:durableId="863130558">
    <w:abstractNumId w:val="27"/>
  </w:num>
  <w:num w:numId="26" w16cid:durableId="829713558">
    <w:abstractNumId w:val="18"/>
  </w:num>
  <w:num w:numId="27" w16cid:durableId="2058162080">
    <w:abstractNumId w:val="35"/>
  </w:num>
  <w:num w:numId="28" w16cid:durableId="282460778">
    <w:abstractNumId w:val="2"/>
  </w:num>
  <w:num w:numId="29" w16cid:durableId="1467965201">
    <w:abstractNumId w:val="23"/>
  </w:num>
  <w:num w:numId="30" w16cid:durableId="1596551707">
    <w:abstractNumId w:val="25"/>
  </w:num>
  <w:num w:numId="31" w16cid:durableId="1250117746">
    <w:abstractNumId w:val="1"/>
  </w:num>
  <w:num w:numId="32" w16cid:durableId="823010780">
    <w:abstractNumId w:val="10"/>
  </w:num>
  <w:num w:numId="33" w16cid:durableId="449978221">
    <w:abstractNumId w:val="19"/>
  </w:num>
  <w:num w:numId="34" w16cid:durableId="2009556150">
    <w:abstractNumId w:val="6"/>
  </w:num>
  <w:num w:numId="35" w16cid:durableId="1172262095">
    <w:abstractNumId w:val="28"/>
  </w:num>
  <w:num w:numId="36" w16cid:durableId="563612744">
    <w:abstractNumId w:val="30"/>
  </w:num>
  <w:num w:numId="37" w16cid:durableId="19701595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596"/>
    <w:rsid w:val="000010AF"/>
    <w:rsid w:val="000313D7"/>
    <w:rsid w:val="000374C1"/>
    <w:rsid w:val="00061787"/>
    <w:rsid w:val="00070438"/>
    <w:rsid w:val="00074337"/>
    <w:rsid w:val="00080CA2"/>
    <w:rsid w:val="000972E1"/>
    <w:rsid w:val="000A514F"/>
    <w:rsid w:val="000A7322"/>
    <w:rsid w:val="000B4C6B"/>
    <w:rsid w:val="000C1722"/>
    <w:rsid w:val="000D29CF"/>
    <w:rsid w:val="000D4ACB"/>
    <w:rsid w:val="00101F8B"/>
    <w:rsid w:val="00114878"/>
    <w:rsid w:val="001357FA"/>
    <w:rsid w:val="00150BA8"/>
    <w:rsid w:val="00153689"/>
    <w:rsid w:val="00157E34"/>
    <w:rsid w:val="001702A6"/>
    <w:rsid w:val="00173D7C"/>
    <w:rsid w:val="00274DFB"/>
    <w:rsid w:val="00284556"/>
    <w:rsid w:val="00297396"/>
    <w:rsid w:val="00327A22"/>
    <w:rsid w:val="0033322E"/>
    <w:rsid w:val="003535E8"/>
    <w:rsid w:val="00387457"/>
    <w:rsid w:val="00392057"/>
    <w:rsid w:val="003E6F70"/>
    <w:rsid w:val="003F29F6"/>
    <w:rsid w:val="00431CB3"/>
    <w:rsid w:val="004369A3"/>
    <w:rsid w:val="0044063F"/>
    <w:rsid w:val="004C2946"/>
    <w:rsid w:val="004D7115"/>
    <w:rsid w:val="005064EE"/>
    <w:rsid w:val="00512443"/>
    <w:rsid w:val="0051297D"/>
    <w:rsid w:val="00534043"/>
    <w:rsid w:val="00534BA3"/>
    <w:rsid w:val="00551A30"/>
    <w:rsid w:val="00561BFE"/>
    <w:rsid w:val="005E528D"/>
    <w:rsid w:val="005E57A5"/>
    <w:rsid w:val="005F24B4"/>
    <w:rsid w:val="005F7802"/>
    <w:rsid w:val="006014E4"/>
    <w:rsid w:val="0062760F"/>
    <w:rsid w:val="00632763"/>
    <w:rsid w:val="0064645B"/>
    <w:rsid w:val="00647F31"/>
    <w:rsid w:val="006945D4"/>
    <w:rsid w:val="006A6700"/>
    <w:rsid w:val="006B75A5"/>
    <w:rsid w:val="006D4ECF"/>
    <w:rsid w:val="00701382"/>
    <w:rsid w:val="00756119"/>
    <w:rsid w:val="00774185"/>
    <w:rsid w:val="007B40D8"/>
    <w:rsid w:val="007C4F08"/>
    <w:rsid w:val="007F2023"/>
    <w:rsid w:val="007F5C42"/>
    <w:rsid w:val="008158A3"/>
    <w:rsid w:val="00880FFC"/>
    <w:rsid w:val="00892C09"/>
    <w:rsid w:val="008B70E7"/>
    <w:rsid w:val="008B71AD"/>
    <w:rsid w:val="008C14E6"/>
    <w:rsid w:val="008E7B92"/>
    <w:rsid w:val="00907643"/>
    <w:rsid w:val="0094275E"/>
    <w:rsid w:val="009A32AF"/>
    <w:rsid w:val="00A075AA"/>
    <w:rsid w:val="00A34B2B"/>
    <w:rsid w:val="00A35F45"/>
    <w:rsid w:val="00A511D9"/>
    <w:rsid w:val="00A52917"/>
    <w:rsid w:val="00A57829"/>
    <w:rsid w:val="00AA79F3"/>
    <w:rsid w:val="00AC2B93"/>
    <w:rsid w:val="00AE53BE"/>
    <w:rsid w:val="00B5396A"/>
    <w:rsid w:val="00B62FA8"/>
    <w:rsid w:val="00BA63ED"/>
    <w:rsid w:val="00BC400B"/>
    <w:rsid w:val="00BC4528"/>
    <w:rsid w:val="00BE6FB3"/>
    <w:rsid w:val="00BF1C00"/>
    <w:rsid w:val="00C26261"/>
    <w:rsid w:val="00C8364E"/>
    <w:rsid w:val="00C967EF"/>
    <w:rsid w:val="00CC4CE1"/>
    <w:rsid w:val="00CD7FA2"/>
    <w:rsid w:val="00D05A15"/>
    <w:rsid w:val="00D314A6"/>
    <w:rsid w:val="00D42AA2"/>
    <w:rsid w:val="00D56C12"/>
    <w:rsid w:val="00D82CA3"/>
    <w:rsid w:val="00D874B3"/>
    <w:rsid w:val="00D951B0"/>
    <w:rsid w:val="00DA1B22"/>
    <w:rsid w:val="00DA5F28"/>
    <w:rsid w:val="00DC0596"/>
    <w:rsid w:val="00E03370"/>
    <w:rsid w:val="00E056E4"/>
    <w:rsid w:val="00E066C5"/>
    <w:rsid w:val="00E073A3"/>
    <w:rsid w:val="00E117C3"/>
    <w:rsid w:val="00E26F62"/>
    <w:rsid w:val="00EA7615"/>
    <w:rsid w:val="00EC32C3"/>
    <w:rsid w:val="00EE5845"/>
    <w:rsid w:val="00EF0DBF"/>
    <w:rsid w:val="00F27FAC"/>
    <w:rsid w:val="00F37804"/>
    <w:rsid w:val="00F5083F"/>
    <w:rsid w:val="00FA7D99"/>
    <w:rsid w:val="00FC79B9"/>
    <w:rsid w:val="00FF7512"/>
    <w:rsid w:val="01CA301F"/>
    <w:rsid w:val="021CB9E2"/>
    <w:rsid w:val="0682B52A"/>
    <w:rsid w:val="08AA19CE"/>
    <w:rsid w:val="093012AA"/>
    <w:rsid w:val="0F931236"/>
    <w:rsid w:val="1025617D"/>
    <w:rsid w:val="1129CE3F"/>
    <w:rsid w:val="196D0CB8"/>
    <w:rsid w:val="229E4615"/>
    <w:rsid w:val="22A222B6"/>
    <w:rsid w:val="2328AB82"/>
    <w:rsid w:val="25CB9430"/>
    <w:rsid w:val="2A75E914"/>
    <w:rsid w:val="2F0DD1BD"/>
    <w:rsid w:val="32D0C683"/>
    <w:rsid w:val="399C2F7B"/>
    <w:rsid w:val="3C93FBC2"/>
    <w:rsid w:val="429C06CD"/>
    <w:rsid w:val="46DC7E65"/>
    <w:rsid w:val="473507AD"/>
    <w:rsid w:val="49FA8BC4"/>
    <w:rsid w:val="4BA0685C"/>
    <w:rsid w:val="50409518"/>
    <w:rsid w:val="5630F64A"/>
    <w:rsid w:val="586963C4"/>
    <w:rsid w:val="586AB4F9"/>
    <w:rsid w:val="59E9BCD0"/>
    <w:rsid w:val="5BDDB243"/>
    <w:rsid w:val="64DED6AC"/>
    <w:rsid w:val="67D8374B"/>
    <w:rsid w:val="69A0FD24"/>
    <w:rsid w:val="6C6F889B"/>
    <w:rsid w:val="71098690"/>
    <w:rsid w:val="71BC6230"/>
    <w:rsid w:val="732A479B"/>
    <w:rsid w:val="735F8F5A"/>
    <w:rsid w:val="771099DE"/>
    <w:rsid w:val="79D8C5B0"/>
    <w:rsid w:val="7A6156D1"/>
    <w:rsid w:val="7F0C83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52C817"/>
  <w15:chartTrackingRefBased/>
  <w15:docId w15:val="{7938D679-5EC0-4E09-AD93-A9599C8BB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F8B"/>
    <w:pPr>
      <w:spacing w:line="240" w:lineRule="auto"/>
    </w:pPr>
    <w:rPr>
      <w:rFonts w:ascii="Arial" w:eastAsiaTheme="minorEastAsia" w:hAnsi="Arial" w:cs="Arial"/>
      <w:sz w:val="24"/>
      <w:szCs w:val="24"/>
      <w:lang w:eastAsia="en-GB"/>
    </w:rPr>
  </w:style>
  <w:style w:type="paragraph" w:styleId="Heading1">
    <w:name w:val="heading 1"/>
    <w:basedOn w:val="Normal"/>
    <w:next w:val="Normal"/>
    <w:link w:val="Heading1Char"/>
    <w:uiPriority w:val="9"/>
    <w:qFormat/>
    <w:rsid w:val="00BE6FB3"/>
    <w:pPr>
      <w:spacing w:after="0"/>
      <w:outlineLvl w:val="0"/>
    </w:pPr>
    <w:rPr>
      <w:b/>
      <w:bCs/>
      <w:color w:val="0062AE"/>
      <w:sz w:val="36"/>
      <w:szCs w:val="36"/>
    </w:rPr>
  </w:style>
  <w:style w:type="paragraph" w:styleId="Heading2">
    <w:name w:val="heading 2"/>
    <w:basedOn w:val="Normal"/>
    <w:next w:val="Normal"/>
    <w:link w:val="Heading2Char"/>
    <w:uiPriority w:val="9"/>
    <w:unhideWhenUsed/>
    <w:qFormat/>
    <w:rsid w:val="00BE6FB3"/>
    <w:pPr>
      <w:spacing w:after="0"/>
      <w:outlineLvl w:val="1"/>
    </w:pPr>
    <w:rPr>
      <w:b/>
      <w:bCs/>
      <w:color w:val="319B31"/>
      <w:sz w:val="28"/>
      <w:szCs w:val="28"/>
    </w:rPr>
  </w:style>
  <w:style w:type="paragraph" w:styleId="Heading3">
    <w:name w:val="heading 3"/>
    <w:basedOn w:val="Normal"/>
    <w:next w:val="Normal"/>
    <w:link w:val="Heading3Char"/>
    <w:uiPriority w:val="9"/>
    <w:unhideWhenUsed/>
    <w:qFormat/>
    <w:rsid w:val="00CD7FA2"/>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CD7FA2"/>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CD7FA2"/>
    <w:pPr>
      <w:keepNext/>
      <w:keepLines/>
      <w:spacing w:before="80" w:after="40" w:line="278" w:lineRule="auto"/>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CD7FA2"/>
    <w:pPr>
      <w:keepNext/>
      <w:keepLines/>
      <w:spacing w:before="40" w:after="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CD7FA2"/>
    <w:pPr>
      <w:keepNext/>
      <w:keepLines/>
      <w:spacing w:before="40" w:after="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CD7FA2"/>
    <w:pPr>
      <w:keepNext/>
      <w:keepLines/>
      <w:spacing w:after="0"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CD7FA2"/>
    <w:pPr>
      <w:keepNext/>
      <w:keepLines/>
      <w:spacing w:after="0"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0596"/>
    <w:pPr>
      <w:tabs>
        <w:tab w:val="center" w:pos="4513"/>
        <w:tab w:val="right" w:pos="9026"/>
      </w:tabs>
      <w:spacing w:after="0"/>
    </w:pPr>
  </w:style>
  <w:style w:type="character" w:customStyle="1" w:styleId="HeaderChar">
    <w:name w:val="Header Char"/>
    <w:basedOn w:val="DefaultParagraphFont"/>
    <w:link w:val="Header"/>
    <w:uiPriority w:val="99"/>
    <w:rsid w:val="00DC0596"/>
  </w:style>
  <w:style w:type="paragraph" w:styleId="Footer">
    <w:name w:val="footer"/>
    <w:basedOn w:val="Normal"/>
    <w:link w:val="FooterChar"/>
    <w:uiPriority w:val="99"/>
    <w:unhideWhenUsed/>
    <w:rsid w:val="00DC0596"/>
    <w:pPr>
      <w:tabs>
        <w:tab w:val="center" w:pos="4513"/>
        <w:tab w:val="right" w:pos="9026"/>
      </w:tabs>
      <w:spacing w:after="0"/>
    </w:pPr>
  </w:style>
  <w:style w:type="character" w:customStyle="1" w:styleId="FooterChar">
    <w:name w:val="Footer Char"/>
    <w:basedOn w:val="DefaultParagraphFont"/>
    <w:link w:val="Footer"/>
    <w:uiPriority w:val="99"/>
    <w:rsid w:val="00DC0596"/>
  </w:style>
  <w:style w:type="character" w:styleId="PlaceholderText">
    <w:name w:val="Placeholder Text"/>
    <w:basedOn w:val="DefaultParagraphFont"/>
    <w:uiPriority w:val="99"/>
    <w:semiHidden/>
    <w:rsid w:val="00114878"/>
    <w:rPr>
      <w:color w:val="808080"/>
    </w:rPr>
  </w:style>
  <w:style w:type="character" w:customStyle="1" w:styleId="Heading1Char">
    <w:name w:val="Heading 1 Char"/>
    <w:basedOn w:val="DefaultParagraphFont"/>
    <w:link w:val="Heading1"/>
    <w:uiPriority w:val="9"/>
    <w:rsid w:val="00BE6FB3"/>
    <w:rPr>
      <w:rFonts w:ascii="Arial" w:eastAsiaTheme="minorEastAsia" w:hAnsi="Arial" w:cs="Arial"/>
      <w:b/>
      <w:bCs/>
      <w:color w:val="0062AE"/>
      <w:sz w:val="36"/>
      <w:szCs w:val="36"/>
      <w:lang w:eastAsia="en-GB"/>
    </w:rPr>
  </w:style>
  <w:style w:type="character" w:customStyle="1" w:styleId="Heading2Char">
    <w:name w:val="Heading 2 Char"/>
    <w:basedOn w:val="DefaultParagraphFont"/>
    <w:link w:val="Heading2"/>
    <w:uiPriority w:val="9"/>
    <w:rsid w:val="00BE6FB3"/>
    <w:rPr>
      <w:rFonts w:ascii="Arial" w:eastAsiaTheme="minorEastAsia" w:hAnsi="Arial" w:cs="Arial"/>
      <w:b/>
      <w:bCs/>
      <w:color w:val="319B31"/>
      <w:sz w:val="28"/>
      <w:szCs w:val="28"/>
      <w:lang w:eastAsia="en-GB"/>
    </w:rPr>
  </w:style>
  <w:style w:type="paragraph" w:styleId="Title">
    <w:name w:val="Title"/>
    <w:basedOn w:val="Normal"/>
    <w:next w:val="Normal"/>
    <w:link w:val="TitleChar"/>
    <w:uiPriority w:val="10"/>
    <w:qFormat/>
    <w:rsid w:val="00BE6FB3"/>
    <w:pPr>
      <w:spacing w:line="360" w:lineRule="auto"/>
    </w:pPr>
    <w:rPr>
      <w:rFonts w:eastAsia="Times New Roman"/>
      <w:b/>
      <w:bCs/>
      <w:noProof/>
      <w:color w:val="0062AE"/>
      <w:sz w:val="36"/>
      <w:szCs w:val="56"/>
    </w:rPr>
  </w:style>
  <w:style w:type="character" w:customStyle="1" w:styleId="TitleChar">
    <w:name w:val="Title Char"/>
    <w:basedOn w:val="DefaultParagraphFont"/>
    <w:link w:val="Title"/>
    <w:uiPriority w:val="10"/>
    <w:rsid w:val="00BE6FB3"/>
    <w:rPr>
      <w:rFonts w:ascii="Arial" w:eastAsia="Times New Roman" w:hAnsi="Arial" w:cs="Arial"/>
      <w:b/>
      <w:bCs/>
      <w:noProof/>
      <w:color w:val="0062AE"/>
      <w:sz w:val="36"/>
      <w:szCs w:val="56"/>
      <w:lang w:eastAsia="en-GB"/>
    </w:rPr>
  </w:style>
  <w:style w:type="paragraph" w:styleId="TOC1">
    <w:name w:val="toc 1"/>
    <w:basedOn w:val="Normal"/>
    <w:next w:val="Normal"/>
    <w:link w:val="TOC1Char"/>
    <w:autoRedefine/>
    <w:uiPriority w:val="39"/>
    <w:unhideWhenUsed/>
    <w:rsid w:val="008158A3"/>
    <w:pPr>
      <w:spacing w:after="100"/>
    </w:pPr>
  </w:style>
  <w:style w:type="paragraph" w:styleId="TOC2">
    <w:name w:val="toc 2"/>
    <w:basedOn w:val="Normal"/>
    <w:next w:val="Normal"/>
    <w:link w:val="TOC2Char"/>
    <w:autoRedefine/>
    <w:uiPriority w:val="39"/>
    <w:unhideWhenUsed/>
    <w:rsid w:val="008158A3"/>
    <w:pPr>
      <w:spacing w:after="100"/>
      <w:ind w:left="240"/>
    </w:pPr>
  </w:style>
  <w:style w:type="character" w:styleId="Hyperlink">
    <w:name w:val="Hyperlink"/>
    <w:basedOn w:val="DefaultParagraphFont"/>
    <w:uiPriority w:val="99"/>
    <w:unhideWhenUsed/>
    <w:rsid w:val="008158A3"/>
    <w:rPr>
      <w:color w:val="0563C1" w:themeColor="hyperlink"/>
      <w:u w:val="single"/>
    </w:rPr>
  </w:style>
  <w:style w:type="paragraph" w:styleId="TOCHeading">
    <w:name w:val="TOC Heading"/>
    <w:basedOn w:val="Heading1"/>
    <w:next w:val="Normal"/>
    <w:uiPriority w:val="39"/>
    <w:unhideWhenUsed/>
    <w:qFormat/>
    <w:rsid w:val="008158A3"/>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eastAsia="en-US"/>
    </w:rPr>
  </w:style>
  <w:style w:type="paragraph" w:styleId="TOC3">
    <w:name w:val="toc 3"/>
    <w:basedOn w:val="Normal"/>
    <w:next w:val="Normal"/>
    <w:autoRedefine/>
    <w:uiPriority w:val="39"/>
    <w:unhideWhenUsed/>
    <w:rsid w:val="008158A3"/>
    <w:pPr>
      <w:spacing w:after="100"/>
      <w:ind w:left="440"/>
    </w:pPr>
    <w:rPr>
      <w:rFonts w:asciiTheme="minorHAnsi" w:hAnsiTheme="minorHAnsi" w:cs="Times New Roman"/>
      <w:sz w:val="22"/>
      <w:szCs w:val="22"/>
      <w:lang w:val="en-US"/>
    </w:rPr>
  </w:style>
  <w:style w:type="paragraph" w:styleId="NoSpacing">
    <w:name w:val="No Spacing"/>
    <w:uiPriority w:val="1"/>
    <w:rsid w:val="00534043"/>
    <w:pPr>
      <w:spacing w:after="0" w:line="240" w:lineRule="auto"/>
    </w:pPr>
    <w:rPr>
      <w:rFonts w:ascii="Arial" w:hAnsi="Arial" w:cs="Arial"/>
      <w:sz w:val="24"/>
      <w:szCs w:val="24"/>
    </w:rPr>
  </w:style>
  <w:style w:type="paragraph" w:styleId="Subtitle">
    <w:name w:val="Subtitle"/>
    <w:basedOn w:val="Normal"/>
    <w:next w:val="Normal"/>
    <w:link w:val="SubtitleChar"/>
    <w:uiPriority w:val="11"/>
    <w:qFormat/>
    <w:rsid w:val="00BE6FB3"/>
    <w:rPr>
      <w:rFonts w:eastAsia="Times New Roman"/>
      <w:b/>
      <w:noProof/>
      <w:color w:val="319B31"/>
      <w:sz w:val="28"/>
      <w:szCs w:val="48"/>
    </w:rPr>
  </w:style>
  <w:style w:type="character" w:customStyle="1" w:styleId="SubtitleChar">
    <w:name w:val="Subtitle Char"/>
    <w:basedOn w:val="DefaultParagraphFont"/>
    <w:link w:val="Subtitle"/>
    <w:uiPriority w:val="11"/>
    <w:rsid w:val="00BE6FB3"/>
    <w:rPr>
      <w:rFonts w:ascii="Arial" w:eastAsia="Times New Roman" w:hAnsi="Arial" w:cs="Arial"/>
      <w:b/>
      <w:noProof/>
      <w:color w:val="319B31"/>
      <w:sz w:val="28"/>
      <w:szCs w:val="48"/>
      <w:lang w:eastAsia="en-GB"/>
    </w:rPr>
  </w:style>
  <w:style w:type="paragraph" w:customStyle="1" w:styleId="Headersfooters">
    <w:name w:val="Headers &amp; footers"/>
    <w:basedOn w:val="Title"/>
    <w:link w:val="HeadersfootersChar"/>
    <w:qFormat/>
    <w:rsid w:val="00774185"/>
    <w:pPr>
      <w:spacing w:after="0" w:line="240" w:lineRule="auto"/>
    </w:pPr>
    <w:rPr>
      <w:b w:val="0"/>
      <w:color w:val="auto"/>
      <w:sz w:val="20"/>
    </w:rPr>
  </w:style>
  <w:style w:type="character" w:styleId="Emphasis">
    <w:name w:val="Emphasis"/>
    <w:basedOn w:val="DefaultParagraphFont"/>
    <w:uiPriority w:val="20"/>
    <w:rsid w:val="00774185"/>
    <w:rPr>
      <w:i/>
      <w:iCs/>
    </w:rPr>
  </w:style>
  <w:style w:type="character" w:customStyle="1" w:styleId="HeadersfootersChar">
    <w:name w:val="Headers &amp; footers Char"/>
    <w:basedOn w:val="TitleChar"/>
    <w:link w:val="Headersfooters"/>
    <w:rsid w:val="00774185"/>
    <w:rPr>
      <w:rFonts w:ascii="Arial" w:eastAsia="Times New Roman" w:hAnsi="Arial" w:cs="Arial"/>
      <w:b w:val="0"/>
      <w:bCs/>
      <w:noProof/>
      <w:color w:val="319B31"/>
      <w:sz w:val="20"/>
      <w:szCs w:val="56"/>
      <w:lang w:eastAsia="en-GB"/>
    </w:rPr>
  </w:style>
  <w:style w:type="paragraph" w:customStyle="1" w:styleId="ContentsMainHeading">
    <w:name w:val="Contents Main Heading"/>
    <w:basedOn w:val="TOC1"/>
    <w:link w:val="ContentsMainHeadingChar"/>
    <w:rsid w:val="00774185"/>
    <w:pPr>
      <w:tabs>
        <w:tab w:val="right" w:leader="dot" w:pos="9016"/>
      </w:tabs>
    </w:pPr>
    <w:rPr>
      <w:b/>
      <w:noProof/>
    </w:rPr>
  </w:style>
  <w:style w:type="paragraph" w:customStyle="1" w:styleId="ContentsSubHeading">
    <w:name w:val="Contents Sub Heading"/>
    <w:basedOn w:val="TOC2"/>
    <w:link w:val="ContentsSubHeadingChar"/>
    <w:rsid w:val="00080CA2"/>
    <w:pPr>
      <w:tabs>
        <w:tab w:val="right" w:leader="dot" w:pos="9016"/>
      </w:tabs>
    </w:pPr>
    <w:rPr>
      <w:noProof/>
    </w:rPr>
  </w:style>
  <w:style w:type="character" w:customStyle="1" w:styleId="TOC1Char">
    <w:name w:val="TOC 1 Char"/>
    <w:basedOn w:val="DefaultParagraphFont"/>
    <w:link w:val="TOC1"/>
    <w:uiPriority w:val="39"/>
    <w:rsid w:val="00774185"/>
    <w:rPr>
      <w:rFonts w:ascii="Arial" w:hAnsi="Arial" w:cs="Arial"/>
      <w:sz w:val="24"/>
      <w:szCs w:val="24"/>
    </w:rPr>
  </w:style>
  <w:style w:type="character" w:customStyle="1" w:styleId="ContentsMainHeadingChar">
    <w:name w:val="Contents Main Heading Char"/>
    <w:basedOn w:val="TOC1Char"/>
    <w:link w:val="ContentsMainHeading"/>
    <w:rsid w:val="00774185"/>
    <w:rPr>
      <w:rFonts w:ascii="Arial" w:hAnsi="Arial" w:cs="Arial"/>
      <w:b/>
      <w:noProof/>
      <w:sz w:val="24"/>
      <w:szCs w:val="24"/>
    </w:rPr>
  </w:style>
  <w:style w:type="character" w:customStyle="1" w:styleId="TOC2Char">
    <w:name w:val="TOC 2 Char"/>
    <w:basedOn w:val="DefaultParagraphFont"/>
    <w:link w:val="TOC2"/>
    <w:uiPriority w:val="39"/>
    <w:rsid w:val="00080CA2"/>
    <w:rPr>
      <w:rFonts w:ascii="Arial" w:hAnsi="Arial" w:cs="Arial"/>
      <w:sz w:val="24"/>
      <w:szCs w:val="24"/>
    </w:rPr>
  </w:style>
  <w:style w:type="character" w:customStyle="1" w:styleId="ContentsSubHeadingChar">
    <w:name w:val="Contents Sub Heading Char"/>
    <w:basedOn w:val="TOC2Char"/>
    <w:link w:val="ContentsSubHeading"/>
    <w:rsid w:val="00080CA2"/>
    <w:rPr>
      <w:rFonts w:ascii="Arial" w:hAnsi="Arial" w:cs="Arial"/>
      <w:noProof/>
      <w:sz w:val="24"/>
      <w:szCs w:val="24"/>
    </w:rPr>
  </w:style>
  <w:style w:type="character" w:customStyle="1" w:styleId="Heading3Char">
    <w:name w:val="Heading 3 Char"/>
    <w:basedOn w:val="DefaultParagraphFont"/>
    <w:link w:val="Heading3"/>
    <w:uiPriority w:val="9"/>
    <w:rsid w:val="00CD7FA2"/>
    <w:rPr>
      <w:rFonts w:eastAsiaTheme="majorEastAsia" w:cstheme="majorBidi"/>
      <w:color w:val="2F5496"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CD7FA2"/>
    <w:rPr>
      <w:rFonts w:eastAsiaTheme="majorEastAsia" w:cstheme="majorBidi"/>
      <w:i/>
      <w:iCs/>
      <w:color w:val="2F5496"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CD7FA2"/>
    <w:rPr>
      <w:rFonts w:eastAsiaTheme="majorEastAsia" w:cstheme="majorBidi"/>
      <w:color w:val="2F5496"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CD7FA2"/>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CD7FA2"/>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CD7FA2"/>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CD7FA2"/>
    <w:rPr>
      <w:rFonts w:eastAsiaTheme="majorEastAsia" w:cstheme="majorBidi"/>
      <w:color w:val="272727" w:themeColor="text1" w:themeTint="D8"/>
      <w:kern w:val="2"/>
      <w:sz w:val="24"/>
      <w:szCs w:val="24"/>
      <w14:ligatures w14:val="standardContextual"/>
    </w:rPr>
  </w:style>
  <w:style w:type="paragraph" w:styleId="Quote">
    <w:name w:val="Quote"/>
    <w:basedOn w:val="Normal"/>
    <w:next w:val="Normal"/>
    <w:link w:val="QuoteChar"/>
    <w:uiPriority w:val="29"/>
    <w:qFormat/>
    <w:rsid w:val="00CD7FA2"/>
    <w:pPr>
      <w:spacing w:before="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CD7FA2"/>
    <w:rPr>
      <w:i/>
      <w:iCs/>
      <w:color w:val="404040" w:themeColor="text1" w:themeTint="BF"/>
      <w:kern w:val="2"/>
      <w:sz w:val="24"/>
      <w:szCs w:val="24"/>
      <w14:ligatures w14:val="standardContextual"/>
    </w:rPr>
  </w:style>
  <w:style w:type="paragraph" w:styleId="ListParagraph">
    <w:name w:val="List Paragraph"/>
    <w:basedOn w:val="Normal"/>
    <w:uiPriority w:val="1"/>
    <w:qFormat/>
    <w:rsid w:val="00CD7FA2"/>
    <w:pPr>
      <w:spacing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CD7FA2"/>
    <w:rPr>
      <w:i/>
      <w:iCs/>
      <w:color w:val="2F5496" w:themeColor="accent1" w:themeShade="BF"/>
    </w:rPr>
  </w:style>
  <w:style w:type="paragraph" w:styleId="IntenseQuote">
    <w:name w:val="Intense Quote"/>
    <w:basedOn w:val="Normal"/>
    <w:next w:val="Normal"/>
    <w:link w:val="IntenseQuoteChar"/>
    <w:uiPriority w:val="30"/>
    <w:qFormat/>
    <w:rsid w:val="00CD7FA2"/>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CD7FA2"/>
    <w:rPr>
      <w:i/>
      <w:iCs/>
      <w:color w:val="2F5496" w:themeColor="accent1" w:themeShade="BF"/>
      <w:kern w:val="2"/>
      <w:sz w:val="24"/>
      <w:szCs w:val="24"/>
      <w14:ligatures w14:val="standardContextual"/>
    </w:rPr>
  </w:style>
  <w:style w:type="character" w:styleId="IntenseReference">
    <w:name w:val="Intense Reference"/>
    <w:basedOn w:val="DefaultParagraphFont"/>
    <w:uiPriority w:val="32"/>
    <w:qFormat/>
    <w:rsid w:val="00CD7FA2"/>
    <w:rPr>
      <w:b/>
      <w:bCs/>
      <w:smallCaps/>
      <w:color w:val="2F5496" w:themeColor="accent1" w:themeShade="BF"/>
      <w:spacing w:val="5"/>
    </w:rPr>
  </w:style>
  <w:style w:type="table" w:styleId="TableGrid">
    <w:name w:val="Table Grid"/>
    <w:basedOn w:val="TableNormal"/>
    <w:uiPriority w:val="39"/>
    <w:rsid w:val="00CD7FA2"/>
    <w:pPr>
      <w:spacing w:after="0" w:line="240" w:lineRule="auto"/>
    </w:pPr>
    <w:rPr>
      <w:kern w:val="2"/>
      <w:sz w:val="24"/>
      <w:szCs w:val="24"/>
      <w14:ligatures w14:val="standardContextual"/>
    </w:rPr>
    <w:tblPr/>
  </w:style>
  <w:style w:type="character" w:styleId="UnresolvedMention">
    <w:name w:val="Unresolved Mention"/>
    <w:basedOn w:val="DefaultParagraphFont"/>
    <w:uiPriority w:val="99"/>
    <w:semiHidden/>
    <w:unhideWhenUsed/>
    <w:rsid w:val="00CD7FA2"/>
    <w:rPr>
      <w:color w:val="605E5C"/>
      <w:shd w:val="clear" w:color="auto" w:fill="E1DFDD"/>
    </w:rPr>
  </w:style>
  <w:style w:type="character" w:styleId="CommentReference">
    <w:name w:val="annotation reference"/>
    <w:basedOn w:val="DefaultParagraphFont"/>
    <w:uiPriority w:val="99"/>
    <w:semiHidden/>
    <w:unhideWhenUsed/>
    <w:rsid w:val="00CD7FA2"/>
    <w:rPr>
      <w:sz w:val="16"/>
      <w:szCs w:val="16"/>
    </w:rPr>
  </w:style>
  <w:style w:type="paragraph" w:styleId="CommentText">
    <w:name w:val="annotation text"/>
    <w:basedOn w:val="Normal"/>
    <w:link w:val="CommentTextChar"/>
    <w:uiPriority w:val="99"/>
    <w:unhideWhenUsed/>
    <w:rsid w:val="00CD7FA2"/>
    <w:rPr>
      <w:rFonts w:asciiTheme="minorHAnsi" w:eastAsiaTheme="minorHAnsi" w:hAnsiTheme="minorHAnsi" w:cstheme="minorBidi"/>
      <w:kern w:val="2"/>
      <w:sz w:val="20"/>
      <w:szCs w:val="20"/>
      <w:lang w:eastAsia="en-US"/>
      <w14:ligatures w14:val="standardContextual"/>
    </w:rPr>
  </w:style>
  <w:style w:type="character" w:customStyle="1" w:styleId="CommentTextChar">
    <w:name w:val="Comment Text Char"/>
    <w:basedOn w:val="DefaultParagraphFont"/>
    <w:link w:val="CommentText"/>
    <w:uiPriority w:val="99"/>
    <w:rsid w:val="00CD7FA2"/>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CD7FA2"/>
    <w:rPr>
      <w:b/>
      <w:bCs/>
    </w:rPr>
  </w:style>
  <w:style w:type="character" w:customStyle="1" w:styleId="CommentSubjectChar">
    <w:name w:val="Comment Subject Char"/>
    <w:basedOn w:val="CommentTextChar"/>
    <w:link w:val="CommentSubject"/>
    <w:uiPriority w:val="99"/>
    <w:semiHidden/>
    <w:rsid w:val="00CD7FA2"/>
    <w:rPr>
      <w:b/>
      <w:bCs/>
      <w:kern w:val="2"/>
      <w:sz w:val="20"/>
      <w:szCs w:val="20"/>
      <w14:ligatures w14:val="standardContextual"/>
    </w:rPr>
  </w:style>
  <w:style w:type="character" w:styleId="Mention">
    <w:name w:val="Mention"/>
    <w:basedOn w:val="DefaultParagraphFont"/>
    <w:uiPriority w:val="99"/>
    <w:unhideWhenUsed/>
    <w:rsid w:val="00CD7FA2"/>
    <w:rPr>
      <w:color w:val="2B579A"/>
      <w:shd w:val="clear" w:color="auto" w:fill="E1DFDD"/>
    </w:rPr>
  </w:style>
  <w:style w:type="character" w:styleId="FollowedHyperlink">
    <w:name w:val="FollowedHyperlink"/>
    <w:basedOn w:val="DefaultParagraphFont"/>
    <w:uiPriority w:val="99"/>
    <w:semiHidden/>
    <w:unhideWhenUsed/>
    <w:rsid w:val="00CD7FA2"/>
    <w:rPr>
      <w:color w:val="954F72" w:themeColor="followedHyperlink"/>
      <w:u w:val="single"/>
    </w:rPr>
  </w:style>
  <w:style w:type="paragraph" w:styleId="NormalWeb">
    <w:name w:val="Normal (Web)"/>
    <w:basedOn w:val="Normal"/>
    <w:uiPriority w:val="99"/>
    <w:semiHidden/>
    <w:unhideWhenUsed/>
    <w:rsid w:val="00CD7FA2"/>
    <w:pPr>
      <w:spacing w:line="278" w:lineRule="auto"/>
    </w:pPr>
    <w:rPr>
      <w:rFonts w:ascii="Times New Roman" w:eastAsiaTheme="minorHAnsi" w:hAnsi="Times New Roman" w:cs="Times New Roman"/>
      <w:kern w:val="2"/>
      <w:lang w:eastAsia="en-US"/>
      <w14:ligatures w14:val="standardContextual"/>
    </w:rPr>
  </w:style>
  <w:style w:type="paragraph" w:customStyle="1" w:styleId="TableParagraph">
    <w:name w:val="Table Paragraph"/>
    <w:basedOn w:val="Normal"/>
    <w:uiPriority w:val="1"/>
    <w:qFormat/>
    <w:rsid w:val="00CD7FA2"/>
    <w:pPr>
      <w:widowControl w:val="0"/>
      <w:autoSpaceDE w:val="0"/>
      <w:autoSpaceDN w:val="0"/>
      <w:spacing w:after="0"/>
      <w:jc w:val="right"/>
    </w:pPr>
    <w:rPr>
      <w:rFonts w:eastAsia="Arial"/>
      <w:sz w:val="22"/>
      <w:szCs w:val="22"/>
      <w:lang w:val="en-US" w:eastAsia="en-US"/>
    </w:rPr>
  </w:style>
  <w:style w:type="paragraph" w:styleId="BodyText">
    <w:name w:val="Body Text"/>
    <w:basedOn w:val="Normal"/>
    <w:link w:val="BodyTextChar"/>
    <w:uiPriority w:val="1"/>
    <w:qFormat/>
    <w:rsid w:val="00CD7FA2"/>
    <w:pPr>
      <w:widowControl w:val="0"/>
      <w:autoSpaceDE w:val="0"/>
      <w:autoSpaceDN w:val="0"/>
      <w:spacing w:after="0"/>
    </w:pPr>
    <w:rPr>
      <w:rFonts w:eastAsia="Arial"/>
      <w:lang w:val="en-US" w:eastAsia="en-US"/>
    </w:rPr>
  </w:style>
  <w:style w:type="character" w:customStyle="1" w:styleId="BodyTextChar">
    <w:name w:val="Body Text Char"/>
    <w:basedOn w:val="DefaultParagraphFont"/>
    <w:link w:val="BodyText"/>
    <w:uiPriority w:val="1"/>
    <w:rsid w:val="00CD7FA2"/>
    <w:rPr>
      <w:rFonts w:ascii="Arial" w:eastAsia="Arial" w:hAnsi="Arial" w:cs="Arial"/>
      <w:sz w:val="24"/>
      <w:szCs w:val="24"/>
      <w:lang w:val="en-US"/>
    </w:rPr>
  </w:style>
  <w:style w:type="paragraph" w:customStyle="1" w:styleId="Default">
    <w:name w:val="Default"/>
    <w:rsid w:val="00CD7FA2"/>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lang w:val="ar-SA" w:eastAsia="en-GB"/>
      <w14:textOutline w14:w="12700" w14:cap="flat" w14:cmpd="sng" w14:algn="ctr">
        <w14:noFill/>
        <w14:prstDash w14:val="solid"/>
        <w14:miter w14:lim="400000"/>
      </w14:textOutline>
    </w:rPr>
  </w:style>
  <w:style w:type="paragraph" w:customStyle="1" w:styleId="Body">
    <w:name w:val="Body"/>
    <w:rsid w:val="00CD7FA2"/>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 w:type="paragraph" w:styleId="Revision">
    <w:name w:val="Revision"/>
    <w:hidden/>
    <w:uiPriority w:val="99"/>
    <w:semiHidden/>
    <w:rsid w:val="00CD7FA2"/>
    <w:pPr>
      <w:spacing w:after="0" w:line="240" w:lineRule="auto"/>
    </w:pPr>
    <w:rPr>
      <w:kern w:val="2"/>
      <w:sz w:val="24"/>
      <w:szCs w:val="24"/>
      <w14:ligatures w14:val="standardContextual"/>
    </w:rPr>
  </w:style>
  <w:style w:type="paragraph" w:styleId="FootnoteText">
    <w:name w:val="footnote text"/>
    <w:basedOn w:val="Normal"/>
    <w:link w:val="FootnoteTextChar"/>
    <w:uiPriority w:val="99"/>
    <w:semiHidden/>
    <w:unhideWhenUsed/>
    <w:rsid w:val="00CD7FA2"/>
    <w:pPr>
      <w:spacing w:after="0"/>
    </w:pPr>
    <w:rPr>
      <w:rFonts w:asciiTheme="minorHAnsi" w:eastAsiaTheme="minorHAnsi" w:hAnsiTheme="minorHAnsi" w:cstheme="minorBidi"/>
      <w:kern w:val="2"/>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CD7FA2"/>
    <w:rPr>
      <w:kern w:val="2"/>
      <w:sz w:val="20"/>
      <w:szCs w:val="20"/>
      <w14:ligatures w14:val="standardContextual"/>
    </w:rPr>
  </w:style>
  <w:style w:type="character" w:styleId="FootnoteReference">
    <w:name w:val="footnote reference"/>
    <w:basedOn w:val="DefaultParagraphFont"/>
    <w:uiPriority w:val="99"/>
    <w:semiHidden/>
    <w:unhideWhenUsed/>
    <w:rsid w:val="00CD7FA2"/>
    <w:rPr>
      <w:vertAlign w:val="superscript"/>
    </w:rPr>
  </w:style>
  <w:style w:type="character" w:customStyle="1" w:styleId="cf01">
    <w:name w:val="cf01"/>
    <w:basedOn w:val="DefaultParagraphFont"/>
    <w:rsid w:val="00CD7FA2"/>
    <w:rPr>
      <w:rFonts w:ascii="Segoe UI" w:hAnsi="Segoe UI" w:cs="Segoe UI"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legislation.gov.uk/ukdsi/2010/9780111492390/contents" TargetMode="External"/><Relationship Id="rId18" Type="http://schemas.openxmlformats.org/officeDocument/2006/relationships/hyperlink" Target="https://www.towerhamlets.gov.uk/Documents/Planning-and-building-control/LLDC/2021-LLDC-Infrastucture-Funding-Statement.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towerhamlets.gov.uk/Documents/Planning-and-building-control/LLDC/AMR-and-IFS-July-2022.pdf" TargetMode="Externa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https://www.towerhamlets.gov.uk/Documents/Planning-and-building-control/LLDC/2022-2023-LLDC-Infrastructure-Funding-Statement.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towerhamlets.gov.uk" TargetMode="External"/><Relationship Id="rId5" Type="http://schemas.openxmlformats.org/officeDocument/2006/relationships/customXml" Target="../customXml/item5.xml"/><Relationship Id="rId15" Type="http://schemas.openxmlformats.org/officeDocument/2006/relationships/hyperlink" Target="https://www.towerhamlets.gov.uk/Documents/Planning-and-building-control/LLDC/2023-24-Infrastructure-Funding-Statement.pdf"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towerhamlets.gov.uk/Documents/Planning-and-building-control/LLDC/2019-2020-LLDC-Infrastructure-Funding-Statement.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towerhamlets.gov.uk/Documents/Planning-and-building-control/Strategic-Planning/InfrastructureFundingStatement2019-20.pdf" TargetMode="External"/><Relationship Id="rId22" Type="http://schemas.openxmlformats.org/officeDocument/2006/relationships/footer" Target="footer1.xml"/><Relationship Id="rId27"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5D8574D89F448F1BFD367AD467FF069"/>
        <w:category>
          <w:name w:val="General"/>
          <w:gallery w:val="placeholder"/>
        </w:category>
        <w:types>
          <w:type w:val="bbPlcHdr"/>
        </w:types>
        <w:behaviors>
          <w:behavior w:val="content"/>
        </w:behaviors>
        <w:guid w:val="{AFDAFDFD-A5F9-4A97-99BF-9A60B94EFD1D}"/>
      </w:docPartPr>
      <w:docPartBody>
        <w:p w:rsidR="00D107AD" w:rsidRDefault="00417A06" w:rsidP="00417A06">
          <w:pPr>
            <w:pStyle w:val="D5D8574D89F448F1BFD367AD467FF069"/>
          </w:pPr>
          <w:r w:rsidRPr="005C5489">
            <w:rPr>
              <w:rStyle w:val="PlaceholderText"/>
            </w:rPr>
            <w:t>[Publish Date]</w:t>
          </w:r>
        </w:p>
      </w:docPartBody>
    </w:docPart>
    <w:docPart>
      <w:docPartPr>
        <w:name w:val="7A8D457499A043A886AD5923AC85325C"/>
        <w:category>
          <w:name w:val="General"/>
          <w:gallery w:val="placeholder"/>
        </w:category>
        <w:types>
          <w:type w:val="bbPlcHdr"/>
        </w:types>
        <w:behaviors>
          <w:behavior w:val="content"/>
        </w:behaviors>
        <w:guid w:val="{CC4CC1E2-2CA3-41E8-9B51-00DB76D7CAD9}"/>
      </w:docPartPr>
      <w:docPartBody>
        <w:p w:rsidR="00D107AD" w:rsidRDefault="00417A06">
          <w:r w:rsidRPr="00973D21">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altName w:val="Arial"/>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A06"/>
    <w:rsid w:val="000C1722"/>
    <w:rsid w:val="00150BA8"/>
    <w:rsid w:val="001A05FF"/>
    <w:rsid w:val="00370027"/>
    <w:rsid w:val="003873F8"/>
    <w:rsid w:val="00417A06"/>
    <w:rsid w:val="005E1858"/>
    <w:rsid w:val="00647F31"/>
    <w:rsid w:val="00840BF8"/>
    <w:rsid w:val="008B71AD"/>
    <w:rsid w:val="00920B51"/>
    <w:rsid w:val="00A35F45"/>
    <w:rsid w:val="00AE53BE"/>
    <w:rsid w:val="00B53E6E"/>
    <w:rsid w:val="00BF1C00"/>
    <w:rsid w:val="00C26261"/>
    <w:rsid w:val="00D05A15"/>
    <w:rsid w:val="00D107AD"/>
    <w:rsid w:val="00DC7828"/>
    <w:rsid w:val="00F4632F"/>
    <w:rsid w:val="00F85B84"/>
    <w:rsid w:val="00FC79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A06"/>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17A06"/>
    <w:rPr>
      <w:color w:val="808080"/>
    </w:rPr>
  </w:style>
  <w:style w:type="paragraph" w:customStyle="1" w:styleId="D5D8574D89F448F1BFD367AD467FF069">
    <w:name w:val="D5D8574D89F448F1BFD367AD467FF069"/>
    <w:rsid w:val="00417A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2025-12-15T00:00:00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22d7286-dd96-43f1-addf-1aa01b239435">
      <Terms xmlns="http://schemas.microsoft.com/office/infopath/2007/PartnerControls"/>
    </lcf76f155ced4ddcb4097134ff3c332f>
    <TaxCatchAll xmlns="c0f1eab8-3903-44ec-b09e-06dd9dbdfde0" xsi:nil="true"/>
    <ApplicationType xmlns="f22d7286-dd96-43f1-addf-1aa01b239435"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CBB0DBABED20646B5BB11340AE54F35" ma:contentTypeVersion="19" ma:contentTypeDescription="Create a new document." ma:contentTypeScope="" ma:versionID="04b09241187ef530b154dd750aabca89">
  <xsd:schema xmlns:xsd="http://www.w3.org/2001/XMLSchema" xmlns:xs="http://www.w3.org/2001/XMLSchema" xmlns:p="http://schemas.microsoft.com/office/2006/metadata/properties" xmlns:ns2="f22d7286-dd96-43f1-addf-1aa01b239435" xmlns:ns3="c0f1eab8-3903-44ec-b09e-06dd9dbdfde0" targetNamespace="http://schemas.microsoft.com/office/2006/metadata/properties" ma:root="true" ma:fieldsID="8902a22492298a663ec84a574ffa0713" ns2:_="" ns3:_="">
    <xsd:import namespace="f22d7286-dd96-43f1-addf-1aa01b239435"/>
    <xsd:import namespace="c0f1eab8-3903-44ec-b09e-06dd9dbdfde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ApplicationTyp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2d7286-dd96-43f1-addf-1aa01b2394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7725aa-a115-4173-8de3-4bc35a246221" ma:termSetId="09814cd3-568e-fe90-9814-8d621ff8fb84" ma:anchorId="fba54fb3-c3e1-fe81-a776-ca4b69148c4d" ma:open="true" ma:isKeyword="false">
      <xsd:complexType>
        <xsd:sequence>
          <xsd:element ref="pc:Terms" minOccurs="0" maxOccurs="1"/>
        </xsd:sequence>
      </xsd:complexType>
    </xsd:element>
    <xsd:element name="ApplicationType" ma:index="24" nillable="true" ma:displayName="Application Type" ma:format="Dropdown" ma:internalName="ApplicationType">
      <xsd:simpleType>
        <xsd:union memberTypes="dms:Text">
          <xsd:simpleType>
            <xsd:restriction base="dms:Choice">
              <xsd:enumeration value="Small Site"/>
              <xsd:enumeration value="Redbridge"/>
              <xsd:enumeration value="Estate Regeneration"/>
              <xsd:enumeration value="Review"/>
              <xsd:enumeration value="Other"/>
            </xsd:restriction>
          </xsd:simpleType>
        </xsd:un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f1eab8-3903-44ec-b09e-06dd9dbdfde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322acd5-f3ef-4afe-9102-ccbe072f364f}" ma:internalName="TaxCatchAll" ma:showField="CatchAllData" ma:web="c0f1eab8-3903-44ec-b09e-06dd9dbdfd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5B2718B-8237-4547-B3A0-40513FA9F590}">
  <ds:schemaRefs>
    <ds:schemaRef ds:uri="http://schemas.openxmlformats.org/officeDocument/2006/bibliography"/>
  </ds:schemaRefs>
</ds:datastoreItem>
</file>

<file path=customXml/itemProps3.xml><?xml version="1.0" encoding="utf-8"?>
<ds:datastoreItem xmlns:ds="http://schemas.openxmlformats.org/officeDocument/2006/customXml" ds:itemID="{9DA4D916-67CF-4FD3-8961-212603281293}">
  <ds:schemaRefs>
    <ds:schemaRef ds:uri="http://schemas.microsoft.com/sharepoint/v3/contenttype/forms"/>
  </ds:schemaRefs>
</ds:datastoreItem>
</file>

<file path=customXml/itemProps4.xml><?xml version="1.0" encoding="utf-8"?>
<ds:datastoreItem xmlns:ds="http://schemas.openxmlformats.org/officeDocument/2006/customXml" ds:itemID="{51535BB0-DC53-48EC-828C-DC21853A3766}">
  <ds:schemaRefs>
    <ds:schemaRef ds:uri="http://schemas.openxmlformats.org/package/2006/metadata/core-properties"/>
    <ds:schemaRef ds:uri="http://purl.org/dc/elements/1.1/"/>
    <ds:schemaRef ds:uri="http://schemas.microsoft.com/office/infopath/2007/PartnerControls"/>
    <ds:schemaRef ds:uri="http://schemas.microsoft.com/office/2006/documentManagement/types"/>
    <ds:schemaRef ds:uri="c0f1eab8-3903-44ec-b09e-06dd9dbdfde0"/>
    <ds:schemaRef ds:uri="http://purl.org/dc/terms/"/>
    <ds:schemaRef ds:uri="http://www.w3.org/XML/1998/namespace"/>
    <ds:schemaRef ds:uri="f22d7286-dd96-43f1-addf-1aa01b239435"/>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EBCB9D61-8EF7-44C5-9B4B-F73E1AAC53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2d7286-dd96-43f1-addf-1aa01b239435"/>
    <ds:schemaRef ds:uri="c0f1eab8-3903-44ec-b09e-06dd9dbdfd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3191</Words>
  <Characters>18673</Characters>
  <Application>Microsoft Office Word</Application>
  <DocSecurity>0</DocSecurity>
  <Lines>889</Lines>
  <Paragraphs>705</Paragraphs>
  <ScaleCrop>false</ScaleCrop>
  <HeadingPairs>
    <vt:vector size="2" baseType="variant">
      <vt:variant>
        <vt:lpstr>Title</vt:lpstr>
      </vt:variant>
      <vt:variant>
        <vt:i4>1</vt:i4>
      </vt:variant>
    </vt:vector>
  </HeadingPairs>
  <TitlesOfParts>
    <vt:vector size="1" baseType="lpstr">
      <vt:lpstr>London Borough of Tower Hamlets</vt:lpstr>
    </vt:vector>
  </TitlesOfParts>
  <Company>Tower Hamlets</Company>
  <LinksUpToDate>false</LinksUpToDate>
  <CharactersWithSpaces>21159</CharactersWithSpaces>
  <SharedDoc>false</SharedDoc>
  <HLinks>
    <vt:vector size="78" baseType="variant">
      <vt:variant>
        <vt:i4>2555949</vt:i4>
      </vt:variant>
      <vt:variant>
        <vt:i4>57</vt:i4>
      </vt:variant>
      <vt:variant>
        <vt:i4>0</vt:i4>
      </vt:variant>
      <vt:variant>
        <vt:i4>5</vt:i4>
      </vt:variant>
      <vt:variant>
        <vt:lpwstr>http://www.towerhamlets.gov.uk/</vt:lpwstr>
      </vt:variant>
      <vt:variant>
        <vt:lpwstr/>
      </vt:variant>
      <vt:variant>
        <vt:i4>6029331</vt:i4>
      </vt:variant>
      <vt:variant>
        <vt:i4>54</vt:i4>
      </vt:variant>
      <vt:variant>
        <vt:i4>0</vt:i4>
      </vt:variant>
      <vt:variant>
        <vt:i4>5</vt:i4>
      </vt:variant>
      <vt:variant>
        <vt:lpwstr>https://www.towerhamlets.gov.uk/Documents/Planning-and-building-control/LLDC/2019-2020-LLDC-Infrastructure-Funding-Statement.pdf</vt:lpwstr>
      </vt:variant>
      <vt:variant>
        <vt:lpwstr/>
      </vt:variant>
      <vt:variant>
        <vt:i4>7471209</vt:i4>
      </vt:variant>
      <vt:variant>
        <vt:i4>51</vt:i4>
      </vt:variant>
      <vt:variant>
        <vt:i4>0</vt:i4>
      </vt:variant>
      <vt:variant>
        <vt:i4>5</vt:i4>
      </vt:variant>
      <vt:variant>
        <vt:lpwstr>https://www.towerhamlets.gov.uk/Documents/Planning-and-building-control/LLDC/2021-LLDC-Infrastucture-Funding-Statement.pdf</vt:lpwstr>
      </vt:variant>
      <vt:variant>
        <vt:lpwstr/>
      </vt:variant>
      <vt:variant>
        <vt:i4>8126569</vt:i4>
      </vt:variant>
      <vt:variant>
        <vt:i4>48</vt:i4>
      </vt:variant>
      <vt:variant>
        <vt:i4>0</vt:i4>
      </vt:variant>
      <vt:variant>
        <vt:i4>5</vt:i4>
      </vt:variant>
      <vt:variant>
        <vt:lpwstr>https://www.towerhamlets.gov.uk/Documents/Planning-and-building-control/LLDC/AMR-and-IFS-July-2022.pdf</vt:lpwstr>
      </vt:variant>
      <vt:variant>
        <vt:lpwstr/>
      </vt:variant>
      <vt:variant>
        <vt:i4>6029336</vt:i4>
      </vt:variant>
      <vt:variant>
        <vt:i4>45</vt:i4>
      </vt:variant>
      <vt:variant>
        <vt:i4>0</vt:i4>
      </vt:variant>
      <vt:variant>
        <vt:i4>5</vt:i4>
      </vt:variant>
      <vt:variant>
        <vt:lpwstr>https://www.towerhamlets.gov.uk/Documents/Planning-and-building-control/LLDC/2022-2023-LLDC-Infrastructure-Funding-Statement.pdf</vt:lpwstr>
      </vt:variant>
      <vt:variant>
        <vt:lpwstr/>
      </vt:variant>
      <vt:variant>
        <vt:i4>589829</vt:i4>
      </vt:variant>
      <vt:variant>
        <vt:i4>42</vt:i4>
      </vt:variant>
      <vt:variant>
        <vt:i4>0</vt:i4>
      </vt:variant>
      <vt:variant>
        <vt:i4>5</vt:i4>
      </vt:variant>
      <vt:variant>
        <vt:lpwstr>https://www.towerhamlets.gov.uk/Documents/Planning-and-building-control/LLDC/2023-24-Infrastructure-Funding-Statement.pdf</vt:lpwstr>
      </vt:variant>
      <vt:variant>
        <vt:lpwstr/>
      </vt:variant>
      <vt:variant>
        <vt:i4>1835017</vt:i4>
      </vt:variant>
      <vt:variant>
        <vt:i4>36</vt:i4>
      </vt:variant>
      <vt:variant>
        <vt:i4>0</vt:i4>
      </vt:variant>
      <vt:variant>
        <vt:i4>5</vt:i4>
      </vt:variant>
      <vt:variant>
        <vt:lpwstr>https://www.towerhamlets.gov.uk/Documents/Planning-and-building-control/Strategic-Planning/InfrastructureFundingStatement2019-20.pdf</vt:lpwstr>
      </vt:variant>
      <vt:variant>
        <vt:lpwstr/>
      </vt:variant>
      <vt:variant>
        <vt:i4>4390917</vt:i4>
      </vt:variant>
      <vt:variant>
        <vt:i4>33</vt:i4>
      </vt:variant>
      <vt:variant>
        <vt:i4>0</vt:i4>
      </vt:variant>
      <vt:variant>
        <vt:i4>5</vt:i4>
      </vt:variant>
      <vt:variant>
        <vt:lpwstr>https://www.legislation.gov.uk/ukdsi/2010/9780111492390/contents</vt:lpwstr>
      </vt:variant>
      <vt:variant>
        <vt:lpwstr/>
      </vt:variant>
      <vt:variant>
        <vt:i4>1966128</vt:i4>
      </vt:variant>
      <vt:variant>
        <vt:i4>26</vt:i4>
      </vt:variant>
      <vt:variant>
        <vt:i4>0</vt:i4>
      </vt:variant>
      <vt:variant>
        <vt:i4>5</vt:i4>
      </vt:variant>
      <vt:variant>
        <vt:lpwstr/>
      </vt:variant>
      <vt:variant>
        <vt:lpwstr>_Toc216258123</vt:lpwstr>
      </vt:variant>
      <vt:variant>
        <vt:i4>1966128</vt:i4>
      </vt:variant>
      <vt:variant>
        <vt:i4>20</vt:i4>
      </vt:variant>
      <vt:variant>
        <vt:i4>0</vt:i4>
      </vt:variant>
      <vt:variant>
        <vt:i4>5</vt:i4>
      </vt:variant>
      <vt:variant>
        <vt:lpwstr/>
      </vt:variant>
      <vt:variant>
        <vt:lpwstr>_Toc216258122</vt:lpwstr>
      </vt:variant>
      <vt:variant>
        <vt:i4>1966128</vt:i4>
      </vt:variant>
      <vt:variant>
        <vt:i4>14</vt:i4>
      </vt:variant>
      <vt:variant>
        <vt:i4>0</vt:i4>
      </vt:variant>
      <vt:variant>
        <vt:i4>5</vt:i4>
      </vt:variant>
      <vt:variant>
        <vt:lpwstr/>
      </vt:variant>
      <vt:variant>
        <vt:lpwstr>_Toc216258121</vt:lpwstr>
      </vt:variant>
      <vt:variant>
        <vt:i4>1966128</vt:i4>
      </vt:variant>
      <vt:variant>
        <vt:i4>8</vt:i4>
      </vt:variant>
      <vt:variant>
        <vt:i4>0</vt:i4>
      </vt:variant>
      <vt:variant>
        <vt:i4>5</vt:i4>
      </vt:variant>
      <vt:variant>
        <vt:lpwstr/>
      </vt:variant>
      <vt:variant>
        <vt:lpwstr>_Toc216258120</vt:lpwstr>
      </vt:variant>
      <vt:variant>
        <vt:i4>1900592</vt:i4>
      </vt:variant>
      <vt:variant>
        <vt:i4>2</vt:i4>
      </vt:variant>
      <vt:variant>
        <vt:i4>0</vt:i4>
      </vt:variant>
      <vt:variant>
        <vt:i4>5</vt:i4>
      </vt:variant>
      <vt:variant>
        <vt:lpwstr/>
      </vt:variant>
      <vt:variant>
        <vt:lpwstr>_Toc216258119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Infrastructure 2024-25</dc:title>
  <dc:subject/>
  <dc:creator>Joanne Ainger</dc:creator>
  <cp:keywords/>
  <dc:description/>
  <cp:lastModifiedBy>Joanne Ainger</cp:lastModifiedBy>
  <cp:revision>2</cp:revision>
  <dcterms:created xsi:type="dcterms:W3CDTF">2025-12-15T15:21:00Z</dcterms:created>
  <dcterms:modified xsi:type="dcterms:W3CDTF">2025-12-15T15:21:00Z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0x010100ACBB0DBABED20646B5BB11340AE54F35</vt:lpwstr>
  </property>
  <property fmtid="{D5CDD505-2E9C-101B-9397-08002B2CF9AE}" pid="3" name="GrammarlyDocumentId">
    <vt:lpwstr>36577380-bec5-4fb2-8d90-c5235cea80ea</vt:lpwstr>
  </property>
  <property fmtid="{D5CDD505-2E9C-101B-9397-08002B2CF9AE}" pid="4" name="MediaServiceImageTags">
    <vt:lpwstr/>
  </property>
</Properties>
</file>