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E2F1B" w14:textId="77777777" w:rsidR="007C2431" w:rsidRDefault="007C2431" w:rsidP="007C2431">
      <w:pPr>
        <w:spacing w:line="276" w:lineRule="auto"/>
        <w:rPr>
          <w:rFonts w:cs="Arial"/>
          <w:color w:val="00B050"/>
          <w:sz w:val="52"/>
          <w:szCs w:val="52"/>
        </w:rPr>
      </w:pPr>
      <w:r>
        <w:rPr>
          <w:noProof/>
          <w:lang w:eastAsia="en-GB"/>
        </w:rPr>
        <w:drawing>
          <wp:anchor distT="0" distB="0" distL="114300" distR="114300" simplePos="0" relativeHeight="251658240" behindDoc="1" locked="0" layoutInCell="1" allowOverlap="1" wp14:anchorId="6E7B6D91" wp14:editId="4E1952EC">
            <wp:simplePos x="0" y="0"/>
            <wp:positionH relativeFrom="page">
              <wp:posOffset>0</wp:posOffset>
            </wp:positionH>
            <wp:positionV relativeFrom="paragraph">
              <wp:posOffset>-927100</wp:posOffset>
            </wp:positionV>
            <wp:extent cx="7550785" cy="10680700"/>
            <wp:effectExtent l="0" t="0" r="0" b="635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8">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p w14:paraId="11B1E83E" w14:textId="77777777" w:rsidR="007C2431" w:rsidRDefault="007C2431" w:rsidP="007C2431">
      <w:pPr>
        <w:spacing w:line="276" w:lineRule="auto"/>
        <w:rPr>
          <w:rFonts w:cs="Arial"/>
          <w:color w:val="00B050"/>
          <w:sz w:val="52"/>
          <w:szCs w:val="52"/>
        </w:rPr>
      </w:pPr>
    </w:p>
    <w:p w14:paraId="7127464C" w14:textId="77777777" w:rsidR="007C2431" w:rsidRDefault="007C2431" w:rsidP="007C2431">
      <w:pPr>
        <w:spacing w:line="276" w:lineRule="auto"/>
        <w:rPr>
          <w:rFonts w:cs="Arial"/>
          <w:color w:val="00B050"/>
          <w:sz w:val="52"/>
          <w:szCs w:val="52"/>
        </w:rPr>
      </w:pPr>
    </w:p>
    <w:p w14:paraId="0AC0BF28" w14:textId="77777777" w:rsidR="007C2431" w:rsidRDefault="00421280" w:rsidP="007C2431">
      <w:pPr>
        <w:spacing w:line="276" w:lineRule="auto"/>
        <w:rPr>
          <w:rFonts w:cs="Arial"/>
          <w:color w:val="0070C0"/>
          <w:sz w:val="52"/>
          <w:szCs w:val="52"/>
        </w:rPr>
      </w:pPr>
      <w:r w:rsidRPr="00D321E8">
        <w:rPr>
          <w:rFonts w:cs="Arial"/>
          <w:color w:val="009E47"/>
          <w:sz w:val="52"/>
          <w:szCs w:val="52"/>
        </w:rPr>
        <w:t>Planning Obligations</w:t>
      </w:r>
      <w:r w:rsidR="007C2431">
        <w:rPr>
          <w:rFonts w:cs="Arial"/>
          <w:color w:val="00B050"/>
          <w:sz w:val="52"/>
          <w:szCs w:val="52"/>
        </w:rPr>
        <w:br/>
      </w:r>
      <w:r w:rsidR="007C2431" w:rsidRPr="00656048">
        <w:rPr>
          <w:rFonts w:cs="Arial"/>
          <w:color w:val="0070C0"/>
          <w:sz w:val="52"/>
          <w:szCs w:val="52"/>
        </w:rPr>
        <w:t>Supplementary Planning Document</w:t>
      </w:r>
    </w:p>
    <w:p w14:paraId="1F722A97" w14:textId="77777777" w:rsidR="001730EF" w:rsidRDefault="001730EF" w:rsidP="007C2431">
      <w:pPr>
        <w:spacing w:line="276" w:lineRule="auto"/>
        <w:rPr>
          <w:rFonts w:cs="Arial"/>
          <w:sz w:val="52"/>
          <w:szCs w:val="52"/>
        </w:rPr>
      </w:pPr>
    </w:p>
    <w:p w14:paraId="059EA5F6" w14:textId="77777777" w:rsidR="007C2431" w:rsidRDefault="007C2431" w:rsidP="003B280C">
      <w:pPr>
        <w:pStyle w:val="Headingnonumber"/>
      </w:pPr>
    </w:p>
    <w:p w14:paraId="32516F1D" w14:textId="77777777" w:rsidR="007C2431" w:rsidRDefault="007C2431" w:rsidP="003B280C">
      <w:pPr>
        <w:pStyle w:val="Headingnonumber"/>
      </w:pPr>
    </w:p>
    <w:p w14:paraId="79206D78" w14:textId="77777777" w:rsidR="007C2431" w:rsidRDefault="007C2431" w:rsidP="003B280C">
      <w:pPr>
        <w:pStyle w:val="Headingnonumber"/>
      </w:pPr>
    </w:p>
    <w:p w14:paraId="6C148ECD" w14:textId="77777777" w:rsidR="007C2431" w:rsidRDefault="007C2431" w:rsidP="001825DD">
      <w:pPr>
        <w:pStyle w:val="BodyText"/>
      </w:pPr>
    </w:p>
    <w:p w14:paraId="0B09ADCA" w14:textId="77777777" w:rsidR="001825DD" w:rsidRDefault="001825DD" w:rsidP="001825DD">
      <w:pPr>
        <w:pStyle w:val="BodyText"/>
      </w:pPr>
    </w:p>
    <w:p w14:paraId="3B7BC726" w14:textId="77777777" w:rsidR="001825DD" w:rsidRDefault="001825DD" w:rsidP="001825DD">
      <w:pPr>
        <w:pStyle w:val="BodyText"/>
      </w:pPr>
    </w:p>
    <w:p w14:paraId="2FEC7CFD" w14:textId="1E83D0F3" w:rsidR="001825DD" w:rsidRDefault="001825DD" w:rsidP="001825DD"/>
    <w:p w14:paraId="41F3C85A" w14:textId="77777777" w:rsidR="001825DD" w:rsidRDefault="001825DD" w:rsidP="001825DD"/>
    <w:p w14:paraId="2167BD34" w14:textId="30F9DD3B" w:rsidR="007C2431" w:rsidRPr="001825DD" w:rsidRDefault="00810D72" w:rsidP="001825DD">
      <w:pPr>
        <w:rPr>
          <w:b/>
          <w:sz w:val="52"/>
          <w:szCs w:val="52"/>
        </w:rPr>
      </w:pPr>
      <w:r>
        <w:rPr>
          <w:sz w:val="52"/>
          <w:szCs w:val="52"/>
        </w:rPr>
        <w:t>March</w:t>
      </w:r>
      <w:r w:rsidRPr="00E91110">
        <w:rPr>
          <w:sz w:val="52"/>
          <w:szCs w:val="52"/>
        </w:rPr>
        <w:t xml:space="preserve"> </w:t>
      </w:r>
      <w:r w:rsidR="007C2431" w:rsidRPr="00E91110">
        <w:rPr>
          <w:sz w:val="52"/>
          <w:szCs w:val="52"/>
        </w:rPr>
        <w:t>202</w:t>
      </w:r>
      <w:r w:rsidR="00EC2AA5">
        <w:rPr>
          <w:sz w:val="52"/>
          <w:szCs w:val="52"/>
        </w:rPr>
        <w:t>1</w:t>
      </w:r>
    </w:p>
    <w:p w14:paraId="3F1D1AF1" w14:textId="77777777" w:rsidR="001825DD" w:rsidRPr="001825DD" w:rsidRDefault="001825DD" w:rsidP="001825DD">
      <w:pPr>
        <w:pStyle w:val="BodyText"/>
      </w:pPr>
    </w:p>
    <w:p w14:paraId="4899303F" w14:textId="77777777" w:rsidR="001825DD" w:rsidRDefault="001825DD">
      <w:pPr>
        <w:spacing w:after="0" w:line="240" w:lineRule="auto"/>
        <w:rPr>
          <w:rFonts w:asciiTheme="majorHAnsi" w:eastAsiaTheme="majorEastAsia" w:hAnsiTheme="majorHAnsi" w:cstheme="majorBidi"/>
          <w:b/>
          <w:bCs/>
          <w:color w:val="365F91" w:themeColor="accent1" w:themeShade="BF"/>
          <w:sz w:val="28"/>
          <w:szCs w:val="28"/>
          <w:lang w:val="en-US" w:eastAsia="ja-JP"/>
        </w:rPr>
      </w:pPr>
      <w:r>
        <w:br w:type="page"/>
      </w:r>
    </w:p>
    <w:p w14:paraId="41F88793" w14:textId="228B08C1" w:rsidR="00721B10" w:rsidRDefault="00721B10" w:rsidP="00721B10">
      <w:pPr>
        <w:pStyle w:val="Heading1"/>
      </w:pPr>
      <w:r>
        <w:lastRenderedPageBreak/>
        <w:t>Table of Contents</w:t>
      </w:r>
    </w:p>
    <w:p w14:paraId="0A9CF8C8" w14:textId="39A788BC" w:rsidR="00344985" w:rsidRDefault="00721B10">
      <w:pPr>
        <w:pStyle w:val="TOC1"/>
        <w:tabs>
          <w:tab w:val="right" w:leader="dot" w:pos="9016"/>
        </w:tabs>
        <w:rPr>
          <w:noProof/>
          <w:lang w:val="en-GB" w:eastAsia="en-GB"/>
        </w:rPr>
      </w:pPr>
      <w:r>
        <w:fldChar w:fldCharType="begin"/>
      </w:r>
      <w:r>
        <w:instrText xml:space="preserve"> TOC \o "2-3" \h \z \t "Headers,1,Heading no number,1" </w:instrText>
      </w:r>
      <w:r>
        <w:fldChar w:fldCharType="separate"/>
      </w:r>
      <w:hyperlink w:anchor="_Toc69374664" w:history="1">
        <w:r w:rsidR="00344985" w:rsidRPr="00391B29">
          <w:rPr>
            <w:rStyle w:val="Hyperlink"/>
            <w:noProof/>
          </w:rPr>
          <w:t>Overview</w:t>
        </w:r>
        <w:r w:rsidR="00344985">
          <w:rPr>
            <w:noProof/>
            <w:webHidden/>
          </w:rPr>
          <w:tab/>
        </w:r>
        <w:r w:rsidR="00344985">
          <w:rPr>
            <w:noProof/>
            <w:webHidden/>
          </w:rPr>
          <w:fldChar w:fldCharType="begin"/>
        </w:r>
        <w:r w:rsidR="00344985">
          <w:rPr>
            <w:noProof/>
            <w:webHidden/>
          </w:rPr>
          <w:instrText xml:space="preserve"> PAGEREF _Toc69374664 \h </w:instrText>
        </w:r>
        <w:r w:rsidR="00344985">
          <w:rPr>
            <w:noProof/>
            <w:webHidden/>
          </w:rPr>
        </w:r>
        <w:r w:rsidR="00344985">
          <w:rPr>
            <w:noProof/>
            <w:webHidden/>
          </w:rPr>
          <w:fldChar w:fldCharType="separate"/>
        </w:r>
        <w:r w:rsidR="007C76E6">
          <w:rPr>
            <w:noProof/>
            <w:webHidden/>
          </w:rPr>
          <w:t>2</w:t>
        </w:r>
        <w:r w:rsidR="00344985">
          <w:rPr>
            <w:noProof/>
            <w:webHidden/>
          </w:rPr>
          <w:fldChar w:fldCharType="end"/>
        </w:r>
      </w:hyperlink>
    </w:p>
    <w:p w14:paraId="4300BA9E" w14:textId="71F4BFE6" w:rsidR="00344985" w:rsidRDefault="0023514D">
      <w:pPr>
        <w:pStyle w:val="TOC1"/>
        <w:tabs>
          <w:tab w:val="left" w:pos="440"/>
          <w:tab w:val="right" w:leader="dot" w:pos="9016"/>
        </w:tabs>
        <w:rPr>
          <w:noProof/>
          <w:lang w:val="en-GB" w:eastAsia="en-GB"/>
        </w:rPr>
      </w:pPr>
      <w:hyperlink w:anchor="_Toc69374665" w:history="1">
        <w:r w:rsidR="00344985" w:rsidRPr="00391B29">
          <w:rPr>
            <w:rStyle w:val="Hyperlink"/>
            <w:noProof/>
          </w:rPr>
          <w:t>1.</w:t>
        </w:r>
        <w:r w:rsidR="00344985">
          <w:rPr>
            <w:noProof/>
            <w:lang w:val="en-GB" w:eastAsia="en-GB"/>
          </w:rPr>
          <w:tab/>
        </w:r>
        <w:r w:rsidR="00344985" w:rsidRPr="00391B29">
          <w:rPr>
            <w:rStyle w:val="Hyperlink"/>
            <w:noProof/>
          </w:rPr>
          <w:t>Introduction</w:t>
        </w:r>
        <w:r w:rsidR="00344985">
          <w:rPr>
            <w:noProof/>
            <w:webHidden/>
          </w:rPr>
          <w:tab/>
        </w:r>
        <w:r w:rsidR="00344985">
          <w:rPr>
            <w:noProof/>
            <w:webHidden/>
          </w:rPr>
          <w:fldChar w:fldCharType="begin"/>
        </w:r>
        <w:r w:rsidR="00344985">
          <w:rPr>
            <w:noProof/>
            <w:webHidden/>
          </w:rPr>
          <w:instrText xml:space="preserve"> PAGEREF _Toc69374665 \h </w:instrText>
        </w:r>
        <w:r w:rsidR="00344985">
          <w:rPr>
            <w:noProof/>
            <w:webHidden/>
          </w:rPr>
        </w:r>
        <w:r w:rsidR="00344985">
          <w:rPr>
            <w:noProof/>
            <w:webHidden/>
          </w:rPr>
          <w:fldChar w:fldCharType="separate"/>
        </w:r>
        <w:r w:rsidR="007C76E6">
          <w:rPr>
            <w:noProof/>
            <w:webHidden/>
          </w:rPr>
          <w:t>4</w:t>
        </w:r>
        <w:r w:rsidR="00344985">
          <w:rPr>
            <w:noProof/>
            <w:webHidden/>
          </w:rPr>
          <w:fldChar w:fldCharType="end"/>
        </w:r>
      </w:hyperlink>
    </w:p>
    <w:p w14:paraId="0E040E73" w14:textId="2F6AB6D1" w:rsidR="00344985" w:rsidRDefault="0023514D">
      <w:pPr>
        <w:pStyle w:val="TOC1"/>
        <w:tabs>
          <w:tab w:val="left" w:pos="440"/>
          <w:tab w:val="right" w:leader="dot" w:pos="9016"/>
        </w:tabs>
        <w:rPr>
          <w:noProof/>
          <w:lang w:val="en-GB" w:eastAsia="en-GB"/>
        </w:rPr>
      </w:pPr>
      <w:hyperlink w:anchor="_Toc69374666" w:history="1">
        <w:r w:rsidR="00344985" w:rsidRPr="00391B29">
          <w:rPr>
            <w:rStyle w:val="Hyperlink"/>
            <w:rFonts w:eastAsia="MS Mincho"/>
            <w:noProof/>
          </w:rPr>
          <w:t>2.</w:t>
        </w:r>
        <w:r w:rsidR="00344985">
          <w:rPr>
            <w:noProof/>
            <w:lang w:val="en-GB" w:eastAsia="en-GB"/>
          </w:rPr>
          <w:tab/>
        </w:r>
        <w:r w:rsidR="00344985" w:rsidRPr="00391B29">
          <w:rPr>
            <w:rStyle w:val="Hyperlink"/>
            <w:noProof/>
          </w:rPr>
          <w:t>Approach to Development Mitigation and Infrastructure Delivery</w:t>
        </w:r>
        <w:r w:rsidR="00344985">
          <w:rPr>
            <w:noProof/>
            <w:webHidden/>
          </w:rPr>
          <w:tab/>
        </w:r>
        <w:r w:rsidR="00344985">
          <w:rPr>
            <w:noProof/>
            <w:webHidden/>
          </w:rPr>
          <w:fldChar w:fldCharType="begin"/>
        </w:r>
        <w:r w:rsidR="00344985">
          <w:rPr>
            <w:noProof/>
            <w:webHidden/>
          </w:rPr>
          <w:instrText xml:space="preserve"> PAGEREF _Toc69374666 \h </w:instrText>
        </w:r>
        <w:r w:rsidR="00344985">
          <w:rPr>
            <w:noProof/>
            <w:webHidden/>
          </w:rPr>
        </w:r>
        <w:r w:rsidR="00344985">
          <w:rPr>
            <w:noProof/>
            <w:webHidden/>
          </w:rPr>
          <w:fldChar w:fldCharType="separate"/>
        </w:r>
        <w:r w:rsidR="007C76E6">
          <w:rPr>
            <w:noProof/>
            <w:webHidden/>
          </w:rPr>
          <w:t>7</w:t>
        </w:r>
        <w:r w:rsidR="00344985">
          <w:rPr>
            <w:noProof/>
            <w:webHidden/>
          </w:rPr>
          <w:fldChar w:fldCharType="end"/>
        </w:r>
      </w:hyperlink>
    </w:p>
    <w:p w14:paraId="4CAB1D74" w14:textId="5160882F" w:rsidR="00344985" w:rsidRDefault="0023514D">
      <w:pPr>
        <w:pStyle w:val="TOC1"/>
        <w:tabs>
          <w:tab w:val="left" w:pos="440"/>
          <w:tab w:val="right" w:leader="dot" w:pos="9016"/>
        </w:tabs>
        <w:rPr>
          <w:noProof/>
          <w:lang w:val="en-GB" w:eastAsia="en-GB"/>
        </w:rPr>
      </w:pPr>
      <w:hyperlink w:anchor="_Toc69374667" w:history="1">
        <w:r w:rsidR="00344985" w:rsidRPr="00391B29">
          <w:rPr>
            <w:rStyle w:val="Hyperlink"/>
            <w:noProof/>
          </w:rPr>
          <w:t>3.</w:t>
        </w:r>
        <w:r w:rsidR="00344985">
          <w:rPr>
            <w:noProof/>
            <w:lang w:val="en-GB" w:eastAsia="en-GB"/>
          </w:rPr>
          <w:tab/>
        </w:r>
        <w:r w:rsidR="00344985" w:rsidRPr="00391B29">
          <w:rPr>
            <w:rStyle w:val="Hyperlink"/>
            <w:noProof/>
          </w:rPr>
          <w:t>Legislative and Policy Context</w:t>
        </w:r>
        <w:r w:rsidR="00344985">
          <w:rPr>
            <w:noProof/>
            <w:webHidden/>
          </w:rPr>
          <w:tab/>
        </w:r>
        <w:r w:rsidR="00344985">
          <w:rPr>
            <w:noProof/>
            <w:webHidden/>
          </w:rPr>
          <w:fldChar w:fldCharType="begin"/>
        </w:r>
        <w:r w:rsidR="00344985">
          <w:rPr>
            <w:noProof/>
            <w:webHidden/>
          </w:rPr>
          <w:instrText xml:space="preserve"> PAGEREF _Toc69374667 \h </w:instrText>
        </w:r>
        <w:r w:rsidR="00344985">
          <w:rPr>
            <w:noProof/>
            <w:webHidden/>
          </w:rPr>
        </w:r>
        <w:r w:rsidR="00344985">
          <w:rPr>
            <w:noProof/>
            <w:webHidden/>
          </w:rPr>
          <w:fldChar w:fldCharType="separate"/>
        </w:r>
        <w:r w:rsidR="007C76E6">
          <w:rPr>
            <w:noProof/>
            <w:webHidden/>
          </w:rPr>
          <w:t>8</w:t>
        </w:r>
        <w:r w:rsidR="00344985">
          <w:rPr>
            <w:noProof/>
            <w:webHidden/>
          </w:rPr>
          <w:fldChar w:fldCharType="end"/>
        </w:r>
      </w:hyperlink>
    </w:p>
    <w:p w14:paraId="5B95D683" w14:textId="0529ED8E" w:rsidR="00344985" w:rsidRDefault="0023514D">
      <w:pPr>
        <w:pStyle w:val="TOC1"/>
        <w:tabs>
          <w:tab w:val="left" w:pos="440"/>
          <w:tab w:val="right" w:leader="dot" w:pos="9016"/>
        </w:tabs>
        <w:rPr>
          <w:noProof/>
          <w:lang w:val="en-GB" w:eastAsia="en-GB"/>
        </w:rPr>
      </w:pPr>
      <w:hyperlink w:anchor="_Toc69374668" w:history="1">
        <w:r w:rsidR="00344985" w:rsidRPr="00391B29">
          <w:rPr>
            <w:rStyle w:val="Hyperlink"/>
            <w:noProof/>
          </w:rPr>
          <w:t>4.</w:t>
        </w:r>
        <w:r w:rsidR="00344985">
          <w:rPr>
            <w:noProof/>
            <w:lang w:val="en-GB" w:eastAsia="en-GB"/>
          </w:rPr>
          <w:tab/>
        </w:r>
        <w:r w:rsidR="00344985" w:rsidRPr="00391B29">
          <w:rPr>
            <w:rStyle w:val="Hyperlink"/>
            <w:noProof/>
          </w:rPr>
          <w:t>Negotiating Planning Obligations</w:t>
        </w:r>
        <w:r w:rsidR="00344985">
          <w:rPr>
            <w:noProof/>
            <w:webHidden/>
          </w:rPr>
          <w:tab/>
        </w:r>
        <w:r w:rsidR="00344985">
          <w:rPr>
            <w:noProof/>
            <w:webHidden/>
          </w:rPr>
          <w:fldChar w:fldCharType="begin"/>
        </w:r>
        <w:r w:rsidR="00344985">
          <w:rPr>
            <w:noProof/>
            <w:webHidden/>
          </w:rPr>
          <w:instrText xml:space="preserve"> PAGEREF _Toc69374668 \h </w:instrText>
        </w:r>
        <w:r w:rsidR="00344985">
          <w:rPr>
            <w:noProof/>
            <w:webHidden/>
          </w:rPr>
        </w:r>
        <w:r w:rsidR="00344985">
          <w:rPr>
            <w:noProof/>
            <w:webHidden/>
          </w:rPr>
          <w:fldChar w:fldCharType="separate"/>
        </w:r>
        <w:r w:rsidR="007C76E6">
          <w:rPr>
            <w:noProof/>
            <w:webHidden/>
          </w:rPr>
          <w:t>9</w:t>
        </w:r>
        <w:r w:rsidR="00344985">
          <w:rPr>
            <w:noProof/>
            <w:webHidden/>
          </w:rPr>
          <w:fldChar w:fldCharType="end"/>
        </w:r>
      </w:hyperlink>
    </w:p>
    <w:p w14:paraId="1E534498" w14:textId="588764B9" w:rsidR="00344985" w:rsidRDefault="0023514D">
      <w:pPr>
        <w:pStyle w:val="TOC1"/>
        <w:tabs>
          <w:tab w:val="left" w:pos="440"/>
          <w:tab w:val="right" w:leader="dot" w:pos="9016"/>
        </w:tabs>
        <w:rPr>
          <w:noProof/>
          <w:lang w:val="en-GB" w:eastAsia="en-GB"/>
        </w:rPr>
      </w:pPr>
      <w:hyperlink w:anchor="_Toc69374669" w:history="1">
        <w:r w:rsidR="00344985" w:rsidRPr="00391B29">
          <w:rPr>
            <w:rStyle w:val="Hyperlink"/>
            <w:noProof/>
          </w:rPr>
          <w:t>5.</w:t>
        </w:r>
        <w:r w:rsidR="00344985">
          <w:rPr>
            <w:noProof/>
            <w:lang w:val="en-GB" w:eastAsia="en-GB"/>
          </w:rPr>
          <w:tab/>
        </w:r>
        <w:r w:rsidR="00344985" w:rsidRPr="00391B29">
          <w:rPr>
            <w:rStyle w:val="Hyperlink"/>
            <w:noProof/>
          </w:rPr>
          <w:t>Standard Obligations and Charges</w:t>
        </w:r>
        <w:r w:rsidR="00344985">
          <w:rPr>
            <w:noProof/>
            <w:webHidden/>
          </w:rPr>
          <w:tab/>
        </w:r>
        <w:r w:rsidR="00344985">
          <w:rPr>
            <w:noProof/>
            <w:webHidden/>
          </w:rPr>
          <w:fldChar w:fldCharType="begin"/>
        </w:r>
        <w:r w:rsidR="00344985">
          <w:rPr>
            <w:noProof/>
            <w:webHidden/>
          </w:rPr>
          <w:instrText xml:space="preserve"> PAGEREF _Toc69374669 \h </w:instrText>
        </w:r>
        <w:r w:rsidR="00344985">
          <w:rPr>
            <w:noProof/>
            <w:webHidden/>
          </w:rPr>
        </w:r>
        <w:r w:rsidR="00344985">
          <w:rPr>
            <w:noProof/>
            <w:webHidden/>
          </w:rPr>
          <w:fldChar w:fldCharType="separate"/>
        </w:r>
        <w:r w:rsidR="007C76E6">
          <w:rPr>
            <w:noProof/>
            <w:webHidden/>
          </w:rPr>
          <w:t>13</w:t>
        </w:r>
        <w:r w:rsidR="00344985">
          <w:rPr>
            <w:noProof/>
            <w:webHidden/>
          </w:rPr>
          <w:fldChar w:fldCharType="end"/>
        </w:r>
      </w:hyperlink>
    </w:p>
    <w:p w14:paraId="7B7B4F5C" w14:textId="1238439A" w:rsidR="00344985" w:rsidRDefault="0023514D">
      <w:pPr>
        <w:pStyle w:val="TOC2"/>
        <w:rPr>
          <w:noProof/>
          <w:lang w:val="en-GB" w:eastAsia="en-GB"/>
        </w:rPr>
      </w:pPr>
      <w:hyperlink w:anchor="_Toc69374670" w:history="1">
        <w:r w:rsidR="00344985" w:rsidRPr="00391B29">
          <w:rPr>
            <w:rStyle w:val="Hyperlink"/>
            <w:noProof/>
          </w:rPr>
          <w:t>Affordable, Self-Build, Temporary, Specialist and Intermediate Housing</w:t>
        </w:r>
        <w:r w:rsidR="00344985">
          <w:rPr>
            <w:noProof/>
            <w:webHidden/>
          </w:rPr>
          <w:tab/>
        </w:r>
        <w:r w:rsidR="00344985">
          <w:rPr>
            <w:noProof/>
            <w:webHidden/>
          </w:rPr>
          <w:fldChar w:fldCharType="begin"/>
        </w:r>
        <w:r w:rsidR="00344985">
          <w:rPr>
            <w:noProof/>
            <w:webHidden/>
          </w:rPr>
          <w:instrText xml:space="preserve"> PAGEREF _Toc69374670 \h </w:instrText>
        </w:r>
        <w:r w:rsidR="00344985">
          <w:rPr>
            <w:noProof/>
            <w:webHidden/>
          </w:rPr>
        </w:r>
        <w:r w:rsidR="00344985">
          <w:rPr>
            <w:noProof/>
            <w:webHidden/>
          </w:rPr>
          <w:fldChar w:fldCharType="separate"/>
        </w:r>
        <w:r w:rsidR="007C76E6">
          <w:rPr>
            <w:noProof/>
            <w:webHidden/>
          </w:rPr>
          <w:t>13</w:t>
        </w:r>
        <w:r w:rsidR="00344985">
          <w:rPr>
            <w:noProof/>
            <w:webHidden/>
          </w:rPr>
          <w:fldChar w:fldCharType="end"/>
        </w:r>
      </w:hyperlink>
    </w:p>
    <w:p w14:paraId="44A07BF3" w14:textId="1E07475A" w:rsidR="00344985" w:rsidRDefault="0023514D">
      <w:pPr>
        <w:pStyle w:val="TOC2"/>
        <w:rPr>
          <w:noProof/>
          <w:lang w:val="en-GB" w:eastAsia="en-GB"/>
        </w:rPr>
      </w:pPr>
      <w:hyperlink w:anchor="_Toc69374671" w:history="1">
        <w:r w:rsidR="00344985" w:rsidRPr="00391B29">
          <w:rPr>
            <w:rStyle w:val="Hyperlink"/>
            <w:noProof/>
          </w:rPr>
          <w:t>Wheelchair Accessible Housing and Parking</w:t>
        </w:r>
        <w:r w:rsidR="00344985">
          <w:rPr>
            <w:noProof/>
            <w:webHidden/>
          </w:rPr>
          <w:tab/>
        </w:r>
        <w:r w:rsidR="00344985">
          <w:rPr>
            <w:noProof/>
            <w:webHidden/>
          </w:rPr>
          <w:fldChar w:fldCharType="begin"/>
        </w:r>
        <w:r w:rsidR="00344985">
          <w:rPr>
            <w:noProof/>
            <w:webHidden/>
          </w:rPr>
          <w:instrText xml:space="preserve"> PAGEREF _Toc69374671 \h </w:instrText>
        </w:r>
        <w:r w:rsidR="00344985">
          <w:rPr>
            <w:noProof/>
            <w:webHidden/>
          </w:rPr>
        </w:r>
        <w:r w:rsidR="00344985">
          <w:rPr>
            <w:noProof/>
            <w:webHidden/>
          </w:rPr>
          <w:fldChar w:fldCharType="separate"/>
        </w:r>
        <w:r w:rsidR="007C76E6">
          <w:rPr>
            <w:noProof/>
            <w:webHidden/>
          </w:rPr>
          <w:t>20</w:t>
        </w:r>
        <w:r w:rsidR="00344985">
          <w:rPr>
            <w:noProof/>
            <w:webHidden/>
          </w:rPr>
          <w:fldChar w:fldCharType="end"/>
        </w:r>
      </w:hyperlink>
    </w:p>
    <w:p w14:paraId="5BBFF91C" w14:textId="4750A52F" w:rsidR="00344985" w:rsidRDefault="0023514D">
      <w:pPr>
        <w:pStyle w:val="TOC2"/>
        <w:rPr>
          <w:noProof/>
          <w:lang w:val="en-GB" w:eastAsia="en-GB"/>
        </w:rPr>
      </w:pPr>
      <w:hyperlink w:anchor="_Toc69374672" w:history="1">
        <w:r w:rsidR="00344985" w:rsidRPr="00391B29">
          <w:rPr>
            <w:rStyle w:val="Hyperlink"/>
            <w:noProof/>
          </w:rPr>
          <w:t>Student Housing Development</w:t>
        </w:r>
        <w:r w:rsidR="00344985">
          <w:rPr>
            <w:noProof/>
            <w:webHidden/>
          </w:rPr>
          <w:tab/>
        </w:r>
        <w:r w:rsidR="00344985">
          <w:rPr>
            <w:noProof/>
            <w:webHidden/>
          </w:rPr>
          <w:fldChar w:fldCharType="begin"/>
        </w:r>
        <w:r w:rsidR="00344985">
          <w:rPr>
            <w:noProof/>
            <w:webHidden/>
          </w:rPr>
          <w:instrText xml:space="preserve"> PAGEREF _Toc69374672 \h </w:instrText>
        </w:r>
        <w:r w:rsidR="00344985">
          <w:rPr>
            <w:noProof/>
            <w:webHidden/>
          </w:rPr>
        </w:r>
        <w:r w:rsidR="00344985">
          <w:rPr>
            <w:noProof/>
            <w:webHidden/>
          </w:rPr>
          <w:fldChar w:fldCharType="separate"/>
        </w:r>
        <w:r w:rsidR="007C76E6">
          <w:rPr>
            <w:noProof/>
            <w:webHidden/>
          </w:rPr>
          <w:t>22</w:t>
        </w:r>
        <w:r w:rsidR="00344985">
          <w:rPr>
            <w:noProof/>
            <w:webHidden/>
          </w:rPr>
          <w:fldChar w:fldCharType="end"/>
        </w:r>
      </w:hyperlink>
    </w:p>
    <w:p w14:paraId="6EC48D39" w14:textId="09BD342A" w:rsidR="00344985" w:rsidRDefault="0023514D">
      <w:pPr>
        <w:pStyle w:val="TOC2"/>
        <w:rPr>
          <w:noProof/>
          <w:lang w:val="en-GB" w:eastAsia="en-GB"/>
        </w:rPr>
      </w:pPr>
      <w:hyperlink w:anchor="_Toc69374673" w:history="1">
        <w:r w:rsidR="00344985" w:rsidRPr="00391B29">
          <w:rPr>
            <w:rStyle w:val="Hyperlink"/>
            <w:noProof/>
          </w:rPr>
          <w:t>Employment, Skills, Training and Enterprise</w:t>
        </w:r>
        <w:r w:rsidR="00344985">
          <w:rPr>
            <w:noProof/>
            <w:webHidden/>
          </w:rPr>
          <w:tab/>
        </w:r>
        <w:r w:rsidR="00344985">
          <w:rPr>
            <w:noProof/>
            <w:webHidden/>
          </w:rPr>
          <w:fldChar w:fldCharType="begin"/>
        </w:r>
        <w:r w:rsidR="00344985">
          <w:rPr>
            <w:noProof/>
            <w:webHidden/>
          </w:rPr>
          <w:instrText xml:space="preserve"> PAGEREF _Toc69374673 \h </w:instrText>
        </w:r>
        <w:r w:rsidR="00344985">
          <w:rPr>
            <w:noProof/>
            <w:webHidden/>
          </w:rPr>
        </w:r>
        <w:r w:rsidR="00344985">
          <w:rPr>
            <w:noProof/>
            <w:webHidden/>
          </w:rPr>
          <w:fldChar w:fldCharType="separate"/>
        </w:r>
        <w:r w:rsidR="007C76E6">
          <w:rPr>
            <w:noProof/>
            <w:webHidden/>
          </w:rPr>
          <w:t>24</w:t>
        </w:r>
        <w:r w:rsidR="00344985">
          <w:rPr>
            <w:noProof/>
            <w:webHidden/>
          </w:rPr>
          <w:fldChar w:fldCharType="end"/>
        </w:r>
      </w:hyperlink>
    </w:p>
    <w:p w14:paraId="056AACAF" w14:textId="644A913E" w:rsidR="00344985" w:rsidRDefault="0023514D">
      <w:pPr>
        <w:pStyle w:val="TOC2"/>
        <w:rPr>
          <w:noProof/>
          <w:lang w:val="en-GB" w:eastAsia="en-GB"/>
        </w:rPr>
      </w:pPr>
      <w:hyperlink w:anchor="_Toc69374674" w:history="1">
        <w:r w:rsidR="00344985" w:rsidRPr="00391B29">
          <w:rPr>
            <w:rStyle w:val="Hyperlink"/>
            <w:noProof/>
          </w:rPr>
          <w:t>Affordable Workspace</w:t>
        </w:r>
        <w:r w:rsidR="00344985">
          <w:rPr>
            <w:noProof/>
            <w:webHidden/>
          </w:rPr>
          <w:tab/>
        </w:r>
        <w:r w:rsidR="00344985">
          <w:rPr>
            <w:noProof/>
            <w:webHidden/>
          </w:rPr>
          <w:fldChar w:fldCharType="begin"/>
        </w:r>
        <w:r w:rsidR="00344985">
          <w:rPr>
            <w:noProof/>
            <w:webHidden/>
          </w:rPr>
          <w:instrText xml:space="preserve"> PAGEREF _Toc69374674 \h </w:instrText>
        </w:r>
        <w:r w:rsidR="00344985">
          <w:rPr>
            <w:noProof/>
            <w:webHidden/>
          </w:rPr>
        </w:r>
        <w:r w:rsidR="00344985">
          <w:rPr>
            <w:noProof/>
            <w:webHidden/>
          </w:rPr>
          <w:fldChar w:fldCharType="separate"/>
        </w:r>
        <w:r w:rsidR="007C76E6">
          <w:rPr>
            <w:noProof/>
            <w:webHidden/>
          </w:rPr>
          <w:t>28</w:t>
        </w:r>
        <w:r w:rsidR="00344985">
          <w:rPr>
            <w:noProof/>
            <w:webHidden/>
          </w:rPr>
          <w:fldChar w:fldCharType="end"/>
        </w:r>
      </w:hyperlink>
    </w:p>
    <w:p w14:paraId="686F7B7B" w14:textId="3866D3D1" w:rsidR="00344985" w:rsidRDefault="0023514D">
      <w:pPr>
        <w:pStyle w:val="TOC2"/>
        <w:rPr>
          <w:noProof/>
          <w:lang w:val="en-GB" w:eastAsia="en-GB"/>
        </w:rPr>
      </w:pPr>
      <w:hyperlink w:anchor="_Toc69374675" w:history="1">
        <w:r w:rsidR="00344985" w:rsidRPr="00391B29">
          <w:rPr>
            <w:rStyle w:val="Hyperlink"/>
            <w:noProof/>
          </w:rPr>
          <w:t>Early Years Education and Care Facilities</w:t>
        </w:r>
        <w:r w:rsidR="00344985">
          <w:rPr>
            <w:noProof/>
            <w:webHidden/>
          </w:rPr>
          <w:tab/>
        </w:r>
        <w:r w:rsidR="00344985">
          <w:rPr>
            <w:noProof/>
            <w:webHidden/>
          </w:rPr>
          <w:fldChar w:fldCharType="begin"/>
        </w:r>
        <w:r w:rsidR="00344985">
          <w:rPr>
            <w:noProof/>
            <w:webHidden/>
          </w:rPr>
          <w:instrText xml:space="preserve"> PAGEREF _Toc69374675 \h </w:instrText>
        </w:r>
        <w:r w:rsidR="00344985">
          <w:rPr>
            <w:noProof/>
            <w:webHidden/>
          </w:rPr>
        </w:r>
        <w:r w:rsidR="00344985">
          <w:rPr>
            <w:noProof/>
            <w:webHidden/>
          </w:rPr>
          <w:fldChar w:fldCharType="separate"/>
        </w:r>
        <w:r w:rsidR="007C76E6">
          <w:rPr>
            <w:noProof/>
            <w:webHidden/>
          </w:rPr>
          <w:t>32</w:t>
        </w:r>
        <w:r w:rsidR="00344985">
          <w:rPr>
            <w:noProof/>
            <w:webHidden/>
          </w:rPr>
          <w:fldChar w:fldCharType="end"/>
        </w:r>
      </w:hyperlink>
    </w:p>
    <w:p w14:paraId="17E10995" w14:textId="274B8430" w:rsidR="00344985" w:rsidRDefault="0023514D">
      <w:pPr>
        <w:pStyle w:val="TOC2"/>
        <w:rPr>
          <w:noProof/>
          <w:lang w:val="en-GB" w:eastAsia="en-GB"/>
        </w:rPr>
      </w:pPr>
      <w:hyperlink w:anchor="_Toc69374676" w:history="1">
        <w:r w:rsidR="00344985" w:rsidRPr="00391B29">
          <w:rPr>
            <w:rStyle w:val="Hyperlink"/>
            <w:noProof/>
          </w:rPr>
          <w:t>Transport, Highways and Public Realm</w:t>
        </w:r>
        <w:r w:rsidR="00344985">
          <w:rPr>
            <w:noProof/>
            <w:webHidden/>
          </w:rPr>
          <w:tab/>
        </w:r>
        <w:r w:rsidR="00344985">
          <w:rPr>
            <w:noProof/>
            <w:webHidden/>
          </w:rPr>
          <w:fldChar w:fldCharType="begin"/>
        </w:r>
        <w:r w:rsidR="00344985">
          <w:rPr>
            <w:noProof/>
            <w:webHidden/>
          </w:rPr>
          <w:instrText xml:space="preserve"> PAGEREF _Toc69374676 \h </w:instrText>
        </w:r>
        <w:r w:rsidR="00344985">
          <w:rPr>
            <w:noProof/>
            <w:webHidden/>
          </w:rPr>
        </w:r>
        <w:r w:rsidR="00344985">
          <w:rPr>
            <w:noProof/>
            <w:webHidden/>
          </w:rPr>
          <w:fldChar w:fldCharType="separate"/>
        </w:r>
        <w:r w:rsidR="007C76E6">
          <w:rPr>
            <w:noProof/>
            <w:webHidden/>
          </w:rPr>
          <w:t>34</w:t>
        </w:r>
        <w:r w:rsidR="00344985">
          <w:rPr>
            <w:noProof/>
            <w:webHidden/>
          </w:rPr>
          <w:fldChar w:fldCharType="end"/>
        </w:r>
      </w:hyperlink>
    </w:p>
    <w:p w14:paraId="2F39622F" w14:textId="0027EAD5" w:rsidR="00344985" w:rsidRDefault="0023514D">
      <w:pPr>
        <w:pStyle w:val="TOC2"/>
        <w:rPr>
          <w:noProof/>
          <w:lang w:val="en-GB" w:eastAsia="en-GB"/>
        </w:rPr>
      </w:pPr>
      <w:hyperlink w:anchor="_Toc69374677" w:history="1">
        <w:r w:rsidR="00344985" w:rsidRPr="00391B29">
          <w:rPr>
            <w:rStyle w:val="Hyperlink"/>
            <w:noProof/>
          </w:rPr>
          <w:t>Open Space and Access</w:t>
        </w:r>
        <w:r w:rsidR="00344985">
          <w:rPr>
            <w:noProof/>
            <w:webHidden/>
          </w:rPr>
          <w:tab/>
        </w:r>
        <w:r w:rsidR="00344985">
          <w:rPr>
            <w:noProof/>
            <w:webHidden/>
          </w:rPr>
          <w:fldChar w:fldCharType="begin"/>
        </w:r>
        <w:r w:rsidR="00344985">
          <w:rPr>
            <w:noProof/>
            <w:webHidden/>
          </w:rPr>
          <w:instrText xml:space="preserve"> PAGEREF _Toc69374677 \h </w:instrText>
        </w:r>
        <w:r w:rsidR="00344985">
          <w:rPr>
            <w:noProof/>
            <w:webHidden/>
          </w:rPr>
        </w:r>
        <w:r w:rsidR="00344985">
          <w:rPr>
            <w:noProof/>
            <w:webHidden/>
          </w:rPr>
          <w:fldChar w:fldCharType="separate"/>
        </w:r>
        <w:r w:rsidR="007C76E6">
          <w:rPr>
            <w:noProof/>
            <w:webHidden/>
          </w:rPr>
          <w:t>36</w:t>
        </w:r>
        <w:r w:rsidR="00344985">
          <w:rPr>
            <w:noProof/>
            <w:webHidden/>
          </w:rPr>
          <w:fldChar w:fldCharType="end"/>
        </w:r>
      </w:hyperlink>
    </w:p>
    <w:p w14:paraId="477882BC" w14:textId="48543332" w:rsidR="00344985" w:rsidRDefault="0023514D">
      <w:pPr>
        <w:pStyle w:val="TOC2"/>
        <w:rPr>
          <w:noProof/>
          <w:lang w:val="en-GB" w:eastAsia="en-GB"/>
        </w:rPr>
      </w:pPr>
      <w:hyperlink w:anchor="_Toc69374678" w:history="1">
        <w:r w:rsidR="00344985" w:rsidRPr="00391B29">
          <w:rPr>
            <w:rStyle w:val="Hyperlink"/>
            <w:noProof/>
          </w:rPr>
          <w:t>Children’s Play Space</w:t>
        </w:r>
        <w:r w:rsidR="00344985">
          <w:rPr>
            <w:noProof/>
            <w:webHidden/>
          </w:rPr>
          <w:tab/>
        </w:r>
        <w:r w:rsidR="00344985">
          <w:rPr>
            <w:noProof/>
            <w:webHidden/>
          </w:rPr>
          <w:fldChar w:fldCharType="begin"/>
        </w:r>
        <w:r w:rsidR="00344985">
          <w:rPr>
            <w:noProof/>
            <w:webHidden/>
          </w:rPr>
          <w:instrText xml:space="preserve"> PAGEREF _Toc69374678 \h </w:instrText>
        </w:r>
        <w:r w:rsidR="00344985">
          <w:rPr>
            <w:noProof/>
            <w:webHidden/>
          </w:rPr>
        </w:r>
        <w:r w:rsidR="00344985">
          <w:rPr>
            <w:noProof/>
            <w:webHidden/>
          </w:rPr>
          <w:fldChar w:fldCharType="separate"/>
        </w:r>
        <w:r w:rsidR="007C76E6">
          <w:rPr>
            <w:noProof/>
            <w:webHidden/>
          </w:rPr>
          <w:t>41</w:t>
        </w:r>
        <w:r w:rsidR="00344985">
          <w:rPr>
            <w:noProof/>
            <w:webHidden/>
          </w:rPr>
          <w:fldChar w:fldCharType="end"/>
        </w:r>
      </w:hyperlink>
    </w:p>
    <w:p w14:paraId="753C4215" w14:textId="7782803D" w:rsidR="00344985" w:rsidRDefault="0023514D">
      <w:pPr>
        <w:pStyle w:val="TOC2"/>
        <w:rPr>
          <w:noProof/>
          <w:lang w:val="en-GB" w:eastAsia="en-GB"/>
        </w:rPr>
      </w:pPr>
      <w:hyperlink w:anchor="_Toc69374679" w:history="1">
        <w:r w:rsidR="00344985" w:rsidRPr="00391B29">
          <w:rPr>
            <w:rStyle w:val="Hyperlink"/>
            <w:noProof/>
          </w:rPr>
          <w:t>Environmental Sustainability and Zero Carbon Borough</w:t>
        </w:r>
        <w:r w:rsidR="00344985">
          <w:rPr>
            <w:noProof/>
            <w:webHidden/>
          </w:rPr>
          <w:tab/>
        </w:r>
        <w:r w:rsidR="00344985">
          <w:rPr>
            <w:noProof/>
            <w:webHidden/>
          </w:rPr>
          <w:fldChar w:fldCharType="begin"/>
        </w:r>
        <w:r w:rsidR="00344985">
          <w:rPr>
            <w:noProof/>
            <w:webHidden/>
          </w:rPr>
          <w:instrText xml:space="preserve"> PAGEREF _Toc69374679 \h </w:instrText>
        </w:r>
        <w:r w:rsidR="00344985">
          <w:rPr>
            <w:noProof/>
            <w:webHidden/>
          </w:rPr>
        </w:r>
        <w:r w:rsidR="00344985">
          <w:rPr>
            <w:noProof/>
            <w:webHidden/>
          </w:rPr>
          <w:fldChar w:fldCharType="separate"/>
        </w:r>
        <w:r w:rsidR="007C76E6">
          <w:rPr>
            <w:noProof/>
            <w:webHidden/>
          </w:rPr>
          <w:t>43</w:t>
        </w:r>
        <w:r w:rsidR="00344985">
          <w:rPr>
            <w:noProof/>
            <w:webHidden/>
          </w:rPr>
          <w:fldChar w:fldCharType="end"/>
        </w:r>
      </w:hyperlink>
    </w:p>
    <w:p w14:paraId="23C00D07" w14:textId="67B6C980" w:rsidR="00344985" w:rsidRDefault="0023514D">
      <w:pPr>
        <w:pStyle w:val="TOC3"/>
        <w:tabs>
          <w:tab w:val="right" w:leader="dot" w:pos="9016"/>
        </w:tabs>
        <w:rPr>
          <w:noProof/>
          <w:lang w:val="en-GB" w:eastAsia="en-GB"/>
        </w:rPr>
      </w:pPr>
      <w:hyperlink w:anchor="_Toc69374680" w:history="1">
        <w:r w:rsidR="00344985" w:rsidRPr="00391B29">
          <w:rPr>
            <w:rStyle w:val="Hyperlink"/>
            <w:noProof/>
          </w:rPr>
          <w:t>Carbon Emission Reduction</w:t>
        </w:r>
        <w:r w:rsidR="00344985">
          <w:rPr>
            <w:noProof/>
            <w:webHidden/>
          </w:rPr>
          <w:tab/>
        </w:r>
        <w:r w:rsidR="00344985">
          <w:rPr>
            <w:noProof/>
            <w:webHidden/>
          </w:rPr>
          <w:fldChar w:fldCharType="begin"/>
        </w:r>
        <w:r w:rsidR="00344985">
          <w:rPr>
            <w:noProof/>
            <w:webHidden/>
          </w:rPr>
          <w:instrText xml:space="preserve"> PAGEREF _Toc69374680 \h </w:instrText>
        </w:r>
        <w:r w:rsidR="00344985">
          <w:rPr>
            <w:noProof/>
            <w:webHidden/>
          </w:rPr>
        </w:r>
        <w:r w:rsidR="00344985">
          <w:rPr>
            <w:noProof/>
            <w:webHidden/>
          </w:rPr>
          <w:fldChar w:fldCharType="separate"/>
        </w:r>
        <w:r w:rsidR="007C76E6">
          <w:rPr>
            <w:noProof/>
            <w:webHidden/>
          </w:rPr>
          <w:t>44</w:t>
        </w:r>
        <w:r w:rsidR="00344985">
          <w:rPr>
            <w:noProof/>
            <w:webHidden/>
          </w:rPr>
          <w:fldChar w:fldCharType="end"/>
        </w:r>
      </w:hyperlink>
    </w:p>
    <w:p w14:paraId="19C08084" w14:textId="128189FE" w:rsidR="00344985" w:rsidRDefault="0023514D">
      <w:pPr>
        <w:pStyle w:val="TOC3"/>
        <w:tabs>
          <w:tab w:val="right" w:leader="dot" w:pos="9016"/>
        </w:tabs>
        <w:rPr>
          <w:noProof/>
          <w:lang w:val="en-GB" w:eastAsia="en-GB"/>
        </w:rPr>
      </w:pPr>
      <w:hyperlink w:anchor="_Toc69374681" w:history="1">
        <w:r w:rsidR="00344985" w:rsidRPr="00391B29">
          <w:rPr>
            <w:rStyle w:val="Hyperlink"/>
            <w:noProof/>
          </w:rPr>
          <w:t>Biodiversity</w:t>
        </w:r>
        <w:r w:rsidR="00344985">
          <w:rPr>
            <w:noProof/>
            <w:webHidden/>
          </w:rPr>
          <w:tab/>
        </w:r>
        <w:r w:rsidR="00344985">
          <w:rPr>
            <w:noProof/>
            <w:webHidden/>
          </w:rPr>
          <w:fldChar w:fldCharType="begin"/>
        </w:r>
        <w:r w:rsidR="00344985">
          <w:rPr>
            <w:noProof/>
            <w:webHidden/>
          </w:rPr>
          <w:instrText xml:space="preserve"> PAGEREF _Toc69374681 \h </w:instrText>
        </w:r>
        <w:r w:rsidR="00344985">
          <w:rPr>
            <w:noProof/>
            <w:webHidden/>
          </w:rPr>
        </w:r>
        <w:r w:rsidR="00344985">
          <w:rPr>
            <w:noProof/>
            <w:webHidden/>
          </w:rPr>
          <w:fldChar w:fldCharType="separate"/>
        </w:r>
        <w:r w:rsidR="007C76E6">
          <w:rPr>
            <w:noProof/>
            <w:webHidden/>
          </w:rPr>
          <w:t>46</w:t>
        </w:r>
        <w:r w:rsidR="00344985">
          <w:rPr>
            <w:noProof/>
            <w:webHidden/>
          </w:rPr>
          <w:fldChar w:fldCharType="end"/>
        </w:r>
      </w:hyperlink>
    </w:p>
    <w:p w14:paraId="090EF98F" w14:textId="6599E89A" w:rsidR="00344985" w:rsidRDefault="0023514D">
      <w:pPr>
        <w:pStyle w:val="TOC3"/>
        <w:tabs>
          <w:tab w:val="right" w:leader="dot" w:pos="9016"/>
        </w:tabs>
        <w:rPr>
          <w:noProof/>
          <w:lang w:val="en-GB" w:eastAsia="en-GB"/>
        </w:rPr>
      </w:pPr>
      <w:hyperlink w:anchor="_Toc69374682" w:history="1">
        <w:r w:rsidR="00344985" w:rsidRPr="00391B29">
          <w:rPr>
            <w:rStyle w:val="Hyperlink"/>
            <w:noProof/>
          </w:rPr>
          <w:t>Flood Risk</w:t>
        </w:r>
        <w:r w:rsidR="00344985">
          <w:rPr>
            <w:noProof/>
            <w:webHidden/>
          </w:rPr>
          <w:tab/>
        </w:r>
        <w:r w:rsidR="00344985">
          <w:rPr>
            <w:noProof/>
            <w:webHidden/>
          </w:rPr>
          <w:fldChar w:fldCharType="begin"/>
        </w:r>
        <w:r w:rsidR="00344985">
          <w:rPr>
            <w:noProof/>
            <w:webHidden/>
          </w:rPr>
          <w:instrText xml:space="preserve"> PAGEREF _Toc69374682 \h </w:instrText>
        </w:r>
        <w:r w:rsidR="00344985">
          <w:rPr>
            <w:noProof/>
            <w:webHidden/>
          </w:rPr>
        </w:r>
        <w:r w:rsidR="00344985">
          <w:rPr>
            <w:noProof/>
            <w:webHidden/>
          </w:rPr>
          <w:fldChar w:fldCharType="separate"/>
        </w:r>
        <w:r w:rsidR="007C76E6">
          <w:rPr>
            <w:noProof/>
            <w:webHidden/>
          </w:rPr>
          <w:t>47</w:t>
        </w:r>
        <w:r w:rsidR="00344985">
          <w:rPr>
            <w:noProof/>
            <w:webHidden/>
          </w:rPr>
          <w:fldChar w:fldCharType="end"/>
        </w:r>
      </w:hyperlink>
    </w:p>
    <w:p w14:paraId="1E889FDE" w14:textId="4E0EA8F4" w:rsidR="00344985" w:rsidRDefault="0023514D">
      <w:pPr>
        <w:pStyle w:val="TOC2"/>
        <w:rPr>
          <w:noProof/>
          <w:lang w:val="en-GB" w:eastAsia="en-GB"/>
        </w:rPr>
      </w:pPr>
      <w:hyperlink w:anchor="_Toc69374683" w:history="1">
        <w:r w:rsidR="00344985" w:rsidRPr="00391B29">
          <w:rPr>
            <w:rStyle w:val="Hyperlink"/>
            <w:noProof/>
          </w:rPr>
          <w:t>Development Co-ordination and Integration</w:t>
        </w:r>
        <w:r w:rsidR="00344985">
          <w:rPr>
            <w:noProof/>
            <w:webHidden/>
          </w:rPr>
          <w:tab/>
        </w:r>
        <w:r w:rsidR="00344985">
          <w:rPr>
            <w:noProof/>
            <w:webHidden/>
          </w:rPr>
          <w:fldChar w:fldCharType="begin"/>
        </w:r>
        <w:r w:rsidR="00344985">
          <w:rPr>
            <w:noProof/>
            <w:webHidden/>
          </w:rPr>
          <w:instrText xml:space="preserve"> PAGEREF _Toc69374683 \h </w:instrText>
        </w:r>
        <w:r w:rsidR="00344985">
          <w:rPr>
            <w:noProof/>
            <w:webHidden/>
          </w:rPr>
        </w:r>
        <w:r w:rsidR="00344985">
          <w:rPr>
            <w:noProof/>
            <w:webHidden/>
          </w:rPr>
          <w:fldChar w:fldCharType="separate"/>
        </w:r>
        <w:r w:rsidR="007C76E6">
          <w:rPr>
            <w:noProof/>
            <w:webHidden/>
          </w:rPr>
          <w:t>49</w:t>
        </w:r>
        <w:r w:rsidR="00344985">
          <w:rPr>
            <w:noProof/>
            <w:webHidden/>
          </w:rPr>
          <w:fldChar w:fldCharType="end"/>
        </w:r>
      </w:hyperlink>
    </w:p>
    <w:p w14:paraId="7A69D4F9" w14:textId="46360066" w:rsidR="00344985" w:rsidRDefault="0023514D">
      <w:pPr>
        <w:pStyle w:val="TOC2"/>
        <w:rPr>
          <w:noProof/>
          <w:lang w:val="en-GB" w:eastAsia="en-GB"/>
        </w:rPr>
      </w:pPr>
      <w:hyperlink w:anchor="_Toc69374684" w:history="1">
        <w:r w:rsidR="00344985" w:rsidRPr="00391B29">
          <w:rPr>
            <w:rStyle w:val="Hyperlink"/>
            <w:noProof/>
          </w:rPr>
          <w:t>Air Quality</w:t>
        </w:r>
        <w:r w:rsidR="00344985">
          <w:rPr>
            <w:noProof/>
            <w:webHidden/>
          </w:rPr>
          <w:tab/>
        </w:r>
        <w:r w:rsidR="00344985">
          <w:rPr>
            <w:noProof/>
            <w:webHidden/>
          </w:rPr>
          <w:fldChar w:fldCharType="begin"/>
        </w:r>
        <w:r w:rsidR="00344985">
          <w:rPr>
            <w:noProof/>
            <w:webHidden/>
          </w:rPr>
          <w:instrText xml:space="preserve"> PAGEREF _Toc69374684 \h </w:instrText>
        </w:r>
        <w:r w:rsidR="00344985">
          <w:rPr>
            <w:noProof/>
            <w:webHidden/>
          </w:rPr>
        </w:r>
        <w:r w:rsidR="00344985">
          <w:rPr>
            <w:noProof/>
            <w:webHidden/>
          </w:rPr>
          <w:fldChar w:fldCharType="separate"/>
        </w:r>
        <w:r w:rsidR="007C76E6">
          <w:rPr>
            <w:noProof/>
            <w:webHidden/>
          </w:rPr>
          <w:t>51</w:t>
        </w:r>
        <w:r w:rsidR="00344985">
          <w:rPr>
            <w:noProof/>
            <w:webHidden/>
          </w:rPr>
          <w:fldChar w:fldCharType="end"/>
        </w:r>
      </w:hyperlink>
    </w:p>
    <w:p w14:paraId="491C3FAE" w14:textId="1E38AF9E" w:rsidR="00344985" w:rsidRDefault="0023514D">
      <w:pPr>
        <w:pStyle w:val="TOC2"/>
        <w:rPr>
          <w:noProof/>
          <w:lang w:val="en-GB" w:eastAsia="en-GB"/>
        </w:rPr>
      </w:pPr>
      <w:hyperlink w:anchor="_Toc69374685" w:history="1">
        <w:r w:rsidR="00344985" w:rsidRPr="00391B29">
          <w:rPr>
            <w:rStyle w:val="Hyperlink"/>
            <w:noProof/>
          </w:rPr>
          <w:t>Design Certification</w:t>
        </w:r>
        <w:r w:rsidR="00344985">
          <w:rPr>
            <w:noProof/>
            <w:webHidden/>
          </w:rPr>
          <w:tab/>
        </w:r>
        <w:r w:rsidR="00344985">
          <w:rPr>
            <w:noProof/>
            <w:webHidden/>
          </w:rPr>
          <w:fldChar w:fldCharType="begin"/>
        </w:r>
        <w:r w:rsidR="00344985">
          <w:rPr>
            <w:noProof/>
            <w:webHidden/>
          </w:rPr>
          <w:instrText xml:space="preserve"> PAGEREF _Toc69374685 \h </w:instrText>
        </w:r>
        <w:r w:rsidR="00344985">
          <w:rPr>
            <w:noProof/>
            <w:webHidden/>
          </w:rPr>
        </w:r>
        <w:r w:rsidR="00344985">
          <w:rPr>
            <w:noProof/>
            <w:webHidden/>
          </w:rPr>
          <w:fldChar w:fldCharType="separate"/>
        </w:r>
        <w:r w:rsidR="007C76E6">
          <w:rPr>
            <w:noProof/>
            <w:webHidden/>
          </w:rPr>
          <w:t>53</w:t>
        </w:r>
        <w:r w:rsidR="00344985">
          <w:rPr>
            <w:noProof/>
            <w:webHidden/>
          </w:rPr>
          <w:fldChar w:fldCharType="end"/>
        </w:r>
      </w:hyperlink>
    </w:p>
    <w:p w14:paraId="5BC3CD5A" w14:textId="059864AD" w:rsidR="00344985" w:rsidRDefault="0023514D">
      <w:pPr>
        <w:pStyle w:val="TOC2"/>
        <w:rPr>
          <w:noProof/>
          <w:lang w:val="en-GB" w:eastAsia="en-GB"/>
        </w:rPr>
      </w:pPr>
      <w:hyperlink w:anchor="_Toc69374686" w:history="1">
        <w:r w:rsidR="00344985" w:rsidRPr="00391B29">
          <w:rPr>
            <w:rStyle w:val="Hyperlink"/>
            <w:noProof/>
          </w:rPr>
          <w:t>Mansard Roof Conservation Area Contribution</w:t>
        </w:r>
        <w:r w:rsidR="00344985">
          <w:rPr>
            <w:noProof/>
            <w:webHidden/>
          </w:rPr>
          <w:tab/>
        </w:r>
        <w:r w:rsidR="00344985">
          <w:rPr>
            <w:noProof/>
            <w:webHidden/>
          </w:rPr>
          <w:fldChar w:fldCharType="begin"/>
        </w:r>
        <w:r w:rsidR="00344985">
          <w:rPr>
            <w:noProof/>
            <w:webHidden/>
          </w:rPr>
          <w:instrText xml:space="preserve"> PAGEREF _Toc69374686 \h </w:instrText>
        </w:r>
        <w:r w:rsidR="00344985">
          <w:rPr>
            <w:noProof/>
            <w:webHidden/>
          </w:rPr>
        </w:r>
        <w:r w:rsidR="00344985">
          <w:rPr>
            <w:noProof/>
            <w:webHidden/>
          </w:rPr>
          <w:fldChar w:fldCharType="separate"/>
        </w:r>
        <w:r w:rsidR="007C76E6">
          <w:rPr>
            <w:noProof/>
            <w:webHidden/>
          </w:rPr>
          <w:t>55</w:t>
        </w:r>
        <w:r w:rsidR="00344985">
          <w:rPr>
            <w:noProof/>
            <w:webHidden/>
          </w:rPr>
          <w:fldChar w:fldCharType="end"/>
        </w:r>
      </w:hyperlink>
    </w:p>
    <w:p w14:paraId="01A9D90E" w14:textId="360B6972" w:rsidR="00344985" w:rsidRDefault="0023514D">
      <w:pPr>
        <w:pStyle w:val="TOC1"/>
        <w:tabs>
          <w:tab w:val="left" w:pos="440"/>
          <w:tab w:val="right" w:leader="dot" w:pos="9016"/>
        </w:tabs>
        <w:rPr>
          <w:noProof/>
          <w:lang w:val="en-GB" w:eastAsia="en-GB"/>
        </w:rPr>
      </w:pPr>
      <w:hyperlink w:anchor="_Toc69374687" w:history="1">
        <w:r w:rsidR="00344985" w:rsidRPr="00391B29">
          <w:rPr>
            <w:rStyle w:val="Hyperlink"/>
            <w:noProof/>
          </w:rPr>
          <w:t>6.</w:t>
        </w:r>
        <w:r w:rsidR="00344985">
          <w:rPr>
            <w:noProof/>
            <w:lang w:val="en-GB" w:eastAsia="en-GB"/>
          </w:rPr>
          <w:tab/>
        </w:r>
        <w:r w:rsidR="00344985" w:rsidRPr="00391B29">
          <w:rPr>
            <w:rStyle w:val="Hyperlink"/>
            <w:noProof/>
          </w:rPr>
          <w:t>Monitoring and Implementation</w:t>
        </w:r>
        <w:r w:rsidR="00344985">
          <w:rPr>
            <w:noProof/>
            <w:webHidden/>
          </w:rPr>
          <w:tab/>
        </w:r>
        <w:r w:rsidR="00344985">
          <w:rPr>
            <w:noProof/>
            <w:webHidden/>
          </w:rPr>
          <w:fldChar w:fldCharType="begin"/>
        </w:r>
        <w:r w:rsidR="00344985">
          <w:rPr>
            <w:noProof/>
            <w:webHidden/>
          </w:rPr>
          <w:instrText xml:space="preserve"> PAGEREF _Toc69374687 \h </w:instrText>
        </w:r>
        <w:r w:rsidR="00344985">
          <w:rPr>
            <w:noProof/>
            <w:webHidden/>
          </w:rPr>
        </w:r>
        <w:r w:rsidR="00344985">
          <w:rPr>
            <w:noProof/>
            <w:webHidden/>
          </w:rPr>
          <w:fldChar w:fldCharType="separate"/>
        </w:r>
        <w:r w:rsidR="007C76E6">
          <w:rPr>
            <w:noProof/>
            <w:webHidden/>
          </w:rPr>
          <w:t>56</w:t>
        </w:r>
        <w:r w:rsidR="00344985">
          <w:rPr>
            <w:noProof/>
            <w:webHidden/>
          </w:rPr>
          <w:fldChar w:fldCharType="end"/>
        </w:r>
      </w:hyperlink>
    </w:p>
    <w:p w14:paraId="6BF89C04" w14:textId="18E5138C" w:rsidR="00344985" w:rsidRDefault="0023514D">
      <w:pPr>
        <w:pStyle w:val="TOC1"/>
        <w:tabs>
          <w:tab w:val="left" w:pos="440"/>
          <w:tab w:val="right" w:leader="dot" w:pos="9016"/>
        </w:tabs>
        <w:rPr>
          <w:noProof/>
          <w:lang w:val="en-GB" w:eastAsia="en-GB"/>
        </w:rPr>
      </w:pPr>
      <w:hyperlink w:anchor="_Toc69374688" w:history="1">
        <w:r w:rsidR="00344985" w:rsidRPr="00391B29">
          <w:rPr>
            <w:rStyle w:val="Hyperlink"/>
            <w:bCs/>
            <w:noProof/>
          </w:rPr>
          <w:t>7.</w:t>
        </w:r>
        <w:r w:rsidR="00344985">
          <w:rPr>
            <w:noProof/>
            <w:lang w:val="en-GB" w:eastAsia="en-GB"/>
          </w:rPr>
          <w:tab/>
        </w:r>
        <w:r w:rsidR="00344985" w:rsidRPr="00391B29">
          <w:rPr>
            <w:rStyle w:val="Hyperlink"/>
            <w:noProof/>
          </w:rPr>
          <w:t>Procedure &amp; Management</w:t>
        </w:r>
        <w:r w:rsidR="00344985">
          <w:rPr>
            <w:noProof/>
            <w:webHidden/>
          </w:rPr>
          <w:tab/>
        </w:r>
        <w:r w:rsidR="00344985">
          <w:rPr>
            <w:noProof/>
            <w:webHidden/>
          </w:rPr>
          <w:fldChar w:fldCharType="begin"/>
        </w:r>
        <w:r w:rsidR="00344985">
          <w:rPr>
            <w:noProof/>
            <w:webHidden/>
          </w:rPr>
          <w:instrText xml:space="preserve"> PAGEREF _Toc69374688 \h </w:instrText>
        </w:r>
        <w:r w:rsidR="00344985">
          <w:rPr>
            <w:noProof/>
            <w:webHidden/>
          </w:rPr>
        </w:r>
        <w:r w:rsidR="00344985">
          <w:rPr>
            <w:noProof/>
            <w:webHidden/>
          </w:rPr>
          <w:fldChar w:fldCharType="separate"/>
        </w:r>
        <w:r w:rsidR="007C76E6">
          <w:rPr>
            <w:noProof/>
            <w:webHidden/>
          </w:rPr>
          <w:t>58</w:t>
        </w:r>
        <w:r w:rsidR="00344985">
          <w:rPr>
            <w:noProof/>
            <w:webHidden/>
          </w:rPr>
          <w:fldChar w:fldCharType="end"/>
        </w:r>
      </w:hyperlink>
    </w:p>
    <w:p w14:paraId="3B862C8E" w14:textId="4F37C877" w:rsidR="00344985" w:rsidRDefault="0023514D">
      <w:pPr>
        <w:pStyle w:val="TOC1"/>
        <w:tabs>
          <w:tab w:val="right" w:leader="dot" w:pos="9016"/>
        </w:tabs>
        <w:rPr>
          <w:noProof/>
          <w:lang w:val="en-GB" w:eastAsia="en-GB"/>
        </w:rPr>
      </w:pPr>
      <w:hyperlink w:anchor="_Toc69374689" w:history="1">
        <w:r w:rsidR="00344985" w:rsidRPr="00391B29">
          <w:rPr>
            <w:rStyle w:val="Hyperlink"/>
            <w:noProof/>
          </w:rPr>
          <w:t>Abbreviations</w:t>
        </w:r>
        <w:r w:rsidR="00344985">
          <w:rPr>
            <w:noProof/>
            <w:webHidden/>
          </w:rPr>
          <w:tab/>
        </w:r>
        <w:r w:rsidR="00344985">
          <w:rPr>
            <w:noProof/>
            <w:webHidden/>
          </w:rPr>
          <w:fldChar w:fldCharType="begin"/>
        </w:r>
        <w:r w:rsidR="00344985">
          <w:rPr>
            <w:noProof/>
            <w:webHidden/>
          </w:rPr>
          <w:instrText xml:space="preserve"> PAGEREF _Toc69374689 \h </w:instrText>
        </w:r>
        <w:r w:rsidR="00344985">
          <w:rPr>
            <w:noProof/>
            <w:webHidden/>
          </w:rPr>
        </w:r>
        <w:r w:rsidR="00344985">
          <w:rPr>
            <w:noProof/>
            <w:webHidden/>
          </w:rPr>
          <w:fldChar w:fldCharType="separate"/>
        </w:r>
        <w:r w:rsidR="007C76E6">
          <w:rPr>
            <w:noProof/>
            <w:webHidden/>
          </w:rPr>
          <w:t>61</w:t>
        </w:r>
        <w:r w:rsidR="00344985">
          <w:rPr>
            <w:noProof/>
            <w:webHidden/>
          </w:rPr>
          <w:fldChar w:fldCharType="end"/>
        </w:r>
      </w:hyperlink>
    </w:p>
    <w:p w14:paraId="25682691" w14:textId="1B94EB5F" w:rsidR="00344985" w:rsidRDefault="0023514D">
      <w:pPr>
        <w:pStyle w:val="TOC1"/>
        <w:tabs>
          <w:tab w:val="right" w:leader="dot" w:pos="9016"/>
        </w:tabs>
        <w:rPr>
          <w:noProof/>
          <w:lang w:val="en-GB" w:eastAsia="en-GB"/>
        </w:rPr>
      </w:pPr>
      <w:hyperlink w:anchor="_Toc69374690" w:history="1">
        <w:r w:rsidR="00344985" w:rsidRPr="00391B29">
          <w:rPr>
            <w:rStyle w:val="Hyperlink"/>
            <w:noProof/>
          </w:rPr>
          <w:t>Glossary of Terms</w:t>
        </w:r>
        <w:r w:rsidR="00344985">
          <w:rPr>
            <w:noProof/>
            <w:webHidden/>
          </w:rPr>
          <w:tab/>
        </w:r>
        <w:r w:rsidR="00344985">
          <w:rPr>
            <w:noProof/>
            <w:webHidden/>
          </w:rPr>
          <w:fldChar w:fldCharType="begin"/>
        </w:r>
        <w:r w:rsidR="00344985">
          <w:rPr>
            <w:noProof/>
            <w:webHidden/>
          </w:rPr>
          <w:instrText xml:space="preserve"> PAGEREF _Toc69374690 \h </w:instrText>
        </w:r>
        <w:r w:rsidR="00344985">
          <w:rPr>
            <w:noProof/>
            <w:webHidden/>
          </w:rPr>
        </w:r>
        <w:r w:rsidR="00344985">
          <w:rPr>
            <w:noProof/>
            <w:webHidden/>
          </w:rPr>
          <w:fldChar w:fldCharType="separate"/>
        </w:r>
        <w:r w:rsidR="007C76E6">
          <w:rPr>
            <w:noProof/>
            <w:webHidden/>
          </w:rPr>
          <w:t>63</w:t>
        </w:r>
        <w:r w:rsidR="00344985">
          <w:rPr>
            <w:noProof/>
            <w:webHidden/>
          </w:rPr>
          <w:fldChar w:fldCharType="end"/>
        </w:r>
      </w:hyperlink>
    </w:p>
    <w:p w14:paraId="279C607E" w14:textId="625F8BE4" w:rsidR="00344985" w:rsidRDefault="0023514D">
      <w:pPr>
        <w:pStyle w:val="TOC1"/>
        <w:tabs>
          <w:tab w:val="right" w:leader="dot" w:pos="9016"/>
        </w:tabs>
        <w:rPr>
          <w:noProof/>
          <w:lang w:val="en-GB" w:eastAsia="en-GB"/>
        </w:rPr>
      </w:pPr>
      <w:hyperlink w:anchor="_Toc69374691" w:history="1">
        <w:r w:rsidR="00344985" w:rsidRPr="00391B29">
          <w:rPr>
            <w:rStyle w:val="Hyperlink"/>
            <w:noProof/>
          </w:rPr>
          <w:t>Appendix A – Affordable Workspace Strategy Template</w:t>
        </w:r>
        <w:r w:rsidR="00344985">
          <w:rPr>
            <w:noProof/>
            <w:webHidden/>
          </w:rPr>
          <w:tab/>
        </w:r>
        <w:r w:rsidR="00344985">
          <w:rPr>
            <w:noProof/>
            <w:webHidden/>
          </w:rPr>
          <w:fldChar w:fldCharType="begin"/>
        </w:r>
        <w:r w:rsidR="00344985">
          <w:rPr>
            <w:noProof/>
            <w:webHidden/>
          </w:rPr>
          <w:instrText xml:space="preserve"> PAGEREF _Toc69374691 \h </w:instrText>
        </w:r>
        <w:r w:rsidR="00344985">
          <w:rPr>
            <w:noProof/>
            <w:webHidden/>
          </w:rPr>
        </w:r>
        <w:r w:rsidR="00344985">
          <w:rPr>
            <w:noProof/>
            <w:webHidden/>
          </w:rPr>
          <w:fldChar w:fldCharType="separate"/>
        </w:r>
        <w:r w:rsidR="007C76E6">
          <w:rPr>
            <w:noProof/>
            <w:webHidden/>
          </w:rPr>
          <w:t>67</w:t>
        </w:r>
        <w:r w:rsidR="00344985">
          <w:rPr>
            <w:noProof/>
            <w:webHidden/>
          </w:rPr>
          <w:fldChar w:fldCharType="end"/>
        </w:r>
      </w:hyperlink>
    </w:p>
    <w:p w14:paraId="7001D0D8" w14:textId="352E971E" w:rsidR="001825DD" w:rsidRDefault="00721B10" w:rsidP="003B280C">
      <w:pPr>
        <w:pStyle w:val="Headingnonumber"/>
      </w:pPr>
      <w:r>
        <w:rPr>
          <w:rFonts w:asciiTheme="minorHAnsi" w:eastAsiaTheme="minorEastAsia" w:hAnsiTheme="minorHAnsi" w:cstheme="minorBidi"/>
          <w:color w:val="auto"/>
          <w:sz w:val="22"/>
          <w:szCs w:val="22"/>
          <w:lang w:eastAsia="ja-JP"/>
        </w:rPr>
        <w:fldChar w:fldCharType="end"/>
      </w:r>
    </w:p>
    <w:p w14:paraId="69AA4DB1" w14:textId="09DD67E3" w:rsidR="00D04909" w:rsidRDefault="00D04909">
      <w:pPr>
        <w:spacing w:after="0" w:line="240" w:lineRule="auto"/>
        <w:rPr>
          <w:rFonts w:cs="Arial"/>
          <w:b/>
          <w:bCs/>
          <w:color w:val="006BB6"/>
          <w:sz w:val="44"/>
          <w:szCs w:val="44"/>
        </w:rPr>
      </w:pPr>
      <w:r>
        <w:br w:type="page"/>
      </w:r>
    </w:p>
    <w:p w14:paraId="7F899291" w14:textId="5C825260" w:rsidR="00AC0C71" w:rsidRPr="000D65CE" w:rsidRDefault="00AC0C71" w:rsidP="002E451A">
      <w:pPr>
        <w:pStyle w:val="Headingnonumber"/>
      </w:pPr>
      <w:bookmarkStart w:id="0" w:name="_Toc69374664"/>
      <w:r>
        <w:lastRenderedPageBreak/>
        <w:t>Overview</w:t>
      </w:r>
      <w:bookmarkEnd w:id="0"/>
    </w:p>
    <w:p w14:paraId="5BC8C33A" w14:textId="2B754020" w:rsidR="009553E5" w:rsidRPr="000D65CE" w:rsidRDefault="00177925" w:rsidP="002E451A">
      <w:pPr>
        <w:pStyle w:val="Heading1"/>
        <w:jc w:val="both"/>
        <w:rPr>
          <w:lang w:val="en-GB"/>
        </w:rPr>
      </w:pPr>
      <w:r w:rsidRPr="000D65CE">
        <w:rPr>
          <w:lang w:val="en-GB"/>
        </w:rPr>
        <w:t>Introduction</w:t>
      </w:r>
      <w:r w:rsidR="00AD338C" w:rsidRPr="000D65CE">
        <w:rPr>
          <w:lang w:val="en-GB"/>
        </w:rPr>
        <w:t xml:space="preserve"> </w:t>
      </w:r>
    </w:p>
    <w:p w14:paraId="3FF68055" w14:textId="77777777" w:rsidR="00276D38" w:rsidRPr="000D65CE" w:rsidRDefault="00276D38" w:rsidP="002E451A">
      <w:pPr>
        <w:jc w:val="both"/>
        <w:rPr>
          <w:rFonts w:cs="Arial"/>
          <w:szCs w:val="22"/>
        </w:rPr>
      </w:pPr>
      <w:r w:rsidRPr="000D65CE">
        <w:rPr>
          <w:rFonts w:cs="Arial"/>
          <w:szCs w:val="22"/>
        </w:rPr>
        <w:t xml:space="preserve">The Planning Obligations Supplementary Planning Document (SPD) </w:t>
      </w:r>
      <w:r w:rsidR="00D7054C" w:rsidRPr="000D65CE">
        <w:rPr>
          <w:rFonts w:cs="Arial"/>
          <w:szCs w:val="22"/>
        </w:rPr>
        <w:t>provides guidance on how planning obligations are secured from new development to promote sustainable development in accordance with Local Plan Policy D.SG5. This SPD replaces the Planning Obligations SPD</w:t>
      </w:r>
      <w:r w:rsidRPr="000D65CE">
        <w:rPr>
          <w:rFonts w:cs="Arial"/>
          <w:szCs w:val="22"/>
        </w:rPr>
        <w:t xml:space="preserve"> 2016.</w:t>
      </w:r>
    </w:p>
    <w:p w14:paraId="6EA604CF" w14:textId="45D721DF" w:rsidR="00276D38" w:rsidRPr="000D65CE" w:rsidRDefault="00276D38" w:rsidP="002E451A">
      <w:pPr>
        <w:jc w:val="both"/>
        <w:rPr>
          <w:rFonts w:cs="Arial"/>
          <w:szCs w:val="22"/>
        </w:rPr>
      </w:pPr>
      <w:r w:rsidRPr="000D65CE">
        <w:rPr>
          <w:rFonts w:cs="Arial"/>
          <w:szCs w:val="22"/>
        </w:rPr>
        <w:t>Planning obligations are legal obligations</w:t>
      </w:r>
      <w:r w:rsidR="00CD0922" w:rsidRPr="000D65CE">
        <w:rPr>
          <w:rFonts w:cs="Arial"/>
          <w:szCs w:val="22"/>
        </w:rPr>
        <w:t xml:space="preserve"> </w:t>
      </w:r>
      <w:r w:rsidR="00747592" w:rsidRPr="000D65CE">
        <w:rPr>
          <w:rFonts w:cs="Arial"/>
          <w:szCs w:val="22"/>
        </w:rPr>
        <w:t xml:space="preserve">entered into </w:t>
      </w:r>
      <w:r w:rsidR="00692FE9" w:rsidRPr="000D65CE">
        <w:rPr>
          <w:rFonts w:cs="Arial"/>
          <w:szCs w:val="22"/>
        </w:rPr>
        <w:t xml:space="preserve">in order to mitigate the impacts of a development proposal. </w:t>
      </w:r>
      <w:r w:rsidR="00692FE9">
        <w:rPr>
          <w:rFonts w:cs="Arial"/>
          <w:szCs w:val="22"/>
        </w:rPr>
        <w:t xml:space="preserve">They can be </w:t>
      </w:r>
      <w:r w:rsidR="00747592" w:rsidRPr="000D65CE">
        <w:rPr>
          <w:rFonts w:cs="Arial"/>
          <w:szCs w:val="22"/>
        </w:rPr>
        <w:t>by an agreement</w:t>
      </w:r>
      <w:r w:rsidR="00692FE9">
        <w:rPr>
          <w:rFonts w:cs="Arial"/>
          <w:szCs w:val="22"/>
        </w:rPr>
        <w:t xml:space="preserve"> between the developer and</w:t>
      </w:r>
      <w:r w:rsidR="00747592" w:rsidRPr="000D65CE">
        <w:rPr>
          <w:rFonts w:cs="Arial"/>
          <w:szCs w:val="22"/>
        </w:rPr>
        <w:t xml:space="preserve"> the local planning authority</w:t>
      </w:r>
      <w:r w:rsidR="00692FE9">
        <w:rPr>
          <w:rFonts w:cs="Arial"/>
          <w:szCs w:val="22"/>
        </w:rPr>
        <w:t xml:space="preserve"> or via a unilateral undertaking entered into without the local planning authority</w:t>
      </w:r>
      <w:r w:rsidR="00747592" w:rsidRPr="000D65CE">
        <w:rPr>
          <w:rFonts w:cs="Arial"/>
          <w:szCs w:val="22"/>
        </w:rPr>
        <w:t xml:space="preserve"> under </w:t>
      </w:r>
      <w:r w:rsidR="009610F9" w:rsidRPr="000D65CE">
        <w:rPr>
          <w:rFonts w:cs="Arial"/>
          <w:szCs w:val="22"/>
        </w:rPr>
        <w:t>Section 106</w:t>
      </w:r>
      <w:r w:rsidR="00747592" w:rsidRPr="000D65CE">
        <w:rPr>
          <w:rFonts w:cs="Arial"/>
          <w:szCs w:val="22"/>
        </w:rPr>
        <w:t xml:space="preserve"> of the Town and Country Planning Act 1990 (as amended)</w:t>
      </w:r>
      <w:r w:rsidR="00CD0922" w:rsidRPr="000D65CE">
        <w:rPr>
          <w:rFonts w:cs="Arial"/>
          <w:szCs w:val="22"/>
        </w:rPr>
        <w:t xml:space="preserve"> </w:t>
      </w:r>
      <w:r w:rsidR="00692FE9">
        <w:rPr>
          <w:rFonts w:cs="Arial"/>
          <w:szCs w:val="22"/>
        </w:rPr>
        <w:t>P</w:t>
      </w:r>
      <w:r w:rsidR="00747592" w:rsidRPr="000D65CE">
        <w:rPr>
          <w:rFonts w:cs="Arial"/>
          <w:szCs w:val="22"/>
        </w:rPr>
        <w:t>lanning obligations take the form of financial contributions and non-financial obligations</w:t>
      </w:r>
      <w:r w:rsidR="00E97A06" w:rsidRPr="000D65CE">
        <w:rPr>
          <w:rFonts w:cs="Arial"/>
          <w:szCs w:val="22"/>
        </w:rPr>
        <w:t>.</w:t>
      </w:r>
      <w:r w:rsidRPr="000D65CE">
        <w:rPr>
          <w:rFonts w:cs="Arial"/>
          <w:szCs w:val="22"/>
        </w:rPr>
        <w:t xml:space="preserve"> </w:t>
      </w:r>
    </w:p>
    <w:p w14:paraId="7213616C" w14:textId="5523D5A9" w:rsidR="00BE00D3" w:rsidRPr="000D65CE" w:rsidRDefault="00472054" w:rsidP="002E451A">
      <w:pPr>
        <w:jc w:val="both"/>
        <w:rPr>
          <w:rFonts w:cs="Arial"/>
        </w:rPr>
      </w:pPr>
      <w:r w:rsidRPr="28D940A9">
        <w:rPr>
          <w:rFonts w:cs="Arial"/>
        </w:rPr>
        <w:t xml:space="preserve">London Borough of </w:t>
      </w:r>
      <w:r w:rsidR="00E54E20" w:rsidRPr="28D940A9">
        <w:rPr>
          <w:rFonts w:cs="Arial"/>
        </w:rPr>
        <w:t xml:space="preserve">Tower </w:t>
      </w:r>
      <w:r w:rsidR="00A16131" w:rsidRPr="28D940A9">
        <w:rPr>
          <w:rFonts w:cs="Arial"/>
        </w:rPr>
        <w:t>Hamlets</w:t>
      </w:r>
      <w:r w:rsidRPr="28D940A9">
        <w:rPr>
          <w:rFonts w:cs="Arial"/>
        </w:rPr>
        <w:t xml:space="preserve"> (LBTH)</w:t>
      </w:r>
      <w:r w:rsidR="00A16131" w:rsidRPr="28D940A9">
        <w:rPr>
          <w:rFonts w:cs="Arial"/>
        </w:rPr>
        <w:t xml:space="preserve"> </w:t>
      </w:r>
      <w:r w:rsidR="007C1925" w:rsidRPr="28D940A9">
        <w:rPr>
          <w:rFonts w:cs="Arial"/>
        </w:rPr>
        <w:t xml:space="preserve">also </w:t>
      </w:r>
      <w:r w:rsidR="00276D38" w:rsidRPr="28D940A9">
        <w:rPr>
          <w:rFonts w:cs="Arial"/>
        </w:rPr>
        <w:t xml:space="preserve">collects </w:t>
      </w:r>
      <w:r w:rsidR="00F83995" w:rsidRPr="28D940A9">
        <w:rPr>
          <w:rFonts w:cs="Arial"/>
        </w:rPr>
        <w:t>a Community Infrastructure Levy (CIL) locally</w:t>
      </w:r>
      <w:r w:rsidR="00747592" w:rsidRPr="28D940A9">
        <w:rPr>
          <w:rFonts w:cs="Arial"/>
        </w:rPr>
        <w:t xml:space="preserve"> (in accordance with its</w:t>
      </w:r>
      <w:r w:rsidR="009B6F2D" w:rsidRPr="28D940A9">
        <w:rPr>
          <w:rFonts w:cs="Arial"/>
        </w:rPr>
        <w:t xml:space="preserve"> CIL Charging Schedule 2020</w:t>
      </w:r>
      <w:r w:rsidR="00747592" w:rsidRPr="28D940A9">
        <w:rPr>
          <w:rFonts w:cs="Arial"/>
        </w:rPr>
        <w:t>)</w:t>
      </w:r>
      <w:r w:rsidR="00F83995" w:rsidRPr="28D940A9">
        <w:rPr>
          <w:rFonts w:cs="Arial"/>
        </w:rPr>
        <w:t xml:space="preserve"> and on behalf of the Mayor of London. CIL </w:t>
      </w:r>
      <w:r w:rsidR="003846A0" w:rsidRPr="28D940A9">
        <w:rPr>
          <w:rFonts w:cs="Arial"/>
        </w:rPr>
        <w:t>money help</w:t>
      </w:r>
      <w:r w:rsidR="007C1925" w:rsidRPr="28D940A9">
        <w:rPr>
          <w:rFonts w:cs="Arial"/>
        </w:rPr>
        <w:t>s</w:t>
      </w:r>
      <w:r w:rsidRPr="28D940A9">
        <w:rPr>
          <w:rFonts w:cs="Arial"/>
        </w:rPr>
        <w:t xml:space="preserve"> to</w:t>
      </w:r>
      <w:r w:rsidR="003846A0" w:rsidRPr="28D940A9">
        <w:rPr>
          <w:rFonts w:cs="Arial"/>
        </w:rPr>
        <w:t xml:space="preserve"> </w:t>
      </w:r>
      <w:r w:rsidR="006A7AF0" w:rsidRPr="28D940A9">
        <w:rPr>
          <w:rFonts w:cs="Arial"/>
        </w:rPr>
        <w:t xml:space="preserve">fund </w:t>
      </w:r>
      <w:r w:rsidR="003846A0" w:rsidRPr="28D940A9">
        <w:rPr>
          <w:rFonts w:cs="Arial"/>
        </w:rPr>
        <w:t xml:space="preserve">infrastructure projects such as schools, health services, leisure, </w:t>
      </w:r>
      <w:r w:rsidR="0096593F" w:rsidRPr="28D940A9">
        <w:rPr>
          <w:rFonts w:cs="Arial"/>
        </w:rPr>
        <w:t>Open Space</w:t>
      </w:r>
      <w:r w:rsidR="003846A0" w:rsidRPr="28D940A9">
        <w:rPr>
          <w:rFonts w:cs="Arial"/>
        </w:rPr>
        <w:t>s and transport improvements</w:t>
      </w:r>
      <w:r w:rsidR="00C44288" w:rsidRPr="28D940A9">
        <w:rPr>
          <w:rFonts w:cs="Arial"/>
        </w:rPr>
        <w:t xml:space="preserve"> in the b</w:t>
      </w:r>
      <w:r w:rsidR="00747592" w:rsidRPr="28D940A9">
        <w:rPr>
          <w:rFonts w:cs="Arial"/>
        </w:rPr>
        <w:t>orough</w:t>
      </w:r>
      <w:r w:rsidR="003846A0" w:rsidRPr="28D940A9">
        <w:rPr>
          <w:rFonts w:cs="Arial"/>
        </w:rPr>
        <w:t>.</w:t>
      </w:r>
    </w:p>
    <w:p w14:paraId="6C8D5F8C" w14:textId="1FF9BC40" w:rsidR="00E4513E" w:rsidRPr="000D65CE" w:rsidRDefault="00177925" w:rsidP="002E451A">
      <w:pPr>
        <w:jc w:val="both"/>
        <w:rPr>
          <w:rFonts w:cs="Arial"/>
          <w:szCs w:val="22"/>
        </w:rPr>
      </w:pPr>
      <w:r w:rsidRPr="000D65CE">
        <w:rPr>
          <w:rFonts w:cs="Arial"/>
        </w:rPr>
        <w:t>This</w:t>
      </w:r>
      <w:r w:rsidR="00DA4033" w:rsidRPr="000D65CE">
        <w:rPr>
          <w:rFonts w:cs="Arial"/>
        </w:rPr>
        <w:t xml:space="preserve"> </w:t>
      </w:r>
      <w:r w:rsidRPr="000D65CE">
        <w:rPr>
          <w:rFonts w:cs="Arial"/>
          <w:szCs w:val="22"/>
        </w:rPr>
        <w:t>SPD provide</w:t>
      </w:r>
      <w:r w:rsidR="00E54E20" w:rsidRPr="000D65CE">
        <w:rPr>
          <w:rFonts w:cs="Arial"/>
          <w:szCs w:val="22"/>
        </w:rPr>
        <w:t>s</w:t>
      </w:r>
      <w:r w:rsidRPr="000D65CE">
        <w:rPr>
          <w:rFonts w:cs="Arial"/>
          <w:szCs w:val="22"/>
        </w:rPr>
        <w:t xml:space="preserve"> additional guidance on matters covered </w:t>
      </w:r>
      <w:r w:rsidR="00912ED9" w:rsidRPr="000D65CE">
        <w:rPr>
          <w:rFonts w:cs="Arial"/>
          <w:szCs w:val="22"/>
        </w:rPr>
        <w:t>in</w:t>
      </w:r>
      <w:r w:rsidR="00E03C40" w:rsidRPr="000D65CE">
        <w:rPr>
          <w:rFonts w:cs="Arial"/>
          <w:szCs w:val="22"/>
        </w:rPr>
        <w:t xml:space="preserve"> the</w:t>
      </w:r>
      <w:r w:rsidR="00912ED9" w:rsidRPr="000D65CE">
        <w:rPr>
          <w:rFonts w:cs="Arial"/>
          <w:szCs w:val="22"/>
        </w:rPr>
        <w:t xml:space="preserve"> </w:t>
      </w:r>
      <w:r w:rsidRPr="000D65CE">
        <w:rPr>
          <w:rFonts w:cs="Arial"/>
          <w:szCs w:val="22"/>
        </w:rPr>
        <w:t xml:space="preserve">Tower Hamlets </w:t>
      </w:r>
      <w:r w:rsidR="000E21D5" w:rsidRPr="000D65CE">
        <w:rPr>
          <w:rFonts w:cs="Arial"/>
          <w:szCs w:val="22"/>
        </w:rPr>
        <w:t xml:space="preserve">Local Plan </w:t>
      </w:r>
      <w:r w:rsidR="00A6378A" w:rsidRPr="000D65CE">
        <w:rPr>
          <w:rFonts w:cs="Arial"/>
          <w:szCs w:val="22"/>
        </w:rPr>
        <w:t>(20</w:t>
      </w:r>
      <w:r w:rsidR="00083251" w:rsidRPr="000D65CE">
        <w:rPr>
          <w:rFonts w:cs="Arial"/>
          <w:szCs w:val="22"/>
        </w:rPr>
        <w:t>20</w:t>
      </w:r>
      <w:r w:rsidR="00A6378A" w:rsidRPr="000D65CE">
        <w:rPr>
          <w:rFonts w:cs="Arial"/>
          <w:szCs w:val="22"/>
        </w:rPr>
        <w:t>)</w:t>
      </w:r>
      <w:r w:rsidR="00F36EB9" w:rsidRPr="000D65CE">
        <w:rPr>
          <w:rFonts w:cs="Arial"/>
          <w:szCs w:val="22"/>
        </w:rPr>
        <w:t xml:space="preserve"> which was prepared in accordance with N</w:t>
      </w:r>
      <w:r w:rsidR="00337437" w:rsidRPr="000D65CE">
        <w:rPr>
          <w:rFonts w:cs="Arial"/>
          <w:szCs w:val="22"/>
        </w:rPr>
        <w:t xml:space="preserve">ational </w:t>
      </w:r>
      <w:r w:rsidR="00F36EB9" w:rsidRPr="000D65CE">
        <w:rPr>
          <w:rFonts w:cs="Arial"/>
          <w:szCs w:val="22"/>
        </w:rPr>
        <w:t>P</w:t>
      </w:r>
      <w:r w:rsidR="00337437" w:rsidRPr="000D65CE">
        <w:rPr>
          <w:rFonts w:cs="Arial"/>
          <w:szCs w:val="22"/>
        </w:rPr>
        <w:t xml:space="preserve">lanning </w:t>
      </w:r>
      <w:r w:rsidR="00F36EB9" w:rsidRPr="000D65CE">
        <w:rPr>
          <w:rFonts w:cs="Arial"/>
          <w:szCs w:val="22"/>
        </w:rPr>
        <w:t>P</w:t>
      </w:r>
      <w:r w:rsidR="00337437" w:rsidRPr="000D65CE">
        <w:rPr>
          <w:rFonts w:cs="Arial"/>
          <w:szCs w:val="22"/>
        </w:rPr>
        <w:t xml:space="preserve">olicy </w:t>
      </w:r>
      <w:r w:rsidR="00F36EB9" w:rsidRPr="000D65CE">
        <w:rPr>
          <w:rFonts w:cs="Arial"/>
          <w:szCs w:val="22"/>
        </w:rPr>
        <w:t>F</w:t>
      </w:r>
      <w:r w:rsidR="00337437" w:rsidRPr="000D65CE">
        <w:rPr>
          <w:rFonts w:cs="Arial"/>
          <w:szCs w:val="22"/>
        </w:rPr>
        <w:t>ram</w:t>
      </w:r>
      <w:r w:rsidR="00CD0922" w:rsidRPr="000D65CE">
        <w:rPr>
          <w:rFonts w:cs="Arial"/>
          <w:szCs w:val="22"/>
        </w:rPr>
        <w:t>e</w:t>
      </w:r>
      <w:r w:rsidR="00337437" w:rsidRPr="000D65CE">
        <w:rPr>
          <w:rFonts w:cs="Arial"/>
          <w:szCs w:val="22"/>
        </w:rPr>
        <w:t>work</w:t>
      </w:r>
      <w:r w:rsidRPr="000D65CE">
        <w:rPr>
          <w:rFonts w:cs="Arial"/>
          <w:szCs w:val="22"/>
        </w:rPr>
        <w:t xml:space="preserve">. </w:t>
      </w:r>
      <w:r w:rsidR="00F36EB9" w:rsidRPr="000D65CE">
        <w:rPr>
          <w:rFonts w:cs="Arial"/>
          <w:szCs w:val="22"/>
        </w:rPr>
        <w:t>While this SPD does not form</w:t>
      </w:r>
      <w:r w:rsidRPr="000D65CE">
        <w:rPr>
          <w:rFonts w:cs="Arial"/>
          <w:szCs w:val="22"/>
        </w:rPr>
        <w:t xml:space="preserve"> part of the statutory </w:t>
      </w:r>
      <w:r w:rsidR="0031438F" w:rsidRPr="000D65CE">
        <w:rPr>
          <w:rFonts w:cs="Arial"/>
          <w:szCs w:val="22"/>
        </w:rPr>
        <w:t>d</w:t>
      </w:r>
      <w:r w:rsidRPr="000D65CE">
        <w:rPr>
          <w:rFonts w:cs="Arial"/>
          <w:szCs w:val="22"/>
        </w:rPr>
        <w:t xml:space="preserve">evelopment </w:t>
      </w:r>
      <w:r w:rsidR="0031438F" w:rsidRPr="000D65CE">
        <w:rPr>
          <w:rFonts w:cs="Arial"/>
          <w:szCs w:val="22"/>
        </w:rPr>
        <w:t>p</w:t>
      </w:r>
      <w:r w:rsidR="00A6378A" w:rsidRPr="000D65CE">
        <w:rPr>
          <w:rFonts w:cs="Arial"/>
          <w:szCs w:val="22"/>
        </w:rPr>
        <w:t>lan</w:t>
      </w:r>
      <w:r w:rsidR="0031438F" w:rsidRPr="000D65CE">
        <w:rPr>
          <w:rFonts w:cs="Arial"/>
          <w:szCs w:val="22"/>
        </w:rPr>
        <w:t xml:space="preserve">, </w:t>
      </w:r>
      <w:r w:rsidR="00A92766" w:rsidRPr="000D65CE">
        <w:rPr>
          <w:rFonts w:cs="Arial"/>
          <w:szCs w:val="22"/>
        </w:rPr>
        <w:t>i</w:t>
      </w:r>
      <w:r w:rsidRPr="000D65CE">
        <w:rPr>
          <w:rFonts w:cs="Arial"/>
          <w:szCs w:val="22"/>
        </w:rPr>
        <w:t xml:space="preserve">t </w:t>
      </w:r>
      <w:r w:rsidR="00A92766" w:rsidRPr="000D65CE">
        <w:rPr>
          <w:rFonts w:cs="Arial"/>
          <w:szCs w:val="22"/>
        </w:rPr>
        <w:t>is</w:t>
      </w:r>
      <w:r w:rsidRPr="000D65CE">
        <w:rPr>
          <w:rFonts w:cs="Arial"/>
          <w:szCs w:val="22"/>
        </w:rPr>
        <w:t xml:space="preserve"> a </w:t>
      </w:r>
      <w:r w:rsidR="000B2596" w:rsidRPr="000D65CE">
        <w:rPr>
          <w:rFonts w:cs="Arial"/>
          <w:szCs w:val="22"/>
        </w:rPr>
        <w:t>M</w:t>
      </w:r>
      <w:r w:rsidR="00E13EA9" w:rsidRPr="000D65CE">
        <w:rPr>
          <w:rFonts w:cs="Arial"/>
          <w:szCs w:val="22"/>
        </w:rPr>
        <w:t>aterial</w:t>
      </w:r>
      <w:r w:rsidR="000B2596" w:rsidRPr="000D65CE">
        <w:rPr>
          <w:rFonts w:cs="Arial"/>
          <w:szCs w:val="22"/>
        </w:rPr>
        <w:t xml:space="preserve"> C</w:t>
      </w:r>
      <w:r w:rsidRPr="000D65CE">
        <w:rPr>
          <w:rFonts w:cs="Arial"/>
          <w:szCs w:val="22"/>
        </w:rPr>
        <w:t xml:space="preserve">onsideration </w:t>
      </w:r>
      <w:r w:rsidR="00E03C40" w:rsidRPr="000D65CE">
        <w:rPr>
          <w:rFonts w:cs="Arial"/>
          <w:szCs w:val="22"/>
        </w:rPr>
        <w:t>for</w:t>
      </w:r>
      <w:r w:rsidR="002B1983" w:rsidRPr="000D65CE">
        <w:rPr>
          <w:rFonts w:cs="Arial"/>
          <w:szCs w:val="22"/>
        </w:rPr>
        <w:t xml:space="preserve"> the</w:t>
      </w:r>
      <w:r w:rsidRPr="000D65CE">
        <w:rPr>
          <w:rFonts w:cs="Arial"/>
          <w:szCs w:val="22"/>
        </w:rPr>
        <w:t xml:space="preserve"> de</w:t>
      </w:r>
      <w:r w:rsidR="00A16131" w:rsidRPr="000D65CE">
        <w:rPr>
          <w:rFonts w:cs="Arial"/>
          <w:szCs w:val="22"/>
        </w:rPr>
        <w:t>termin</w:t>
      </w:r>
      <w:r w:rsidR="002B1983" w:rsidRPr="000D65CE">
        <w:rPr>
          <w:rFonts w:cs="Arial"/>
          <w:szCs w:val="22"/>
        </w:rPr>
        <w:t>ation of</w:t>
      </w:r>
      <w:r w:rsidR="00A16131" w:rsidRPr="000D65CE">
        <w:rPr>
          <w:rFonts w:cs="Arial"/>
          <w:szCs w:val="22"/>
        </w:rPr>
        <w:t xml:space="preserve"> planning applications</w:t>
      </w:r>
      <w:r w:rsidRPr="000D65CE">
        <w:rPr>
          <w:rFonts w:cs="Arial"/>
        </w:rPr>
        <w:t>.</w:t>
      </w:r>
      <w:r w:rsidR="00E4513E" w:rsidRPr="000D65CE">
        <w:rPr>
          <w:rFonts w:cs="Arial"/>
        </w:rPr>
        <w:t xml:space="preserve"> </w:t>
      </w:r>
    </w:p>
    <w:p w14:paraId="06976CAF" w14:textId="1FDCAD58" w:rsidR="0092311D" w:rsidRPr="000D65CE" w:rsidRDefault="0092311D" w:rsidP="002E451A">
      <w:pPr>
        <w:pStyle w:val="Heading1"/>
        <w:jc w:val="both"/>
        <w:rPr>
          <w:lang w:val="en-GB"/>
        </w:rPr>
      </w:pPr>
      <w:r w:rsidRPr="000D65CE">
        <w:rPr>
          <w:lang w:val="en-GB"/>
        </w:rPr>
        <w:t>Who is it for?</w:t>
      </w:r>
    </w:p>
    <w:p w14:paraId="7A311B8F" w14:textId="33FF6943" w:rsidR="0092311D" w:rsidRPr="000D65CE" w:rsidRDefault="0092311D" w:rsidP="002E451A">
      <w:pPr>
        <w:jc w:val="both"/>
      </w:pPr>
      <w:r w:rsidRPr="28D940A9">
        <w:rPr>
          <w:rFonts w:cs="Arial"/>
        </w:rPr>
        <w:t xml:space="preserve">This SPD has been prepared to provide advice to developers, landowners, members of the public and other stakeholders on the </w:t>
      </w:r>
      <w:r w:rsidR="5E4E7880" w:rsidRPr="28D940A9">
        <w:rPr>
          <w:rFonts w:cs="Arial"/>
        </w:rPr>
        <w:t>C</w:t>
      </w:r>
      <w:r w:rsidR="006F4D4F" w:rsidRPr="28D940A9">
        <w:rPr>
          <w:rFonts w:cs="Arial"/>
        </w:rPr>
        <w:t>ouncil’s</w:t>
      </w:r>
      <w:r w:rsidRPr="28D940A9">
        <w:rPr>
          <w:rFonts w:cs="Arial"/>
        </w:rPr>
        <w:t xml:space="preserve"> position </w:t>
      </w:r>
      <w:r w:rsidR="00E03C40" w:rsidRPr="28D940A9">
        <w:rPr>
          <w:rFonts w:cs="Arial"/>
        </w:rPr>
        <w:t>regarding</w:t>
      </w:r>
      <w:r w:rsidRPr="28D940A9">
        <w:rPr>
          <w:rFonts w:cs="Arial"/>
        </w:rPr>
        <w:t xml:space="preserve"> the use of planning obligations.</w:t>
      </w:r>
    </w:p>
    <w:p w14:paraId="48FB40AC" w14:textId="2C294F2C" w:rsidR="0092311D" w:rsidRPr="000D65CE" w:rsidRDefault="0092311D" w:rsidP="002E451A">
      <w:pPr>
        <w:pStyle w:val="Heading1"/>
        <w:jc w:val="both"/>
        <w:rPr>
          <w:lang w:val="en-GB"/>
        </w:rPr>
      </w:pPr>
      <w:r w:rsidRPr="000D65CE">
        <w:rPr>
          <w:lang w:val="en-GB"/>
        </w:rPr>
        <w:t>Purpose of the Planning Obligations SPD</w:t>
      </w:r>
    </w:p>
    <w:p w14:paraId="69ECECE9" w14:textId="77777777" w:rsidR="0092311D" w:rsidRPr="000D65CE" w:rsidRDefault="0092311D" w:rsidP="002E451A">
      <w:pPr>
        <w:jc w:val="both"/>
        <w:rPr>
          <w:rFonts w:cs="Arial"/>
          <w:szCs w:val="22"/>
        </w:rPr>
      </w:pPr>
      <w:r w:rsidRPr="000D65CE">
        <w:rPr>
          <w:rFonts w:cs="Arial"/>
          <w:szCs w:val="22"/>
        </w:rPr>
        <w:t>The purpose of this SPD is to:</w:t>
      </w:r>
    </w:p>
    <w:p w14:paraId="41498C19" w14:textId="77777777" w:rsidR="0092311D" w:rsidRPr="000D65CE" w:rsidRDefault="0092311D" w:rsidP="002E451A">
      <w:pPr>
        <w:pStyle w:val="ListParagraph"/>
        <w:widowControl w:val="0"/>
        <w:numPr>
          <w:ilvl w:val="0"/>
          <w:numId w:val="2"/>
        </w:numPr>
        <w:autoSpaceDE w:val="0"/>
        <w:autoSpaceDN w:val="0"/>
        <w:adjustRightInd w:val="0"/>
        <w:jc w:val="both"/>
        <w:textAlignment w:val="center"/>
        <w:rPr>
          <w:rFonts w:cs="Arial"/>
          <w:szCs w:val="22"/>
        </w:rPr>
      </w:pPr>
      <w:r w:rsidRPr="000D65CE">
        <w:rPr>
          <w:rFonts w:cs="Arial"/>
          <w:szCs w:val="22"/>
        </w:rPr>
        <w:t>Explain the Council’s approach to using planning obligations to local residents, developers and the wider community</w:t>
      </w:r>
    </w:p>
    <w:p w14:paraId="3D9072AC" w14:textId="6462D461" w:rsidR="0092311D" w:rsidRPr="000D65CE" w:rsidRDefault="0092311D" w:rsidP="7A52AF77">
      <w:pPr>
        <w:pStyle w:val="ListParagraph"/>
        <w:widowControl w:val="0"/>
        <w:numPr>
          <w:ilvl w:val="0"/>
          <w:numId w:val="2"/>
        </w:numPr>
        <w:autoSpaceDE w:val="0"/>
        <w:autoSpaceDN w:val="0"/>
        <w:adjustRightInd w:val="0"/>
        <w:jc w:val="both"/>
        <w:textAlignment w:val="center"/>
        <w:rPr>
          <w:rFonts w:cs="Arial"/>
        </w:rPr>
      </w:pPr>
      <w:r w:rsidRPr="7A52AF77">
        <w:rPr>
          <w:rFonts w:cs="Arial"/>
        </w:rPr>
        <w:t>Explain the relationship between the CIL and  planning obligations</w:t>
      </w:r>
    </w:p>
    <w:p w14:paraId="698C1749" w14:textId="77777777" w:rsidR="0092311D" w:rsidRPr="000D65CE" w:rsidRDefault="0092311D" w:rsidP="002E451A">
      <w:pPr>
        <w:pStyle w:val="ListParagraph"/>
        <w:widowControl w:val="0"/>
        <w:numPr>
          <w:ilvl w:val="0"/>
          <w:numId w:val="2"/>
        </w:numPr>
        <w:autoSpaceDE w:val="0"/>
        <w:autoSpaceDN w:val="0"/>
        <w:adjustRightInd w:val="0"/>
        <w:jc w:val="both"/>
        <w:textAlignment w:val="center"/>
        <w:rPr>
          <w:rFonts w:cs="Arial"/>
          <w:szCs w:val="22"/>
        </w:rPr>
      </w:pPr>
      <w:r w:rsidRPr="000D65CE">
        <w:rPr>
          <w:rFonts w:cs="Arial"/>
          <w:szCs w:val="22"/>
        </w:rPr>
        <w:t xml:space="preserve">Explain the circumstances under which planning obligations will be secured to mitigate the impacts of a development </w:t>
      </w:r>
    </w:p>
    <w:p w14:paraId="3E662D74" w14:textId="77777777" w:rsidR="0092311D" w:rsidRPr="000D65CE" w:rsidRDefault="0092311D" w:rsidP="002E451A">
      <w:pPr>
        <w:pStyle w:val="ListParagraph"/>
        <w:widowControl w:val="0"/>
        <w:numPr>
          <w:ilvl w:val="0"/>
          <w:numId w:val="2"/>
        </w:numPr>
        <w:autoSpaceDE w:val="0"/>
        <w:autoSpaceDN w:val="0"/>
        <w:adjustRightInd w:val="0"/>
        <w:jc w:val="both"/>
        <w:textAlignment w:val="center"/>
        <w:rPr>
          <w:rFonts w:cs="Arial"/>
          <w:szCs w:val="22"/>
        </w:rPr>
      </w:pPr>
      <w:r w:rsidRPr="000D65CE">
        <w:rPr>
          <w:rFonts w:cs="Arial"/>
          <w:szCs w:val="22"/>
        </w:rPr>
        <w:t>Improve transparency in the priority and calculation of planning obligations</w:t>
      </w:r>
    </w:p>
    <w:p w14:paraId="70EA7E20" w14:textId="77777777" w:rsidR="0092311D" w:rsidRPr="000D65CE" w:rsidRDefault="0092311D" w:rsidP="002E451A">
      <w:pPr>
        <w:pStyle w:val="ListParagraph"/>
        <w:widowControl w:val="0"/>
        <w:numPr>
          <w:ilvl w:val="0"/>
          <w:numId w:val="2"/>
        </w:numPr>
        <w:autoSpaceDE w:val="0"/>
        <w:autoSpaceDN w:val="0"/>
        <w:adjustRightInd w:val="0"/>
        <w:jc w:val="both"/>
        <w:textAlignment w:val="center"/>
        <w:rPr>
          <w:rFonts w:cs="Arial"/>
          <w:szCs w:val="22"/>
        </w:rPr>
      </w:pPr>
      <w:r w:rsidRPr="000D65CE">
        <w:rPr>
          <w:rFonts w:cs="Arial"/>
          <w:szCs w:val="22"/>
        </w:rPr>
        <w:t>Provide applicants with greater certainty on when</w:t>
      </w:r>
      <w:r w:rsidR="00747592" w:rsidRPr="000D65CE">
        <w:rPr>
          <w:rFonts w:cs="Arial"/>
          <w:szCs w:val="22"/>
        </w:rPr>
        <w:t xml:space="preserve"> and what type of</w:t>
      </w:r>
      <w:r w:rsidRPr="000D65CE">
        <w:rPr>
          <w:rFonts w:cs="Arial"/>
          <w:szCs w:val="22"/>
        </w:rPr>
        <w:t xml:space="preserve"> planning obligations will be sought</w:t>
      </w:r>
    </w:p>
    <w:p w14:paraId="6EF57A4C" w14:textId="77777777" w:rsidR="0092311D" w:rsidRPr="000D65CE" w:rsidRDefault="0092311D" w:rsidP="002E451A">
      <w:pPr>
        <w:pStyle w:val="ListParagraph"/>
        <w:widowControl w:val="0"/>
        <w:numPr>
          <w:ilvl w:val="0"/>
          <w:numId w:val="2"/>
        </w:numPr>
        <w:autoSpaceDE w:val="0"/>
        <w:autoSpaceDN w:val="0"/>
        <w:adjustRightInd w:val="0"/>
        <w:jc w:val="both"/>
        <w:textAlignment w:val="center"/>
      </w:pPr>
      <w:r w:rsidRPr="000D65CE">
        <w:rPr>
          <w:rFonts w:cs="Arial"/>
          <w:szCs w:val="22"/>
        </w:rPr>
        <w:t xml:space="preserve">Take into account the cumulative impact of development in the </w:t>
      </w:r>
      <w:r w:rsidR="00C44288" w:rsidRPr="000D65CE">
        <w:rPr>
          <w:rFonts w:cs="Arial"/>
          <w:szCs w:val="22"/>
        </w:rPr>
        <w:t>b</w:t>
      </w:r>
      <w:r w:rsidRPr="000D65CE">
        <w:rPr>
          <w:rFonts w:cs="Arial"/>
          <w:szCs w:val="22"/>
        </w:rPr>
        <w:t>orough and explain how this will be dealt with through the use of planning obligations and CIL</w:t>
      </w:r>
    </w:p>
    <w:p w14:paraId="5A61AC5F" w14:textId="1F0E50AA" w:rsidR="009553E5" w:rsidRPr="000D65CE" w:rsidRDefault="00834E24" w:rsidP="003B280C">
      <w:pPr>
        <w:pStyle w:val="Heading1"/>
        <w:jc w:val="both"/>
        <w:rPr>
          <w:lang w:val="en-GB"/>
        </w:rPr>
      </w:pPr>
      <w:r w:rsidRPr="000D65CE">
        <w:rPr>
          <w:lang w:val="en-GB"/>
        </w:rPr>
        <w:lastRenderedPageBreak/>
        <w:t>Relationship with O</w:t>
      </w:r>
      <w:r w:rsidR="00AC0C71" w:rsidRPr="000D65CE">
        <w:rPr>
          <w:lang w:val="en-GB"/>
        </w:rPr>
        <w:t>ther Planning Documents</w:t>
      </w:r>
    </w:p>
    <w:p w14:paraId="701E8E9A" w14:textId="77777777" w:rsidR="00747592" w:rsidRPr="000D65CE" w:rsidRDefault="00C44288" w:rsidP="003B280C">
      <w:pPr>
        <w:jc w:val="both"/>
        <w:rPr>
          <w:rFonts w:eastAsia="MS Mincho" w:cs="Arial"/>
          <w:szCs w:val="22"/>
        </w:rPr>
      </w:pPr>
      <w:r w:rsidRPr="000D65CE">
        <w:rPr>
          <w:rFonts w:cs="Arial"/>
          <w:szCs w:val="22"/>
        </w:rPr>
        <w:t>This SPD forms part of the b</w:t>
      </w:r>
      <w:r w:rsidR="00747592" w:rsidRPr="000D65CE">
        <w:rPr>
          <w:rFonts w:cs="Arial"/>
          <w:szCs w:val="22"/>
        </w:rPr>
        <w:t xml:space="preserve">orough’s Local Development Documents comprising the Local Plan, </w:t>
      </w:r>
      <w:r w:rsidR="009B6F2D" w:rsidRPr="000D65CE">
        <w:rPr>
          <w:rFonts w:cs="Arial"/>
          <w:szCs w:val="22"/>
        </w:rPr>
        <w:t>Neighbourhood Plans</w:t>
      </w:r>
      <w:r w:rsidR="00747592" w:rsidRPr="000D65CE">
        <w:rPr>
          <w:rFonts w:cs="Arial"/>
          <w:szCs w:val="22"/>
        </w:rPr>
        <w:t xml:space="preserve"> and other SPDs. This document provides detailed guidance on how </w:t>
      </w:r>
      <w:r w:rsidR="00E03C40" w:rsidRPr="000D65CE">
        <w:rPr>
          <w:rFonts w:cs="Arial"/>
          <w:szCs w:val="22"/>
        </w:rPr>
        <w:t xml:space="preserve">Local Plan </w:t>
      </w:r>
      <w:r w:rsidR="00747592" w:rsidRPr="000D65CE">
        <w:rPr>
          <w:rFonts w:cs="Arial"/>
          <w:szCs w:val="22"/>
        </w:rPr>
        <w:t>policies relat</w:t>
      </w:r>
      <w:r w:rsidR="00E03C40" w:rsidRPr="000D65CE">
        <w:rPr>
          <w:rFonts w:cs="Arial"/>
          <w:szCs w:val="22"/>
        </w:rPr>
        <w:t>ed</w:t>
      </w:r>
      <w:r w:rsidR="00747592" w:rsidRPr="000D65CE">
        <w:rPr>
          <w:rFonts w:cs="Arial"/>
          <w:szCs w:val="22"/>
        </w:rPr>
        <w:t xml:space="preserve"> to planning obligations will be implemented.</w:t>
      </w:r>
    </w:p>
    <w:p w14:paraId="5F519ED5" w14:textId="77777777" w:rsidR="0037749F" w:rsidRPr="000D65CE" w:rsidRDefault="00747592" w:rsidP="003B280C">
      <w:pPr>
        <w:jc w:val="both"/>
        <w:rPr>
          <w:rFonts w:cs="Arial"/>
          <w:szCs w:val="22"/>
        </w:rPr>
      </w:pPr>
      <w:r w:rsidRPr="000D65CE">
        <w:rPr>
          <w:rFonts w:cs="Arial"/>
          <w:szCs w:val="22"/>
        </w:rPr>
        <w:t xml:space="preserve">The Local Plan (2020) sets out policies regarding the development and use of land which the Council wishes to encourage during the Plan period </w:t>
      </w:r>
      <w:r w:rsidR="00E03C40" w:rsidRPr="000D65CE">
        <w:rPr>
          <w:rFonts w:cs="Arial"/>
          <w:szCs w:val="22"/>
        </w:rPr>
        <w:t xml:space="preserve">to </w:t>
      </w:r>
      <w:r w:rsidRPr="000D65CE">
        <w:rPr>
          <w:rFonts w:cs="Arial"/>
          <w:szCs w:val="22"/>
        </w:rPr>
        <w:t>2031. Th</w:t>
      </w:r>
      <w:r w:rsidR="009B6F2D" w:rsidRPr="000D65CE">
        <w:rPr>
          <w:rFonts w:cs="Arial"/>
          <w:szCs w:val="22"/>
        </w:rPr>
        <w:t>is SPD sets out the objectives and reasoned justification</w:t>
      </w:r>
      <w:r w:rsidRPr="000D65CE">
        <w:rPr>
          <w:rFonts w:cs="Arial"/>
          <w:szCs w:val="22"/>
        </w:rPr>
        <w:t xml:space="preserve"> of the Council’s approach to</w:t>
      </w:r>
      <w:r w:rsidR="00E03C40" w:rsidRPr="000D65CE">
        <w:rPr>
          <w:rFonts w:cs="Arial"/>
          <w:szCs w:val="22"/>
        </w:rPr>
        <w:t xml:space="preserve"> how it will use</w:t>
      </w:r>
      <w:r w:rsidRPr="000D65CE">
        <w:rPr>
          <w:rFonts w:cs="Arial"/>
          <w:szCs w:val="22"/>
        </w:rPr>
        <w:t xml:space="preserve"> planning obligations</w:t>
      </w:r>
      <w:r w:rsidR="00660023" w:rsidRPr="000D65CE">
        <w:rPr>
          <w:rFonts w:cs="Arial"/>
          <w:szCs w:val="22"/>
        </w:rPr>
        <w:t>.</w:t>
      </w:r>
    </w:p>
    <w:p w14:paraId="59473901" w14:textId="13E3C6B9" w:rsidR="00E97A06" w:rsidRPr="000D65CE" w:rsidRDefault="00E97A06" w:rsidP="003B280C">
      <w:pPr>
        <w:jc w:val="both"/>
        <w:rPr>
          <w:rFonts w:cs="Arial"/>
          <w:szCs w:val="22"/>
        </w:rPr>
      </w:pPr>
      <w:r w:rsidRPr="000D65CE">
        <w:rPr>
          <w:rFonts w:cs="Arial"/>
          <w:szCs w:val="22"/>
        </w:rPr>
        <w:t>The London Legacy Development Corporation (LLDC</w:t>
      </w:r>
      <w:r w:rsidR="0049699A" w:rsidRPr="000D65CE">
        <w:rPr>
          <w:rFonts w:cs="Arial"/>
          <w:szCs w:val="22"/>
        </w:rPr>
        <w:t>) has</w:t>
      </w:r>
      <w:r w:rsidRPr="000D65CE">
        <w:rPr>
          <w:rFonts w:cs="Arial"/>
          <w:szCs w:val="22"/>
        </w:rPr>
        <w:t xml:space="preserve"> temporary powers to act as the planning authority for an area</w:t>
      </w:r>
      <w:r w:rsidR="00C44288" w:rsidRPr="000D65CE">
        <w:rPr>
          <w:rFonts w:cs="Arial"/>
          <w:szCs w:val="22"/>
        </w:rPr>
        <w:t xml:space="preserve"> towards the north-east of the b</w:t>
      </w:r>
      <w:r w:rsidRPr="000D65CE">
        <w:rPr>
          <w:rFonts w:cs="Arial"/>
          <w:szCs w:val="22"/>
        </w:rPr>
        <w:t xml:space="preserve">orough. LLDC’s planning guidance should be followed until such time that planning powers for this area are handed back to </w:t>
      </w:r>
      <w:r w:rsidR="00B34CF2">
        <w:rPr>
          <w:rFonts w:cs="Arial"/>
          <w:szCs w:val="22"/>
        </w:rPr>
        <w:t>LBTH</w:t>
      </w:r>
      <w:r w:rsidRPr="000D65CE">
        <w:rPr>
          <w:rFonts w:cs="Arial"/>
          <w:szCs w:val="22"/>
        </w:rPr>
        <w:t>. The process to achieve this transition will be agreed with th</w:t>
      </w:r>
      <w:r w:rsidR="00C44288" w:rsidRPr="000D65CE">
        <w:rPr>
          <w:rFonts w:cs="Arial"/>
          <w:szCs w:val="22"/>
        </w:rPr>
        <w:t>e Mayor, LLDC and the relevant b</w:t>
      </w:r>
      <w:r w:rsidRPr="000D65CE">
        <w:rPr>
          <w:rFonts w:cs="Arial"/>
          <w:szCs w:val="22"/>
        </w:rPr>
        <w:t xml:space="preserve">oroughs and stakeholders.  </w:t>
      </w:r>
    </w:p>
    <w:p w14:paraId="1C62BD39" w14:textId="69746984" w:rsidR="00AC0C71" w:rsidRPr="000D65CE" w:rsidRDefault="00834E24" w:rsidP="003B280C">
      <w:pPr>
        <w:pStyle w:val="Heading1"/>
        <w:jc w:val="both"/>
        <w:rPr>
          <w:lang w:val="en-GB"/>
        </w:rPr>
      </w:pPr>
      <w:r w:rsidRPr="000D65CE">
        <w:rPr>
          <w:lang w:val="en-GB"/>
        </w:rPr>
        <w:t xml:space="preserve">How </w:t>
      </w:r>
      <w:r w:rsidR="0031438F" w:rsidRPr="000D65CE">
        <w:rPr>
          <w:lang w:val="en-GB"/>
        </w:rPr>
        <w:t>s</w:t>
      </w:r>
      <w:r w:rsidRPr="000D65CE">
        <w:rPr>
          <w:lang w:val="en-GB"/>
        </w:rPr>
        <w:t xml:space="preserve">hould it be </w:t>
      </w:r>
      <w:r w:rsidR="0031438F" w:rsidRPr="000D65CE">
        <w:rPr>
          <w:lang w:val="en-GB"/>
        </w:rPr>
        <w:t>u</w:t>
      </w:r>
      <w:r w:rsidR="00AC0C71" w:rsidRPr="000D65CE">
        <w:rPr>
          <w:lang w:val="en-GB"/>
        </w:rPr>
        <w:t>sed?</w:t>
      </w:r>
    </w:p>
    <w:p w14:paraId="1301EFBA" w14:textId="768F9BD6" w:rsidR="007C1925" w:rsidRPr="000D65CE" w:rsidRDefault="00AC0C71" w:rsidP="003B280C">
      <w:pPr>
        <w:jc w:val="both"/>
        <w:rPr>
          <w:rFonts w:cs="Arial"/>
          <w:szCs w:val="22"/>
        </w:rPr>
      </w:pPr>
      <w:r w:rsidRPr="000D65CE">
        <w:rPr>
          <w:rFonts w:cs="Arial"/>
          <w:szCs w:val="22"/>
        </w:rPr>
        <w:t>This SPD should be used as a framework for</w:t>
      </w:r>
      <w:r w:rsidR="00EB2D3E" w:rsidRPr="000D65CE">
        <w:rPr>
          <w:rFonts w:cs="Arial"/>
          <w:szCs w:val="22"/>
        </w:rPr>
        <w:t xml:space="preserve"> identifying and</w:t>
      </w:r>
      <w:r w:rsidRPr="000D65CE">
        <w:rPr>
          <w:rFonts w:cs="Arial"/>
          <w:szCs w:val="22"/>
        </w:rPr>
        <w:t xml:space="preserve"> calculating</w:t>
      </w:r>
      <w:r w:rsidR="00EB2D3E" w:rsidRPr="000D65CE">
        <w:rPr>
          <w:rFonts w:cs="Arial"/>
          <w:szCs w:val="22"/>
        </w:rPr>
        <w:t xml:space="preserve"> the financial and non-financial contributions</w:t>
      </w:r>
      <w:r w:rsidRPr="000D65CE">
        <w:rPr>
          <w:rFonts w:cs="Arial"/>
          <w:szCs w:val="22"/>
        </w:rPr>
        <w:t xml:space="preserve"> associated with developments in the LBTH. </w:t>
      </w:r>
    </w:p>
    <w:p w14:paraId="4C567901" w14:textId="6B5D2035" w:rsidR="00AC0C71" w:rsidRPr="000D65CE" w:rsidRDefault="00EB2D3E" w:rsidP="003B280C">
      <w:pPr>
        <w:jc w:val="both"/>
        <w:rPr>
          <w:rFonts w:cs="Arial"/>
          <w:szCs w:val="22"/>
        </w:rPr>
      </w:pPr>
      <w:r w:rsidRPr="000D65CE">
        <w:rPr>
          <w:rFonts w:cs="Arial"/>
          <w:szCs w:val="22"/>
        </w:rPr>
        <w:t xml:space="preserve">This SPD is a statutory document and a </w:t>
      </w:r>
      <w:r w:rsidR="000B2596" w:rsidRPr="000D65CE">
        <w:rPr>
          <w:rFonts w:cs="Arial"/>
          <w:szCs w:val="22"/>
        </w:rPr>
        <w:t>Material C</w:t>
      </w:r>
      <w:r w:rsidR="00AC0C71" w:rsidRPr="000D65CE">
        <w:rPr>
          <w:rFonts w:cs="Arial"/>
          <w:szCs w:val="22"/>
        </w:rPr>
        <w:t xml:space="preserve">onsideration when assessing planning applications. Developers </w:t>
      </w:r>
      <w:r w:rsidR="0031438F" w:rsidRPr="000D65CE">
        <w:rPr>
          <w:rFonts w:cs="Arial"/>
          <w:szCs w:val="22"/>
        </w:rPr>
        <w:t xml:space="preserve">and landowners </w:t>
      </w:r>
      <w:r w:rsidR="00AC0C71" w:rsidRPr="000D65CE">
        <w:rPr>
          <w:rFonts w:cs="Arial"/>
          <w:szCs w:val="22"/>
        </w:rPr>
        <w:t>should draw on th</w:t>
      </w:r>
      <w:r w:rsidR="00E03C40" w:rsidRPr="000D65CE">
        <w:rPr>
          <w:rFonts w:cs="Arial"/>
          <w:szCs w:val="22"/>
        </w:rPr>
        <w:t>is</w:t>
      </w:r>
      <w:r w:rsidR="00AC0C71" w:rsidRPr="000D65CE">
        <w:rPr>
          <w:rFonts w:cs="Arial"/>
          <w:szCs w:val="22"/>
        </w:rPr>
        <w:t xml:space="preserve"> document to assist </w:t>
      </w:r>
      <w:r w:rsidR="00E03C40" w:rsidRPr="000D65CE">
        <w:rPr>
          <w:rFonts w:cs="Arial"/>
          <w:szCs w:val="22"/>
        </w:rPr>
        <w:t>with</w:t>
      </w:r>
      <w:r w:rsidR="00AC0C71" w:rsidRPr="000D65CE">
        <w:rPr>
          <w:rFonts w:cs="Arial"/>
          <w:szCs w:val="22"/>
        </w:rPr>
        <w:t xml:space="preserve"> costing planning obligations and </w:t>
      </w:r>
      <w:r w:rsidR="00E03C40" w:rsidRPr="000D65CE">
        <w:rPr>
          <w:rFonts w:cs="Arial"/>
          <w:szCs w:val="22"/>
        </w:rPr>
        <w:t xml:space="preserve">streamlining the negotiation and agreement of obligations with the Council. </w:t>
      </w:r>
    </w:p>
    <w:p w14:paraId="1645F050" w14:textId="6EA9938D" w:rsidR="006F37F3" w:rsidRDefault="006A40E3" w:rsidP="003B280C">
      <w:pPr>
        <w:jc w:val="both"/>
        <w:rPr>
          <w:rFonts w:cs="Arial"/>
          <w:szCs w:val="22"/>
        </w:rPr>
      </w:pPr>
      <w:r>
        <w:rPr>
          <w:rFonts w:cs="Arial"/>
          <w:szCs w:val="22"/>
        </w:rPr>
        <w:t>The p</w:t>
      </w:r>
      <w:r w:rsidR="00FE5A07" w:rsidRPr="000D65CE">
        <w:rPr>
          <w:rFonts w:cs="Arial"/>
          <w:szCs w:val="22"/>
        </w:rPr>
        <w:t>lanning obligations outlined in th</w:t>
      </w:r>
      <w:r w:rsidR="00917206" w:rsidRPr="000D65CE">
        <w:rPr>
          <w:rFonts w:cs="Arial"/>
          <w:szCs w:val="22"/>
        </w:rPr>
        <w:t>is</w:t>
      </w:r>
      <w:r w:rsidR="00FE5A07" w:rsidRPr="000D65CE">
        <w:rPr>
          <w:rFonts w:cs="Arial"/>
          <w:szCs w:val="22"/>
        </w:rPr>
        <w:t xml:space="preserve"> SPD are not</w:t>
      </w:r>
      <w:r w:rsidR="00E97A06" w:rsidRPr="000D65CE">
        <w:rPr>
          <w:rFonts w:cs="Arial"/>
          <w:szCs w:val="22"/>
        </w:rPr>
        <w:t xml:space="preserve"> an</w:t>
      </w:r>
      <w:r w:rsidR="00FE5A07" w:rsidRPr="000D65CE">
        <w:rPr>
          <w:rFonts w:cs="Arial"/>
          <w:szCs w:val="22"/>
        </w:rPr>
        <w:t xml:space="preserve"> exhaustive</w:t>
      </w:r>
      <w:r w:rsidR="00E97A06" w:rsidRPr="000D65CE">
        <w:rPr>
          <w:rFonts w:cs="Arial"/>
          <w:szCs w:val="22"/>
        </w:rPr>
        <w:t xml:space="preserve"> list</w:t>
      </w:r>
      <w:r w:rsidR="00FE5A07" w:rsidRPr="000D65CE">
        <w:rPr>
          <w:rFonts w:cs="Arial"/>
          <w:szCs w:val="22"/>
        </w:rPr>
        <w:t xml:space="preserve">. As new policy requirements emerge </w:t>
      </w:r>
      <w:r w:rsidR="00E03C40" w:rsidRPr="000D65CE">
        <w:rPr>
          <w:rFonts w:cs="Arial"/>
          <w:szCs w:val="22"/>
        </w:rPr>
        <w:t xml:space="preserve">or </w:t>
      </w:r>
      <w:r w:rsidR="00FE5A07" w:rsidRPr="000D65CE">
        <w:rPr>
          <w:rFonts w:cs="Arial"/>
          <w:szCs w:val="22"/>
        </w:rPr>
        <w:t>change, the SPD will be revised to refl</w:t>
      </w:r>
      <w:r w:rsidR="00386D57" w:rsidRPr="000D65CE">
        <w:rPr>
          <w:rFonts w:cs="Arial"/>
          <w:szCs w:val="22"/>
        </w:rPr>
        <w:t>ect these changes.</w:t>
      </w:r>
      <w:r w:rsidR="008161E2" w:rsidRPr="000D65CE">
        <w:rPr>
          <w:rFonts w:cs="Arial"/>
          <w:szCs w:val="22"/>
        </w:rPr>
        <w:t xml:space="preserve"> Additional planning obligations may</w:t>
      </w:r>
      <w:r w:rsidR="00E03C40" w:rsidRPr="000D65CE">
        <w:rPr>
          <w:rFonts w:cs="Arial"/>
          <w:szCs w:val="22"/>
        </w:rPr>
        <w:t xml:space="preserve"> also</w:t>
      </w:r>
      <w:r w:rsidR="008161E2" w:rsidRPr="000D65CE">
        <w:rPr>
          <w:rFonts w:cs="Arial"/>
          <w:szCs w:val="22"/>
        </w:rPr>
        <w:t xml:space="preserve"> be sought in some </w:t>
      </w:r>
      <w:r w:rsidR="00E03C40" w:rsidRPr="000D65CE">
        <w:rPr>
          <w:rFonts w:cs="Arial"/>
          <w:szCs w:val="22"/>
        </w:rPr>
        <w:t>circumstances</w:t>
      </w:r>
      <w:r w:rsidR="008161E2" w:rsidRPr="000D65CE">
        <w:rPr>
          <w:rFonts w:cs="Arial"/>
          <w:szCs w:val="22"/>
        </w:rPr>
        <w:t xml:space="preserve">, </w:t>
      </w:r>
      <w:r w:rsidR="00AC0C71" w:rsidRPr="000D65CE">
        <w:rPr>
          <w:rFonts w:cs="Arial"/>
          <w:szCs w:val="22"/>
        </w:rPr>
        <w:t>for example</w:t>
      </w:r>
      <w:r w:rsidR="00472054" w:rsidRPr="000D65CE">
        <w:rPr>
          <w:rFonts w:cs="Arial"/>
          <w:szCs w:val="22"/>
        </w:rPr>
        <w:t>,</w:t>
      </w:r>
      <w:r w:rsidR="00AC0C71" w:rsidRPr="000D65CE">
        <w:rPr>
          <w:rFonts w:cs="Arial"/>
          <w:szCs w:val="22"/>
        </w:rPr>
        <w:t xml:space="preserve"> in areas of intense redevelopment and regeneration,</w:t>
      </w:r>
      <w:r w:rsidR="00BA220B" w:rsidRPr="000D65CE">
        <w:rPr>
          <w:rFonts w:cs="Arial"/>
          <w:szCs w:val="22"/>
        </w:rPr>
        <w:t xml:space="preserve"> or in certain site</w:t>
      </w:r>
      <w:r w:rsidR="0050531B" w:rsidRPr="000D65CE">
        <w:rPr>
          <w:rFonts w:cs="Arial"/>
          <w:szCs w:val="22"/>
        </w:rPr>
        <w:t>-</w:t>
      </w:r>
      <w:r w:rsidR="00BA220B" w:rsidRPr="000D65CE">
        <w:rPr>
          <w:rFonts w:cs="Arial"/>
          <w:szCs w:val="22"/>
        </w:rPr>
        <w:t>specific locations</w:t>
      </w:r>
      <w:r w:rsidR="00917206" w:rsidRPr="000D65CE">
        <w:rPr>
          <w:rFonts w:cs="Arial"/>
          <w:szCs w:val="22"/>
        </w:rPr>
        <w:t>.</w:t>
      </w:r>
      <w:r w:rsidR="007A3249" w:rsidRPr="000D65CE">
        <w:rPr>
          <w:rFonts w:cs="Arial"/>
          <w:szCs w:val="22"/>
        </w:rPr>
        <w:t xml:space="preserve"> </w:t>
      </w:r>
    </w:p>
    <w:p w14:paraId="2C6CEB50" w14:textId="4D126D2A" w:rsidR="00BE00D3" w:rsidRPr="000D65CE" w:rsidRDefault="00917206" w:rsidP="003B280C">
      <w:pPr>
        <w:jc w:val="both"/>
        <w:rPr>
          <w:rFonts w:cs="Arial"/>
          <w:szCs w:val="22"/>
        </w:rPr>
      </w:pPr>
      <w:r w:rsidRPr="000D65CE">
        <w:rPr>
          <w:rFonts w:cs="Arial"/>
          <w:szCs w:val="22"/>
        </w:rPr>
        <w:t xml:space="preserve">The type and range of planning obligations will depend on the development and its impacts. </w:t>
      </w:r>
      <w:r w:rsidR="006F37F3">
        <w:rPr>
          <w:rFonts w:cs="Arial"/>
          <w:szCs w:val="22"/>
        </w:rPr>
        <w:t xml:space="preserve">The </w:t>
      </w:r>
      <w:r w:rsidR="00032BFE">
        <w:rPr>
          <w:rFonts w:cs="Arial"/>
          <w:szCs w:val="22"/>
        </w:rPr>
        <w:t>legal</w:t>
      </w:r>
      <w:r w:rsidR="006F37F3">
        <w:rPr>
          <w:rFonts w:cs="Arial"/>
          <w:szCs w:val="22"/>
        </w:rPr>
        <w:t xml:space="preserve"> agreement will also take into account phasing of developments or those that are subject to </w:t>
      </w:r>
      <w:r w:rsidR="008A6288">
        <w:rPr>
          <w:rFonts w:cs="Arial"/>
          <w:szCs w:val="22"/>
        </w:rPr>
        <w:t>r</w:t>
      </w:r>
      <w:r w:rsidR="006F37F3">
        <w:rPr>
          <w:rFonts w:cs="Arial"/>
          <w:szCs w:val="22"/>
        </w:rPr>
        <w:t xml:space="preserve">eserved </w:t>
      </w:r>
      <w:r w:rsidR="008A6288">
        <w:rPr>
          <w:rFonts w:cs="Arial"/>
          <w:szCs w:val="22"/>
        </w:rPr>
        <w:t>m</w:t>
      </w:r>
      <w:r w:rsidR="006F37F3">
        <w:rPr>
          <w:rFonts w:cs="Arial"/>
          <w:szCs w:val="22"/>
        </w:rPr>
        <w:t xml:space="preserve">atters </w:t>
      </w:r>
      <w:r w:rsidR="008A6288">
        <w:rPr>
          <w:rFonts w:cs="Arial"/>
          <w:szCs w:val="22"/>
        </w:rPr>
        <w:t>a</w:t>
      </w:r>
      <w:r w:rsidR="006F37F3">
        <w:rPr>
          <w:rFonts w:cs="Arial"/>
          <w:szCs w:val="22"/>
        </w:rPr>
        <w:t>pplications.</w:t>
      </w:r>
      <w:r w:rsidRPr="000D65CE">
        <w:rPr>
          <w:rFonts w:cs="Arial"/>
          <w:szCs w:val="22"/>
        </w:rPr>
        <w:t xml:space="preserve"> </w:t>
      </w:r>
      <w:r w:rsidR="00161091" w:rsidRPr="000D65CE">
        <w:rPr>
          <w:rFonts w:cs="Arial"/>
          <w:szCs w:val="22"/>
        </w:rPr>
        <w:t xml:space="preserve"> </w:t>
      </w:r>
    </w:p>
    <w:p w14:paraId="698C2EA2" w14:textId="77777777" w:rsidR="002B1983" w:rsidRPr="000D65CE" w:rsidRDefault="00161091" w:rsidP="003B280C">
      <w:pPr>
        <w:jc w:val="both"/>
        <w:rPr>
          <w:rFonts w:cs="Arial"/>
          <w:szCs w:val="22"/>
        </w:rPr>
      </w:pPr>
      <w:r w:rsidRPr="000D65CE">
        <w:rPr>
          <w:rFonts w:cs="Arial"/>
          <w:szCs w:val="22"/>
        </w:rPr>
        <w:t>This SPD should be read</w:t>
      </w:r>
      <w:r w:rsidR="004946C7" w:rsidRPr="000D65CE">
        <w:rPr>
          <w:rFonts w:cs="Arial"/>
          <w:szCs w:val="22"/>
        </w:rPr>
        <w:t xml:space="preserve"> </w:t>
      </w:r>
      <w:r w:rsidR="00E03C40" w:rsidRPr="000D65CE">
        <w:rPr>
          <w:rFonts w:cs="Arial"/>
          <w:szCs w:val="22"/>
        </w:rPr>
        <w:t>alongside</w:t>
      </w:r>
      <w:r w:rsidRPr="000D65CE">
        <w:rPr>
          <w:rFonts w:cs="Arial"/>
          <w:szCs w:val="22"/>
        </w:rPr>
        <w:t xml:space="preserve"> the</w:t>
      </w:r>
      <w:r w:rsidR="002B1983" w:rsidRPr="000D65CE">
        <w:rPr>
          <w:rFonts w:cs="Arial"/>
          <w:szCs w:val="22"/>
        </w:rPr>
        <w:t xml:space="preserve"> following documents: </w:t>
      </w:r>
    </w:p>
    <w:p w14:paraId="41E5DD22" w14:textId="77777777" w:rsidR="002B1983" w:rsidRPr="000D65CE" w:rsidRDefault="004A43C8" w:rsidP="003B280C">
      <w:pPr>
        <w:pStyle w:val="ListParagraph"/>
        <w:numPr>
          <w:ilvl w:val="0"/>
          <w:numId w:val="12"/>
        </w:numPr>
        <w:jc w:val="both"/>
        <w:rPr>
          <w:rFonts w:cs="Arial"/>
          <w:szCs w:val="22"/>
        </w:rPr>
      </w:pPr>
      <w:r w:rsidRPr="000D65CE">
        <w:rPr>
          <w:rFonts w:cs="Arial"/>
          <w:szCs w:val="22"/>
        </w:rPr>
        <w:t xml:space="preserve">Tower Hamlets </w:t>
      </w:r>
      <w:r w:rsidR="002B1983" w:rsidRPr="000D65CE">
        <w:rPr>
          <w:rFonts w:cs="Arial"/>
          <w:szCs w:val="22"/>
        </w:rPr>
        <w:t>Local Plan (</w:t>
      </w:r>
      <w:r w:rsidR="008B3D49" w:rsidRPr="000D65CE">
        <w:rPr>
          <w:rFonts w:cs="Arial"/>
          <w:szCs w:val="22"/>
        </w:rPr>
        <w:t xml:space="preserve">January </w:t>
      </w:r>
      <w:r w:rsidR="00602F03" w:rsidRPr="000D65CE">
        <w:rPr>
          <w:rFonts w:cs="Arial"/>
          <w:szCs w:val="22"/>
        </w:rPr>
        <w:t>2020</w:t>
      </w:r>
      <w:r w:rsidR="002B1983" w:rsidRPr="000D65CE">
        <w:rPr>
          <w:rFonts w:cs="Arial"/>
          <w:szCs w:val="22"/>
        </w:rPr>
        <w:t xml:space="preserve">) </w:t>
      </w:r>
    </w:p>
    <w:p w14:paraId="2A614ADA" w14:textId="77777777" w:rsidR="002B1983" w:rsidRPr="000D65CE" w:rsidRDefault="004946C7" w:rsidP="003B280C">
      <w:pPr>
        <w:pStyle w:val="ListParagraph"/>
        <w:numPr>
          <w:ilvl w:val="0"/>
          <w:numId w:val="12"/>
        </w:numPr>
        <w:jc w:val="both"/>
        <w:rPr>
          <w:rFonts w:cs="Arial"/>
          <w:szCs w:val="22"/>
        </w:rPr>
      </w:pPr>
      <w:r w:rsidRPr="000D65CE">
        <w:rPr>
          <w:rFonts w:cs="Arial"/>
          <w:szCs w:val="22"/>
        </w:rPr>
        <w:t xml:space="preserve">Tower Hamlets </w:t>
      </w:r>
      <w:r w:rsidR="00161091" w:rsidRPr="000D65CE">
        <w:rPr>
          <w:rFonts w:cs="Arial"/>
          <w:szCs w:val="22"/>
        </w:rPr>
        <w:t>CIL Charging Schedule</w:t>
      </w:r>
      <w:r w:rsidR="002B1983" w:rsidRPr="000D65CE">
        <w:rPr>
          <w:rFonts w:cs="Arial"/>
          <w:szCs w:val="22"/>
        </w:rPr>
        <w:t xml:space="preserve"> (</w:t>
      </w:r>
      <w:r w:rsidR="008B3D49" w:rsidRPr="000D65CE">
        <w:rPr>
          <w:rFonts w:cs="Arial"/>
          <w:szCs w:val="22"/>
        </w:rPr>
        <w:t xml:space="preserve">January </w:t>
      </w:r>
      <w:r w:rsidR="00602F03" w:rsidRPr="000D65CE">
        <w:rPr>
          <w:rFonts w:cs="Arial"/>
          <w:szCs w:val="22"/>
        </w:rPr>
        <w:t>2020</w:t>
      </w:r>
      <w:r w:rsidR="002B1983" w:rsidRPr="000D65CE">
        <w:rPr>
          <w:rFonts w:cs="Arial"/>
          <w:szCs w:val="22"/>
        </w:rPr>
        <w:t>)</w:t>
      </w:r>
      <w:r w:rsidR="00982155" w:rsidRPr="000D65CE">
        <w:rPr>
          <w:rFonts w:cs="Arial"/>
          <w:szCs w:val="22"/>
        </w:rPr>
        <w:t xml:space="preserve"> </w:t>
      </w:r>
    </w:p>
    <w:p w14:paraId="71815D71" w14:textId="77777777" w:rsidR="00275A90" w:rsidRPr="000D65CE" w:rsidRDefault="00982155" w:rsidP="003B280C">
      <w:pPr>
        <w:pStyle w:val="ListParagraph"/>
        <w:numPr>
          <w:ilvl w:val="0"/>
          <w:numId w:val="12"/>
        </w:numPr>
        <w:jc w:val="both"/>
        <w:rPr>
          <w:rFonts w:cs="Arial"/>
          <w:szCs w:val="22"/>
        </w:rPr>
      </w:pPr>
      <w:r w:rsidRPr="000D65CE">
        <w:rPr>
          <w:rFonts w:cs="Arial"/>
          <w:szCs w:val="22"/>
        </w:rPr>
        <w:t>Development Viability SPD (October 2017)</w:t>
      </w:r>
      <w:r w:rsidR="00161091" w:rsidRPr="000D65CE">
        <w:rPr>
          <w:rFonts w:cs="Arial"/>
          <w:szCs w:val="22"/>
        </w:rPr>
        <w:t xml:space="preserve"> </w:t>
      </w:r>
    </w:p>
    <w:p w14:paraId="0AEAA680" w14:textId="77777777" w:rsidR="00083251" w:rsidRPr="000D65CE" w:rsidRDefault="00083251" w:rsidP="003B280C">
      <w:pPr>
        <w:pStyle w:val="ListParagraph"/>
        <w:numPr>
          <w:ilvl w:val="0"/>
          <w:numId w:val="12"/>
        </w:numPr>
        <w:jc w:val="both"/>
        <w:rPr>
          <w:rFonts w:cs="Arial"/>
          <w:szCs w:val="22"/>
        </w:rPr>
      </w:pPr>
      <w:r w:rsidRPr="000D65CE">
        <w:rPr>
          <w:rFonts w:cs="Arial"/>
          <w:szCs w:val="22"/>
        </w:rPr>
        <w:t>Mayor of London’s Affordable Housing and Viability Supplementary Planning Guidance (August 2017)</w:t>
      </w:r>
    </w:p>
    <w:p w14:paraId="67022615" w14:textId="77777777" w:rsidR="00E7704C" w:rsidRPr="000D65CE" w:rsidRDefault="00E7704C" w:rsidP="003B280C">
      <w:pPr>
        <w:pStyle w:val="ListParagraph"/>
        <w:numPr>
          <w:ilvl w:val="0"/>
          <w:numId w:val="12"/>
        </w:numPr>
        <w:jc w:val="both"/>
        <w:rPr>
          <w:rFonts w:cs="Arial"/>
          <w:szCs w:val="22"/>
        </w:rPr>
      </w:pPr>
      <w:r w:rsidRPr="000D65CE">
        <w:rPr>
          <w:rFonts w:cs="Arial"/>
          <w:szCs w:val="22"/>
        </w:rPr>
        <w:t>The London Plan</w:t>
      </w:r>
    </w:p>
    <w:p w14:paraId="587BEC90" w14:textId="77777777" w:rsidR="004A43C8" w:rsidRPr="000D65CE" w:rsidRDefault="00275A90" w:rsidP="003B280C">
      <w:pPr>
        <w:pStyle w:val="ListParagraph"/>
        <w:numPr>
          <w:ilvl w:val="0"/>
          <w:numId w:val="12"/>
        </w:numPr>
        <w:jc w:val="both"/>
        <w:rPr>
          <w:rFonts w:cs="Arial"/>
          <w:szCs w:val="22"/>
        </w:rPr>
      </w:pPr>
      <w:r w:rsidRPr="000D65CE">
        <w:rPr>
          <w:rFonts w:cs="Arial"/>
          <w:szCs w:val="22"/>
        </w:rPr>
        <w:t>O</w:t>
      </w:r>
      <w:r w:rsidR="004A43C8" w:rsidRPr="000D65CE">
        <w:rPr>
          <w:rFonts w:cs="Arial"/>
          <w:szCs w:val="22"/>
        </w:rPr>
        <w:t>ther relevant</w:t>
      </w:r>
      <w:r w:rsidR="00E03C40" w:rsidRPr="000D65CE">
        <w:rPr>
          <w:rFonts w:cs="Arial"/>
          <w:szCs w:val="22"/>
        </w:rPr>
        <w:t xml:space="preserve"> SPDs</w:t>
      </w:r>
      <w:r w:rsidR="004A43C8" w:rsidRPr="000D65CE">
        <w:rPr>
          <w:rFonts w:cs="Arial"/>
          <w:szCs w:val="22"/>
        </w:rPr>
        <w:t xml:space="preserve"> </w:t>
      </w:r>
    </w:p>
    <w:p w14:paraId="252F3099" w14:textId="77777777" w:rsidR="00AC0C71" w:rsidRPr="000D65CE" w:rsidRDefault="00AC0C71" w:rsidP="003B280C">
      <w:pPr>
        <w:jc w:val="both"/>
        <w:rPr>
          <w:rFonts w:cs="Arial"/>
          <w:szCs w:val="22"/>
        </w:rPr>
      </w:pPr>
    </w:p>
    <w:p w14:paraId="1BBC0318" w14:textId="52EC8B39" w:rsidR="00444759" w:rsidRPr="000D65CE" w:rsidRDefault="001B013A" w:rsidP="00721B10">
      <w:pPr>
        <w:pStyle w:val="Headers"/>
      </w:pPr>
      <w:bookmarkStart w:id="1" w:name="_Toc69374665"/>
      <w:r w:rsidRPr="000D65CE">
        <w:lastRenderedPageBreak/>
        <w:t>Introduction</w:t>
      </w:r>
      <w:bookmarkEnd w:id="1"/>
    </w:p>
    <w:p w14:paraId="16CF77CD" w14:textId="68760E59" w:rsidR="00534DB2" w:rsidRDefault="00FB4A68" w:rsidP="003B280C">
      <w:pPr>
        <w:pStyle w:val="Paragraphs"/>
        <w:rPr>
          <w:lang w:val="en-GB"/>
        </w:rPr>
      </w:pPr>
      <w:r w:rsidRPr="28D940A9">
        <w:rPr>
          <w:lang w:val="en-GB"/>
        </w:rPr>
        <w:t>This Supplementary Planning D</w:t>
      </w:r>
      <w:r w:rsidR="00534DB2" w:rsidRPr="28D940A9">
        <w:rPr>
          <w:lang w:val="en-GB"/>
        </w:rPr>
        <w:t xml:space="preserve">ocument (SPD) provides </w:t>
      </w:r>
      <w:r w:rsidR="004946C7" w:rsidRPr="28D940A9">
        <w:rPr>
          <w:lang w:val="en-GB"/>
        </w:rPr>
        <w:t xml:space="preserve">reasoned </w:t>
      </w:r>
      <w:r w:rsidR="008161E2" w:rsidRPr="28D940A9">
        <w:rPr>
          <w:lang w:val="en-GB"/>
        </w:rPr>
        <w:t xml:space="preserve">guidance on the use of </w:t>
      </w:r>
      <w:r w:rsidR="00534DB2" w:rsidRPr="28D940A9">
        <w:rPr>
          <w:lang w:val="en-GB"/>
        </w:rPr>
        <w:t>planning obligations</w:t>
      </w:r>
      <w:r w:rsidR="00E03C40" w:rsidRPr="28D940A9">
        <w:rPr>
          <w:lang w:val="en-GB"/>
        </w:rPr>
        <w:t xml:space="preserve"> in Tower Hamlets</w:t>
      </w:r>
      <w:r w:rsidR="00534DB2" w:rsidRPr="28D940A9">
        <w:rPr>
          <w:lang w:val="en-GB"/>
        </w:rPr>
        <w:t xml:space="preserve"> alongside </w:t>
      </w:r>
      <w:r w:rsidR="00D42822" w:rsidRPr="28D940A9">
        <w:rPr>
          <w:lang w:val="en-GB"/>
        </w:rPr>
        <w:t>CIL</w:t>
      </w:r>
      <w:r w:rsidR="00534DB2" w:rsidRPr="28D940A9">
        <w:rPr>
          <w:lang w:val="en-GB"/>
        </w:rPr>
        <w:t xml:space="preserve">. </w:t>
      </w:r>
      <w:r w:rsidR="00E03C40" w:rsidRPr="28D940A9">
        <w:rPr>
          <w:lang w:val="en-GB"/>
        </w:rPr>
        <w:t>It seeks</w:t>
      </w:r>
      <w:r w:rsidR="00534DB2" w:rsidRPr="28D940A9">
        <w:rPr>
          <w:lang w:val="en-GB"/>
        </w:rPr>
        <w:t xml:space="preserve"> to </w:t>
      </w:r>
      <w:r w:rsidR="008161E2" w:rsidRPr="28D940A9">
        <w:rPr>
          <w:lang w:val="en-GB"/>
        </w:rPr>
        <w:t>provide</w:t>
      </w:r>
      <w:r w:rsidR="00534DB2" w:rsidRPr="28D940A9">
        <w:rPr>
          <w:lang w:val="en-GB"/>
        </w:rPr>
        <w:t xml:space="preserve"> </w:t>
      </w:r>
      <w:r w:rsidR="008161E2" w:rsidRPr="28D940A9">
        <w:rPr>
          <w:lang w:val="en-GB"/>
        </w:rPr>
        <w:t xml:space="preserve">clarity </w:t>
      </w:r>
      <w:r w:rsidR="00534DB2" w:rsidRPr="28D940A9">
        <w:rPr>
          <w:lang w:val="en-GB"/>
        </w:rPr>
        <w:t>on the</w:t>
      </w:r>
      <w:r w:rsidR="004977D5" w:rsidRPr="28D940A9">
        <w:rPr>
          <w:lang w:val="en-GB"/>
        </w:rPr>
        <w:t xml:space="preserve"> </w:t>
      </w:r>
      <w:r w:rsidR="001A338D" w:rsidRPr="28D940A9">
        <w:rPr>
          <w:lang w:val="en-GB"/>
        </w:rPr>
        <w:t>Council’s</w:t>
      </w:r>
      <w:r w:rsidR="004977D5" w:rsidRPr="28D940A9">
        <w:rPr>
          <w:lang w:val="en-GB"/>
        </w:rPr>
        <w:t xml:space="preserve"> position regarding</w:t>
      </w:r>
      <w:r w:rsidR="00534DB2" w:rsidRPr="28D940A9">
        <w:rPr>
          <w:lang w:val="en-GB"/>
        </w:rPr>
        <w:t xml:space="preserve"> </w:t>
      </w:r>
      <w:r w:rsidR="004977D5" w:rsidRPr="28D940A9">
        <w:rPr>
          <w:lang w:val="en-GB"/>
        </w:rPr>
        <w:t xml:space="preserve"> the combination of </w:t>
      </w:r>
      <w:r w:rsidR="00747592" w:rsidRPr="28D940A9">
        <w:rPr>
          <w:lang w:val="en-GB"/>
        </w:rPr>
        <w:t>Borough</w:t>
      </w:r>
      <w:r w:rsidR="00917206" w:rsidRPr="28D940A9">
        <w:rPr>
          <w:lang w:val="en-GB"/>
        </w:rPr>
        <w:t xml:space="preserve"> CIL and</w:t>
      </w:r>
      <w:r w:rsidR="004977D5" w:rsidRPr="28D940A9">
        <w:rPr>
          <w:lang w:val="en-GB"/>
        </w:rPr>
        <w:t xml:space="preserve"> the use of</w:t>
      </w:r>
      <w:r w:rsidR="00917206" w:rsidRPr="28D940A9">
        <w:rPr>
          <w:lang w:val="en-GB"/>
        </w:rPr>
        <w:t xml:space="preserve"> </w:t>
      </w:r>
      <w:r w:rsidR="00534DB2" w:rsidRPr="28D940A9">
        <w:rPr>
          <w:lang w:val="en-GB"/>
        </w:rPr>
        <w:t>planning obligations</w:t>
      </w:r>
      <w:r w:rsidR="00E03C40" w:rsidRPr="28D940A9">
        <w:rPr>
          <w:lang w:val="en-GB"/>
        </w:rPr>
        <w:t>.</w:t>
      </w:r>
    </w:p>
    <w:p w14:paraId="3033C346" w14:textId="59E1B9DC" w:rsidR="00EC4DBD" w:rsidRPr="000D65CE" w:rsidRDefault="007A3249" w:rsidP="003B280C">
      <w:pPr>
        <w:pStyle w:val="Paragraphs"/>
        <w:rPr>
          <w:lang w:val="en-GB"/>
        </w:rPr>
      </w:pPr>
      <w:r w:rsidRPr="000D65CE">
        <w:rPr>
          <w:lang w:val="en-GB"/>
        </w:rPr>
        <w:t>Contributions will be</w:t>
      </w:r>
      <w:r w:rsidR="00E97A06" w:rsidRPr="000D65CE">
        <w:rPr>
          <w:lang w:val="en-GB"/>
        </w:rPr>
        <w:t xml:space="preserve"> made through </w:t>
      </w:r>
      <w:r w:rsidR="00D42822" w:rsidRPr="000D65CE">
        <w:rPr>
          <w:lang w:val="en-GB"/>
        </w:rPr>
        <w:t>CIL</w:t>
      </w:r>
      <w:r w:rsidR="00E97A06" w:rsidRPr="000D65CE">
        <w:rPr>
          <w:lang w:val="en-GB"/>
        </w:rPr>
        <w:t xml:space="preserve"> and/or </w:t>
      </w:r>
      <w:r w:rsidR="00032BFE">
        <w:rPr>
          <w:lang w:val="en-GB"/>
        </w:rPr>
        <w:t>legal</w:t>
      </w:r>
      <w:r w:rsidR="00E97A06" w:rsidRPr="000D65CE">
        <w:rPr>
          <w:lang w:val="en-GB"/>
        </w:rPr>
        <w:t xml:space="preserve"> agreements. CIL is</w:t>
      </w:r>
      <w:r w:rsidRPr="000D65CE">
        <w:rPr>
          <w:lang w:val="en-GB"/>
        </w:rPr>
        <w:t xml:space="preserve"> a standard charge to</w:t>
      </w:r>
      <w:r w:rsidR="00E03C40" w:rsidRPr="000D65CE">
        <w:rPr>
          <w:lang w:val="en-GB"/>
        </w:rPr>
        <w:t xml:space="preserve"> mitigate</w:t>
      </w:r>
      <w:r w:rsidR="002E0DDE">
        <w:rPr>
          <w:lang w:val="en-GB"/>
        </w:rPr>
        <w:t xml:space="preserve"> the</w:t>
      </w:r>
      <w:r w:rsidR="00E03C40" w:rsidRPr="000D65CE">
        <w:rPr>
          <w:lang w:val="en-GB"/>
        </w:rPr>
        <w:t xml:space="preserve"> cumulative impacts </w:t>
      </w:r>
      <w:r w:rsidR="002E0DDE">
        <w:rPr>
          <w:lang w:val="en-GB"/>
        </w:rPr>
        <w:t xml:space="preserve">of development </w:t>
      </w:r>
      <w:r w:rsidR="00E03C40" w:rsidRPr="000D65CE">
        <w:rPr>
          <w:lang w:val="en-GB"/>
        </w:rPr>
        <w:t>through funding infrastructure delivery</w:t>
      </w:r>
      <w:r w:rsidR="00207D1A" w:rsidRPr="000D65CE">
        <w:rPr>
          <w:lang w:val="en-GB"/>
        </w:rPr>
        <w:t xml:space="preserve"> across the borough</w:t>
      </w:r>
      <w:r w:rsidR="00E03C40" w:rsidRPr="000D65CE">
        <w:rPr>
          <w:lang w:val="en-GB"/>
        </w:rPr>
        <w:t xml:space="preserve"> including</w:t>
      </w:r>
      <w:r w:rsidRPr="000D65CE">
        <w:rPr>
          <w:lang w:val="en-GB"/>
        </w:rPr>
        <w:t xml:space="preserve"> transport, schools, community facilities and health centres</w:t>
      </w:r>
      <w:r w:rsidR="00E97A06" w:rsidRPr="000D65CE">
        <w:rPr>
          <w:lang w:val="en-GB"/>
        </w:rPr>
        <w:t xml:space="preserve">. </w:t>
      </w:r>
      <w:r w:rsidR="00032BFE">
        <w:rPr>
          <w:lang w:val="en-GB"/>
        </w:rPr>
        <w:t>Legal</w:t>
      </w:r>
      <w:r w:rsidRPr="000D65CE">
        <w:rPr>
          <w:lang w:val="en-GB"/>
        </w:rPr>
        <w:t xml:space="preserve"> agreements </w:t>
      </w:r>
      <w:r w:rsidR="00E03C40" w:rsidRPr="000D65CE">
        <w:rPr>
          <w:lang w:val="en-GB"/>
        </w:rPr>
        <w:t xml:space="preserve">mitigate site-specific impacts </w:t>
      </w:r>
      <w:r w:rsidR="00BC53F5" w:rsidRPr="000D65CE">
        <w:rPr>
          <w:lang w:val="en-GB"/>
        </w:rPr>
        <w:t>to make the development acceptable in planning terms</w:t>
      </w:r>
      <w:r w:rsidRPr="000D65CE">
        <w:rPr>
          <w:lang w:val="en-GB"/>
        </w:rPr>
        <w:t>.</w:t>
      </w:r>
    </w:p>
    <w:p w14:paraId="4CD71910" w14:textId="43A408A2" w:rsidR="00EC4DBD" w:rsidRPr="000D65CE" w:rsidRDefault="00EC4DBD" w:rsidP="003B280C">
      <w:pPr>
        <w:pStyle w:val="Paragraphs"/>
        <w:rPr>
          <w:lang w:val="en-GB"/>
        </w:rPr>
      </w:pPr>
      <w:r w:rsidRPr="000D65CE">
        <w:rPr>
          <w:lang w:val="en-GB"/>
        </w:rPr>
        <w:t xml:space="preserve">Section 106 obligations will be sought where the </w:t>
      </w:r>
      <w:r w:rsidR="0030297F" w:rsidRPr="000D65CE">
        <w:rPr>
          <w:lang w:val="en-GB"/>
        </w:rPr>
        <w:t>impacts of</w:t>
      </w:r>
      <w:r w:rsidRPr="000D65CE">
        <w:rPr>
          <w:lang w:val="en-GB"/>
        </w:rPr>
        <w:t xml:space="preserve"> a proposed development cannot be addressed through planning conditions and the </w:t>
      </w:r>
      <w:r w:rsidR="00BC53F5" w:rsidRPr="000D65CE">
        <w:rPr>
          <w:lang w:val="en-GB"/>
        </w:rPr>
        <w:t xml:space="preserve">planning obligations </w:t>
      </w:r>
      <w:r w:rsidRPr="000D65CE">
        <w:rPr>
          <w:lang w:val="en-GB"/>
        </w:rPr>
        <w:t>relate</w:t>
      </w:r>
      <w:r w:rsidR="0030297F" w:rsidRPr="000D65CE">
        <w:rPr>
          <w:lang w:val="en-GB"/>
        </w:rPr>
        <w:t xml:space="preserve"> directly</w:t>
      </w:r>
      <w:r w:rsidRPr="000D65CE">
        <w:rPr>
          <w:lang w:val="en-GB"/>
        </w:rPr>
        <w:t xml:space="preserve"> to that development. </w:t>
      </w:r>
    </w:p>
    <w:p w14:paraId="72E96356" w14:textId="77777777" w:rsidR="00EC4DBD" w:rsidRPr="000D65CE" w:rsidRDefault="00EC4DBD" w:rsidP="009B7255">
      <w:pPr>
        <w:pStyle w:val="Paragraphs"/>
        <w:spacing w:after="180"/>
        <w:rPr>
          <w:lang w:val="en-GB"/>
        </w:rPr>
      </w:pPr>
      <w:r w:rsidRPr="000D65CE">
        <w:rPr>
          <w:lang w:val="en-GB"/>
        </w:rPr>
        <w:t>In particular, planning obligations can be used to:</w:t>
      </w:r>
    </w:p>
    <w:p w14:paraId="7E94C2FD" w14:textId="77777777" w:rsidR="00EC4DBD" w:rsidRPr="000D65CE" w:rsidRDefault="00E067C8" w:rsidP="003B280C">
      <w:pPr>
        <w:pStyle w:val="ListBullet4"/>
        <w:jc w:val="both"/>
      </w:pPr>
      <w:r>
        <w:t>P</w:t>
      </w:r>
      <w:r w:rsidR="00EC4DBD">
        <w:t xml:space="preserve">rescribe the nature of development (for example, a proportion of the housing development </w:t>
      </w:r>
      <w:r w:rsidR="0030297F">
        <w:t xml:space="preserve">to </w:t>
      </w:r>
      <w:r w:rsidR="00EC4DBD">
        <w:t>be affordable)</w:t>
      </w:r>
    </w:p>
    <w:p w14:paraId="2C0961B7" w14:textId="77777777" w:rsidR="00EC4DBD" w:rsidRPr="000D65CE" w:rsidRDefault="00E067C8" w:rsidP="003B280C">
      <w:pPr>
        <w:pStyle w:val="ListBullet4"/>
        <w:jc w:val="both"/>
      </w:pPr>
      <w:r>
        <w:t>C</w:t>
      </w:r>
      <w:r w:rsidR="00EC4DBD">
        <w:t xml:space="preserve">ompensate for any loss or damage resulting from a development </w:t>
      </w:r>
    </w:p>
    <w:p w14:paraId="7EF6826B" w14:textId="77777777" w:rsidR="00EC4DBD" w:rsidRPr="000D65CE" w:rsidRDefault="00E067C8" w:rsidP="003B280C">
      <w:pPr>
        <w:pStyle w:val="ListBullet4"/>
        <w:jc w:val="both"/>
        <w:rPr>
          <w:rFonts w:cs="Arial"/>
        </w:rPr>
      </w:pPr>
      <w:r>
        <w:t>M</w:t>
      </w:r>
      <w:r w:rsidR="00EC4DBD">
        <w:t>itigate the impact</w:t>
      </w:r>
      <w:r w:rsidR="0030297F">
        <w:t>s</w:t>
      </w:r>
      <w:r w:rsidR="00EC4DBD">
        <w:t xml:space="preserve"> of a development </w:t>
      </w:r>
    </w:p>
    <w:p w14:paraId="51F63403" w14:textId="77777777" w:rsidR="00EC4DBD" w:rsidRPr="000D65CE" w:rsidRDefault="00EC4DBD" w:rsidP="009B7255">
      <w:pPr>
        <w:pStyle w:val="Paragraphs"/>
        <w:spacing w:after="180"/>
        <w:rPr>
          <w:lang w:val="en-GB"/>
        </w:rPr>
      </w:pPr>
      <w:r w:rsidRPr="000D65CE">
        <w:rPr>
          <w:lang w:val="en-GB"/>
        </w:rPr>
        <w:t>Planning obligations must meet the following statutory tests</w:t>
      </w:r>
      <w:r w:rsidR="007A3249" w:rsidRPr="000D65CE">
        <w:rPr>
          <w:rStyle w:val="FootnoteReference"/>
          <w:lang w:val="en-GB"/>
        </w:rPr>
        <w:footnoteReference w:id="2"/>
      </w:r>
      <w:r w:rsidR="00472054" w:rsidRPr="000D65CE">
        <w:rPr>
          <w:lang w:val="en-GB"/>
        </w:rPr>
        <w:t>,</w:t>
      </w:r>
      <w:r w:rsidR="0030297F" w:rsidRPr="000D65CE">
        <w:rPr>
          <w:lang w:val="en-GB"/>
        </w:rPr>
        <w:t xml:space="preserve"> where they must be</w:t>
      </w:r>
      <w:r w:rsidRPr="000D65CE">
        <w:rPr>
          <w:lang w:val="en-GB"/>
        </w:rPr>
        <w:t xml:space="preserve">: </w:t>
      </w:r>
    </w:p>
    <w:p w14:paraId="6D363BB7" w14:textId="77777777" w:rsidR="00EC4DBD" w:rsidRPr="000D65CE" w:rsidRDefault="00EC4DBD" w:rsidP="003B280C">
      <w:pPr>
        <w:pStyle w:val="List4"/>
        <w:jc w:val="both"/>
      </w:pPr>
      <w:r w:rsidRPr="000D65CE">
        <w:t>necessary to make the development acceptable in planning terms</w:t>
      </w:r>
    </w:p>
    <w:p w14:paraId="549DD982" w14:textId="77777777" w:rsidR="00EC4DBD" w:rsidRPr="000D65CE" w:rsidRDefault="00EC4DBD" w:rsidP="003B280C">
      <w:pPr>
        <w:pStyle w:val="List4"/>
        <w:jc w:val="both"/>
      </w:pPr>
      <w:r w:rsidRPr="000D65CE">
        <w:t>directly related to the development</w:t>
      </w:r>
    </w:p>
    <w:p w14:paraId="46AE3E25" w14:textId="77777777" w:rsidR="00EC4DBD" w:rsidRPr="000D65CE" w:rsidRDefault="00EC4DBD" w:rsidP="003B280C">
      <w:pPr>
        <w:pStyle w:val="List4"/>
        <w:jc w:val="both"/>
        <w:rPr>
          <w:rFonts w:cs="Arial"/>
          <w:szCs w:val="22"/>
        </w:rPr>
      </w:pPr>
      <w:r w:rsidRPr="000D65CE">
        <w:t>fairly and reasonably related in scale and kind to the development</w:t>
      </w:r>
    </w:p>
    <w:p w14:paraId="2592FD31" w14:textId="56D68A7A" w:rsidR="006A7DFA" w:rsidRPr="000D65CE" w:rsidRDefault="000F0798" w:rsidP="003B280C">
      <w:pPr>
        <w:pStyle w:val="Paragraphs"/>
        <w:rPr>
          <w:lang w:val="en-GB"/>
        </w:rPr>
      </w:pPr>
      <w:r w:rsidRPr="000D65CE">
        <w:rPr>
          <w:lang w:val="en-GB"/>
        </w:rPr>
        <w:t xml:space="preserve">Prior to </w:t>
      </w:r>
      <w:r w:rsidR="004E4F64" w:rsidRPr="000D65CE">
        <w:rPr>
          <w:lang w:val="en-GB"/>
        </w:rPr>
        <w:t xml:space="preserve">the 2019 amendments to the CIL Regulations, </w:t>
      </w:r>
      <w:r w:rsidRPr="000D65CE">
        <w:rPr>
          <w:lang w:val="en-GB"/>
        </w:rPr>
        <w:t>R</w:t>
      </w:r>
      <w:r w:rsidR="004E4F64" w:rsidRPr="000D65CE">
        <w:rPr>
          <w:lang w:val="en-GB"/>
        </w:rPr>
        <w:t>egulation 123</w:t>
      </w:r>
      <w:r w:rsidR="0031438F" w:rsidRPr="000D65CE">
        <w:rPr>
          <w:lang w:val="en-GB"/>
        </w:rPr>
        <w:t xml:space="preserve"> of</w:t>
      </w:r>
      <w:r w:rsidR="002E0DDE">
        <w:rPr>
          <w:lang w:val="en-GB"/>
        </w:rPr>
        <w:t xml:space="preserve"> the</w:t>
      </w:r>
      <w:r w:rsidR="0031438F" w:rsidRPr="000D65CE">
        <w:rPr>
          <w:lang w:val="en-GB"/>
        </w:rPr>
        <w:t xml:space="preserve"> </w:t>
      </w:r>
      <w:r w:rsidRPr="000D65CE">
        <w:rPr>
          <w:lang w:val="en-GB"/>
        </w:rPr>
        <w:t>Community Infrastructure Levy Regulations 2010</w:t>
      </w:r>
      <w:r w:rsidR="00083251" w:rsidRPr="000D65CE">
        <w:rPr>
          <w:lang w:val="en-GB"/>
        </w:rPr>
        <w:t xml:space="preserve"> (as amended)</w:t>
      </w:r>
      <w:r w:rsidR="004E4F64" w:rsidRPr="000D65CE">
        <w:rPr>
          <w:lang w:val="en-GB"/>
        </w:rPr>
        <w:t xml:space="preserve"> required </w:t>
      </w:r>
      <w:r w:rsidR="004D4896" w:rsidRPr="000D65CE">
        <w:rPr>
          <w:lang w:val="en-GB"/>
        </w:rPr>
        <w:t xml:space="preserve">Local Planning Authorities (LPAs) adopting CIL to prepare and publish a list of those items or types of infrastructure to </w:t>
      </w:r>
      <w:r w:rsidR="002E0DDE">
        <w:rPr>
          <w:lang w:val="en-GB"/>
        </w:rPr>
        <w:t xml:space="preserve">be </w:t>
      </w:r>
      <w:r w:rsidR="004D4896" w:rsidRPr="000D65CE">
        <w:rPr>
          <w:lang w:val="en-GB"/>
        </w:rPr>
        <w:t>fund</w:t>
      </w:r>
      <w:r w:rsidR="002E0DDE">
        <w:rPr>
          <w:lang w:val="en-GB"/>
        </w:rPr>
        <w:t>ed</w:t>
      </w:r>
      <w:r w:rsidR="004D4896" w:rsidRPr="000D65CE">
        <w:rPr>
          <w:lang w:val="en-GB"/>
        </w:rPr>
        <w:t xml:space="preserve"> through CIL.</w:t>
      </w:r>
      <w:r w:rsidR="004E4F64" w:rsidRPr="000D65CE">
        <w:rPr>
          <w:lang w:val="en-GB"/>
        </w:rPr>
        <w:t xml:space="preserve"> To prevent ‘double dipping’, </w:t>
      </w:r>
      <w:r w:rsidR="00E918A6" w:rsidRPr="000D65CE">
        <w:rPr>
          <w:lang w:val="en-GB"/>
        </w:rPr>
        <w:t xml:space="preserve">infrastructure could not be funded by </w:t>
      </w:r>
      <w:r w:rsidR="00032BFE">
        <w:rPr>
          <w:lang w:val="en-GB"/>
        </w:rPr>
        <w:t>planning</w:t>
      </w:r>
      <w:r w:rsidR="00032BFE" w:rsidRPr="000D65CE">
        <w:rPr>
          <w:lang w:val="en-GB"/>
        </w:rPr>
        <w:t xml:space="preserve"> </w:t>
      </w:r>
      <w:r w:rsidR="004E4F64" w:rsidRPr="000D65CE">
        <w:rPr>
          <w:lang w:val="en-GB"/>
        </w:rPr>
        <w:t xml:space="preserve">obligations </w:t>
      </w:r>
      <w:r w:rsidR="00E918A6" w:rsidRPr="000D65CE">
        <w:rPr>
          <w:lang w:val="en-GB"/>
        </w:rPr>
        <w:t xml:space="preserve">if </w:t>
      </w:r>
      <w:r w:rsidR="002E0DDE">
        <w:rPr>
          <w:lang w:val="en-GB"/>
        </w:rPr>
        <w:t>it</w:t>
      </w:r>
      <w:r w:rsidR="00E918A6" w:rsidRPr="000D65CE">
        <w:rPr>
          <w:lang w:val="en-GB"/>
        </w:rPr>
        <w:t xml:space="preserve"> was listed on the Reg</w:t>
      </w:r>
      <w:r w:rsidR="00674071" w:rsidRPr="000D65CE">
        <w:rPr>
          <w:lang w:val="en-GB"/>
        </w:rPr>
        <w:t>ulation</w:t>
      </w:r>
      <w:r w:rsidR="00E918A6" w:rsidRPr="000D65CE">
        <w:rPr>
          <w:lang w:val="en-GB"/>
        </w:rPr>
        <w:t xml:space="preserve"> 123 list. In the 2019 amendments</w:t>
      </w:r>
      <w:r w:rsidR="00472054" w:rsidRPr="000D65CE">
        <w:rPr>
          <w:lang w:val="en-GB"/>
        </w:rPr>
        <w:t>,</w:t>
      </w:r>
      <w:r w:rsidR="00E918A6" w:rsidRPr="000D65CE">
        <w:rPr>
          <w:lang w:val="en-GB"/>
        </w:rPr>
        <w:t xml:space="preserve"> Regulation 123 was deleted.</w:t>
      </w:r>
      <w:r w:rsidR="004E4F64" w:rsidRPr="000D65CE">
        <w:rPr>
          <w:lang w:val="en-GB"/>
        </w:rPr>
        <w:t xml:space="preserve"> </w:t>
      </w:r>
    </w:p>
    <w:p w14:paraId="1307FBEC" w14:textId="1EB3F432" w:rsidR="00534DB2" w:rsidRPr="000D65CE" w:rsidRDefault="00674071" w:rsidP="003B280C">
      <w:pPr>
        <w:pStyle w:val="Paragraphs"/>
        <w:rPr>
          <w:lang w:val="en-GB"/>
        </w:rPr>
      </w:pPr>
      <w:r w:rsidRPr="000D65CE">
        <w:rPr>
          <w:lang w:val="en-GB"/>
        </w:rPr>
        <w:t xml:space="preserve">In place of a Regulation 123 list, all </w:t>
      </w:r>
      <w:r w:rsidR="002E0DDE">
        <w:rPr>
          <w:lang w:val="en-GB"/>
        </w:rPr>
        <w:t>LPA’s</w:t>
      </w:r>
      <w:r w:rsidRPr="000D65CE">
        <w:rPr>
          <w:lang w:val="en-GB"/>
        </w:rPr>
        <w:t xml:space="preserve"> are required, regardless of whether they have implemented </w:t>
      </w:r>
      <w:r w:rsidR="0030297F" w:rsidRPr="000D65CE">
        <w:rPr>
          <w:lang w:val="en-GB"/>
        </w:rPr>
        <w:t>CIL</w:t>
      </w:r>
      <w:r w:rsidR="00D42822" w:rsidRPr="000D65CE">
        <w:rPr>
          <w:lang w:val="en-GB"/>
        </w:rPr>
        <w:t>,</w:t>
      </w:r>
      <w:r w:rsidRPr="000D65CE">
        <w:rPr>
          <w:lang w:val="en-GB"/>
        </w:rPr>
        <w:t xml:space="preserve"> to publish an </w:t>
      </w:r>
      <w:r w:rsidR="008A6288">
        <w:rPr>
          <w:lang w:val="en-GB"/>
        </w:rPr>
        <w:t>‘A</w:t>
      </w:r>
      <w:r w:rsidRPr="000D65CE">
        <w:rPr>
          <w:lang w:val="en-GB"/>
        </w:rPr>
        <w:t>nnual Infrast</w:t>
      </w:r>
      <w:r w:rsidR="00366106" w:rsidRPr="000D65CE">
        <w:rPr>
          <w:lang w:val="en-GB"/>
        </w:rPr>
        <w:t>ructure Funding Statement</w:t>
      </w:r>
      <w:r w:rsidR="008A6288">
        <w:rPr>
          <w:lang w:val="en-GB"/>
        </w:rPr>
        <w:t>’</w:t>
      </w:r>
      <w:r w:rsidR="0030297F" w:rsidRPr="000D65CE">
        <w:rPr>
          <w:lang w:val="en-GB"/>
        </w:rPr>
        <w:t xml:space="preserve"> (IFS)</w:t>
      </w:r>
      <w:r w:rsidR="00486830" w:rsidRPr="000D65CE">
        <w:rPr>
          <w:lang w:val="en-GB"/>
        </w:rPr>
        <w:t xml:space="preserve"> from December 2020</w:t>
      </w:r>
      <w:r w:rsidR="00366106" w:rsidRPr="000D65CE">
        <w:rPr>
          <w:lang w:val="en-GB"/>
        </w:rPr>
        <w:t>.</w:t>
      </w:r>
      <w:r w:rsidR="0030297F" w:rsidRPr="000D65CE">
        <w:rPr>
          <w:lang w:val="en-GB"/>
        </w:rPr>
        <w:t xml:space="preserve"> Under CIL Regulation 121A – Annual Infrastructure Funding Statements</w:t>
      </w:r>
      <w:r w:rsidR="002E0DDE">
        <w:rPr>
          <w:lang w:val="en-GB"/>
        </w:rPr>
        <w:t>,</w:t>
      </w:r>
      <w:r w:rsidR="00366106" w:rsidRPr="000D65CE">
        <w:rPr>
          <w:lang w:val="en-GB"/>
        </w:rPr>
        <w:t xml:space="preserve"> </w:t>
      </w:r>
      <w:r w:rsidR="0030297F" w:rsidRPr="000D65CE">
        <w:rPr>
          <w:lang w:val="en-GB"/>
        </w:rPr>
        <w:t>t</w:t>
      </w:r>
      <w:r w:rsidR="00366106" w:rsidRPr="000D65CE">
        <w:rPr>
          <w:lang w:val="en-GB"/>
        </w:rPr>
        <w:t xml:space="preserve">he </w:t>
      </w:r>
      <w:r w:rsidR="0030297F" w:rsidRPr="000D65CE">
        <w:rPr>
          <w:lang w:val="en-GB"/>
        </w:rPr>
        <w:t xml:space="preserve">IFS </w:t>
      </w:r>
      <w:r w:rsidR="00366106" w:rsidRPr="000D65CE">
        <w:rPr>
          <w:lang w:val="en-GB"/>
        </w:rPr>
        <w:t>is required to set</w:t>
      </w:r>
      <w:r w:rsidRPr="000D65CE">
        <w:rPr>
          <w:lang w:val="en-GB"/>
        </w:rPr>
        <w:t xml:space="preserve"> out</w:t>
      </w:r>
      <w:r w:rsidR="004730F9">
        <w:rPr>
          <w:lang w:val="en-GB"/>
        </w:rPr>
        <w:t xml:space="preserve"> certain information about CIL and planning obligations, including</w:t>
      </w:r>
      <w:r w:rsidR="0030297F" w:rsidRPr="000D65CE">
        <w:rPr>
          <w:lang w:val="en-GB"/>
        </w:rPr>
        <w:t>:</w:t>
      </w:r>
    </w:p>
    <w:p w14:paraId="34584C46" w14:textId="7585AB59" w:rsidR="0030297F" w:rsidRPr="000D65CE" w:rsidRDefault="0030297F" w:rsidP="003B280C">
      <w:pPr>
        <w:pStyle w:val="List4"/>
        <w:numPr>
          <w:ilvl w:val="0"/>
          <w:numId w:val="36"/>
        </w:numPr>
        <w:jc w:val="both"/>
      </w:pPr>
      <w:r w:rsidRPr="000D65CE">
        <w:lastRenderedPageBreak/>
        <w:t xml:space="preserve">a statement of the infrastructure projects or types of infrastructure which the Council will fund or deliver through CIL and </w:t>
      </w:r>
      <w:r w:rsidR="00032BFE">
        <w:t xml:space="preserve">planning </w:t>
      </w:r>
      <w:r w:rsidRPr="000D65CE">
        <w:t>obligations</w:t>
      </w:r>
    </w:p>
    <w:p w14:paraId="3A72F478" w14:textId="77777777" w:rsidR="0030297F" w:rsidRPr="000D65CE" w:rsidRDefault="0030297F" w:rsidP="003B280C">
      <w:pPr>
        <w:pStyle w:val="List4"/>
        <w:jc w:val="both"/>
      </w:pPr>
      <w:r w:rsidRPr="000D65CE">
        <w:t xml:space="preserve">all CIL revenues received during the previous financial year </w:t>
      </w:r>
    </w:p>
    <w:p w14:paraId="67196DAB" w14:textId="6D5165FD" w:rsidR="0030297F" w:rsidRPr="000D65CE" w:rsidRDefault="0030297F" w:rsidP="003B280C">
      <w:pPr>
        <w:pStyle w:val="List4"/>
        <w:jc w:val="both"/>
      </w:pPr>
      <w:r w:rsidRPr="000D65CE">
        <w:t xml:space="preserve">all  planning </w:t>
      </w:r>
      <w:r w:rsidR="00032BFE">
        <w:t xml:space="preserve">obligations </w:t>
      </w:r>
      <w:r w:rsidRPr="000D65CE">
        <w:t>(financial and non-financial) secured during the previous financial year</w:t>
      </w:r>
    </w:p>
    <w:p w14:paraId="55911D4D" w14:textId="4D6A0E46" w:rsidR="00EB61F0" w:rsidRPr="000D65CE" w:rsidRDefault="00534DB2" w:rsidP="28D940A9">
      <w:pPr>
        <w:pStyle w:val="Paragraphs"/>
        <w:rPr>
          <w:rFonts w:eastAsia="Times"/>
          <w:b/>
          <w:bCs/>
          <w:lang w:val="en-GB"/>
        </w:rPr>
      </w:pPr>
      <w:r w:rsidRPr="28D940A9">
        <w:rPr>
          <w:lang w:val="en-GB"/>
        </w:rPr>
        <w:t>Regulation 123</w:t>
      </w:r>
      <w:r w:rsidR="007E0EE3" w:rsidRPr="28D940A9">
        <w:rPr>
          <w:lang w:val="en-GB"/>
        </w:rPr>
        <w:t xml:space="preserve"> also </w:t>
      </w:r>
      <w:r w:rsidR="002E0DDE" w:rsidRPr="28D940A9">
        <w:rPr>
          <w:lang w:val="en-GB"/>
        </w:rPr>
        <w:t xml:space="preserve">restricted </w:t>
      </w:r>
      <w:r w:rsidRPr="28D940A9">
        <w:rPr>
          <w:lang w:val="en-GB"/>
        </w:rPr>
        <w:t>the pooling of contributions towards a specific type or piece of infrastructure</w:t>
      </w:r>
      <w:r w:rsidR="00472054" w:rsidRPr="28D940A9">
        <w:rPr>
          <w:lang w:val="en-GB"/>
        </w:rPr>
        <w:t xml:space="preserve"> </w:t>
      </w:r>
      <w:r w:rsidRPr="28D940A9">
        <w:rPr>
          <w:lang w:val="en-GB"/>
        </w:rPr>
        <w:t>to not more than five planning obligations.</w:t>
      </w:r>
      <w:r w:rsidR="00B1767E" w:rsidRPr="28D940A9">
        <w:rPr>
          <w:lang w:val="en-GB"/>
        </w:rPr>
        <w:t xml:space="preserve"> </w:t>
      </w:r>
      <w:r w:rsidR="00D678AD" w:rsidRPr="28D940A9">
        <w:rPr>
          <w:lang w:val="en-GB"/>
        </w:rPr>
        <w:t xml:space="preserve">This element has </w:t>
      </w:r>
      <w:r w:rsidR="00B1767E" w:rsidRPr="28D940A9">
        <w:rPr>
          <w:lang w:val="en-GB"/>
        </w:rPr>
        <w:t xml:space="preserve">been deleted in the 2019 amendments to the CIL Regulations meaning that there is </w:t>
      </w:r>
      <w:r w:rsidR="002E0DDE" w:rsidRPr="28D940A9">
        <w:rPr>
          <w:lang w:val="en-GB"/>
        </w:rPr>
        <w:t xml:space="preserve">now </w:t>
      </w:r>
      <w:r w:rsidR="00B1767E" w:rsidRPr="28D940A9">
        <w:rPr>
          <w:lang w:val="en-GB"/>
        </w:rPr>
        <w:t xml:space="preserve">greater flexibility in delivering infrastructure through </w:t>
      </w:r>
      <w:r w:rsidR="00032BFE" w:rsidRPr="28D940A9">
        <w:rPr>
          <w:lang w:val="en-GB"/>
        </w:rPr>
        <w:t xml:space="preserve">planning </w:t>
      </w:r>
      <w:r w:rsidR="00B1767E" w:rsidRPr="28D940A9">
        <w:rPr>
          <w:lang w:val="en-GB"/>
        </w:rPr>
        <w:t>obligations and CIL.</w:t>
      </w:r>
      <w:r w:rsidRPr="28D940A9">
        <w:rPr>
          <w:lang w:val="en-GB"/>
        </w:rPr>
        <w:t xml:space="preserve"> </w:t>
      </w:r>
      <w:r w:rsidR="00032BFE" w:rsidRPr="28D940A9">
        <w:rPr>
          <w:lang w:val="en-GB"/>
        </w:rPr>
        <w:t xml:space="preserve">Planning </w:t>
      </w:r>
      <w:r w:rsidRPr="28D940A9">
        <w:rPr>
          <w:lang w:val="en-GB"/>
        </w:rPr>
        <w:t xml:space="preserve">obligations will </w:t>
      </w:r>
      <w:r w:rsidR="00B1767E" w:rsidRPr="28D940A9">
        <w:rPr>
          <w:lang w:val="en-GB"/>
        </w:rPr>
        <w:t xml:space="preserve">still </w:t>
      </w:r>
      <w:r w:rsidRPr="28D940A9">
        <w:rPr>
          <w:lang w:val="en-GB"/>
        </w:rPr>
        <w:t>be restricted to site-specific matters</w:t>
      </w:r>
      <w:r w:rsidR="00207D1A" w:rsidRPr="28D940A9">
        <w:rPr>
          <w:lang w:val="en-GB"/>
        </w:rPr>
        <w:t xml:space="preserve"> and </w:t>
      </w:r>
      <w:r w:rsidR="4DC47A9A" w:rsidRPr="28D940A9">
        <w:rPr>
          <w:lang w:val="en-GB"/>
        </w:rPr>
        <w:t xml:space="preserve">must meet </w:t>
      </w:r>
      <w:r w:rsidR="00207D1A" w:rsidRPr="28D940A9">
        <w:rPr>
          <w:lang w:val="en-GB"/>
        </w:rPr>
        <w:t>the Regulation 122 tests (refer to paragraph 1.5)</w:t>
      </w:r>
      <w:r w:rsidRPr="28D940A9">
        <w:rPr>
          <w:lang w:val="en-GB"/>
        </w:rPr>
        <w:t xml:space="preserve">. </w:t>
      </w:r>
    </w:p>
    <w:p w14:paraId="3B1DE731" w14:textId="039A16D6" w:rsidR="00C36C7C" w:rsidRPr="00C36C7C" w:rsidRDefault="007E0EE3" w:rsidP="003B280C">
      <w:pPr>
        <w:pStyle w:val="Paragraphs"/>
        <w:rPr>
          <w:rFonts w:eastAsia="Times"/>
          <w:lang w:val="en-GB"/>
        </w:rPr>
      </w:pPr>
      <w:r w:rsidRPr="00C36C7C">
        <w:rPr>
          <w:rFonts w:eastAsia="Times"/>
          <w:lang w:val="en-GB"/>
        </w:rPr>
        <w:t xml:space="preserve">In 2019, LBTH prepared a revised CIL Charging Schedule. As part of this process, a CIL Viability Study was undertaken. </w:t>
      </w:r>
      <w:r w:rsidR="00783788" w:rsidRPr="00C36C7C">
        <w:rPr>
          <w:rFonts w:eastAsia="Times"/>
          <w:lang w:val="en-GB"/>
        </w:rPr>
        <w:t xml:space="preserve">Part of </w:t>
      </w:r>
      <w:r w:rsidR="00CE4E89" w:rsidRPr="00C36C7C">
        <w:rPr>
          <w:lang w:val="en-GB"/>
        </w:rPr>
        <w:t xml:space="preserve">the analysis to inform this study included defining </w:t>
      </w:r>
      <w:r w:rsidR="00C36C7C" w:rsidRPr="00C36C7C">
        <w:rPr>
          <w:lang w:val="en-GB"/>
        </w:rPr>
        <w:t xml:space="preserve">an allowance for </w:t>
      </w:r>
      <w:r w:rsidR="00032BFE">
        <w:rPr>
          <w:lang w:val="en-GB"/>
        </w:rPr>
        <w:t>planning obligations</w:t>
      </w:r>
      <w:r w:rsidR="00C36C7C" w:rsidRPr="00C36C7C">
        <w:rPr>
          <w:lang w:val="en-GB"/>
        </w:rPr>
        <w:t>.</w:t>
      </w:r>
      <w:r w:rsidR="00CA43F7">
        <w:rPr>
          <w:lang w:val="en-GB"/>
        </w:rPr>
        <w:t xml:space="preserve"> C</w:t>
      </w:r>
      <w:r w:rsidR="00C36C7C">
        <w:rPr>
          <w:lang w:val="en-GB"/>
        </w:rPr>
        <w:t xml:space="preserve">ontributions </w:t>
      </w:r>
      <w:r w:rsidR="00CA43F7">
        <w:rPr>
          <w:lang w:val="en-GB"/>
        </w:rPr>
        <w:t>for any</w:t>
      </w:r>
      <w:r w:rsidR="00C36C7C">
        <w:rPr>
          <w:lang w:val="en-GB"/>
        </w:rPr>
        <w:t xml:space="preserve"> given scheme </w:t>
      </w:r>
      <w:r w:rsidR="00CA43F7">
        <w:rPr>
          <w:lang w:val="en-GB"/>
        </w:rPr>
        <w:t xml:space="preserve">are still subject to the individual viability for that </w:t>
      </w:r>
      <w:r w:rsidR="00962727">
        <w:rPr>
          <w:lang w:val="en-GB"/>
        </w:rPr>
        <w:t>site;</w:t>
      </w:r>
      <w:r w:rsidR="00CA43F7">
        <w:rPr>
          <w:lang w:val="en-GB"/>
        </w:rPr>
        <w:t xml:space="preserve"> however, this allowance was considered an appropriate indicator of</w:t>
      </w:r>
      <w:r w:rsidR="005571C0">
        <w:rPr>
          <w:lang w:val="en-GB"/>
        </w:rPr>
        <w:t xml:space="preserve"> the likely average cost of planning obligations.</w:t>
      </w:r>
      <w:r w:rsidR="00CA43F7">
        <w:rPr>
          <w:lang w:val="en-GB"/>
        </w:rPr>
        <w:t xml:space="preserve"> </w:t>
      </w:r>
    </w:p>
    <w:p w14:paraId="48B80663" w14:textId="0399B341" w:rsidR="007E0EE3" w:rsidRPr="000D65CE" w:rsidRDefault="00CA43F7" w:rsidP="003B280C">
      <w:pPr>
        <w:pStyle w:val="Paragraphs"/>
        <w:rPr>
          <w:rFonts w:eastAsia="Times"/>
          <w:b/>
          <w:bCs/>
          <w:lang w:val="en-GB"/>
        </w:rPr>
      </w:pPr>
      <w:r w:rsidRPr="7A52AF77">
        <w:rPr>
          <w:lang w:val="en-GB"/>
        </w:rPr>
        <w:t>The outcome of the analysis</w:t>
      </w:r>
      <w:r w:rsidR="00C36C7C" w:rsidRPr="7A52AF77">
        <w:rPr>
          <w:lang w:val="en-GB"/>
        </w:rPr>
        <w:t xml:space="preserve"> </w:t>
      </w:r>
      <w:r w:rsidRPr="7A52AF77">
        <w:rPr>
          <w:lang w:val="en-GB"/>
        </w:rPr>
        <w:t xml:space="preserve"> was an </w:t>
      </w:r>
      <w:r w:rsidR="007E0EE3" w:rsidRPr="00CA43F7">
        <w:rPr>
          <w:lang w:val="en-GB"/>
        </w:rPr>
        <w:t>allowance of £1,220 per</w:t>
      </w:r>
      <w:r w:rsidR="008529C8" w:rsidRPr="00CA43F7">
        <w:rPr>
          <w:lang w:val="en-GB"/>
        </w:rPr>
        <w:t xml:space="preserve"> residential</w:t>
      </w:r>
      <w:r w:rsidR="007E0EE3" w:rsidRPr="00CA43F7">
        <w:rPr>
          <w:lang w:val="en-GB"/>
        </w:rPr>
        <w:t xml:space="preserve"> unit and £20 per square metre</w:t>
      </w:r>
      <w:r w:rsidR="00472054" w:rsidRPr="00CA43F7">
        <w:rPr>
          <w:lang w:val="en-GB"/>
        </w:rPr>
        <w:t xml:space="preserve"> (sqm)</w:t>
      </w:r>
      <w:r w:rsidR="007E0EE3" w:rsidRPr="00CA43F7">
        <w:rPr>
          <w:lang w:val="en-GB"/>
        </w:rPr>
        <w:t xml:space="preserve"> for commercial floorspace</w:t>
      </w:r>
      <w:r w:rsidR="00C36C7C" w:rsidRPr="7A52AF77">
        <w:rPr>
          <w:lang w:val="en-GB"/>
        </w:rPr>
        <w:t xml:space="preserve"> for</w:t>
      </w:r>
      <w:r w:rsidR="00032BFE">
        <w:rPr>
          <w:lang w:val="en-GB"/>
        </w:rPr>
        <w:t xml:space="preserve"> planning obligations for</w:t>
      </w:r>
      <w:r w:rsidR="00C36C7C" w:rsidRPr="7A52AF77">
        <w:rPr>
          <w:lang w:val="en-GB"/>
        </w:rPr>
        <w:t xml:space="preserve"> policy compliant schemes</w:t>
      </w:r>
      <w:r w:rsidR="00C36C7C">
        <w:rPr>
          <w:rStyle w:val="FootnoteReference"/>
          <w:rFonts w:eastAsia="Times"/>
          <w:lang w:val="en-GB"/>
        </w:rPr>
        <w:footnoteReference w:id="3"/>
      </w:r>
      <w:r w:rsidR="007E0EE3" w:rsidRPr="00CA43F7">
        <w:rPr>
          <w:lang w:val="en-GB"/>
        </w:rPr>
        <w:t>.</w:t>
      </w:r>
      <w:r w:rsidR="00C36C7C" w:rsidRPr="7A52AF77">
        <w:rPr>
          <w:lang w:val="en-GB"/>
        </w:rPr>
        <w:t xml:space="preserve"> As suc</w:t>
      </w:r>
      <w:r w:rsidRPr="7A52AF77">
        <w:rPr>
          <w:lang w:val="en-GB"/>
        </w:rPr>
        <w:t>h, this allowance does not include carbon offset</w:t>
      </w:r>
      <w:r w:rsidR="00D51655" w:rsidRPr="7A52AF77">
        <w:rPr>
          <w:lang w:val="en-GB"/>
        </w:rPr>
        <w:t>, SUDs</w:t>
      </w:r>
      <w:r w:rsidR="009D3028" w:rsidRPr="7A52AF77">
        <w:rPr>
          <w:lang w:val="en-GB"/>
        </w:rPr>
        <w:t>, step-free access</w:t>
      </w:r>
      <w:r w:rsidRPr="7A52AF77">
        <w:rPr>
          <w:lang w:val="en-GB"/>
        </w:rPr>
        <w:t xml:space="preserve"> or affordable housing payments as these are allowed for as build costs in the </w:t>
      </w:r>
      <w:r w:rsidR="009D3028" w:rsidRPr="7A52AF77">
        <w:rPr>
          <w:lang w:val="en-GB"/>
        </w:rPr>
        <w:t>Tower Hamlets Local Plan</w:t>
      </w:r>
      <w:r w:rsidRPr="7A52AF77">
        <w:rPr>
          <w:lang w:val="en-GB"/>
        </w:rPr>
        <w:t xml:space="preserve"> Viability </w:t>
      </w:r>
      <w:r w:rsidR="009D3028" w:rsidRPr="7A52AF77">
        <w:rPr>
          <w:lang w:val="en-GB"/>
        </w:rPr>
        <w:t>Assessment (2018)</w:t>
      </w:r>
      <w:r w:rsidRPr="7A52AF77">
        <w:rPr>
          <w:lang w:val="en-GB"/>
        </w:rPr>
        <w:t xml:space="preserve"> and would only be sought from developments which do not comply with the Council’s policy.</w:t>
      </w:r>
      <w:r w:rsidR="00C36C7C" w:rsidRPr="7A52AF77">
        <w:rPr>
          <w:lang w:val="en-GB"/>
        </w:rPr>
        <w:t xml:space="preserve"> </w:t>
      </w:r>
      <w:r w:rsidR="007E0EE3" w:rsidRPr="00CA43F7">
        <w:rPr>
          <w:lang w:val="en-GB"/>
        </w:rPr>
        <w:t xml:space="preserve"> </w:t>
      </w:r>
      <w:r w:rsidR="007E0EE3" w:rsidRPr="7A52AF77">
        <w:rPr>
          <w:lang w:val="en-GB"/>
        </w:rPr>
        <w:t xml:space="preserve">The study recognises that individual site characteristics can impact viability. In cases where the cost per unit or per </w:t>
      </w:r>
      <w:r w:rsidR="00472054" w:rsidRPr="7A52AF77">
        <w:rPr>
          <w:lang w:val="en-GB"/>
        </w:rPr>
        <w:t>sqm</w:t>
      </w:r>
      <w:r w:rsidR="007E0EE3" w:rsidRPr="7A52AF77">
        <w:rPr>
          <w:lang w:val="en-GB"/>
        </w:rPr>
        <w:t xml:space="preserve"> is higher than what was assumed in the </w:t>
      </w:r>
      <w:r w:rsidR="00FC401D" w:rsidRPr="7A52AF77">
        <w:rPr>
          <w:lang w:val="en-GB"/>
        </w:rPr>
        <w:t>CIL</w:t>
      </w:r>
      <w:r w:rsidR="007E0EE3" w:rsidRPr="7A52AF77">
        <w:rPr>
          <w:lang w:val="en-GB"/>
        </w:rPr>
        <w:t xml:space="preserve"> Viability Study, </w:t>
      </w:r>
      <w:r w:rsidR="00032BFE">
        <w:rPr>
          <w:lang w:val="en-GB"/>
        </w:rPr>
        <w:t>planning</w:t>
      </w:r>
      <w:r w:rsidR="00032BFE" w:rsidRPr="7A52AF77">
        <w:rPr>
          <w:lang w:val="en-GB"/>
        </w:rPr>
        <w:t xml:space="preserve"> </w:t>
      </w:r>
      <w:r w:rsidR="00FC401D" w:rsidRPr="7A52AF77">
        <w:rPr>
          <w:lang w:val="en-GB"/>
        </w:rPr>
        <w:t xml:space="preserve">obligations </w:t>
      </w:r>
      <w:r w:rsidR="007E0EE3" w:rsidRPr="7A52AF77">
        <w:rPr>
          <w:lang w:val="en-GB"/>
        </w:rPr>
        <w:t xml:space="preserve">will take into account the viability of a development.      </w:t>
      </w:r>
    </w:p>
    <w:p w14:paraId="56D9DC74" w14:textId="6FD3FD76" w:rsidR="001C2013" w:rsidRPr="000D65CE" w:rsidRDefault="00EF56AE" w:rsidP="003B280C">
      <w:pPr>
        <w:pStyle w:val="Heading1"/>
        <w:jc w:val="both"/>
        <w:rPr>
          <w:lang w:val="en-GB"/>
        </w:rPr>
      </w:pPr>
      <w:r w:rsidRPr="000D65CE">
        <w:rPr>
          <w:lang w:val="en-GB"/>
        </w:rPr>
        <w:t>Community Infrastructure Levy</w:t>
      </w:r>
      <w:r w:rsidR="0017229F" w:rsidRPr="000D65CE">
        <w:rPr>
          <w:lang w:val="en-GB"/>
        </w:rPr>
        <w:t xml:space="preserve"> (CIL)</w:t>
      </w:r>
    </w:p>
    <w:p w14:paraId="7EEB3BD5" w14:textId="77777777" w:rsidR="00E477EC" w:rsidRPr="000D65CE" w:rsidRDefault="00E477EC" w:rsidP="003B280C">
      <w:pPr>
        <w:pStyle w:val="Paragraphs"/>
        <w:rPr>
          <w:lang w:val="en-GB"/>
        </w:rPr>
      </w:pPr>
      <w:r w:rsidRPr="7A52AF77">
        <w:rPr>
          <w:lang w:val="en-GB"/>
        </w:rPr>
        <w:t>CIL is a non-negotiable charge which raise</w:t>
      </w:r>
      <w:r w:rsidR="0098658D" w:rsidRPr="7A52AF77">
        <w:rPr>
          <w:lang w:val="en-GB"/>
        </w:rPr>
        <w:t>s</w:t>
      </w:r>
      <w:r w:rsidRPr="7A52AF77">
        <w:rPr>
          <w:lang w:val="en-GB"/>
        </w:rPr>
        <w:t xml:space="preserve"> infrastructure funds </w:t>
      </w:r>
      <w:r w:rsidR="0030297F" w:rsidRPr="7A52AF77">
        <w:rPr>
          <w:lang w:val="en-GB"/>
        </w:rPr>
        <w:t>from</w:t>
      </w:r>
      <w:r w:rsidRPr="7A52AF77">
        <w:rPr>
          <w:lang w:val="en-GB"/>
        </w:rPr>
        <w:t xml:space="preserve"> new developments</w:t>
      </w:r>
      <w:r w:rsidR="0030297F" w:rsidRPr="7A52AF77">
        <w:rPr>
          <w:lang w:val="en-GB"/>
        </w:rPr>
        <w:t xml:space="preserve"> only</w:t>
      </w:r>
      <w:r w:rsidRPr="7A52AF77">
        <w:rPr>
          <w:lang w:val="en-GB"/>
        </w:rPr>
        <w:t xml:space="preserve">. CIL </w:t>
      </w:r>
      <w:r w:rsidR="0030297F" w:rsidRPr="7A52AF77">
        <w:rPr>
          <w:lang w:val="en-GB"/>
        </w:rPr>
        <w:t>applies</w:t>
      </w:r>
      <w:r w:rsidRPr="7A52AF77">
        <w:rPr>
          <w:lang w:val="en-GB"/>
        </w:rPr>
        <w:t xml:space="preserve"> a</w:t>
      </w:r>
      <w:r w:rsidR="0030297F" w:rsidRPr="7A52AF77">
        <w:rPr>
          <w:lang w:val="en-GB"/>
        </w:rPr>
        <w:t xml:space="preserve"> set</w:t>
      </w:r>
      <w:r w:rsidRPr="7A52AF77">
        <w:rPr>
          <w:lang w:val="en-GB"/>
        </w:rPr>
        <w:t xml:space="preserve"> charge per square metre of floor</w:t>
      </w:r>
      <w:r w:rsidR="00CD0922" w:rsidRPr="7A52AF77">
        <w:rPr>
          <w:lang w:val="en-GB"/>
        </w:rPr>
        <w:t xml:space="preserve"> </w:t>
      </w:r>
      <w:r w:rsidRPr="7A52AF77">
        <w:rPr>
          <w:lang w:val="en-GB"/>
        </w:rPr>
        <w:t xml:space="preserve">space </w:t>
      </w:r>
      <w:r w:rsidR="0030297F" w:rsidRPr="7A52AF77">
        <w:rPr>
          <w:lang w:val="en-GB"/>
        </w:rPr>
        <w:t>capturing</w:t>
      </w:r>
      <w:r w:rsidRPr="7A52AF77">
        <w:rPr>
          <w:lang w:val="en-GB"/>
        </w:rPr>
        <w:t xml:space="preserve"> most new developments involv</w:t>
      </w:r>
      <w:r w:rsidR="0030297F" w:rsidRPr="7A52AF77">
        <w:rPr>
          <w:lang w:val="en-GB"/>
        </w:rPr>
        <w:t>ing</w:t>
      </w:r>
      <w:r w:rsidRPr="7A52AF77">
        <w:rPr>
          <w:lang w:val="en-GB"/>
        </w:rPr>
        <w:t xml:space="preserve"> an increase of 100 </w:t>
      </w:r>
      <w:r w:rsidR="00C943FD" w:rsidRPr="7A52AF77">
        <w:rPr>
          <w:lang w:val="en-GB"/>
        </w:rPr>
        <w:t>sqm</w:t>
      </w:r>
      <w:r w:rsidRPr="7A52AF77">
        <w:rPr>
          <w:lang w:val="en-GB"/>
        </w:rPr>
        <w:t xml:space="preserve"> or more of gross internal </w:t>
      </w:r>
      <w:r w:rsidR="0030297F" w:rsidRPr="7A52AF77">
        <w:rPr>
          <w:lang w:val="en-GB"/>
        </w:rPr>
        <w:t>area (GIA)</w:t>
      </w:r>
      <w:r w:rsidRPr="7A52AF77">
        <w:rPr>
          <w:lang w:val="en-GB"/>
        </w:rPr>
        <w:t xml:space="preserve"> or </w:t>
      </w:r>
      <w:r w:rsidR="00CD0922" w:rsidRPr="7A52AF77">
        <w:rPr>
          <w:lang w:val="en-GB"/>
        </w:rPr>
        <w:t>the</w:t>
      </w:r>
      <w:r w:rsidRPr="7A52AF77">
        <w:rPr>
          <w:lang w:val="en-GB"/>
        </w:rPr>
        <w:t xml:space="preserve"> creati</w:t>
      </w:r>
      <w:r w:rsidR="00CD0922" w:rsidRPr="7A52AF77">
        <w:rPr>
          <w:lang w:val="en-GB"/>
        </w:rPr>
        <w:t>on of</w:t>
      </w:r>
      <w:r w:rsidR="0030297F" w:rsidRPr="7A52AF77">
        <w:rPr>
          <w:lang w:val="en-GB"/>
        </w:rPr>
        <w:t xml:space="preserve"> one or more</w:t>
      </w:r>
      <w:r w:rsidRPr="7A52AF77">
        <w:rPr>
          <w:lang w:val="en-GB"/>
        </w:rPr>
        <w:t xml:space="preserve"> dwelling</w:t>
      </w:r>
      <w:r w:rsidR="0030297F" w:rsidRPr="7A52AF77">
        <w:rPr>
          <w:lang w:val="en-GB"/>
        </w:rPr>
        <w:t>s</w:t>
      </w:r>
      <w:r w:rsidRPr="7A52AF77">
        <w:rPr>
          <w:lang w:val="en-GB"/>
        </w:rPr>
        <w:t xml:space="preserve"> </w:t>
      </w:r>
      <w:r w:rsidR="0030297F" w:rsidRPr="7A52AF77">
        <w:rPr>
          <w:lang w:val="en-GB"/>
        </w:rPr>
        <w:t>(</w:t>
      </w:r>
      <w:r w:rsidRPr="7A52AF77">
        <w:rPr>
          <w:lang w:val="en-GB"/>
        </w:rPr>
        <w:t>even where this is below 100</w:t>
      </w:r>
      <w:r w:rsidR="0030297F" w:rsidRPr="7A52AF77">
        <w:rPr>
          <w:lang w:val="en-GB"/>
        </w:rPr>
        <w:t xml:space="preserve"> sqm GIA). </w:t>
      </w:r>
      <w:r w:rsidRPr="7A52AF77">
        <w:rPr>
          <w:lang w:val="en-GB"/>
        </w:rPr>
        <w:t xml:space="preserve">CIL charges are based on the size and type of development. Some developments </w:t>
      </w:r>
      <w:r w:rsidR="0030297F" w:rsidRPr="7A52AF77">
        <w:rPr>
          <w:lang w:val="en-GB"/>
        </w:rPr>
        <w:t>can seek relief</w:t>
      </w:r>
      <w:r w:rsidRPr="7A52AF77">
        <w:rPr>
          <w:lang w:val="en-GB"/>
        </w:rPr>
        <w:t xml:space="preserve"> from paying</w:t>
      </w:r>
      <w:r w:rsidR="0030297F" w:rsidRPr="7A52AF77">
        <w:rPr>
          <w:lang w:val="en-GB"/>
        </w:rPr>
        <w:t xml:space="preserve"> CIL</w:t>
      </w:r>
      <w:r w:rsidR="00C943FD" w:rsidRPr="7A52AF77">
        <w:rPr>
          <w:lang w:val="en-GB"/>
        </w:rPr>
        <w:t>,</w:t>
      </w:r>
      <w:r w:rsidR="00CB008D" w:rsidRPr="7A52AF77">
        <w:rPr>
          <w:lang w:val="en-GB"/>
        </w:rPr>
        <w:t xml:space="preserve"> such as </w:t>
      </w:r>
      <w:r w:rsidRPr="7A52AF77">
        <w:rPr>
          <w:lang w:val="en-GB"/>
        </w:rPr>
        <w:t>developments</w:t>
      </w:r>
      <w:r w:rsidR="0030297F" w:rsidRPr="7A52AF77">
        <w:rPr>
          <w:lang w:val="en-GB"/>
        </w:rPr>
        <w:t xml:space="preserve"> with</w:t>
      </w:r>
      <w:r w:rsidR="0059086C" w:rsidRPr="7A52AF77">
        <w:rPr>
          <w:lang w:val="en-GB"/>
        </w:rPr>
        <w:t xml:space="preserve"> social</w:t>
      </w:r>
      <w:r w:rsidRPr="7A52AF77">
        <w:rPr>
          <w:lang w:val="en-GB"/>
        </w:rPr>
        <w:t xml:space="preserve"> housing</w:t>
      </w:r>
      <w:r w:rsidR="00C943FD" w:rsidRPr="7A52AF77">
        <w:rPr>
          <w:lang w:val="en-GB"/>
        </w:rPr>
        <w:t>,</w:t>
      </w:r>
      <w:r w:rsidR="000B7267" w:rsidRPr="7A52AF77">
        <w:rPr>
          <w:lang w:val="en-GB"/>
        </w:rPr>
        <w:t xml:space="preserve"> </w:t>
      </w:r>
      <w:r w:rsidRPr="7A52AF77">
        <w:rPr>
          <w:lang w:val="en-GB"/>
        </w:rPr>
        <w:t>developments used for charitable purposes</w:t>
      </w:r>
      <w:r w:rsidR="00C943FD" w:rsidRPr="7A52AF77">
        <w:rPr>
          <w:lang w:val="en-GB"/>
        </w:rPr>
        <w:t>,</w:t>
      </w:r>
      <w:r w:rsidR="0030297F" w:rsidRPr="7A52AF77">
        <w:rPr>
          <w:lang w:val="en-GB"/>
        </w:rPr>
        <w:t xml:space="preserve"> or developments</w:t>
      </w:r>
      <w:r w:rsidR="005D7B3B" w:rsidRPr="7A52AF77">
        <w:rPr>
          <w:lang w:val="en-GB"/>
        </w:rPr>
        <w:t xml:space="preserve"> exclusively for primary residence</w:t>
      </w:r>
      <w:r w:rsidR="00D7151F" w:rsidRPr="7A52AF77">
        <w:rPr>
          <w:lang w:val="en-GB"/>
        </w:rPr>
        <w:t xml:space="preserve"> that are self-buil</w:t>
      </w:r>
      <w:r w:rsidR="00C943FD" w:rsidRPr="7A52AF77">
        <w:rPr>
          <w:lang w:val="en-GB"/>
        </w:rPr>
        <w:t>t, including</w:t>
      </w:r>
      <w:r w:rsidR="0030297F" w:rsidRPr="7A52AF77">
        <w:rPr>
          <w:lang w:val="en-GB"/>
        </w:rPr>
        <w:t xml:space="preserve"> extensions or annexes.</w:t>
      </w:r>
    </w:p>
    <w:p w14:paraId="21635796" w14:textId="77777777" w:rsidR="00E477EC" w:rsidRPr="000D65CE" w:rsidRDefault="009C7549" w:rsidP="009B7255">
      <w:pPr>
        <w:pStyle w:val="Paragraphs"/>
        <w:spacing w:after="120" w:line="240" w:lineRule="atLeast"/>
        <w:rPr>
          <w:lang w:val="en-GB"/>
        </w:rPr>
      </w:pPr>
      <w:r w:rsidRPr="7A52AF77">
        <w:rPr>
          <w:lang w:val="en-GB"/>
        </w:rPr>
        <w:t>T</w:t>
      </w:r>
      <w:r w:rsidR="00E477EC" w:rsidRPr="7A52AF77">
        <w:rPr>
          <w:lang w:val="en-GB"/>
        </w:rPr>
        <w:t xml:space="preserve">wo CIL charges </w:t>
      </w:r>
      <w:r w:rsidRPr="7A52AF77">
        <w:rPr>
          <w:lang w:val="en-GB"/>
        </w:rPr>
        <w:t xml:space="preserve">are </w:t>
      </w:r>
      <w:r w:rsidR="00E477EC" w:rsidRPr="7A52AF77">
        <w:rPr>
          <w:lang w:val="en-GB"/>
        </w:rPr>
        <w:t>payable on development</w:t>
      </w:r>
      <w:r w:rsidR="002F667D" w:rsidRPr="7A52AF77">
        <w:rPr>
          <w:lang w:val="en-GB"/>
        </w:rPr>
        <w:t>s</w:t>
      </w:r>
      <w:r w:rsidR="006C35EC" w:rsidRPr="7A52AF77">
        <w:rPr>
          <w:lang w:val="en-GB"/>
        </w:rPr>
        <w:t xml:space="preserve"> that are liable for CIL</w:t>
      </w:r>
      <w:r w:rsidR="00E477EC" w:rsidRPr="7A52AF77">
        <w:rPr>
          <w:lang w:val="en-GB"/>
        </w:rPr>
        <w:t>:</w:t>
      </w:r>
    </w:p>
    <w:p w14:paraId="7B23DD0C" w14:textId="77777777" w:rsidR="00E477EC" w:rsidRPr="000D65CE" w:rsidRDefault="00E477EC" w:rsidP="009B7255">
      <w:pPr>
        <w:pStyle w:val="ListBullet4"/>
        <w:spacing w:after="120" w:line="240" w:lineRule="auto"/>
        <w:jc w:val="both"/>
      </w:pPr>
      <w:r>
        <w:t>Borough CIL</w:t>
      </w:r>
    </w:p>
    <w:p w14:paraId="29E4011C" w14:textId="77777777" w:rsidR="00D744C6" w:rsidRPr="000D65CE" w:rsidRDefault="00E477EC" w:rsidP="009B7255">
      <w:pPr>
        <w:pStyle w:val="ListBullet4"/>
        <w:spacing w:after="120" w:line="240" w:lineRule="auto"/>
        <w:jc w:val="both"/>
        <w:rPr>
          <w:rFonts w:cs="Arial"/>
        </w:rPr>
      </w:pPr>
      <w:r>
        <w:t>Mayoral CIL</w:t>
      </w:r>
    </w:p>
    <w:p w14:paraId="2B0B4A71" w14:textId="77777777" w:rsidR="00760576" w:rsidRPr="000D65CE" w:rsidRDefault="00E477EC" w:rsidP="003B280C">
      <w:pPr>
        <w:spacing w:before="360" w:after="120"/>
        <w:jc w:val="both"/>
        <w:rPr>
          <w:rStyle w:val="Strong"/>
        </w:rPr>
      </w:pPr>
      <w:r w:rsidRPr="000D65CE">
        <w:rPr>
          <w:rStyle w:val="Strong"/>
        </w:rPr>
        <w:lastRenderedPageBreak/>
        <w:t xml:space="preserve">Borough CIL </w:t>
      </w:r>
    </w:p>
    <w:p w14:paraId="6B339E86" w14:textId="672422C7" w:rsidR="008B3D49" w:rsidRPr="000D65CE" w:rsidRDefault="00EC4DBD" w:rsidP="003B280C">
      <w:pPr>
        <w:pStyle w:val="Paragraphs"/>
        <w:rPr>
          <w:lang w:val="en-GB"/>
        </w:rPr>
      </w:pPr>
      <w:r w:rsidRPr="7A52AF77">
        <w:rPr>
          <w:lang w:val="en-GB"/>
        </w:rPr>
        <w:t>T</w:t>
      </w:r>
      <w:r w:rsidR="00D7151F" w:rsidRPr="7A52AF77">
        <w:rPr>
          <w:lang w:val="en-GB"/>
        </w:rPr>
        <w:t xml:space="preserve">he </w:t>
      </w:r>
      <w:r w:rsidR="00FC401D" w:rsidRPr="7A52AF77">
        <w:rPr>
          <w:lang w:val="en-GB"/>
        </w:rPr>
        <w:t>LBTH</w:t>
      </w:r>
      <w:r w:rsidR="00D7151F" w:rsidRPr="7A52AF77">
        <w:rPr>
          <w:lang w:val="en-GB"/>
        </w:rPr>
        <w:t>’</w:t>
      </w:r>
      <w:r w:rsidR="006D194A" w:rsidRPr="7A52AF77">
        <w:rPr>
          <w:lang w:val="en-GB"/>
        </w:rPr>
        <w:t xml:space="preserve"> </w:t>
      </w:r>
      <w:r w:rsidR="00FB5D2E" w:rsidRPr="7A52AF77">
        <w:rPr>
          <w:lang w:val="en-GB"/>
        </w:rPr>
        <w:t xml:space="preserve">revised </w:t>
      </w:r>
      <w:hyperlink r:id="rId9" w:history="1">
        <w:r w:rsidR="00FB5D2E" w:rsidRPr="003A3E01">
          <w:rPr>
            <w:rStyle w:val="Hyperlink"/>
            <w:lang w:val="en-GB"/>
          </w:rPr>
          <w:t xml:space="preserve">CIL </w:t>
        </w:r>
        <w:r w:rsidR="004946C7" w:rsidRPr="003A3E01">
          <w:rPr>
            <w:rStyle w:val="Hyperlink"/>
            <w:lang w:val="en-GB"/>
          </w:rPr>
          <w:t>C</w:t>
        </w:r>
        <w:r w:rsidR="00FB5D2E" w:rsidRPr="003A3E01">
          <w:rPr>
            <w:rStyle w:val="Hyperlink"/>
            <w:lang w:val="en-GB"/>
          </w:rPr>
          <w:t xml:space="preserve">harging </w:t>
        </w:r>
        <w:r w:rsidR="004946C7" w:rsidRPr="003A3E01">
          <w:rPr>
            <w:rStyle w:val="Hyperlink"/>
            <w:lang w:val="en-GB"/>
          </w:rPr>
          <w:t>S</w:t>
        </w:r>
        <w:r w:rsidR="00FB5D2E" w:rsidRPr="003A3E01">
          <w:rPr>
            <w:rStyle w:val="Hyperlink"/>
            <w:lang w:val="en-GB"/>
          </w:rPr>
          <w:t>chedule</w:t>
        </w:r>
      </w:hyperlink>
      <w:r w:rsidR="00FB5D2E" w:rsidRPr="7A52AF77">
        <w:rPr>
          <w:lang w:val="en-GB"/>
        </w:rPr>
        <w:t xml:space="preserve"> </w:t>
      </w:r>
      <w:r w:rsidR="00D7151F" w:rsidRPr="7A52AF77">
        <w:rPr>
          <w:lang w:val="en-GB"/>
        </w:rPr>
        <w:t>came into</w:t>
      </w:r>
      <w:r w:rsidRPr="7A52AF77">
        <w:rPr>
          <w:lang w:val="en-GB"/>
        </w:rPr>
        <w:t xml:space="preserve"> effect on </w:t>
      </w:r>
      <w:r w:rsidR="008B3D49" w:rsidRPr="7A52AF77">
        <w:rPr>
          <w:lang w:val="en-GB"/>
        </w:rPr>
        <w:t>17 January 2020</w:t>
      </w:r>
      <w:r w:rsidR="005834A6" w:rsidRPr="7A52AF77">
        <w:rPr>
          <w:lang w:val="en-GB"/>
        </w:rPr>
        <w:t xml:space="preserve">. </w:t>
      </w:r>
    </w:p>
    <w:p w14:paraId="365573D7" w14:textId="4BBA45C9" w:rsidR="00E477EC" w:rsidRPr="000D65CE" w:rsidRDefault="00E477EC" w:rsidP="003B280C">
      <w:pPr>
        <w:pStyle w:val="Paragraphs"/>
        <w:rPr>
          <w:lang w:val="en-GB"/>
        </w:rPr>
      </w:pPr>
      <w:r w:rsidRPr="7A52AF77">
        <w:rPr>
          <w:lang w:val="en-GB"/>
        </w:rPr>
        <w:t>The CIL Regulations allow local authorities in England and Wales to secure funds</w:t>
      </w:r>
      <w:r w:rsidR="00E97A06" w:rsidRPr="7A52AF77">
        <w:rPr>
          <w:lang w:val="en-GB"/>
        </w:rPr>
        <w:t xml:space="preserve"> which</w:t>
      </w:r>
      <w:r w:rsidRPr="7A52AF77">
        <w:rPr>
          <w:lang w:val="en-GB"/>
        </w:rPr>
        <w:t xml:space="preserve"> can be used to support the provision</w:t>
      </w:r>
      <w:r w:rsidR="00F65B2F" w:rsidRPr="7A52AF77">
        <w:rPr>
          <w:lang w:val="en-GB"/>
        </w:rPr>
        <w:t>,</w:t>
      </w:r>
      <w:r w:rsidR="00E1065F" w:rsidRPr="7A52AF77">
        <w:rPr>
          <w:lang w:val="en-GB"/>
        </w:rPr>
        <w:t xml:space="preserve"> </w:t>
      </w:r>
      <w:r w:rsidR="000B7267" w:rsidRPr="7A52AF77">
        <w:rPr>
          <w:lang w:val="en-GB"/>
        </w:rPr>
        <w:t xml:space="preserve">improvement, replacement, </w:t>
      </w:r>
      <w:r w:rsidR="00F65B2F" w:rsidRPr="7A52AF77">
        <w:rPr>
          <w:lang w:val="en-GB"/>
        </w:rPr>
        <w:t xml:space="preserve">operation and </w:t>
      </w:r>
      <w:r w:rsidR="00DA3C07" w:rsidRPr="7A52AF77">
        <w:rPr>
          <w:lang w:val="en-GB"/>
        </w:rPr>
        <w:t>maintenance</w:t>
      </w:r>
      <w:r w:rsidRPr="7A52AF77">
        <w:rPr>
          <w:lang w:val="en-GB"/>
        </w:rPr>
        <w:t xml:space="preserve"> of a wide range of local and strategic infrastructure that is needed to support growth and development in the </w:t>
      </w:r>
      <w:r w:rsidR="00C44288" w:rsidRPr="7A52AF77">
        <w:rPr>
          <w:lang w:val="en-GB"/>
        </w:rPr>
        <w:t>b</w:t>
      </w:r>
      <w:r w:rsidR="00747592" w:rsidRPr="7A52AF77">
        <w:rPr>
          <w:lang w:val="en-GB"/>
        </w:rPr>
        <w:t>orough</w:t>
      </w:r>
      <w:r w:rsidRPr="7A52AF77">
        <w:rPr>
          <w:lang w:val="en-GB"/>
        </w:rPr>
        <w:t xml:space="preserve">. This includes infrastructure projects such as </w:t>
      </w:r>
      <w:r w:rsidR="0059086C" w:rsidRPr="7A52AF77">
        <w:rPr>
          <w:lang w:val="en-GB"/>
        </w:rPr>
        <w:t xml:space="preserve">strategic </w:t>
      </w:r>
      <w:r w:rsidRPr="7A52AF77">
        <w:rPr>
          <w:lang w:val="en-GB"/>
        </w:rPr>
        <w:t xml:space="preserve">transport facilities, strategic flood </w:t>
      </w:r>
      <w:r w:rsidR="00535B55" w:rsidRPr="7A52AF77">
        <w:rPr>
          <w:lang w:val="en-GB"/>
        </w:rPr>
        <w:t>defences</w:t>
      </w:r>
      <w:r w:rsidRPr="7A52AF77">
        <w:rPr>
          <w:lang w:val="en-GB"/>
        </w:rPr>
        <w:t>, schools and other educational facilities, medical facilities, sporting and recreational facilities and O</w:t>
      </w:r>
      <w:r w:rsidR="0096593F" w:rsidRPr="7A52AF77">
        <w:rPr>
          <w:lang w:val="en-GB"/>
        </w:rPr>
        <w:t xml:space="preserve">pen </w:t>
      </w:r>
      <w:r w:rsidRPr="7A52AF77">
        <w:rPr>
          <w:lang w:val="en-GB"/>
        </w:rPr>
        <w:t>S</w:t>
      </w:r>
      <w:r w:rsidR="0096593F" w:rsidRPr="7A52AF77">
        <w:rPr>
          <w:lang w:val="en-GB"/>
        </w:rPr>
        <w:t>pace</w:t>
      </w:r>
      <w:r w:rsidRPr="7A52AF77">
        <w:rPr>
          <w:lang w:val="en-GB"/>
        </w:rPr>
        <w:t xml:space="preserve">s. </w:t>
      </w:r>
    </w:p>
    <w:p w14:paraId="0749CE02" w14:textId="77777777" w:rsidR="00E477EC" w:rsidRPr="000D65CE" w:rsidRDefault="00B168AA" w:rsidP="003B280C">
      <w:pPr>
        <w:pStyle w:val="Paragraphs"/>
        <w:rPr>
          <w:lang w:val="en-GB"/>
        </w:rPr>
      </w:pPr>
      <w:r w:rsidRPr="7A52AF77">
        <w:rPr>
          <w:lang w:val="en-GB"/>
        </w:rPr>
        <w:t>The G</w:t>
      </w:r>
      <w:r w:rsidR="00E477EC" w:rsidRPr="7A52AF77">
        <w:rPr>
          <w:lang w:val="en-GB"/>
        </w:rPr>
        <w:t>overnment’s view is that CIL provides the best framework and the preferred means of pooling funding for the infrastructure required to support new development. It will allow for a better understanding of development costs earlier in the process and therefore provide more certainty.</w:t>
      </w:r>
    </w:p>
    <w:p w14:paraId="3570E078" w14:textId="57F47C9B" w:rsidR="00AF33D0" w:rsidRPr="000D65CE" w:rsidRDefault="00AF33D0" w:rsidP="003B280C">
      <w:pPr>
        <w:pStyle w:val="Paragraphs"/>
        <w:rPr>
          <w:lang w:val="en-GB"/>
        </w:rPr>
      </w:pPr>
      <w:r w:rsidRPr="7A52AF77">
        <w:rPr>
          <w:lang w:val="en-GB"/>
        </w:rPr>
        <w:t>In accordan</w:t>
      </w:r>
      <w:r w:rsidR="00A92E67" w:rsidRPr="7A52AF77">
        <w:rPr>
          <w:lang w:val="en-GB"/>
        </w:rPr>
        <w:t xml:space="preserve">ce with the CIL </w:t>
      </w:r>
      <w:r w:rsidR="006C35EC" w:rsidRPr="7A52AF77">
        <w:rPr>
          <w:lang w:val="en-GB"/>
        </w:rPr>
        <w:t>R</w:t>
      </w:r>
      <w:r w:rsidR="00A92E67" w:rsidRPr="7A52AF77">
        <w:rPr>
          <w:lang w:val="en-GB"/>
        </w:rPr>
        <w:t>egulation</w:t>
      </w:r>
      <w:r w:rsidR="00BC53F5" w:rsidRPr="7A52AF77">
        <w:rPr>
          <w:lang w:val="en-GB"/>
        </w:rPr>
        <w:t xml:space="preserve"> 59</w:t>
      </w:r>
      <w:r w:rsidR="00FD0602" w:rsidRPr="7A52AF77">
        <w:rPr>
          <w:lang w:val="en-GB"/>
        </w:rPr>
        <w:t>A</w:t>
      </w:r>
      <w:r w:rsidR="00A92E67" w:rsidRPr="7A52AF77">
        <w:rPr>
          <w:lang w:val="en-GB"/>
        </w:rPr>
        <w:t xml:space="preserve">, </w:t>
      </w:r>
      <w:r w:rsidR="00BC53F5" w:rsidRPr="7A52AF77">
        <w:rPr>
          <w:lang w:val="en-GB"/>
        </w:rPr>
        <w:t xml:space="preserve">between </w:t>
      </w:r>
      <w:r w:rsidR="00A92E67" w:rsidRPr="7A52AF77">
        <w:rPr>
          <w:lang w:val="en-GB"/>
        </w:rPr>
        <w:t>15</w:t>
      </w:r>
      <w:r w:rsidR="00B92D53" w:rsidRPr="7A52AF77">
        <w:rPr>
          <w:lang w:val="en-GB"/>
        </w:rPr>
        <w:t>%</w:t>
      </w:r>
      <w:r w:rsidR="00C943FD" w:rsidRPr="7A52AF77">
        <w:rPr>
          <w:lang w:val="en-GB"/>
        </w:rPr>
        <w:t xml:space="preserve"> -</w:t>
      </w:r>
      <w:r w:rsidR="00BC53F5" w:rsidRPr="7A52AF77">
        <w:rPr>
          <w:lang w:val="en-GB"/>
        </w:rPr>
        <w:t xml:space="preserve"> </w:t>
      </w:r>
      <w:r w:rsidR="00A92E67" w:rsidRPr="7A52AF77">
        <w:rPr>
          <w:lang w:val="en-GB"/>
        </w:rPr>
        <w:t>25%</w:t>
      </w:r>
      <w:r w:rsidRPr="7A52AF77">
        <w:rPr>
          <w:lang w:val="en-GB"/>
        </w:rPr>
        <w:t xml:space="preserve"> of </w:t>
      </w:r>
      <w:r w:rsidR="00EB27D5" w:rsidRPr="7A52AF77">
        <w:rPr>
          <w:lang w:val="en-GB"/>
        </w:rPr>
        <w:t xml:space="preserve">the </w:t>
      </w:r>
      <w:r w:rsidRPr="7A52AF77">
        <w:rPr>
          <w:lang w:val="en-GB"/>
        </w:rPr>
        <w:t>CIL money collected from new development must be spent on infrastructure provision in the communities where development is taking place.</w:t>
      </w:r>
      <w:r w:rsidR="00BC53F5" w:rsidRPr="7A52AF77">
        <w:rPr>
          <w:lang w:val="en-GB"/>
        </w:rPr>
        <w:t xml:space="preserve"> It was agreed by Cabinet on 6 December 2016 to allocate 25% of received CIL funds in all circumstances to the </w:t>
      </w:r>
      <w:r w:rsidR="00EB27D5" w:rsidRPr="7A52AF77">
        <w:rPr>
          <w:lang w:val="en-GB"/>
        </w:rPr>
        <w:t>‘n</w:t>
      </w:r>
      <w:r w:rsidR="00BC53F5" w:rsidRPr="7A52AF77">
        <w:rPr>
          <w:lang w:val="en-GB"/>
        </w:rPr>
        <w:t xml:space="preserve">eighbourhood </w:t>
      </w:r>
      <w:r w:rsidR="00EB27D5" w:rsidRPr="7A52AF77">
        <w:rPr>
          <w:lang w:val="en-GB"/>
        </w:rPr>
        <w:t>p</w:t>
      </w:r>
      <w:r w:rsidR="00BC53F5" w:rsidRPr="7A52AF77">
        <w:rPr>
          <w:lang w:val="en-GB"/>
        </w:rPr>
        <w:t>ortion</w:t>
      </w:r>
      <w:r w:rsidR="00EB27D5" w:rsidRPr="7A52AF77">
        <w:rPr>
          <w:lang w:val="en-GB"/>
        </w:rPr>
        <w:t>’</w:t>
      </w:r>
      <w:r w:rsidR="00BC53F5" w:rsidRPr="7A52AF77">
        <w:rPr>
          <w:lang w:val="en-GB"/>
        </w:rPr>
        <w:t>.</w:t>
      </w:r>
      <w:r w:rsidRPr="7A52AF77">
        <w:rPr>
          <w:lang w:val="en-GB"/>
        </w:rPr>
        <w:t xml:space="preserve"> In LBTH this ‘neighbourhood portion’ goes into the Local Infrastructure Fund</w:t>
      </w:r>
      <w:r w:rsidR="006C35EC" w:rsidRPr="7A52AF77">
        <w:rPr>
          <w:lang w:val="en-GB"/>
        </w:rPr>
        <w:t xml:space="preserve"> (LIF)</w:t>
      </w:r>
      <w:r w:rsidRPr="7A52AF77">
        <w:rPr>
          <w:lang w:val="en-GB"/>
        </w:rPr>
        <w:t xml:space="preserve"> which residents are then consulted on to determine how th</w:t>
      </w:r>
      <w:r w:rsidR="006C35EC" w:rsidRPr="7A52AF77">
        <w:rPr>
          <w:lang w:val="en-GB"/>
        </w:rPr>
        <w:t>is</w:t>
      </w:r>
      <w:r w:rsidRPr="7A52AF77">
        <w:rPr>
          <w:lang w:val="en-GB"/>
        </w:rPr>
        <w:t xml:space="preserve"> fund should be used to improve the local area. </w:t>
      </w:r>
    </w:p>
    <w:p w14:paraId="466028D8" w14:textId="77777777" w:rsidR="00760576" w:rsidRPr="000D65CE" w:rsidRDefault="00E477EC" w:rsidP="003B280C">
      <w:pPr>
        <w:widowControl w:val="0"/>
        <w:autoSpaceDE w:val="0"/>
        <w:autoSpaceDN w:val="0"/>
        <w:adjustRightInd w:val="0"/>
        <w:spacing w:before="360" w:after="120"/>
        <w:ind w:left="357" w:hanging="357"/>
        <w:jc w:val="both"/>
        <w:textAlignment w:val="center"/>
        <w:rPr>
          <w:rFonts w:cs="Arial"/>
          <w:b/>
          <w:szCs w:val="22"/>
        </w:rPr>
      </w:pPr>
      <w:r w:rsidRPr="000D65CE">
        <w:rPr>
          <w:rStyle w:val="Strong"/>
        </w:rPr>
        <w:t>Mayoral CIL for Crossrail</w:t>
      </w:r>
    </w:p>
    <w:p w14:paraId="720BCAB8" w14:textId="5BCA9EA4" w:rsidR="00E477EC" w:rsidRPr="000D65CE" w:rsidRDefault="00E477EC" w:rsidP="003B280C">
      <w:pPr>
        <w:pStyle w:val="Paragraphs"/>
        <w:rPr>
          <w:lang w:val="en-GB"/>
        </w:rPr>
      </w:pPr>
      <w:r w:rsidRPr="7A52AF77">
        <w:rPr>
          <w:lang w:val="en-GB"/>
        </w:rPr>
        <w:t xml:space="preserve">From April </w:t>
      </w:r>
      <w:r w:rsidR="00287F1E" w:rsidRPr="7A52AF77">
        <w:rPr>
          <w:lang w:val="en-GB"/>
        </w:rPr>
        <w:t>2019</w:t>
      </w:r>
      <w:r w:rsidRPr="7A52AF77">
        <w:rPr>
          <w:lang w:val="en-GB"/>
        </w:rPr>
        <w:t>, the</w:t>
      </w:r>
      <w:r w:rsidR="009C4B7D" w:rsidRPr="7A52AF77">
        <w:rPr>
          <w:lang w:val="en-GB"/>
        </w:rPr>
        <w:t xml:space="preserve"> </w:t>
      </w:r>
      <w:r w:rsidR="00287F1E" w:rsidRPr="7A52AF77">
        <w:rPr>
          <w:lang w:val="en-GB"/>
        </w:rPr>
        <w:t xml:space="preserve">updated </w:t>
      </w:r>
      <w:r w:rsidR="009C4B7D" w:rsidRPr="7A52AF77">
        <w:rPr>
          <w:lang w:val="en-GB"/>
        </w:rPr>
        <w:t>Mayoral CIL</w:t>
      </w:r>
      <w:r w:rsidRPr="7A52AF77">
        <w:rPr>
          <w:lang w:val="en-GB"/>
        </w:rPr>
        <w:t xml:space="preserve"> charge </w:t>
      </w:r>
      <w:r w:rsidR="00287F1E" w:rsidRPr="7A52AF77">
        <w:rPr>
          <w:lang w:val="en-GB"/>
        </w:rPr>
        <w:t>(MCIL2) superseded MCIL1 and the assoc</w:t>
      </w:r>
      <w:r w:rsidR="00182CA9" w:rsidRPr="7A52AF77">
        <w:rPr>
          <w:lang w:val="en-GB"/>
        </w:rPr>
        <w:t xml:space="preserve">iated </w:t>
      </w:r>
      <w:r w:rsidR="00FD0602" w:rsidRPr="7A52AF77">
        <w:rPr>
          <w:lang w:val="en-GB"/>
        </w:rPr>
        <w:t>Crossrail Funding (Use of Planning Obligations and the Mayoral Community Infrastructure Levy) Supplementary Planning Guidance</w:t>
      </w:r>
      <w:r w:rsidR="00287F1E" w:rsidRPr="7A52AF77">
        <w:rPr>
          <w:lang w:val="en-GB"/>
        </w:rPr>
        <w:t xml:space="preserve">. </w:t>
      </w:r>
      <w:r w:rsidR="006C35EC" w:rsidRPr="7A52AF77">
        <w:rPr>
          <w:lang w:val="en-GB"/>
        </w:rPr>
        <w:t>MCIL2 (and MCIL1)</w:t>
      </w:r>
      <w:r w:rsidR="005834A6" w:rsidRPr="7A52AF77">
        <w:rPr>
          <w:lang w:val="en-GB"/>
        </w:rPr>
        <w:t xml:space="preserve"> </w:t>
      </w:r>
      <w:r w:rsidR="00FD0602" w:rsidRPr="7A52AF77">
        <w:rPr>
          <w:lang w:val="en-GB"/>
        </w:rPr>
        <w:t xml:space="preserve">is currently being used to </w:t>
      </w:r>
      <w:r w:rsidR="005834A6" w:rsidRPr="7A52AF77">
        <w:rPr>
          <w:lang w:val="en-GB"/>
        </w:rPr>
        <w:t xml:space="preserve"> </w:t>
      </w:r>
      <w:r w:rsidR="00FD0602" w:rsidRPr="7A52AF77">
        <w:rPr>
          <w:lang w:val="en-GB"/>
        </w:rPr>
        <w:t xml:space="preserve">fund the </w:t>
      </w:r>
      <w:r w:rsidR="005834A6" w:rsidRPr="7A52AF77">
        <w:rPr>
          <w:lang w:val="en-GB"/>
        </w:rPr>
        <w:t xml:space="preserve"> construction of  Crossrail. The </w:t>
      </w:r>
      <w:r w:rsidR="00AD1FB6" w:rsidRPr="7A52AF77">
        <w:rPr>
          <w:lang w:val="en-GB"/>
        </w:rPr>
        <w:t>Council</w:t>
      </w:r>
      <w:r w:rsidR="005834A6" w:rsidRPr="7A52AF77">
        <w:rPr>
          <w:lang w:val="en-GB"/>
        </w:rPr>
        <w:t xml:space="preserve"> is responsible for collecting </w:t>
      </w:r>
      <w:r w:rsidR="00FD0602" w:rsidRPr="7A52AF77">
        <w:rPr>
          <w:lang w:val="en-GB"/>
        </w:rPr>
        <w:t xml:space="preserve">Mayoral CIL </w:t>
      </w:r>
      <w:r w:rsidR="005834A6" w:rsidRPr="7A52AF77">
        <w:rPr>
          <w:lang w:val="en-GB"/>
        </w:rPr>
        <w:t xml:space="preserve">on </w:t>
      </w:r>
      <w:r w:rsidR="00FD0602" w:rsidRPr="7A52AF77">
        <w:rPr>
          <w:lang w:val="en-GB"/>
        </w:rPr>
        <w:t>behalf of the Mayor</w:t>
      </w:r>
      <w:r w:rsidR="005834A6" w:rsidRPr="7A52AF77">
        <w:rPr>
          <w:lang w:val="en-GB"/>
        </w:rPr>
        <w:t xml:space="preserve">. </w:t>
      </w:r>
      <w:r w:rsidR="00287F1E" w:rsidRPr="7A52AF77">
        <w:rPr>
          <w:lang w:val="en-GB"/>
        </w:rPr>
        <w:t>Developments permitted after 1 April 2019 are liable for MCIL2;</w:t>
      </w:r>
      <w:r w:rsidR="00A8386F" w:rsidRPr="7A52AF77">
        <w:rPr>
          <w:lang w:val="en-GB"/>
        </w:rPr>
        <w:t xml:space="preserve"> </w:t>
      </w:r>
      <w:r w:rsidR="00287F1E" w:rsidRPr="7A52AF77">
        <w:rPr>
          <w:lang w:val="en-GB"/>
        </w:rPr>
        <w:t>n</w:t>
      </w:r>
      <w:r w:rsidRPr="7A52AF77">
        <w:rPr>
          <w:lang w:val="en-GB"/>
        </w:rPr>
        <w:t xml:space="preserve">ew development in </w:t>
      </w:r>
      <w:r w:rsidR="00FD0602" w:rsidRPr="7A52AF77">
        <w:rPr>
          <w:lang w:val="en-GB"/>
        </w:rPr>
        <w:t>LBTH are</w:t>
      </w:r>
      <w:r w:rsidRPr="7A52AF77">
        <w:rPr>
          <w:lang w:val="en-GB"/>
        </w:rPr>
        <w:t xml:space="preserve"> </w:t>
      </w:r>
      <w:r w:rsidR="00287F1E" w:rsidRPr="7A52AF77">
        <w:rPr>
          <w:lang w:val="en-GB"/>
        </w:rPr>
        <w:t xml:space="preserve">charged at </w:t>
      </w:r>
      <w:r w:rsidRPr="7A52AF77">
        <w:rPr>
          <w:lang w:val="en-GB"/>
        </w:rPr>
        <w:t>£</w:t>
      </w:r>
      <w:r w:rsidR="00287F1E" w:rsidRPr="7A52AF77">
        <w:rPr>
          <w:lang w:val="en-GB"/>
        </w:rPr>
        <w:t>60</w:t>
      </w:r>
      <w:r w:rsidRPr="7A52AF77">
        <w:rPr>
          <w:lang w:val="en-GB"/>
        </w:rPr>
        <w:t xml:space="preserve"> per sqm of qualifying development</w:t>
      </w:r>
      <w:r w:rsidR="005834A6" w:rsidRPr="7A52AF77">
        <w:rPr>
          <w:lang w:val="en-GB"/>
        </w:rPr>
        <w:t>, except for health and education uses which have a nil charge.</w:t>
      </w:r>
      <w:r w:rsidR="003A3E01">
        <w:rPr>
          <w:lang w:val="en-GB"/>
        </w:rPr>
        <w:t xml:space="preserve"> Further details of the current changing rate can be found at the </w:t>
      </w:r>
      <w:hyperlink r:id="rId10" w:history="1">
        <w:r w:rsidR="003A3E01" w:rsidRPr="003A3E01">
          <w:rPr>
            <w:rStyle w:val="Hyperlink"/>
            <w:lang w:val="en-GB"/>
          </w:rPr>
          <w:t>Mayoral Community Infrastructure Levy webpage</w:t>
        </w:r>
      </w:hyperlink>
      <w:r w:rsidR="003A3E01">
        <w:rPr>
          <w:lang w:val="en-GB"/>
        </w:rPr>
        <w:t>.</w:t>
      </w:r>
      <w:r w:rsidR="005834A6" w:rsidRPr="7A52AF77">
        <w:rPr>
          <w:lang w:val="en-GB"/>
        </w:rPr>
        <w:t xml:space="preserve"> </w:t>
      </w:r>
      <w:r w:rsidR="00E97A06" w:rsidRPr="7A52AF77">
        <w:rPr>
          <w:lang w:val="en-GB"/>
        </w:rPr>
        <w:t xml:space="preserve">MCIL2 broadly reflects an adjusted charge </w:t>
      </w:r>
      <w:r w:rsidR="00EB27D5" w:rsidRPr="7A52AF77">
        <w:rPr>
          <w:lang w:val="en-GB"/>
        </w:rPr>
        <w:t>(</w:t>
      </w:r>
      <w:r w:rsidR="00E97A06" w:rsidRPr="7A52AF77">
        <w:rPr>
          <w:lang w:val="en-GB"/>
        </w:rPr>
        <w:t>based on viability</w:t>
      </w:r>
      <w:r w:rsidR="00EB27D5" w:rsidRPr="7A52AF77">
        <w:rPr>
          <w:lang w:val="en-GB"/>
        </w:rPr>
        <w:t>)</w:t>
      </w:r>
      <w:r w:rsidR="00E97A06" w:rsidRPr="7A52AF77">
        <w:rPr>
          <w:lang w:val="en-GB"/>
        </w:rPr>
        <w:t xml:space="preserve"> for a combination of the superseded charges.</w:t>
      </w:r>
    </w:p>
    <w:p w14:paraId="496CF665" w14:textId="0734EF85" w:rsidR="00E477EC" w:rsidRDefault="00287F1E" w:rsidP="003B280C">
      <w:pPr>
        <w:pStyle w:val="Paragraphs"/>
        <w:rPr>
          <w:lang w:val="en-GB"/>
        </w:rPr>
      </w:pPr>
      <w:r w:rsidRPr="7A52AF77">
        <w:rPr>
          <w:lang w:val="en-GB"/>
        </w:rPr>
        <w:t>The charge for office, retail and hotel developments</w:t>
      </w:r>
      <w:r w:rsidR="00E477EC" w:rsidRPr="7A52AF77">
        <w:rPr>
          <w:lang w:val="en-GB"/>
        </w:rPr>
        <w:t xml:space="preserve"> for those parts of </w:t>
      </w:r>
      <w:r w:rsidR="00FD0602" w:rsidRPr="7A52AF77">
        <w:rPr>
          <w:lang w:val="en-GB"/>
        </w:rPr>
        <w:t>LBTH</w:t>
      </w:r>
      <w:r w:rsidR="00E477EC" w:rsidRPr="7A52AF77">
        <w:rPr>
          <w:lang w:val="en-GB"/>
        </w:rPr>
        <w:t xml:space="preserve"> which are in the Central London Area</w:t>
      </w:r>
      <w:r w:rsidRPr="7A52AF77">
        <w:rPr>
          <w:lang w:val="en-GB"/>
        </w:rPr>
        <w:t xml:space="preserve"> and the</w:t>
      </w:r>
      <w:r w:rsidR="00E477EC" w:rsidRPr="7A52AF77">
        <w:rPr>
          <w:lang w:val="en-GB"/>
        </w:rPr>
        <w:t xml:space="preserve"> Isle of Dogs </w:t>
      </w:r>
      <w:r w:rsidRPr="7A52AF77">
        <w:rPr>
          <w:lang w:val="en-GB"/>
        </w:rPr>
        <w:t>are liable for different rates than</w:t>
      </w:r>
      <w:r w:rsidR="00CD0922" w:rsidRPr="7A52AF77">
        <w:rPr>
          <w:lang w:val="en-GB"/>
        </w:rPr>
        <w:t xml:space="preserve"> those</w:t>
      </w:r>
      <w:r w:rsidRPr="7A52AF77">
        <w:rPr>
          <w:lang w:val="en-GB"/>
        </w:rPr>
        <w:t xml:space="preserve"> set out in paragraph 1.1</w:t>
      </w:r>
      <w:r w:rsidR="00D55913" w:rsidRPr="7A52AF77">
        <w:rPr>
          <w:lang w:val="en-GB"/>
        </w:rPr>
        <w:t>7</w:t>
      </w:r>
      <w:r w:rsidRPr="7A52AF77">
        <w:rPr>
          <w:lang w:val="en-GB"/>
        </w:rPr>
        <w:t xml:space="preserve"> (</w:t>
      </w:r>
      <w:r w:rsidR="00666C83" w:rsidRPr="7A52AF77">
        <w:rPr>
          <w:lang w:val="en-GB"/>
        </w:rPr>
        <w:t>refer</w:t>
      </w:r>
      <w:r w:rsidR="00B86D4F" w:rsidRPr="7A52AF77">
        <w:rPr>
          <w:lang w:val="en-GB"/>
        </w:rPr>
        <w:t xml:space="preserve"> to</w:t>
      </w:r>
      <w:r w:rsidR="00E477EC" w:rsidRPr="7A52AF77">
        <w:rPr>
          <w:lang w:val="en-GB"/>
        </w:rPr>
        <w:t xml:space="preserve"> </w:t>
      </w:r>
      <w:r w:rsidR="00005EBA" w:rsidRPr="7A52AF77">
        <w:rPr>
          <w:lang w:val="en-GB"/>
        </w:rPr>
        <w:t>T</w:t>
      </w:r>
      <w:r w:rsidR="00E477EC" w:rsidRPr="7A52AF77">
        <w:rPr>
          <w:lang w:val="en-GB"/>
        </w:rPr>
        <w:t>able</w:t>
      </w:r>
      <w:r w:rsidR="009C4B7D" w:rsidRPr="7A52AF77">
        <w:rPr>
          <w:lang w:val="en-GB"/>
        </w:rPr>
        <w:t xml:space="preserve"> </w:t>
      </w:r>
      <w:r w:rsidR="001C62BD" w:rsidRPr="7A52AF77">
        <w:rPr>
          <w:lang w:val="en-GB"/>
        </w:rPr>
        <w:t>1</w:t>
      </w:r>
      <w:r w:rsidR="00350717" w:rsidRPr="7A52AF77">
        <w:rPr>
          <w:lang w:val="en-GB"/>
        </w:rPr>
        <w:t xml:space="preserve"> below</w:t>
      </w:r>
      <w:r w:rsidRPr="7A52AF77">
        <w:rPr>
          <w:lang w:val="en-GB"/>
        </w:rPr>
        <w:t>)</w:t>
      </w:r>
      <w:r w:rsidR="00350717" w:rsidRPr="7A52AF77">
        <w:rPr>
          <w:lang w:val="en-GB"/>
        </w:rPr>
        <w:t>.</w:t>
      </w:r>
    </w:p>
    <w:p w14:paraId="204CC052" w14:textId="3F975B1D" w:rsidR="0014110B" w:rsidRPr="000D65CE" w:rsidRDefault="0014110B" w:rsidP="0014110B">
      <w:pPr>
        <w:spacing w:after="60"/>
        <w:ind w:left="794"/>
      </w:pPr>
      <w:r w:rsidRPr="000D65CE">
        <w:rPr>
          <w:rFonts w:eastAsia="Times" w:cs="Arial"/>
          <w:b/>
          <w:szCs w:val="22"/>
        </w:rPr>
        <w:t xml:space="preserve">Table 1: </w:t>
      </w:r>
      <w:r w:rsidRPr="000D65CE">
        <w:rPr>
          <w:rFonts w:eastAsia="Times" w:cs="Arial"/>
          <w:szCs w:val="22"/>
        </w:rPr>
        <w:t>MCIL2 charging rates for office, retail and hotel use in Central London and Isle of Dogs</w:t>
      </w:r>
    </w:p>
    <w:tbl>
      <w:tblPr>
        <w:tblStyle w:val="TableGrid"/>
        <w:tblW w:w="8358" w:type="dxa"/>
        <w:tblInd w:w="822" w:type="dxa"/>
        <w:tblLook w:val="04A0" w:firstRow="1" w:lastRow="0" w:firstColumn="1" w:lastColumn="0" w:noHBand="0" w:noVBand="1"/>
      </w:tblPr>
      <w:tblGrid>
        <w:gridCol w:w="3605"/>
        <w:gridCol w:w="4753"/>
      </w:tblGrid>
      <w:tr w:rsidR="00287F1E" w:rsidRPr="000D65CE" w14:paraId="13292CCD" w14:textId="77777777" w:rsidTr="009C7549">
        <w:tc>
          <w:tcPr>
            <w:tcW w:w="3605" w:type="dxa"/>
          </w:tcPr>
          <w:p w14:paraId="17477261" w14:textId="77777777" w:rsidR="00287F1E" w:rsidRPr="000D65CE" w:rsidRDefault="00287F1E" w:rsidP="003B280C">
            <w:pPr>
              <w:spacing w:beforeLines="1" w:before="2" w:afterLines="1" w:after="2"/>
              <w:jc w:val="both"/>
              <w:rPr>
                <w:rFonts w:eastAsia="Times" w:cs="Arial"/>
                <w:b/>
                <w:szCs w:val="22"/>
              </w:rPr>
            </w:pPr>
            <w:r w:rsidRPr="000D65CE">
              <w:rPr>
                <w:rFonts w:eastAsia="Times" w:cs="Arial"/>
                <w:b/>
                <w:szCs w:val="22"/>
              </w:rPr>
              <w:t>Land Use</w:t>
            </w:r>
          </w:p>
        </w:tc>
        <w:tc>
          <w:tcPr>
            <w:tcW w:w="4753" w:type="dxa"/>
          </w:tcPr>
          <w:p w14:paraId="2AFBA657" w14:textId="77777777" w:rsidR="00287F1E" w:rsidRPr="000D65CE" w:rsidRDefault="00287F1E" w:rsidP="003B280C">
            <w:pPr>
              <w:spacing w:beforeLines="1" w:before="2" w:afterLines="1" w:after="2"/>
              <w:jc w:val="both"/>
              <w:rPr>
                <w:rFonts w:eastAsia="Times" w:cs="Arial"/>
                <w:b/>
                <w:szCs w:val="22"/>
              </w:rPr>
            </w:pPr>
            <w:r w:rsidRPr="000D65CE">
              <w:rPr>
                <w:rFonts w:eastAsia="Times" w:cs="Arial"/>
                <w:b/>
                <w:szCs w:val="22"/>
              </w:rPr>
              <w:t>MCIL2 Rate (£ per sqm)</w:t>
            </w:r>
          </w:p>
        </w:tc>
      </w:tr>
      <w:tr w:rsidR="00287F1E" w:rsidRPr="000D65CE" w14:paraId="3116D642" w14:textId="77777777" w:rsidTr="009C7549">
        <w:tc>
          <w:tcPr>
            <w:tcW w:w="3605" w:type="dxa"/>
          </w:tcPr>
          <w:p w14:paraId="2DA87C1B" w14:textId="77777777" w:rsidR="00287F1E" w:rsidRPr="000D65CE" w:rsidRDefault="00287F1E" w:rsidP="003B280C">
            <w:pPr>
              <w:spacing w:beforeLines="1" w:before="2" w:afterLines="1" w:after="2"/>
              <w:jc w:val="both"/>
              <w:rPr>
                <w:rFonts w:eastAsia="Times" w:cs="Arial"/>
                <w:szCs w:val="22"/>
              </w:rPr>
            </w:pPr>
            <w:r w:rsidRPr="000D65CE">
              <w:rPr>
                <w:rFonts w:eastAsia="Times" w:cs="Arial"/>
                <w:szCs w:val="22"/>
              </w:rPr>
              <w:t>Office</w:t>
            </w:r>
          </w:p>
        </w:tc>
        <w:tc>
          <w:tcPr>
            <w:tcW w:w="4753" w:type="dxa"/>
          </w:tcPr>
          <w:p w14:paraId="33ADE429" w14:textId="77777777" w:rsidR="00287F1E" w:rsidRPr="000D65CE" w:rsidRDefault="00287F1E" w:rsidP="003B280C">
            <w:pPr>
              <w:spacing w:beforeLines="1" w:before="2" w:afterLines="1" w:after="2"/>
              <w:jc w:val="both"/>
              <w:rPr>
                <w:rFonts w:eastAsia="Times" w:cs="Arial"/>
                <w:szCs w:val="22"/>
              </w:rPr>
            </w:pPr>
            <w:r w:rsidRPr="000D65CE">
              <w:rPr>
                <w:rFonts w:eastAsia="Times" w:cs="Arial"/>
                <w:szCs w:val="22"/>
              </w:rPr>
              <w:t>£185</w:t>
            </w:r>
          </w:p>
        </w:tc>
      </w:tr>
      <w:tr w:rsidR="00287F1E" w:rsidRPr="000D65CE" w14:paraId="3C38F2CD" w14:textId="77777777" w:rsidTr="009C7549">
        <w:tc>
          <w:tcPr>
            <w:tcW w:w="3605" w:type="dxa"/>
          </w:tcPr>
          <w:p w14:paraId="542661E4" w14:textId="77777777" w:rsidR="00287F1E" w:rsidRPr="000D65CE" w:rsidRDefault="00287F1E" w:rsidP="003B280C">
            <w:pPr>
              <w:spacing w:beforeLines="1" w:before="2" w:afterLines="1" w:after="2"/>
              <w:jc w:val="both"/>
              <w:rPr>
                <w:rFonts w:eastAsia="Times" w:cs="Arial"/>
                <w:szCs w:val="22"/>
              </w:rPr>
            </w:pPr>
            <w:r w:rsidRPr="000D65CE">
              <w:rPr>
                <w:rFonts w:eastAsia="Times" w:cs="Arial"/>
                <w:szCs w:val="22"/>
              </w:rPr>
              <w:t>Retail</w:t>
            </w:r>
          </w:p>
        </w:tc>
        <w:tc>
          <w:tcPr>
            <w:tcW w:w="4753" w:type="dxa"/>
          </w:tcPr>
          <w:p w14:paraId="5F863F58" w14:textId="77777777" w:rsidR="00287F1E" w:rsidRPr="000D65CE" w:rsidRDefault="00287F1E" w:rsidP="003B280C">
            <w:pPr>
              <w:spacing w:beforeLines="1" w:before="2" w:afterLines="1" w:after="2"/>
              <w:jc w:val="both"/>
              <w:rPr>
                <w:rFonts w:eastAsia="Times" w:cs="Arial"/>
                <w:szCs w:val="22"/>
              </w:rPr>
            </w:pPr>
            <w:r w:rsidRPr="000D65CE">
              <w:rPr>
                <w:rFonts w:eastAsia="Times" w:cs="Arial"/>
                <w:szCs w:val="22"/>
              </w:rPr>
              <w:t>£165</w:t>
            </w:r>
          </w:p>
        </w:tc>
      </w:tr>
      <w:tr w:rsidR="00287F1E" w:rsidRPr="000D65CE" w14:paraId="66C1A3F0" w14:textId="77777777" w:rsidTr="009C7549">
        <w:tc>
          <w:tcPr>
            <w:tcW w:w="3605" w:type="dxa"/>
          </w:tcPr>
          <w:p w14:paraId="6FC78886" w14:textId="77777777" w:rsidR="00287F1E" w:rsidRPr="000D65CE" w:rsidRDefault="00287F1E" w:rsidP="003B280C">
            <w:pPr>
              <w:spacing w:beforeLines="1" w:before="2" w:afterLines="1" w:after="2"/>
              <w:jc w:val="both"/>
              <w:rPr>
                <w:rFonts w:eastAsia="Times" w:cs="Arial"/>
                <w:szCs w:val="22"/>
              </w:rPr>
            </w:pPr>
            <w:r w:rsidRPr="000D65CE">
              <w:rPr>
                <w:rFonts w:eastAsia="Times" w:cs="Arial"/>
                <w:szCs w:val="22"/>
              </w:rPr>
              <w:t>Hotel</w:t>
            </w:r>
          </w:p>
        </w:tc>
        <w:tc>
          <w:tcPr>
            <w:tcW w:w="4753" w:type="dxa"/>
          </w:tcPr>
          <w:p w14:paraId="54CD65A7" w14:textId="77777777" w:rsidR="00287F1E" w:rsidRPr="000D65CE" w:rsidRDefault="00287F1E" w:rsidP="003B280C">
            <w:pPr>
              <w:spacing w:beforeLines="1" w:before="2" w:afterLines="1" w:after="2"/>
              <w:jc w:val="both"/>
              <w:rPr>
                <w:rFonts w:eastAsia="Times" w:cs="Arial"/>
                <w:szCs w:val="22"/>
              </w:rPr>
            </w:pPr>
            <w:r w:rsidRPr="000D65CE">
              <w:rPr>
                <w:rFonts w:eastAsia="Times" w:cs="Arial"/>
                <w:szCs w:val="22"/>
              </w:rPr>
              <w:t>£140</w:t>
            </w:r>
          </w:p>
        </w:tc>
      </w:tr>
    </w:tbl>
    <w:p w14:paraId="431DB505" w14:textId="77777777" w:rsidR="00EB61F0" w:rsidRPr="000D65CE" w:rsidRDefault="00604215" w:rsidP="00721B10">
      <w:pPr>
        <w:pStyle w:val="Headers"/>
        <w:rPr>
          <w:rFonts w:eastAsia="MS Mincho"/>
          <w:szCs w:val="22"/>
        </w:rPr>
      </w:pPr>
      <w:bookmarkStart w:id="2" w:name="_Toc69374666"/>
      <w:r w:rsidRPr="000D65CE">
        <w:lastRenderedPageBreak/>
        <w:t>Approach to</w:t>
      </w:r>
      <w:r w:rsidR="00C142A4" w:rsidRPr="000D65CE">
        <w:t xml:space="preserve"> Development Mitigation and Infrastructure</w:t>
      </w:r>
      <w:r w:rsidR="005C3E00" w:rsidRPr="000D65CE">
        <w:t xml:space="preserve"> </w:t>
      </w:r>
      <w:r w:rsidR="00C142A4" w:rsidRPr="000D65CE">
        <w:t>Delivery</w:t>
      </w:r>
      <w:bookmarkEnd w:id="2"/>
    </w:p>
    <w:p w14:paraId="65B65CC0" w14:textId="0520FDC0" w:rsidR="00E477EC" w:rsidRPr="000D65CE" w:rsidRDefault="00E477EC" w:rsidP="003B280C">
      <w:pPr>
        <w:pStyle w:val="Paragraphs"/>
        <w:rPr>
          <w:lang w:val="en-GB"/>
        </w:rPr>
      </w:pPr>
      <w:r w:rsidRPr="000D65CE">
        <w:rPr>
          <w:lang w:val="en-GB"/>
        </w:rPr>
        <w:t>The</w:t>
      </w:r>
      <w:r w:rsidR="004946C7" w:rsidRPr="000D65CE">
        <w:rPr>
          <w:lang w:val="en-GB"/>
        </w:rPr>
        <w:t xml:space="preserve"> specified subjects</w:t>
      </w:r>
      <w:r w:rsidRPr="000D65CE">
        <w:rPr>
          <w:lang w:val="en-GB"/>
        </w:rPr>
        <w:t xml:space="preserve"> for </w:t>
      </w:r>
      <w:r w:rsidR="00FD0602">
        <w:rPr>
          <w:lang w:val="en-GB"/>
        </w:rPr>
        <w:t>planning obligations,</w:t>
      </w:r>
      <w:r w:rsidR="00FD0602" w:rsidRPr="000D65CE">
        <w:rPr>
          <w:lang w:val="en-GB"/>
        </w:rPr>
        <w:t xml:space="preserve"> </w:t>
      </w:r>
      <w:r w:rsidRPr="000D65CE">
        <w:rPr>
          <w:lang w:val="en-GB"/>
        </w:rPr>
        <w:t>as set out in this document are not exhaustive</w:t>
      </w:r>
      <w:r w:rsidR="00666C83" w:rsidRPr="000D65CE">
        <w:rPr>
          <w:lang w:val="en-GB"/>
        </w:rPr>
        <w:t>.</w:t>
      </w:r>
      <w:r w:rsidRPr="000D65CE">
        <w:rPr>
          <w:lang w:val="en-GB"/>
        </w:rPr>
        <w:t xml:space="preserve"> </w:t>
      </w:r>
      <w:r w:rsidR="00BF4C32" w:rsidRPr="000D65CE">
        <w:rPr>
          <w:lang w:val="en-GB"/>
        </w:rPr>
        <w:t>Depending on the individual circumstances of a site and proposal, t</w:t>
      </w:r>
      <w:r w:rsidRPr="000D65CE">
        <w:rPr>
          <w:lang w:val="en-GB"/>
        </w:rPr>
        <w:t>he Council may wish to negotiate other forms of planning obligations</w:t>
      </w:r>
      <w:r w:rsidR="00BF4C32" w:rsidRPr="000D65CE">
        <w:rPr>
          <w:lang w:val="en-GB"/>
        </w:rPr>
        <w:t xml:space="preserve"> which meet the CIL Regulation 122 tests</w:t>
      </w:r>
      <w:r w:rsidR="00B92D53" w:rsidRPr="000D65CE">
        <w:rPr>
          <w:lang w:val="en-GB"/>
        </w:rPr>
        <w:t xml:space="preserve"> (refer to paragraph 1.5)</w:t>
      </w:r>
      <w:r w:rsidRPr="000D65CE">
        <w:rPr>
          <w:lang w:val="en-GB"/>
        </w:rPr>
        <w:t>. When considering planning</w:t>
      </w:r>
      <w:r w:rsidR="004946C7" w:rsidRPr="000D65CE">
        <w:rPr>
          <w:lang w:val="en-GB"/>
        </w:rPr>
        <w:t xml:space="preserve"> applications</w:t>
      </w:r>
      <w:r w:rsidRPr="000D65CE">
        <w:rPr>
          <w:lang w:val="en-GB"/>
        </w:rPr>
        <w:t>, the Council will use a range of planning tools as follows:</w:t>
      </w:r>
    </w:p>
    <w:p w14:paraId="20112D16" w14:textId="77777777" w:rsidR="00CE0DD8" w:rsidRPr="000D65CE" w:rsidRDefault="00E477EC" w:rsidP="003B280C">
      <w:pPr>
        <w:pStyle w:val="ListBullet4"/>
        <w:jc w:val="both"/>
      </w:pPr>
      <w:r>
        <w:t xml:space="preserve">By working with developers, the Council will seek to ensure that most design and mitigation requirements are delivered as part of the initial development proposal. </w:t>
      </w:r>
    </w:p>
    <w:p w14:paraId="4DFB57B8" w14:textId="77777777" w:rsidR="00E477EC" w:rsidRPr="000D65CE" w:rsidRDefault="00E477EC" w:rsidP="003B280C">
      <w:pPr>
        <w:pStyle w:val="ListBullet4"/>
        <w:jc w:val="both"/>
      </w:pPr>
      <w:r>
        <w:t>In cases where an initial proposal does not meet the Council’s policy and/or objectives, planning conditions will be used to ensure that the final proposal meets the Council’s requirements</w:t>
      </w:r>
    </w:p>
    <w:p w14:paraId="3E61068F" w14:textId="5DB370FC" w:rsidR="00E477EC" w:rsidRPr="000D65CE" w:rsidRDefault="00E477EC" w:rsidP="003B280C">
      <w:pPr>
        <w:pStyle w:val="ListBullet4"/>
        <w:jc w:val="both"/>
      </w:pPr>
      <w:r>
        <w:t>Details relating to highways im</w:t>
      </w:r>
      <w:r w:rsidR="00337437">
        <w:t xml:space="preserve">provement will be set out in a </w:t>
      </w:r>
      <w:r w:rsidR="00032BFE">
        <w:t>planning obligations</w:t>
      </w:r>
      <w:r w:rsidR="00832B30">
        <w:t xml:space="preserve"> and/or </w:t>
      </w:r>
      <w:r w:rsidR="005B4191">
        <w:t>Section</w:t>
      </w:r>
      <w:r>
        <w:t xml:space="preserve"> 278 agreements, where necessary</w:t>
      </w:r>
    </w:p>
    <w:p w14:paraId="2B457830" w14:textId="1EA6FAE0" w:rsidR="00E477EC" w:rsidRPr="000D65CE" w:rsidRDefault="00F65B2F" w:rsidP="003B280C">
      <w:pPr>
        <w:pStyle w:val="ListBullet4"/>
        <w:jc w:val="both"/>
      </w:pPr>
      <w:r>
        <w:t>W</w:t>
      </w:r>
      <w:r w:rsidR="00E477EC">
        <w:t>here a proposal directly necessitates the provision of infrastructure to mitigate/enable development, the Council m</w:t>
      </w:r>
      <w:r w:rsidR="00337437">
        <w:t xml:space="preserve">ay seek </w:t>
      </w:r>
      <w:r w:rsidR="006D7824">
        <w:t>to secure planning obligation</w:t>
      </w:r>
      <w:r w:rsidR="00EB27D5">
        <w:t>s</w:t>
      </w:r>
      <w:r w:rsidR="006D7824">
        <w:t xml:space="preserve"> through S</w:t>
      </w:r>
      <w:r w:rsidR="00694C6D">
        <w:t xml:space="preserve">ection </w:t>
      </w:r>
      <w:r w:rsidR="006D7824">
        <w:t>106</w:t>
      </w:r>
    </w:p>
    <w:p w14:paraId="232093EB" w14:textId="3A5291BE" w:rsidR="003608D8" w:rsidRPr="000D65CE" w:rsidRDefault="00806C1C" w:rsidP="003B280C">
      <w:pPr>
        <w:pStyle w:val="Paragraphs"/>
        <w:rPr>
          <w:lang w:val="en-GB"/>
        </w:rPr>
      </w:pPr>
      <w:r>
        <w:rPr>
          <w:lang w:val="en-GB"/>
        </w:rPr>
        <w:t xml:space="preserve">Planning </w:t>
      </w:r>
      <w:r w:rsidR="00EB27D5">
        <w:rPr>
          <w:lang w:val="en-GB"/>
        </w:rPr>
        <w:t>o</w:t>
      </w:r>
      <w:r>
        <w:rPr>
          <w:lang w:val="en-GB"/>
        </w:rPr>
        <w:t>bligations</w:t>
      </w:r>
      <w:r w:rsidRPr="000D65CE">
        <w:rPr>
          <w:lang w:val="en-GB"/>
        </w:rPr>
        <w:t xml:space="preserve"> </w:t>
      </w:r>
      <w:r w:rsidR="00E477EC" w:rsidRPr="000D65CE">
        <w:rPr>
          <w:lang w:val="en-GB"/>
        </w:rPr>
        <w:t>may be financial or</w:t>
      </w:r>
      <w:r w:rsidR="004E4EC1" w:rsidRPr="000D65CE">
        <w:rPr>
          <w:lang w:val="en-GB"/>
        </w:rPr>
        <w:t xml:space="preserve"> non-financial (including</w:t>
      </w:r>
      <w:r w:rsidR="00E477EC" w:rsidRPr="000D65CE">
        <w:rPr>
          <w:lang w:val="en-GB"/>
        </w:rPr>
        <w:t xml:space="preserve"> ‘in kind’ where the developer builds or provides directly the matters necessary to </w:t>
      </w:r>
      <w:r w:rsidR="00750023" w:rsidRPr="000D65CE">
        <w:rPr>
          <w:lang w:val="en-GB"/>
        </w:rPr>
        <w:t>fulfi</w:t>
      </w:r>
      <w:r w:rsidR="00E010C8" w:rsidRPr="000D65CE">
        <w:rPr>
          <w:lang w:val="en-GB"/>
        </w:rPr>
        <w:t>l</w:t>
      </w:r>
      <w:r w:rsidR="00E477EC" w:rsidRPr="000D65CE">
        <w:rPr>
          <w:lang w:val="en-GB"/>
        </w:rPr>
        <w:t xml:space="preserve"> the obligation</w:t>
      </w:r>
      <w:r w:rsidR="004E4EC1" w:rsidRPr="000D65CE">
        <w:rPr>
          <w:lang w:val="en-GB"/>
        </w:rPr>
        <w:t>) and are</w:t>
      </w:r>
      <w:r w:rsidR="00E477EC" w:rsidRPr="000D65CE">
        <w:rPr>
          <w:lang w:val="en-GB"/>
        </w:rPr>
        <w:t xml:space="preserve"> negotiated as part of planning applications. </w:t>
      </w:r>
      <w:r w:rsidR="003B5F96" w:rsidRPr="000D65CE">
        <w:rPr>
          <w:lang w:val="en-GB"/>
        </w:rPr>
        <w:t xml:space="preserve">In many cases provision in kind is preferable and </w:t>
      </w:r>
      <w:r w:rsidR="0030495F" w:rsidRPr="000D65CE">
        <w:rPr>
          <w:lang w:val="en-GB"/>
        </w:rPr>
        <w:t xml:space="preserve">more </w:t>
      </w:r>
      <w:r w:rsidR="003B5F96" w:rsidRPr="000D65CE">
        <w:rPr>
          <w:lang w:val="en-GB"/>
        </w:rPr>
        <w:t>suitable, especially where this reduces management costs and/or where finding land for a facility is</w:t>
      </w:r>
      <w:r w:rsidR="00CD0922" w:rsidRPr="000D65CE">
        <w:rPr>
          <w:lang w:val="en-GB"/>
        </w:rPr>
        <w:t xml:space="preserve"> problematic</w:t>
      </w:r>
      <w:r w:rsidR="003B5F96" w:rsidRPr="000D65CE">
        <w:rPr>
          <w:lang w:val="en-GB"/>
        </w:rPr>
        <w:t xml:space="preserve">. Where provision is made within developments, this will be credited to the scheme and </w:t>
      </w:r>
      <w:r w:rsidR="00B92D53" w:rsidRPr="000D65CE">
        <w:rPr>
          <w:lang w:val="en-GB"/>
        </w:rPr>
        <w:t>will</w:t>
      </w:r>
      <w:r w:rsidR="003B5F96" w:rsidRPr="000D65CE">
        <w:rPr>
          <w:lang w:val="en-GB"/>
        </w:rPr>
        <w:t xml:space="preserve"> off-set financial contributions that may otherwise be sought. </w:t>
      </w:r>
      <w:r w:rsidR="0030495F" w:rsidRPr="000D65CE">
        <w:rPr>
          <w:lang w:val="en-GB"/>
        </w:rPr>
        <w:t>O</w:t>
      </w:r>
      <w:r w:rsidR="003B5F96" w:rsidRPr="000D65CE">
        <w:rPr>
          <w:lang w:val="en-GB"/>
        </w:rPr>
        <w:t xml:space="preserve">ther </w:t>
      </w:r>
      <w:r w:rsidR="006D7824">
        <w:rPr>
          <w:lang w:val="en-GB"/>
        </w:rPr>
        <w:t>obligations</w:t>
      </w:r>
      <w:r w:rsidR="006D7824" w:rsidRPr="000D65CE">
        <w:rPr>
          <w:lang w:val="en-GB"/>
        </w:rPr>
        <w:t xml:space="preserve"> </w:t>
      </w:r>
      <w:r w:rsidR="003B5F96" w:rsidRPr="000D65CE">
        <w:rPr>
          <w:lang w:val="en-GB"/>
        </w:rPr>
        <w:t>may be secured for reasonable fitting out and</w:t>
      </w:r>
      <w:r w:rsidR="006D7824">
        <w:rPr>
          <w:lang w:val="en-GB"/>
        </w:rPr>
        <w:t xml:space="preserve"> other associated</w:t>
      </w:r>
      <w:r w:rsidR="003B5F96" w:rsidRPr="000D65CE">
        <w:rPr>
          <w:lang w:val="en-GB"/>
        </w:rPr>
        <w:t xml:space="preserve"> infrastructure costs. These would ensure that providers of community services necessitated by the development have facilities suitable for their needs and provided at nominal rents and service charges.</w:t>
      </w:r>
    </w:p>
    <w:p w14:paraId="33D766FA" w14:textId="09409E57" w:rsidR="00BF4C32" w:rsidRPr="000D65CE" w:rsidRDefault="000C33DA" w:rsidP="003B280C">
      <w:pPr>
        <w:pStyle w:val="Paragraphs"/>
        <w:rPr>
          <w:lang w:val="en-GB"/>
        </w:rPr>
      </w:pPr>
      <w:r w:rsidRPr="000D65CE">
        <w:rPr>
          <w:lang w:val="en-GB"/>
        </w:rPr>
        <w:t xml:space="preserve">Local Plan Policy D.SG5 notes that a flexible approach will be taken in determining planning applications relating to site allocations. Strategic infrastructure items required by site allocations will not typically meet the Regulation 122 </w:t>
      </w:r>
      <w:r w:rsidR="00B859CB" w:rsidRPr="000D65CE">
        <w:rPr>
          <w:lang w:val="en-GB"/>
        </w:rPr>
        <w:t>tests and</w:t>
      </w:r>
      <w:r w:rsidR="006D7824">
        <w:rPr>
          <w:lang w:val="en-GB"/>
        </w:rPr>
        <w:t xml:space="preserve"> will</w:t>
      </w:r>
      <w:r w:rsidRPr="000D65CE">
        <w:rPr>
          <w:lang w:val="en-GB"/>
        </w:rPr>
        <w:t xml:space="preserve"> instead be delivered </w:t>
      </w:r>
      <w:r w:rsidR="006D7824">
        <w:rPr>
          <w:lang w:val="en-GB"/>
        </w:rPr>
        <w:t>through</w:t>
      </w:r>
      <w:r w:rsidRPr="000D65CE">
        <w:rPr>
          <w:lang w:val="en-GB"/>
        </w:rPr>
        <w:t xml:space="preserve"> CIL-in kind. </w:t>
      </w:r>
    </w:p>
    <w:p w14:paraId="69965F08" w14:textId="77777777" w:rsidR="00663FCF" w:rsidRPr="000D65CE" w:rsidRDefault="00663FCF" w:rsidP="003B280C">
      <w:pPr>
        <w:pStyle w:val="Paragraphs"/>
        <w:rPr>
          <w:rFonts w:eastAsia="MS Mincho"/>
          <w:lang w:val="en-GB"/>
        </w:rPr>
      </w:pPr>
      <w:r w:rsidRPr="000D65CE">
        <w:rPr>
          <w:rFonts w:eastAsia="MS Mincho"/>
          <w:lang w:val="en-GB"/>
        </w:rPr>
        <w:br w:type="page"/>
      </w:r>
    </w:p>
    <w:p w14:paraId="48C8AA6B" w14:textId="77777777" w:rsidR="006C057B" w:rsidRPr="000D65CE" w:rsidRDefault="00DD02FF" w:rsidP="00721B10">
      <w:pPr>
        <w:pStyle w:val="Headers"/>
      </w:pPr>
      <w:bookmarkStart w:id="3" w:name="_Toc69374667"/>
      <w:r w:rsidRPr="000D65CE">
        <w:lastRenderedPageBreak/>
        <w:t xml:space="preserve">Legislative </w:t>
      </w:r>
      <w:r w:rsidR="006002B8" w:rsidRPr="000D65CE">
        <w:t xml:space="preserve">and Policy </w:t>
      </w:r>
      <w:r w:rsidRPr="000D65CE">
        <w:t>C</w:t>
      </w:r>
      <w:r w:rsidR="006C057B" w:rsidRPr="000D65CE">
        <w:t>ontext</w:t>
      </w:r>
      <w:bookmarkEnd w:id="3"/>
    </w:p>
    <w:p w14:paraId="553EB605" w14:textId="1277ECE5" w:rsidR="00760576" w:rsidRPr="000D65CE" w:rsidRDefault="00E477EC" w:rsidP="003B280C">
      <w:pPr>
        <w:pStyle w:val="Heading1"/>
        <w:jc w:val="both"/>
        <w:rPr>
          <w:sz w:val="30"/>
          <w:szCs w:val="30"/>
          <w:lang w:val="en-GB"/>
        </w:rPr>
      </w:pPr>
      <w:r w:rsidRPr="000D65CE">
        <w:rPr>
          <w:sz w:val="30"/>
          <w:szCs w:val="30"/>
          <w:lang w:val="en-GB"/>
        </w:rPr>
        <w:t xml:space="preserve">Legislative Context </w:t>
      </w:r>
    </w:p>
    <w:p w14:paraId="61D9ADEA" w14:textId="6EBBA65C" w:rsidR="00FD51E3" w:rsidRPr="000D65CE" w:rsidRDefault="00E477EC" w:rsidP="003B280C">
      <w:pPr>
        <w:pStyle w:val="Paragraphs"/>
        <w:rPr>
          <w:lang w:val="en-GB"/>
        </w:rPr>
      </w:pPr>
      <w:r w:rsidRPr="000D65CE">
        <w:rPr>
          <w:lang w:val="en-GB"/>
        </w:rPr>
        <w:t xml:space="preserve">The legislative basis for planning obligations is set out in </w:t>
      </w:r>
      <w:r w:rsidR="009610F9" w:rsidRPr="000D65CE">
        <w:rPr>
          <w:lang w:val="en-GB"/>
        </w:rPr>
        <w:t>S</w:t>
      </w:r>
      <w:r w:rsidR="00032BFE">
        <w:rPr>
          <w:lang w:val="en-GB"/>
        </w:rPr>
        <w:t xml:space="preserve">ection </w:t>
      </w:r>
      <w:r w:rsidR="009610F9" w:rsidRPr="000D65CE">
        <w:rPr>
          <w:lang w:val="en-GB"/>
        </w:rPr>
        <w:t>106</w:t>
      </w:r>
      <w:r w:rsidRPr="000D65CE">
        <w:rPr>
          <w:lang w:val="en-GB"/>
        </w:rPr>
        <w:t xml:space="preserve"> of the Town and Country Planning Act 1990 </w:t>
      </w:r>
      <w:r w:rsidR="004E4EC1" w:rsidRPr="000D65CE">
        <w:rPr>
          <w:lang w:val="en-GB"/>
        </w:rPr>
        <w:t>(</w:t>
      </w:r>
      <w:r w:rsidRPr="000D65CE">
        <w:rPr>
          <w:lang w:val="en-GB"/>
        </w:rPr>
        <w:t xml:space="preserve">as amended </w:t>
      </w:r>
      <w:r w:rsidR="00337437" w:rsidRPr="000D65CE">
        <w:rPr>
          <w:lang w:val="en-GB"/>
        </w:rPr>
        <w:t>by</w:t>
      </w:r>
      <w:r w:rsidR="00490442" w:rsidRPr="000D65CE">
        <w:rPr>
          <w:lang w:val="en-GB"/>
        </w:rPr>
        <w:t xml:space="preserve"> subsequent legislation including</w:t>
      </w:r>
      <w:r w:rsidR="00337437" w:rsidRPr="000D65CE">
        <w:rPr>
          <w:lang w:val="en-GB"/>
        </w:rPr>
        <w:t xml:space="preserve"> </w:t>
      </w:r>
      <w:r w:rsidRPr="000D65CE">
        <w:rPr>
          <w:lang w:val="en-GB"/>
        </w:rPr>
        <w:t>the 1991 Planning and Compensation Act and the Planning Act 2008</w:t>
      </w:r>
      <w:r w:rsidR="004E4EC1" w:rsidRPr="000D65CE">
        <w:rPr>
          <w:lang w:val="en-GB"/>
        </w:rPr>
        <w:t>)</w:t>
      </w:r>
      <w:r w:rsidRPr="000D65CE">
        <w:rPr>
          <w:lang w:val="en-GB"/>
        </w:rPr>
        <w:t>.</w:t>
      </w:r>
      <w:r w:rsidR="001C2013" w:rsidRPr="000D65CE">
        <w:rPr>
          <w:lang w:val="en-GB"/>
        </w:rPr>
        <w:t xml:space="preserve"> </w:t>
      </w:r>
    </w:p>
    <w:p w14:paraId="76F1CA83" w14:textId="5211FDE1" w:rsidR="00E477EC" w:rsidRPr="000D65CE" w:rsidRDefault="00E477EC" w:rsidP="003B280C">
      <w:pPr>
        <w:pStyle w:val="Paragraphs"/>
        <w:rPr>
          <w:lang w:val="en-GB"/>
        </w:rPr>
      </w:pPr>
      <w:r w:rsidRPr="000D65CE">
        <w:rPr>
          <w:lang w:val="en-GB"/>
        </w:rPr>
        <w:t xml:space="preserve">CIL was introduced by the Planning Act 2008 and came into force through the CIL Regulations 2010 (as amended). </w:t>
      </w:r>
      <w:r w:rsidR="00FD51E3" w:rsidRPr="000D65CE">
        <w:rPr>
          <w:lang w:val="en-GB"/>
        </w:rPr>
        <w:t>R</w:t>
      </w:r>
      <w:r w:rsidRPr="000D65CE">
        <w:rPr>
          <w:lang w:val="en-GB"/>
        </w:rPr>
        <w:t>egulation 122 made it unlawful for a planning obligation to be taken into account when determining a planning application for development, or any part of a development, if the obligation does not meet all</w:t>
      </w:r>
      <w:r w:rsidR="004B6DC3" w:rsidRPr="000D65CE">
        <w:rPr>
          <w:lang w:val="en-GB"/>
        </w:rPr>
        <w:t xml:space="preserve"> three</w:t>
      </w:r>
      <w:r w:rsidRPr="000D65CE">
        <w:rPr>
          <w:lang w:val="en-GB"/>
        </w:rPr>
        <w:t xml:space="preserve"> of the </w:t>
      </w:r>
      <w:r w:rsidR="004B6DC3" w:rsidRPr="000D65CE">
        <w:rPr>
          <w:lang w:val="en-GB"/>
        </w:rPr>
        <w:t xml:space="preserve">statutory </w:t>
      </w:r>
      <w:r w:rsidRPr="000D65CE">
        <w:rPr>
          <w:lang w:val="en-GB"/>
        </w:rPr>
        <w:t>tests</w:t>
      </w:r>
      <w:r w:rsidR="00EB27D5">
        <w:rPr>
          <w:lang w:val="en-GB"/>
        </w:rPr>
        <w:t>.</w:t>
      </w:r>
    </w:p>
    <w:p w14:paraId="34F301FF" w14:textId="3FC06896" w:rsidR="00760576" w:rsidRPr="000D65CE" w:rsidRDefault="00E477EC" w:rsidP="003B280C">
      <w:pPr>
        <w:pStyle w:val="Heading1"/>
        <w:jc w:val="both"/>
        <w:rPr>
          <w:sz w:val="30"/>
          <w:szCs w:val="30"/>
          <w:lang w:val="en-GB"/>
        </w:rPr>
      </w:pPr>
      <w:r w:rsidRPr="000D65CE">
        <w:rPr>
          <w:sz w:val="30"/>
          <w:szCs w:val="30"/>
          <w:lang w:val="en-GB"/>
        </w:rPr>
        <w:t xml:space="preserve">National Planning Policy Framework </w:t>
      </w:r>
      <w:r w:rsidR="00742AB8" w:rsidRPr="000D65CE">
        <w:rPr>
          <w:sz w:val="30"/>
          <w:szCs w:val="30"/>
          <w:lang w:val="en-GB"/>
        </w:rPr>
        <w:t>(2012 and 2019)</w:t>
      </w:r>
    </w:p>
    <w:p w14:paraId="69A05798" w14:textId="77777777" w:rsidR="00E477EC" w:rsidRPr="000D65CE" w:rsidRDefault="00E477EC" w:rsidP="003B280C">
      <w:pPr>
        <w:pStyle w:val="Paragraphs"/>
        <w:rPr>
          <w:lang w:val="en-GB"/>
        </w:rPr>
      </w:pPr>
      <w:r w:rsidRPr="000D65CE">
        <w:rPr>
          <w:lang w:val="en-GB"/>
        </w:rPr>
        <w:t xml:space="preserve">The National Planning Policy Framework (NPPF) sets out the Government’s economic, environmental and social </w:t>
      </w:r>
      <w:r w:rsidR="00490442" w:rsidRPr="000D65CE">
        <w:rPr>
          <w:lang w:val="en-GB"/>
        </w:rPr>
        <w:t xml:space="preserve">objectives of the planning </w:t>
      </w:r>
      <w:r w:rsidRPr="000D65CE">
        <w:rPr>
          <w:lang w:val="en-GB"/>
        </w:rPr>
        <w:t>polic</w:t>
      </w:r>
      <w:r w:rsidR="00490442" w:rsidRPr="000D65CE">
        <w:rPr>
          <w:lang w:val="en-GB"/>
        </w:rPr>
        <w:t>y framework</w:t>
      </w:r>
      <w:r w:rsidRPr="000D65CE">
        <w:rPr>
          <w:lang w:val="en-GB"/>
        </w:rPr>
        <w:t xml:space="preserve"> for England. Taken together, these</w:t>
      </w:r>
      <w:r w:rsidR="00490442" w:rsidRPr="000D65CE">
        <w:rPr>
          <w:lang w:val="en-GB"/>
        </w:rPr>
        <w:t xml:space="preserve"> objectives</w:t>
      </w:r>
      <w:r w:rsidRPr="000D65CE">
        <w:rPr>
          <w:lang w:val="en-GB"/>
        </w:rPr>
        <w:t xml:space="preserve"> articulate the Government’s vision of sustainable development, which should be interpreted and applied locally to meet local aspirations.</w:t>
      </w:r>
    </w:p>
    <w:p w14:paraId="474D58C1" w14:textId="50F7B014" w:rsidR="00742AB8" w:rsidRPr="000D65CE" w:rsidRDefault="00742AB8" w:rsidP="003B280C">
      <w:pPr>
        <w:pStyle w:val="Paragraphs"/>
        <w:rPr>
          <w:lang w:val="en-GB"/>
        </w:rPr>
      </w:pPr>
      <w:r w:rsidRPr="000D65CE">
        <w:rPr>
          <w:lang w:val="en-GB"/>
        </w:rPr>
        <w:t xml:space="preserve">The NPPF was revised in 2019 and replaces </w:t>
      </w:r>
      <w:r w:rsidR="00B86D4F" w:rsidRPr="000D65CE">
        <w:rPr>
          <w:lang w:val="en-GB"/>
        </w:rPr>
        <w:t>the version</w:t>
      </w:r>
      <w:r w:rsidR="00F13CA9" w:rsidRPr="000D65CE">
        <w:rPr>
          <w:lang w:val="en-GB"/>
        </w:rPr>
        <w:t xml:space="preserve"> published in</w:t>
      </w:r>
      <w:r w:rsidR="00A92E67" w:rsidRPr="000D65CE">
        <w:rPr>
          <w:lang w:val="en-GB"/>
        </w:rPr>
        <w:t xml:space="preserve"> 2012</w:t>
      </w:r>
      <w:r w:rsidR="00FE4B70" w:rsidRPr="000D65CE">
        <w:rPr>
          <w:lang w:val="en-GB"/>
        </w:rPr>
        <w:t xml:space="preserve">. </w:t>
      </w:r>
      <w:r w:rsidR="00490442" w:rsidRPr="000D65CE">
        <w:rPr>
          <w:lang w:val="en-GB"/>
        </w:rPr>
        <w:t>T</w:t>
      </w:r>
      <w:r w:rsidR="00FE4B70" w:rsidRPr="000D65CE">
        <w:rPr>
          <w:lang w:val="en-GB"/>
        </w:rPr>
        <w:t>he Tower Hamlets Local Plan (20</w:t>
      </w:r>
      <w:r w:rsidR="009F00C4" w:rsidRPr="000D65CE">
        <w:rPr>
          <w:lang w:val="en-GB"/>
        </w:rPr>
        <w:t>20</w:t>
      </w:r>
      <w:r w:rsidR="00FE4B70" w:rsidRPr="000D65CE">
        <w:rPr>
          <w:lang w:val="en-GB"/>
        </w:rPr>
        <w:t>) was prepared, examined and adopted in accordance with the NPPF 2012.</w:t>
      </w:r>
      <w:r w:rsidR="009F00C4" w:rsidRPr="000D65CE">
        <w:rPr>
          <w:lang w:val="en-GB"/>
        </w:rPr>
        <w:t xml:space="preserve"> </w:t>
      </w:r>
      <w:r w:rsidR="00A72122">
        <w:rPr>
          <w:lang w:val="en-GB"/>
        </w:rPr>
        <w:t xml:space="preserve">As such, the Local Plan </w:t>
      </w:r>
      <w:r w:rsidR="005571C0">
        <w:rPr>
          <w:lang w:val="en-GB"/>
        </w:rPr>
        <w:t>is</w:t>
      </w:r>
      <w:r w:rsidR="001901C5">
        <w:rPr>
          <w:lang w:val="en-GB"/>
        </w:rPr>
        <w:t xml:space="preserve"> subject to the transitional arrangements specified in the NPPF 2019. </w:t>
      </w:r>
    </w:p>
    <w:p w14:paraId="7D52CB96" w14:textId="0F073405" w:rsidR="00742AB8" w:rsidRDefault="00401641" w:rsidP="003B280C">
      <w:pPr>
        <w:pStyle w:val="Paragraphs"/>
        <w:rPr>
          <w:lang w:val="en-GB"/>
        </w:rPr>
      </w:pPr>
      <w:r>
        <w:rPr>
          <w:lang w:val="en-GB"/>
        </w:rPr>
        <w:t>The NPPF</w:t>
      </w:r>
      <w:r w:rsidR="00742AB8" w:rsidRPr="000D65CE">
        <w:rPr>
          <w:lang w:val="en-GB"/>
        </w:rPr>
        <w:t xml:space="preserve"> reiterate</w:t>
      </w:r>
      <w:r>
        <w:rPr>
          <w:lang w:val="en-GB"/>
        </w:rPr>
        <w:t>s</w:t>
      </w:r>
      <w:r w:rsidR="00742AB8" w:rsidRPr="000D65CE">
        <w:rPr>
          <w:lang w:val="en-GB"/>
        </w:rPr>
        <w:t xml:space="preserve"> the tests for planning obligations set out in the CIL Regulations and restate</w:t>
      </w:r>
      <w:r w:rsidR="006D7824">
        <w:rPr>
          <w:lang w:val="en-GB"/>
        </w:rPr>
        <w:t>s</w:t>
      </w:r>
      <w:r w:rsidR="00742AB8" w:rsidRPr="000D65CE">
        <w:rPr>
          <w:lang w:val="en-GB"/>
        </w:rPr>
        <w:t xml:space="preserve"> the principle that planning conditions are preferable to planning obligations. </w:t>
      </w:r>
    </w:p>
    <w:p w14:paraId="6C5933C6" w14:textId="77777777" w:rsidR="00760576" w:rsidRPr="000D65CE" w:rsidRDefault="00DA47C1" w:rsidP="003B280C">
      <w:pPr>
        <w:widowControl w:val="0"/>
        <w:autoSpaceDE w:val="0"/>
        <w:autoSpaceDN w:val="0"/>
        <w:adjustRightInd w:val="0"/>
        <w:spacing w:before="360" w:after="120"/>
        <w:jc w:val="both"/>
        <w:textAlignment w:val="center"/>
        <w:rPr>
          <w:rFonts w:cs="Arial"/>
          <w:b/>
          <w:bCs/>
          <w:color w:val="00477E"/>
          <w:sz w:val="30"/>
          <w:szCs w:val="30"/>
        </w:rPr>
      </w:pPr>
      <w:r w:rsidRPr="000D65CE">
        <w:rPr>
          <w:rFonts w:cs="Arial"/>
          <w:b/>
          <w:bCs/>
          <w:color w:val="00477E"/>
          <w:sz w:val="30"/>
          <w:szCs w:val="30"/>
        </w:rPr>
        <w:t>Tower Hamlets Local Plan</w:t>
      </w:r>
      <w:r w:rsidR="006C057B" w:rsidRPr="000D65CE">
        <w:rPr>
          <w:rFonts w:cs="Arial"/>
          <w:b/>
          <w:bCs/>
          <w:color w:val="00477E"/>
          <w:sz w:val="30"/>
          <w:szCs w:val="30"/>
        </w:rPr>
        <w:t xml:space="preserve"> (20</w:t>
      </w:r>
      <w:r w:rsidR="005D34A3" w:rsidRPr="000D65CE">
        <w:rPr>
          <w:rFonts w:cs="Arial"/>
          <w:b/>
          <w:bCs/>
          <w:color w:val="00477E"/>
          <w:sz w:val="30"/>
          <w:szCs w:val="30"/>
        </w:rPr>
        <w:t>20</w:t>
      </w:r>
      <w:r w:rsidR="006C057B" w:rsidRPr="000D65CE">
        <w:rPr>
          <w:rFonts w:cs="Arial"/>
          <w:b/>
          <w:bCs/>
          <w:color w:val="00477E"/>
          <w:sz w:val="30"/>
          <w:szCs w:val="30"/>
        </w:rPr>
        <w:t>)</w:t>
      </w:r>
    </w:p>
    <w:p w14:paraId="35241D8E" w14:textId="0E412835" w:rsidR="00EB5BEF" w:rsidRPr="000D65CE" w:rsidRDefault="00EB5BEF" w:rsidP="003B280C">
      <w:pPr>
        <w:pStyle w:val="Paragraphs"/>
        <w:rPr>
          <w:lang w:val="en-GB"/>
        </w:rPr>
      </w:pPr>
      <w:r w:rsidRPr="7A52AF77">
        <w:rPr>
          <w:lang w:val="en-GB"/>
        </w:rPr>
        <w:t>Policy D.SG5</w:t>
      </w:r>
      <w:r w:rsidR="00DA47C1" w:rsidRPr="7A52AF77">
        <w:rPr>
          <w:lang w:val="en-GB"/>
        </w:rPr>
        <w:t xml:space="preserve"> </w:t>
      </w:r>
      <w:r w:rsidR="00AF4930" w:rsidRPr="7A52AF77">
        <w:rPr>
          <w:lang w:val="en-GB"/>
        </w:rPr>
        <w:t>of</w:t>
      </w:r>
      <w:r w:rsidRPr="7A52AF77">
        <w:rPr>
          <w:lang w:val="en-GB"/>
        </w:rPr>
        <w:t xml:space="preserve"> the Local Plan sets out the requirement for developers to pay</w:t>
      </w:r>
      <w:r w:rsidR="00FA1372" w:rsidRPr="7A52AF77">
        <w:rPr>
          <w:lang w:val="en-GB"/>
        </w:rPr>
        <w:t xml:space="preserve"> contributions, including</w:t>
      </w:r>
      <w:r w:rsidRPr="7A52AF77">
        <w:rPr>
          <w:lang w:val="en-GB"/>
        </w:rPr>
        <w:t xml:space="preserve"> the </w:t>
      </w:r>
      <w:r w:rsidR="00747592" w:rsidRPr="7A52AF77">
        <w:rPr>
          <w:lang w:val="en-GB"/>
        </w:rPr>
        <w:t>Borough</w:t>
      </w:r>
      <w:r w:rsidRPr="7A52AF77">
        <w:rPr>
          <w:lang w:val="en-GB"/>
        </w:rPr>
        <w:t xml:space="preserve"> and Mayoral CIL charges</w:t>
      </w:r>
      <w:r w:rsidR="00FA1372" w:rsidRPr="7A52AF77">
        <w:rPr>
          <w:lang w:val="en-GB"/>
        </w:rPr>
        <w:t xml:space="preserve"> and </w:t>
      </w:r>
      <w:r w:rsidR="006D7824" w:rsidRPr="7A52AF77">
        <w:rPr>
          <w:lang w:val="en-GB"/>
        </w:rPr>
        <w:t>planning obligations</w:t>
      </w:r>
      <w:r w:rsidR="00337437" w:rsidRPr="7A52AF77">
        <w:rPr>
          <w:lang w:val="en-GB"/>
        </w:rPr>
        <w:t>. Developers</w:t>
      </w:r>
      <w:r w:rsidR="009F00C4" w:rsidRPr="7A52AF77">
        <w:rPr>
          <w:lang w:val="en-GB"/>
        </w:rPr>
        <w:t xml:space="preserve"> are required to</w:t>
      </w:r>
      <w:r w:rsidR="00337437" w:rsidRPr="7A52AF77">
        <w:rPr>
          <w:lang w:val="en-GB"/>
        </w:rPr>
        <w:t xml:space="preserve"> enter into a </w:t>
      </w:r>
      <w:r w:rsidR="00032BFE">
        <w:rPr>
          <w:lang w:val="en-GB"/>
        </w:rPr>
        <w:t>legal</w:t>
      </w:r>
      <w:r w:rsidR="00032BFE" w:rsidRPr="7A52AF77">
        <w:rPr>
          <w:lang w:val="en-GB"/>
        </w:rPr>
        <w:t xml:space="preserve"> </w:t>
      </w:r>
      <w:r w:rsidR="008234E1" w:rsidRPr="7A52AF77">
        <w:rPr>
          <w:lang w:val="en-GB"/>
        </w:rPr>
        <w:t xml:space="preserve">agreement </w:t>
      </w:r>
      <w:r w:rsidR="009F00C4" w:rsidRPr="7A52AF77">
        <w:rPr>
          <w:lang w:val="en-GB"/>
        </w:rPr>
        <w:t xml:space="preserve">to </w:t>
      </w:r>
      <w:r w:rsidR="008234E1" w:rsidRPr="7A52AF77">
        <w:rPr>
          <w:lang w:val="en-GB"/>
        </w:rPr>
        <w:t>mitigate any impacts of the development through planning obligations where necessar</w:t>
      </w:r>
      <w:r w:rsidR="003A165D" w:rsidRPr="7A52AF77">
        <w:rPr>
          <w:lang w:val="en-GB"/>
        </w:rPr>
        <w:t xml:space="preserve">y. Where required, a financial </w:t>
      </w:r>
      <w:r w:rsidR="006D7824" w:rsidRPr="7A52AF77">
        <w:rPr>
          <w:lang w:val="en-GB"/>
        </w:rPr>
        <w:t>v</w:t>
      </w:r>
      <w:r w:rsidR="003A165D" w:rsidRPr="7A52AF77">
        <w:rPr>
          <w:lang w:val="en-GB"/>
        </w:rPr>
        <w:t xml:space="preserve">iability </w:t>
      </w:r>
      <w:r w:rsidR="006D7824" w:rsidRPr="7A52AF77">
        <w:rPr>
          <w:lang w:val="en-GB"/>
        </w:rPr>
        <w:t>a</w:t>
      </w:r>
      <w:r w:rsidR="008234E1" w:rsidRPr="7A52AF77">
        <w:rPr>
          <w:lang w:val="en-GB"/>
        </w:rPr>
        <w:t>ssessment should be submitted for applications that do not meet policy requirements or if developers do not propose to deliver</w:t>
      </w:r>
      <w:r w:rsidR="005E4BD5" w:rsidRPr="7A52AF77">
        <w:rPr>
          <w:lang w:val="en-GB"/>
        </w:rPr>
        <w:t xml:space="preserve"> the necessary</w:t>
      </w:r>
      <w:r w:rsidR="008234E1" w:rsidRPr="7A52AF77">
        <w:rPr>
          <w:lang w:val="en-GB"/>
        </w:rPr>
        <w:t xml:space="preserve"> planning obligations.</w:t>
      </w:r>
    </w:p>
    <w:p w14:paraId="458E9658" w14:textId="33957860" w:rsidR="006C057B" w:rsidRPr="000D65CE" w:rsidRDefault="00B25B8D" w:rsidP="003B280C">
      <w:pPr>
        <w:pStyle w:val="Paragraphs"/>
        <w:rPr>
          <w:lang w:val="en-GB"/>
        </w:rPr>
      </w:pPr>
      <w:r w:rsidRPr="7A52AF77">
        <w:rPr>
          <w:lang w:val="en-GB"/>
        </w:rPr>
        <w:t xml:space="preserve">Policy D.SG5 </w:t>
      </w:r>
      <w:r w:rsidR="00DA47C1" w:rsidRPr="7A52AF77">
        <w:rPr>
          <w:lang w:val="en-GB"/>
        </w:rPr>
        <w:t>confirms</w:t>
      </w:r>
      <w:r w:rsidR="006C057B" w:rsidRPr="7A52AF77">
        <w:rPr>
          <w:lang w:val="en-GB"/>
        </w:rPr>
        <w:t xml:space="preserve"> </w:t>
      </w:r>
      <w:r w:rsidR="00A65801" w:rsidRPr="7A52AF77">
        <w:rPr>
          <w:lang w:val="en-GB"/>
        </w:rPr>
        <w:t>that the majority of future infrastructure projects will be financed from monies secured through</w:t>
      </w:r>
      <w:r w:rsidR="00200C0A" w:rsidRPr="7A52AF77">
        <w:rPr>
          <w:lang w:val="en-GB"/>
        </w:rPr>
        <w:t xml:space="preserve"> CIL,</w:t>
      </w:r>
      <w:r w:rsidR="00AF4930" w:rsidRPr="7A52AF77">
        <w:rPr>
          <w:lang w:val="en-GB"/>
        </w:rPr>
        <w:t xml:space="preserve"> </w:t>
      </w:r>
      <w:r w:rsidR="00032BFE">
        <w:rPr>
          <w:lang w:val="en-GB"/>
        </w:rPr>
        <w:t xml:space="preserve">planning </w:t>
      </w:r>
      <w:r w:rsidR="00A65801" w:rsidRPr="7A52AF77">
        <w:rPr>
          <w:lang w:val="en-GB"/>
        </w:rPr>
        <w:t xml:space="preserve">obligations </w:t>
      </w:r>
      <w:r w:rsidR="00200C0A" w:rsidRPr="7A52AF77">
        <w:rPr>
          <w:lang w:val="en-GB"/>
        </w:rPr>
        <w:t>and</w:t>
      </w:r>
      <w:r w:rsidR="00A65801" w:rsidRPr="7A52AF77">
        <w:rPr>
          <w:lang w:val="en-GB"/>
        </w:rPr>
        <w:t xml:space="preserve"> other funding sources</w:t>
      </w:r>
      <w:r w:rsidR="00DA47C1" w:rsidRPr="7A52AF77">
        <w:rPr>
          <w:lang w:val="en-GB"/>
        </w:rPr>
        <w:t>,</w:t>
      </w:r>
      <w:r w:rsidR="00A65801" w:rsidRPr="7A52AF77">
        <w:rPr>
          <w:lang w:val="en-GB"/>
        </w:rPr>
        <w:t xml:space="preserve"> such as grants or subsidies. </w:t>
      </w:r>
      <w:r w:rsidR="00823D6A" w:rsidRPr="7A52AF77">
        <w:rPr>
          <w:lang w:val="en-GB"/>
        </w:rPr>
        <w:t>CIL will be used to fund infrastructure incl</w:t>
      </w:r>
      <w:r w:rsidR="00200C0A" w:rsidRPr="7A52AF77">
        <w:rPr>
          <w:lang w:val="en-GB"/>
        </w:rPr>
        <w:t>uding transport, parks, schools and</w:t>
      </w:r>
      <w:r w:rsidR="00823D6A" w:rsidRPr="7A52AF77">
        <w:rPr>
          <w:lang w:val="en-GB"/>
        </w:rPr>
        <w:t xml:space="preserve"> health facilities. </w:t>
      </w:r>
      <w:r w:rsidR="00032BFE">
        <w:rPr>
          <w:lang w:val="en-GB"/>
        </w:rPr>
        <w:t>legal</w:t>
      </w:r>
      <w:r w:rsidR="00032BFE" w:rsidRPr="7A52AF77">
        <w:rPr>
          <w:lang w:val="en-GB"/>
        </w:rPr>
        <w:t xml:space="preserve"> </w:t>
      </w:r>
      <w:r w:rsidR="00200C0A" w:rsidRPr="7A52AF77">
        <w:rPr>
          <w:lang w:val="en-GB"/>
        </w:rPr>
        <w:t>agreements will be used w</w:t>
      </w:r>
      <w:r w:rsidR="004E670B" w:rsidRPr="7A52AF77">
        <w:rPr>
          <w:lang w:val="en-GB"/>
        </w:rPr>
        <w:t xml:space="preserve">here planning conditions cannot address the identified </w:t>
      </w:r>
      <w:r w:rsidR="005E4BD5" w:rsidRPr="7A52AF77">
        <w:rPr>
          <w:lang w:val="en-GB"/>
        </w:rPr>
        <w:t xml:space="preserve">issue  of </w:t>
      </w:r>
      <w:r w:rsidR="004E670B" w:rsidRPr="7A52AF77">
        <w:rPr>
          <w:lang w:val="en-GB"/>
        </w:rPr>
        <w:t xml:space="preserve">a proposed development </w:t>
      </w:r>
      <w:r w:rsidR="00FA1372" w:rsidRPr="7A52AF77">
        <w:rPr>
          <w:lang w:val="en-GB"/>
        </w:rPr>
        <w:t>or</w:t>
      </w:r>
      <w:r w:rsidR="004E670B" w:rsidRPr="7A52AF77">
        <w:rPr>
          <w:lang w:val="en-GB"/>
        </w:rPr>
        <w:t xml:space="preserve"> an infrastructure re</w:t>
      </w:r>
      <w:r w:rsidR="00200C0A" w:rsidRPr="7A52AF77">
        <w:rPr>
          <w:lang w:val="en-GB"/>
        </w:rPr>
        <w:t>quirement</w:t>
      </w:r>
      <w:r w:rsidR="00FA1372" w:rsidRPr="7A52AF77">
        <w:rPr>
          <w:lang w:val="en-GB"/>
        </w:rPr>
        <w:t xml:space="preserve"> is</w:t>
      </w:r>
      <w:r w:rsidR="00480FCE" w:rsidRPr="7A52AF77">
        <w:rPr>
          <w:lang w:val="en-GB"/>
        </w:rPr>
        <w:t xml:space="preserve"> site-specific and</w:t>
      </w:r>
      <w:r w:rsidR="00200C0A" w:rsidRPr="7A52AF77">
        <w:rPr>
          <w:lang w:val="en-GB"/>
        </w:rPr>
        <w:t xml:space="preserve"> not </w:t>
      </w:r>
      <w:r w:rsidR="00480FCE" w:rsidRPr="7A52AF77">
        <w:rPr>
          <w:lang w:val="en-GB"/>
        </w:rPr>
        <w:t xml:space="preserve">funded by </w:t>
      </w:r>
      <w:r w:rsidR="00200C0A" w:rsidRPr="7A52AF77">
        <w:rPr>
          <w:lang w:val="en-GB"/>
        </w:rPr>
        <w:t>CIL.</w:t>
      </w:r>
    </w:p>
    <w:p w14:paraId="0A2A8BEF" w14:textId="77777777" w:rsidR="00874D64" w:rsidRPr="000D65CE" w:rsidRDefault="003B2746" w:rsidP="00721B10">
      <w:pPr>
        <w:pStyle w:val="Headers"/>
        <w:rPr>
          <w:szCs w:val="22"/>
        </w:rPr>
      </w:pPr>
      <w:bookmarkStart w:id="4" w:name="_Toc69374668"/>
      <w:r w:rsidRPr="000D65CE">
        <w:lastRenderedPageBreak/>
        <w:t>Negotiating Planning Obligations</w:t>
      </w:r>
      <w:bookmarkEnd w:id="4"/>
    </w:p>
    <w:p w14:paraId="1D46FAC3" w14:textId="777F87F4" w:rsidR="003B2746" w:rsidRPr="000D65CE" w:rsidRDefault="003B2746" w:rsidP="003B280C">
      <w:pPr>
        <w:pStyle w:val="Paragraphs"/>
        <w:rPr>
          <w:lang w:val="en-GB"/>
        </w:rPr>
      </w:pPr>
      <w:r w:rsidRPr="000D65CE">
        <w:rPr>
          <w:lang w:val="en-GB"/>
        </w:rPr>
        <w:t>The process for negotiating and securing planning obligations is set within the framework of national</w:t>
      </w:r>
      <w:r w:rsidR="007F06A5" w:rsidRPr="000D65CE">
        <w:rPr>
          <w:lang w:val="en-GB"/>
        </w:rPr>
        <w:t>,</w:t>
      </w:r>
      <w:r w:rsidRPr="000D65CE">
        <w:rPr>
          <w:lang w:val="en-GB"/>
        </w:rPr>
        <w:t xml:space="preserve"> </w:t>
      </w:r>
      <w:r w:rsidR="007F06A5" w:rsidRPr="000D65CE">
        <w:rPr>
          <w:lang w:val="en-GB"/>
        </w:rPr>
        <w:t xml:space="preserve">regional and local policy guidance and </w:t>
      </w:r>
      <w:r w:rsidRPr="000D65CE">
        <w:rPr>
          <w:lang w:val="en-GB"/>
        </w:rPr>
        <w:t>legislation</w:t>
      </w:r>
      <w:r w:rsidR="00C52A8C" w:rsidRPr="000D65CE">
        <w:rPr>
          <w:lang w:val="en-GB"/>
        </w:rPr>
        <w:t xml:space="preserve"> </w:t>
      </w:r>
      <w:r w:rsidR="00B24CC5" w:rsidRPr="000D65CE">
        <w:rPr>
          <w:lang w:val="en-GB"/>
        </w:rPr>
        <w:t>outlined</w:t>
      </w:r>
      <w:r w:rsidR="00C52A8C" w:rsidRPr="000D65CE">
        <w:rPr>
          <w:lang w:val="en-GB"/>
        </w:rPr>
        <w:t xml:space="preserve"> in section 3</w:t>
      </w:r>
      <w:r w:rsidR="007F06A5" w:rsidRPr="000D65CE">
        <w:rPr>
          <w:lang w:val="en-GB"/>
        </w:rPr>
        <w:t>.</w:t>
      </w:r>
      <w:r w:rsidRPr="000D65CE">
        <w:rPr>
          <w:lang w:val="en-GB"/>
        </w:rPr>
        <w:t xml:space="preserve"> When carrying out these negotiations </w:t>
      </w:r>
      <w:r w:rsidR="004E7C99" w:rsidRPr="000D65CE">
        <w:rPr>
          <w:lang w:val="en-GB"/>
        </w:rPr>
        <w:t>to secure</w:t>
      </w:r>
      <w:r w:rsidRPr="000D65CE">
        <w:rPr>
          <w:lang w:val="en-GB"/>
        </w:rPr>
        <w:t xml:space="preserve"> planning obligations, the</w:t>
      </w:r>
      <w:r w:rsidR="00384E2E" w:rsidRPr="000D65CE">
        <w:rPr>
          <w:lang w:val="en-GB"/>
        </w:rPr>
        <w:t xml:space="preserve"> three</w:t>
      </w:r>
      <w:r w:rsidRPr="000D65CE">
        <w:rPr>
          <w:lang w:val="en-GB"/>
        </w:rPr>
        <w:t xml:space="preserve"> statutory tests set out in the </w:t>
      </w:r>
      <w:r w:rsidR="002B7A1C">
        <w:rPr>
          <w:lang w:val="en-GB"/>
        </w:rPr>
        <w:t xml:space="preserve">CIL </w:t>
      </w:r>
      <w:r w:rsidR="00C52A8C" w:rsidRPr="000D65CE">
        <w:rPr>
          <w:lang w:val="en-GB"/>
        </w:rPr>
        <w:t>r</w:t>
      </w:r>
      <w:r w:rsidRPr="000D65CE">
        <w:rPr>
          <w:lang w:val="en-GB"/>
        </w:rPr>
        <w:t>egulations</w:t>
      </w:r>
      <w:r w:rsidR="00384E2E" w:rsidRPr="000D65CE">
        <w:rPr>
          <w:lang w:val="en-GB"/>
        </w:rPr>
        <w:t xml:space="preserve"> must be met</w:t>
      </w:r>
      <w:r w:rsidRPr="000D65CE">
        <w:rPr>
          <w:lang w:val="en-GB"/>
        </w:rPr>
        <w:t>.</w:t>
      </w:r>
    </w:p>
    <w:p w14:paraId="470EC163" w14:textId="0DA79DBC" w:rsidR="00086BBE" w:rsidRPr="000D65CE" w:rsidRDefault="003B2746" w:rsidP="003B280C">
      <w:pPr>
        <w:pStyle w:val="Heading1"/>
        <w:jc w:val="both"/>
        <w:rPr>
          <w:sz w:val="30"/>
          <w:szCs w:val="30"/>
          <w:lang w:val="en-GB"/>
        </w:rPr>
      </w:pPr>
      <w:r w:rsidRPr="000D65CE">
        <w:rPr>
          <w:sz w:val="30"/>
          <w:szCs w:val="30"/>
          <w:lang w:val="en-GB"/>
        </w:rPr>
        <w:t>Pre-application Stage</w:t>
      </w:r>
    </w:p>
    <w:p w14:paraId="1C1DD5CC" w14:textId="1BDD9323" w:rsidR="00384E2E" w:rsidRPr="000D65CE" w:rsidRDefault="00CE4CC2" w:rsidP="003B280C">
      <w:pPr>
        <w:pStyle w:val="Paragraphs"/>
        <w:rPr>
          <w:lang w:val="en-GB"/>
        </w:rPr>
      </w:pPr>
      <w:r w:rsidRPr="000D65CE">
        <w:rPr>
          <w:lang w:val="en-GB"/>
        </w:rPr>
        <w:t>Applicants, agents and developers are encouraged to seek pre-application advice pri</w:t>
      </w:r>
      <w:r w:rsidR="000B2596" w:rsidRPr="000D65CE">
        <w:rPr>
          <w:lang w:val="en-GB"/>
        </w:rPr>
        <w:t>or to the formal submission of Major D</w:t>
      </w:r>
      <w:r w:rsidRPr="000D65CE">
        <w:rPr>
          <w:lang w:val="en-GB"/>
        </w:rPr>
        <w:t xml:space="preserve">evelopment proposals within the </w:t>
      </w:r>
      <w:r w:rsidR="00C44288" w:rsidRPr="000D65CE">
        <w:rPr>
          <w:lang w:val="en-GB"/>
        </w:rPr>
        <w:t>b</w:t>
      </w:r>
      <w:r w:rsidR="00747592" w:rsidRPr="000D65CE">
        <w:rPr>
          <w:lang w:val="en-GB"/>
        </w:rPr>
        <w:t>orough</w:t>
      </w:r>
      <w:r w:rsidR="0016795B" w:rsidRPr="000D65CE">
        <w:rPr>
          <w:lang w:val="en-GB"/>
        </w:rPr>
        <w:t>, in line with Local Plan Section 5 (Monitoring and Delivery)</w:t>
      </w:r>
      <w:r w:rsidRPr="000D65CE">
        <w:rPr>
          <w:lang w:val="en-GB"/>
        </w:rPr>
        <w:t xml:space="preserve">. The pre-application process offers a valuable service </w:t>
      </w:r>
      <w:r w:rsidR="0016795B" w:rsidRPr="000D65CE">
        <w:rPr>
          <w:lang w:val="en-GB"/>
        </w:rPr>
        <w:t xml:space="preserve">through </w:t>
      </w:r>
      <w:r w:rsidR="00810AB8" w:rsidRPr="000D65CE">
        <w:rPr>
          <w:lang w:val="en-GB"/>
        </w:rPr>
        <w:t>discussions;</w:t>
      </w:r>
      <w:r w:rsidR="0016795B" w:rsidRPr="000D65CE">
        <w:rPr>
          <w:lang w:val="en-GB"/>
        </w:rPr>
        <w:t xml:space="preserve"> planning performance agreements (PPAs) and other tools like design reviews and sustainability checklists </w:t>
      </w:r>
      <w:r w:rsidRPr="000D65CE">
        <w:rPr>
          <w:lang w:val="en-GB"/>
        </w:rPr>
        <w:t>for proposed schemes</w:t>
      </w:r>
      <w:r w:rsidR="00810AB8" w:rsidRPr="000D65CE">
        <w:rPr>
          <w:lang w:val="en-GB"/>
        </w:rPr>
        <w:t>.</w:t>
      </w:r>
      <w:r w:rsidR="00384E2E" w:rsidRPr="000D65CE">
        <w:rPr>
          <w:lang w:val="en-GB"/>
        </w:rPr>
        <w:t xml:space="preserve"> This stage</w:t>
      </w:r>
      <w:r w:rsidRPr="000D65CE">
        <w:rPr>
          <w:lang w:val="en-GB"/>
        </w:rPr>
        <w:t xml:space="preserve"> </w:t>
      </w:r>
      <w:r w:rsidR="00384E2E" w:rsidRPr="000D65CE">
        <w:rPr>
          <w:lang w:val="en-GB"/>
        </w:rPr>
        <w:t xml:space="preserve">opens </w:t>
      </w:r>
      <w:r w:rsidRPr="000D65CE">
        <w:rPr>
          <w:lang w:val="en-GB"/>
        </w:rPr>
        <w:t>dialogue to resolve any initial concerns which officers envisage may arise during the formal application stage. Pre-application meetings can</w:t>
      </w:r>
      <w:r w:rsidR="00384E2E" w:rsidRPr="000D65CE">
        <w:rPr>
          <w:lang w:val="en-GB"/>
        </w:rPr>
        <w:t xml:space="preserve"> enable </w:t>
      </w:r>
      <w:r w:rsidR="00B86D4F" w:rsidRPr="000D65CE">
        <w:rPr>
          <w:lang w:val="en-GB"/>
        </w:rPr>
        <w:t xml:space="preserve">more prompt </w:t>
      </w:r>
      <w:r w:rsidR="00384E2E" w:rsidRPr="000D65CE">
        <w:rPr>
          <w:lang w:val="en-GB"/>
        </w:rPr>
        <w:t>decisions, better quality developments and</w:t>
      </w:r>
      <w:r w:rsidRPr="000D65CE">
        <w:rPr>
          <w:lang w:val="en-GB"/>
        </w:rPr>
        <w:t xml:space="preserve"> deter applications with little or no prospect of success. </w:t>
      </w:r>
    </w:p>
    <w:p w14:paraId="3F9FBCFD" w14:textId="77777777" w:rsidR="00CE4CC2" w:rsidRPr="000D65CE" w:rsidRDefault="00CE4CC2" w:rsidP="003B280C">
      <w:pPr>
        <w:pStyle w:val="Paragraphs"/>
        <w:rPr>
          <w:lang w:val="en-GB"/>
        </w:rPr>
      </w:pPr>
      <w:r w:rsidRPr="000D65CE">
        <w:rPr>
          <w:lang w:val="en-GB"/>
        </w:rPr>
        <w:t xml:space="preserve">Details of the development proposed should be submitted to relevant officers at pre-application stage. </w:t>
      </w:r>
      <w:r w:rsidR="005D6BFA" w:rsidRPr="000D65CE">
        <w:rPr>
          <w:lang w:val="en-GB"/>
        </w:rPr>
        <w:t xml:space="preserve">Schemes should ensure policy requirements are delivered on-site. </w:t>
      </w:r>
      <w:r w:rsidRPr="000D65CE">
        <w:rPr>
          <w:lang w:val="en-GB"/>
        </w:rPr>
        <w:t>Officers will make an assessment of the impacts of the development and will provide guidance regarding the planning obligations that are likely to be required.</w:t>
      </w:r>
    </w:p>
    <w:p w14:paraId="6E22137E" w14:textId="31D6F175" w:rsidR="003B2746" w:rsidRDefault="003B2746" w:rsidP="003B280C">
      <w:pPr>
        <w:pStyle w:val="Paragraphs"/>
        <w:rPr>
          <w:lang w:val="en-GB"/>
        </w:rPr>
      </w:pPr>
      <w:r w:rsidRPr="000D65CE">
        <w:rPr>
          <w:lang w:val="en-GB"/>
        </w:rPr>
        <w:t>Applicants should use this SPD alongside an analysis of their proposed works to consider the impacts of the proposed scheme and any planning obligations likely to be required</w:t>
      </w:r>
      <w:r w:rsidR="00CD0922" w:rsidRPr="000D65CE">
        <w:rPr>
          <w:lang w:val="en-GB"/>
        </w:rPr>
        <w:t xml:space="preserve"> in order</w:t>
      </w:r>
      <w:r w:rsidRPr="000D65CE">
        <w:rPr>
          <w:lang w:val="en-GB"/>
        </w:rPr>
        <w:t xml:space="preserve"> to mitigate the impacts of development. These details </w:t>
      </w:r>
      <w:r w:rsidR="009E66B6" w:rsidRPr="000D65CE">
        <w:rPr>
          <w:lang w:val="en-GB"/>
        </w:rPr>
        <w:t>should be submitted as a draft ‘Heads of Terms’</w:t>
      </w:r>
      <w:r w:rsidRPr="000D65CE">
        <w:rPr>
          <w:lang w:val="en-GB"/>
        </w:rPr>
        <w:t xml:space="preserve"> document alongside the pre-application submission documentation, to allow officers sufficient time to consider the details contained within the draft ‘Heads of Terms’.</w:t>
      </w:r>
    </w:p>
    <w:p w14:paraId="1DF9DD83" w14:textId="32D80322" w:rsidR="000F53B5" w:rsidRPr="000F53B5" w:rsidRDefault="000F53B5" w:rsidP="000F53B5">
      <w:pPr>
        <w:pStyle w:val="Paragraphs"/>
        <w:rPr>
          <w:lang w:val="en-GB"/>
        </w:rPr>
      </w:pPr>
      <w:r w:rsidRPr="28D940A9">
        <w:rPr>
          <w:lang w:val="en-GB"/>
        </w:rPr>
        <w:t xml:space="preserve">In addition to the Council’s pre-application advice, TfL also provide </w:t>
      </w:r>
      <w:hyperlink r:id="rId11" w:anchor="on-this-page-3" w:history="1">
        <w:r w:rsidRPr="28D940A9">
          <w:rPr>
            <w:rStyle w:val="Hyperlink"/>
            <w:lang w:val="en-GB"/>
          </w:rPr>
          <w:t>a pre-application service</w:t>
        </w:r>
      </w:hyperlink>
      <w:r w:rsidRPr="28D940A9">
        <w:rPr>
          <w:lang w:val="en-GB"/>
        </w:rPr>
        <w:t xml:space="preserve"> providing advice in relation to transport impacts. </w:t>
      </w:r>
    </w:p>
    <w:p w14:paraId="2C52C3F5" w14:textId="28A47DD4" w:rsidR="00086BBE" w:rsidRPr="000D65CE" w:rsidRDefault="003B2746" w:rsidP="003B280C">
      <w:pPr>
        <w:pStyle w:val="Heading1"/>
        <w:jc w:val="both"/>
        <w:rPr>
          <w:sz w:val="30"/>
          <w:szCs w:val="30"/>
          <w:lang w:val="en-GB"/>
        </w:rPr>
      </w:pPr>
      <w:r w:rsidRPr="000D65CE">
        <w:rPr>
          <w:sz w:val="30"/>
          <w:szCs w:val="30"/>
          <w:lang w:val="en-GB"/>
        </w:rPr>
        <w:t>Application Stage</w:t>
      </w:r>
    </w:p>
    <w:p w14:paraId="7E345927" w14:textId="6089666B" w:rsidR="003B2746" w:rsidRPr="000D65CE" w:rsidRDefault="003B2746" w:rsidP="003B280C">
      <w:pPr>
        <w:pStyle w:val="Paragraphs"/>
        <w:rPr>
          <w:lang w:val="en-GB"/>
        </w:rPr>
      </w:pPr>
      <w:r w:rsidRPr="28D940A9">
        <w:rPr>
          <w:lang w:val="en-GB"/>
        </w:rPr>
        <w:t>Applicants are advised in</w:t>
      </w:r>
      <w:r w:rsidR="007D5941" w:rsidRPr="28D940A9">
        <w:rPr>
          <w:lang w:val="en-GB"/>
        </w:rPr>
        <w:t xml:space="preserve"> the relevant Council validation checklists </w:t>
      </w:r>
      <w:r w:rsidRPr="28D940A9">
        <w:rPr>
          <w:lang w:val="en-GB"/>
        </w:rPr>
        <w:t>(required to validate a planning application) to submit details of planning obligations</w:t>
      </w:r>
      <w:r w:rsidR="00E429DD" w:rsidRPr="28D940A9">
        <w:rPr>
          <w:lang w:val="en-GB"/>
        </w:rPr>
        <w:t xml:space="preserve"> and viability information</w:t>
      </w:r>
      <w:r w:rsidRPr="28D940A9">
        <w:rPr>
          <w:lang w:val="en-GB"/>
        </w:rPr>
        <w:t xml:space="preserve"> with their</w:t>
      </w:r>
      <w:r w:rsidR="007D5941" w:rsidRPr="28D940A9">
        <w:rPr>
          <w:lang w:val="en-GB"/>
        </w:rPr>
        <w:t xml:space="preserve"> </w:t>
      </w:r>
      <w:r w:rsidR="005E4BD5" w:rsidRPr="28D940A9">
        <w:rPr>
          <w:lang w:val="en-GB"/>
        </w:rPr>
        <w:t>p</w:t>
      </w:r>
      <w:r w:rsidR="007D5941" w:rsidRPr="28D940A9">
        <w:rPr>
          <w:lang w:val="en-GB"/>
        </w:rPr>
        <w:t xml:space="preserve">lanning </w:t>
      </w:r>
      <w:r w:rsidR="005E4BD5" w:rsidRPr="28D940A9">
        <w:rPr>
          <w:lang w:val="en-GB"/>
        </w:rPr>
        <w:t>a</w:t>
      </w:r>
      <w:r w:rsidR="007D5941" w:rsidRPr="28D940A9">
        <w:rPr>
          <w:lang w:val="en-GB"/>
        </w:rPr>
        <w:t>pplication.</w:t>
      </w:r>
      <w:r w:rsidR="00C65D0E" w:rsidRPr="28D940A9">
        <w:rPr>
          <w:lang w:val="en-GB"/>
        </w:rPr>
        <w:t xml:space="preserve"> Draft Heads of Terms are required for all major developments.  </w:t>
      </w:r>
    </w:p>
    <w:p w14:paraId="6EF45AD1" w14:textId="7264ACE0" w:rsidR="00EF65CC" w:rsidRPr="000D65CE" w:rsidRDefault="008A3278" w:rsidP="008C7468">
      <w:pPr>
        <w:pStyle w:val="Paragraphs"/>
        <w:spacing w:after="180"/>
        <w:rPr>
          <w:lang w:val="en-GB"/>
        </w:rPr>
      </w:pPr>
      <w:r w:rsidRPr="28D940A9">
        <w:rPr>
          <w:lang w:val="en-GB"/>
        </w:rPr>
        <w:t>The Council recommends that d</w:t>
      </w:r>
      <w:r w:rsidR="003B2746" w:rsidRPr="28D940A9">
        <w:rPr>
          <w:lang w:val="en-GB"/>
        </w:rPr>
        <w:t xml:space="preserve">etails of the applicant’s solicitor </w:t>
      </w:r>
      <w:r w:rsidRPr="28D940A9">
        <w:rPr>
          <w:lang w:val="en-GB"/>
        </w:rPr>
        <w:t>are</w:t>
      </w:r>
      <w:r w:rsidR="003B2746" w:rsidRPr="28D940A9">
        <w:rPr>
          <w:lang w:val="en-GB"/>
        </w:rPr>
        <w:t xml:space="preserve"> submitted at the time an application is made</w:t>
      </w:r>
      <w:r w:rsidR="000B4357" w:rsidRPr="28D940A9">
        <w:rPr>
          <w:lang w:val="en-GB"/>
        </w:rPr>
        <w:t xml:space="preserve"> (however, they can be provided separately for privacy purposes)</w:t>
      </w:r>
      <w:r w:rsidR="003B2746" w:rsidRPr="28D940A9">
        <w:rPr>
          <w:lang w:val="en-GB"/>
        </w:rPr>
        <w:t>. The following solicit</w:t>
      </w:r>
      <w:r w:rsidR="00DD02FF" w:rsidRPr="28D940A9">
        <w:rPr>
          <w:lang w:val="en-GB"/>
        </w:rPr>
        <w:t>or details should be provided</w:t>
      </w:r>
      <w:r w:rsidR="0088647B" w:rsidRPr="28D940A9">
        <w:rPr>
          <w:lang w:val="en-GB"/>
        </w:rPr>
        <w:t>:</w:t>
      </w:r>
    </w:p>
    <w:p w14:paraId="2F4CED80" w14:textId="77777777" w:rsidR="005019E4" w:rsidRPr="000D65CE" w:rsidRDefault="005019E4" w:rsidP="003B280C">
      <w:pPr>
        <w:pStyle w:val="ListBullet4"/>
        <w:jc w:val="both"/>
      </w:pPr>
      <w:r>
        <w:t>Name of company</w:t>
      </w:r>
    </w:p>
    <w:p w14:paraId="35401ECB" w14:textId="77777777" w:rsidR="005019E4" w:rsidRPr="000D65CE" w:rsidRDefault="005019E4" w:rsidP="003B280C">
      <w:pPr>
        <w:pStyle w:val="ListBullet4"/>
        <w:jc w:val="both"/>
      </w:pPr>
      <w:r>
        <w:t>Postal address</w:t>
      </w:r>
    </w:p>
    <w:p w14:paraId="77EA1CAC" w14:textId="77777777" w:rsidR="005019E4" w:rsidRPr="000D65CE" w:rsidRDefault="005019E4" w:rsidP="003B280C">
      <w:pPr>
        <w:pStyle w:val="ListBullet4"/>
        <w:jc w:val="both"/>
      </w:pPr>
      <w:r>
        <w:lastRenderedPageBreak/>
        <w:t>Contact name</w:t>
      </w:r>
    </w:p>
    <w:p w14:paraId="6B5AE4E6" w14:textId="77777777" w:rsidR="005019E4" w:rsidRPr="000D65CE" w:rsidRDefault="005019E4" w:rsidP="003B280C">
      <w:pPr>
        <w:pStyle w:val="ListBullet4"/>
        <w:jc w:val="both"/>
      </w:pPr>
      <w:r>
        <w:t>Telephone number (preferably direct dial)</w:t>
      </w:r>
    </w:p>
    <w:p w14:paraId="190C337C" w14:textId="77777777" w:rsidR="005019E4" w:rsidRPr="000D65CE" w:rsidRDefault="005019E4" w:rsidP="003B280C">
      <w:pPr>
        <w:pStyle w:val="ListBullet4"/>
        <w:jc w:val="both"/>
      </w:pPr>
      <w:r>
        <w:t>Email address</w:t>
      </w:r>
    </w:p>
    <w:p w14:paraId="041FCD21" w14:textId="77777777" w:rsidR="005019E4" w:rsidRPr="000D65CE" w:rsidRDefault="005019E4" w:rsidP="003B280C">
      <w:pPr>
        <w:pStyle w:val="ListBullet4"/>
        <w:jc w:val="both"/>
        <w:rPr>
          <w:rFonts w:cs="Arial"/>
          <w:color w:val="000000"/>
        </w:rPr>
      </w:pPr>
      <w:r>
        <w:t>Website</w:t>
      </w:r>
    </w:p>
    <w:p w14:paraId="530D1D7D" w14:textId="1B491346" w:rsidR="00C1408C" w:rsidRPr="000D65CE" w:rsidRDefault="00C1408C" w:rsidP="003B280C">
      <w:pPr>
        <w:pStyle w:val="Paragraphs"/>
        <w:rPr>
          <w:lang w:val="en-GB"/>
        </w:rPr>
      </w:pPr>
      <w:r w:rsidRPr="28D940A9">
        <w:rPr>
          <w:lang w:val="en-GB"/>
        </w:rPr>
        <w:t xml:space="preserve">The Council’s legal services will act on behalf of the Council and will prepare a first draft using its </w:t>
      </w:r>
      <w:r w:rsidR="00032BFE" w:rsidRPr="28D940A9">
        <w:rPr>
          <w:lang w:val="en-GB"/>
        </w:rPr>
        <w:t>planning obligations</w:t>
      </w:r>
      <w:r w:rsidRPr="28D940A9">
        <w:rPr>
          <w:lang w:val="en-GB"/>
        </w:rPr>
        <w:t xml:space="preserve"> template. </w:t>
      </w:r>
      <w:r w:rsidR="00B168AA" w:rsidRPr="28D940A9">
        <w:rPr>
          <w:lang w:val="en-GB"/>
        </w:rPr>
        <w:t xml:space="preserve">An undertaking will be sought for their legal costs. </w:t>
      </w:r>
    </w:p>
    <w:p w14:paraId="39312E96" w14:textId="2AC4B452" w:rsidR="00985899" w:rsidRPr="000D65CE" w:rsidRDefault="00985899" w:rsidP="003B280C">
      <w:pPr>
        <w:pStyle w:val="Paragraphs"/>
        <w:rPr>
          <w:lang w:val="en-GB"/>
        </w:rPr>
      </w:pPr>
      <w:bookmarkStart w:id="5" w:name="_Hlk49948519"/>
      <w:r w:rsidRPr="28D940A9">
        <w:rPr>
          <w:lang w:val="en-GB"/>
        </w:rPr>
        <w:t xml:space="preserve">Details of the land title should also be provided alongside details of all parties (including </w:t>
      </w:r>
      <w:r w:rsidR="00CE6635" w:rsidRPr="28D940A9">
        <w:rPr>
          <w:lang w:val="en-GB"/>
        </w:rPr>
        <w:t>charges</w:t>
      </w:r>
      <w:r w:rsidRPr="28D940A9">
        <w:rPr>
          <w:lang w:val="en-GB"/>
        </w:rPr>
        <w:t xml:space="preserve">) with an interest in the land as they will also be required to enter into the agreement. </w:t>
      </w:r>
      <w:bookmarkEnd w:id="5"/>
      <w:r w:rsidRPr="28D940A9">
        <w:rPr>
          <w:lang w:val="en-GB"/>
        </w:rPr>
        <w:t xml:space="preserve">Should details of other parties not be available before an application is submitted, it should be identified early on in the process to avoid a delay in completion of the agreement. Any charges on the property should also be identified. </w:t>
      </w:r>
      <w:r w:rsidR="005D2574" w:rsidRPr="28D940A9">
        <w:rPr>
          <w:lang w:val="en-GB"/>
        </w:rPr>
        <w:t>Companies registered in a foreign jurisdiction will be required to provide a legal opinion</w:t>
      </w:r>
      <w:r w:rsidR="00F4050D" w:rsidRPr="28D940A9">
        <w:rPr>
          <w:lang w:val="en-GB"/>
        </w:rPr>
        <w:t xml:space="preserve"> confirming that the company is properly constituted in the relevant jurisdiction</w:t>
      </w:r>
      <w:r w:rsidR="005D2574" w:rsidRPr="28D940A9">
        <w:rPr>
          <w:lang w:val="en-GB"/>
        </w:rPr>
        <w:t xml:space="preserve">. </w:t>
      </w:r>
    </w:p>
    <w:p w14:paraId="2ED4F2BB" w14:textId="738CC9A3" w:rsidR="00985899" w:rsidRPr="000D65CE" w:rsidRDefault="00985899" w:rsidP="003B280C">
      <w:pPr>
        <w:pStyle w:val="Paragraphs"/>
        <w:rPr>
          <w:lang w:val="en-GB"/>
        </w:rPr>
      </w:pPr>
      <w:r w:rsidRPr="28D940A9">
        <w:rPr>
          <w:lang w:val="en-GB"/>
        </w:rPr>
        <w:t xml:space="preserve">During the planning application process, initial advice provided with regard to </w:t>
      </w:r>
      <w:r w:rsidR="002B7A1C" w:rsidRPr="28D940A9">
        <w:rPr>
          <w:lang w:val="en-GB"/>
        </w:rPr>
        <w:t xml:space="preserve">planning </w:t>
      </w:r>
      <w:r w:rsidR="00452724" w:rsidRPr="28D940A9">
        <w:rPr>
          <w:lang w:val="en-GB"/>
        </w:rPr>
        <w:t xml:space="preserve">obligation </w:t>
      </w:r>
      <w:r w:rsidRPr="28D940A9">
        <w:rPr>
          <w:lang w:val="en-GB"/>
        </w:rPr>
        <w:t>requirements may be subject to alterations. This is often due to changes</w:t>
      </w:r>
      <w:r w:rsidR="00452724" w:rsidRPr="28D940A9">
        <w:rPr>
          <w:lang w:val="en-GB"/>
        </w:rPr>
        <w:t xml:space="preserve"> required</w:t>
      </w:r>
      <w:r w:rsidRPr="28D940A9">
        <w:rPr>
          <w:lang w:val="en-GB"/>
        </w:rPr>
        <w:t xml:space="preserve"> following formal consultation and any issues which may arise during the course of an application. </w:t>
      </w:r>
      <w:bookmarkStart w:id="6" w:name="_Hlk49948653"/>
      <w:r w:rsidR="00452724" w:rsidRPr="28D940A9">
        <w:rPr>
          <w:lang w:val="en-GB"/>
        </w:rPr>
        <w:t xml:space="preserve">Detailed </w:t>
      </w:r>
      <w:r w:rsidRPr="28D940A9">
        <w:rPr>
          <w:lang w:val="en-GB"/>
        </w:rPr>
        <w:t xml:space="preserve">‘Heads of Terms’ must be agreed prior to planning committee meetings and within an appropriate timescale </w:t>
      </w:r>
      <w:r w:rsidR="00452724" w:rsidRPr="28D940A9">
        <w:rPr>
          <w:lang w:val="en-GB"/>
        </w:rPr>
        <w:t>for</w:t>
      </w:r>
      <w:r w:rsidRPr="28D940A9">
        <w:rPr>
          <w:lang w:val="en-GB"/>
        </w:rPr>
        <w:t xml:space="preserve"> delegated applications to allow them to be determined and decisions issued by officers within the statutory target periods.</w:t>
      </w:r>
      <w:bookmarkEnd w:id="6"/>
    </w:p>
    <w:p w14:paraId="3A70B94A" w14:textId="77777777" w:rsidR="00985899" w:rsidRPr="000D65CE" w:rsidRDefault="00B72536" w:rsidP="003B280C">
      <w:pPr>
        <w:pStyle w:val="Paragraphs"/>
        <w:rPr>
          <w:lang w:val="en-GB"/>
        </w:rPr>
      </w:pPr>
      <w:r w:rsidRPr="28D940A9">
        <w:rPr>
          <w:lang w:val="en-GB"/>
        </w:rPr>
        <w:t>If the Council and the applicant are unable to come to an agreement on planning obligations after reasonable negotiation, then officers may prepare a recommendation for refusal of the planning application.</w:t>
      </w:r>
    </w:p>
    <w:p w14:paraId="11811F0E" w14:textId="29A284F8" w:rsidR="00985899" w:rsidRPr="000D65CE" w:rsidRDefault="00985899" w:rsidP="003B280C">
      <w:pPr>
        <w:pStyle w:val="Paragraphs"/>
        <w:rPr>
          <w:lang w:val="en-GB"/>
        </w:rPr>
      </w:pPr>
      <w:r w:rsidRPr="28D940A9">
        <w:rPr>
          <w:lang w:val="en-GB"/>
        </w:rPr>
        <w:t xml:space="preserve">In the case of delegated applications, if the ‘Heads of Terms’ are agreed between the </w:t>
      </w:r>
      <w:r w:rsidR="00AD1FB6" w:rsidRPr="28D940A9">
        <w:rPr>
          <w:lang w:val="en-GB"/>
        </w:rPr>
        <w:t>Council</w:t>
      </w:r>
      <w:r w:rsidR="006B2759" w:rsidRPr="28D940A9">
        <w:rPr>
          <w:lang w:val="en-GB"/>
        </w:rPr>
        <w:t xml:space="preserve"> </w:t>
      </w:r>
      <w:r w:rsidRPr="28D940A9">
        <w:rPr>
          <w:lang w:val="en-GB"/>
        </w:rPr>
        <w:t xml:space="preserve">and the applicant/agent where the application is considered acceptable on all other grounds, a draft decision notice will be prepared by officers. The applicant/ landowner must enter into and complete the </w:t>
      </w:r>
      <w:r w:rsidR="00032BFE" w:rsidRPr="28D940A9">
        <w:rPr>
          <w:lang w:val="en-GB"/>
        </w:rPr>
        <w:t xml:space="preserve">legal </w:t>
      </w:r>
      <w:r w:rsidRPr="28D940A9">
        <w:rPr>
          <w:lang w:val="en-GB"/>
        </w:rPr>
        <w:t xml:space="preserve">agreement prior to the </w:t>
      </w:r>
      <w:r w:rsidR="00452724" w:rsidRPr="28D940A9">
        <w:rPr>
          <w:lang w:val="en-GB"/>
        </w:rPr>
        <w:t xml:space="preserve">Council </w:t>
      </w:r>
      <w:r w:rsidRPr="28D940A9">
        <w:rPr>
          <w:lang w:val="en-GB"/>
        </w:rPr>
        <w:t>issuing the decision notice for any delegated application.</w:t>
      </w:r>
    </w:p>
    <w:p w14:paraId="21912764" w14:textId="0F900D21" w:rsidR="00985899" w:rsidRPr="000D65CE" w:rsidRDefault="00985899" w:rsidP="003B280C">
      <w:pPr>
        <w:pStyle w:val="Paragraphs"/>
        <w:rPr>
          <w:lang w:val="en-GB"/>
        </w:rPr>
      </w:pPr>
      <w:r w:rsidRPr="28D940A9">
        <w:rPr>
          <w:lang w:val="en-GB"/>
        </w:rPr>
        <w:t xml:space="preserve">In the case of an application referred to a </w:t>
      </w:r>
      <w:r w:rsidR="00452724" w:rsidRPr="28D940A9">
        <w:rPr>
          <w:lang w:val="en-GB"/>
        </w:rPr>
        <w:t>LBTH</w:t>
      </w:r>
      <w:r w:rsidRPr="28D940A9">
        <w:rPr>
          <w:lang w:val="en-GB"/>
        </w:rPr>
        <w:t xml:space="preserve"> planning committee, the ‘Heads of </w:t>
      </w:r>
      <w:r w:rsidR="00212913" w:rsidRPr="28D940A9">
        <w:rPr>
          <w:lang w:val="en-GB"/>
        </w:rPr>
        <w:t>Terms’ which have been agreed,</w:t>
      </w:r>
      <w:r w:rsidRPr="28D940A9">
        <w:rPr>
          <w:lang w:val="en-GB"/>
        </w:rPr>
        <w:t xml:space="preserve"> will be included within the committee report for information. Should </w:t>
      </w:r>
      <w:r w:rsidR="009F00C4" w:rsidRPr="28D940A9">
        <w:rPr>
          <w:lang w:val="en-GB"/>
        </w:rPr>
        <w:t>M</w:t>
      </w:r>
      <w:r w:rsidRPr="28D940A9">
        <w:rPr>
          <w:lang w:val="en-GB"/>
        </w:rPr>
        <w:t xml:space="preserve">embers recommend approval of the planning application with planning </w:t>
      </w:r>
      <w:r w:rsidR="00005EBA" w:rsidRPr="28D940A9">
        <w:rPr>
          <w:lang w:val="en-GB"/>
        </w:rPr>
        <w:t>obligations;</w:t>
      </w:r>
      <w:r w:rsidRPr="28D940A9">
        <w:rPr>
          <w:lang w:val="en-GB"/>
        </w:rPr>
        <w:t xml:space="preserve"> this approval will be subject to the completion of the </w:t>
      </w:r>
      <w:r w:rsidR="00032BFE" w:rsidRPr="28D940A9">
        <w:rPr>
          <w:lang w:val="en-GB"/>
        </w:rPr>
        <w:t xml:space="preserve">legal </w:t>
      </w:r>
      <w:r w:rsidRPr="28D940A9">
        <w:rPr>
          <w:lang w:val="en-GB"/>
        </w:rPr>
        <w:t xml:space="preserve">agreement. Following the planning committee, the applicant/agent must complete the </w:t>
      </w:r>
      <w:r w:rsidR="00032BFE" w:rsidRPr="28D940A9">
        <w:rPr>
          <w:lang w:val="en-GB"/>
        </w:rPr>
        <w:t xml:space="preserve">legal </w:t>
      </w:r>
      <w:r w:rsidRPr="28D940A9">
        <w:rPr>
          <w:lang w:val="en-GB"/>
        </w:rPr>
        <w:t>agreement</w:t>
      </w:r>
      <w:r w:rsidR="00B168AA" w:rsidRPr="28D940A9">
        <w:rPr>
          <w:lang w:val="en-GB"/>
        </w:rPr>
        <w:t xml:space="preserve"> within a reasonable timeframe</w:t>
      </w:r>
      <w:r w:rsidRPr="28D940A9">
        <w:rPr>
          <w:lang w:val="en-GB"/>
        </w:rPr>
        <w:t xml:space="preserve"> in order for the decision notice to be issued. </w:t>
      </w:r>
    </w:p>
    <w:p w14:paraId="58A0EFDC" w14:textId="4FB1D573" w:rsidR="00086BBE" w:rsidRPr="000D65CE" w:rsidRDefault="00985899" w:rsidP="003B280C">
      <w:pPr>
        <w:pStyle w:val="Heading1"/>
        <w:jc w:val="both"/>
        <w:rPr>
          <w:sz w:val="30"/>
          <w:szCs w:val="30"/>
          <w:lang w:val="en-GB"/>
        </w:rPr>
      </w:pPr>
      <w:r w:rsidRPr="000D65CE">
        <w:rPr>
          <w:sz w:val="30"/>
          <w:szCs w:val="30"/>
          <w:lang w:val="en-GB"/>
        </w:rPr>
        <w:t>Viability</w:t>
      </w:r>
    </w:p>
    <w:p w14:paraId="311E9E2B" w14:textId="54318778" w:rsidR="00A529BC" w:rsidRPr="000D65CE" w:rsidRDefault="001951F4" w:rsidP="003B280C">
      <w:pPr>
        <w:pStyle w:val="Paragraphs"/>
        <w:rPr>
          <w:lang w:val="en-GB"/>
        </w:rPr>
      </w:pPr>
      <w:r w:rsidRPr="28D940A9">
        <w:rPr>
          <w:lang w:val="en-GB"/>
        </w:rPr>
        <w:t xml:space="preserve">Development viability forms part of the national, regional and local policy framework in the consideration of planning applications that trigger the delivery of </w:t>
      </w:r>
      <w:r w:rsidR="0022090B" w:rsidRPr="28D940A9">
        <w:rPr>
          <w:lang w:val="en-GB"/>
        </w:rPr>
        <w:t xml:space="preserve">planning </w:t>
      </w:r>
      <w:r w:rsidRPr="28D940A9">
        <w:rPr>
          <w:lang w:val="en-GB"/>
        </w:rPr>
        <w:t>ob</w:t>
      </w:r>
      <w:r w:rsidR="00C21D60" w:rsidRPr="28D940A9">
        <w:rPr>
          <w:lang w:val="en-GB"/>
        </w:rPr>
        <w:t>l</w:t>
      </w:r>
      <w:r w:rsidRPr="28D940A9">
        <w:rPr>
          <w:lang w:val="en-GB"/>
        </w:rPr>
        <w:t>igations. This is reflected in</w:t>
      </w:r>
      <w:r w:rsidR="00A529BC" w:rsidRPr="28D940A9">
        <w:rPr>
          <w:lang w:val="en-GB"/>
        </w:rPr>
        <w:t>:</w:t>
      </w:r>
    </w:p>
    <w:p w14:paraId="7EA6A9E4" w14:textId="77777777" w:rsidR="00A529BC" w:rsidRPr="000D65CE" w:rsidRDefault="00020E66" w:rsidP="003B280C">
      <w:pPr>
        <w:pStyle w:val="ListBullet4"/>
        <w:jc w:val="both"/>
      </w:pPr>
      <w:r>
        <w:lastRenderedPageBreak/>
        <w:t>N</w:t>
      </w:r>
      <w:r w:rsidR="001951F4">
        <w:t xml:space="preserve">ational </w:t>
      </w:r>
      <w:r w:rsidR="00A529BC">
        <w:t>policy (</w:t>
      </w:r>
      <w:r w:rsidR="001951F4">
        <w:t>in the form of the NPPF</w:t>
      </w:r>
      <w:r w:rsidR="00A529BC">
        <w:t>) and guidance (NPPG)</w:t>
      </w:r>
    </w:p>
    <w:p w14:paraId="5AD07A9A" w14:textId="77777777" w:rsidR="00A529BC" w:rsidRPr="000D65CE" w:rsidRDefault="00020E66" w:rsidP="003B280C">
      <w:pPr>
        <w:pStyle w:val="ListBullet4"/>
        <w:jc w:val="both"/>
      </w:pPr>
      <w:r>
        <w:t>R</w:t>
      </w:r>
      <w:r w:rsidR="001951F4">
        <w:t xml:space="preserve">egional </w:t>
      </w:r>
      <w:r w:rsidR="00A529BC">
        <w:t>policy (</w:t>
      </w:r>
      <w:r w:rsidR="001951F4">
        <w:t>in the form of the London P</w:t>
      </w:r>
      <w:r w:rsidR="009874A5">
        <w:t>lan</w:t>
      </w:r>
      <w:r w:rsidR="00A529BC">
        <w:t>) and guidance (in the form of supplementary planning guidance)</w:t>
      </w:r>
    </w:p>
    <w:p w14:paraId="0AFC39A5" w14:textId="77777777" w:rsidR="007F245F" w:rsidRPr="000D65CE" w:rsidRDefault="00020E66" w:rsidP="003B280C">
      <w:pPr>
        <w:pStyle w:val="ListBullet4"/>
        <w:jc w:val="both"/>
        <w:rPr>
          <w:rFonts w:cs="Arial"/>
        </w:rPr>
      </w:pPr>
      <w:r>
        <w:t>L</w:t>
      </w:r>
      <w:r w:rsidR="007F245F">
        <w:t>ocal policy</w:t>
      </w:r>
      <w:r w:rsidR="00C30A6D">
        <w:t xml:space="preserve"> </w:t>
      </w:r>
      <w:r w:rsidR="00A529BC">
        <w:t>(</w:t>
      </w:r>
      <w:r w:rsidR="007F245F">
        <w:t xml:space="preserve">in the form of the </w:t>
      </w:r>
      <w:r w:rsidR="00C30A6D">
        <w:t>Local Plan</w:t>
      </w:r>
      <w:r w:rsidR="00A529BC">
        <w:t xml:space="preserve">) and guidance (e.g. </w:t>
      </w:r>
      <w:r w:rsidR="00C30A6D">
        <w:t>Development Viability SPD</w:t>
      </w:r>
      <w:r w:rsidR="00A529BC">
        <w:t>)</w:t>
      </w:r>
    </w:p>
    <w:p w14:paraId="093C1E4D" w14:textId="703A3470" w:rsidR="00985899" w:rsidRPr="000D65CE" w:rsidRDefault="00985899" w:rsidP="003B280C">
      <w:pPr>
        <w:pStyle w:val="Paragraphs"/>
        <w:rPr>
          <w:lang w:val="en-GB"/>
        </w:rPr>
      </w:pPr>
      <w:r w:rsidRPr="28D940A9">
        <w:rPr>
          <w:lang w:val="en-GB"/>
        </w:rPr>
        <w:t xml:space="preserve">In circumstances </w:t>
      </w:r>
      <w:r w:rsidR="00DC0B67" w:rsidRPr="28D940A9">
        <w:rPr>
          <w:lang w:val="en-GB"/>
        </w:rPr>
        <w:t>where the full range of planning obligations cannot be met</w:t>
      </w:r>
      <w:r w:rsidR="00904929" w:rsidRPr="28D940A9">
        <w:rPr>
          <w:lang w:val="en-GB"/>
        </w:rPr>
        <w:t>,</w:t>
      </w:r>
      <w:r w:rsidRPr="28D940A9">
        <w:rPr>
          <w:lang w:val="en-GB"/>
        </w:rPr>
        <w:t xml:space="preserve"> </w:t>
      </w:r>
      <w:r w:rsidR="00904929" w:rsidRPr="28D940A9">
        <w:rPr>
          <w:lang w:val="en-GB"/>
        </w:rPr>
        <w:t>i</w:t>
      </w:r>
      <w:r w:rsidRPr="28D940A9">
        <w:rPr>
          <w:lang w:val="en-GB"/>
        </w:rPr>
        <w:t>t is recommended that applicants seek pre-application advice from the</w:t>
      </w:r>
      <w:r w:rsidR="005571C0" w:rsidRPr="28D940A9">
        <w:rPr>
          <w:lang w:val="en-GB"/>
        </w:rPr>
        <w:t xml:space="preserve"> </w:t>
      </w:r>
      <w:r w:rsidR="0022090B" w:rsidRPr="28D940A9">
        <w:rPr>
          <w:lang w:val="en-GB"/>
        </w:rPr>
        <w:t>Council</w:t>
      </w:r>
      <w:r w:rsidRPr="28D940A9">
        <w:rPr>
          <w:lang w:val="en-GB"/>
        </w:rPr>
        <w:t xml:space="preserve"> </w:t>
      </w:r>
      <w:r w:rsidR="00FB44E6" w:rsidRPr="28D940A9">
        <w:rPr>
          <w:lang w:val="en-GB"/>
        </w:rPr>
        <w:t>including the informal submission of a</w:t>
      </w:r>
      <w:r w:rsidR="009C3358" w:rsidRPr="28D940A9">
        <w:rPr>
          <w:lang w:val="en-GB"/>
        </w:rPr>
        <w:t xml:space="preserve"> financial</w:t>
      </w:r>
      <w:r w:rsidR="003A165D" w:rsidRPr="28D940A9">
        <w:rPr>
          <w:lang w:val="en-GB"/>
        </w:rPr>
        <w:t xml:space="preserve"> </w:t>
      </w:r>
      <w:r w:rsidRPr="28D940A9">
        <w:rPr>
          <w:lang w:val="en-GB"/>
        </w:rPr>
        <w:t>V</w:t>
      </w:r>
      <w:r w:rsidR="00FB44E6" w:rsidRPr="28D940A9">
        <w:rPr>
          <w:lang w:val="en-GB"/>
        </w:rPr>
        <w:t>iability</w:t>
      </w:r>
      <w:r w:rsidR="003A165D" w:rsidRPr="28D940A9">
        <w:rPr>
          <w:lang w:val="en-GB"/>
        </w:rPr>
        <w:t xml:space="preserve"> </w:t>
      </w:r>
      <w:r w:rsidRPr="28D940A9">
        <w:rPr>
          <w:lang w:val="en-GB"/>
        </w:rPr>
        <w:t>A</w:t>
      </w:r>
      <w:r w:rsidR="009C3358" w:rsidRPr="28D940A9">
        <w:rPr>
          <w:lang w:val="en-GB"/>
        </w:rPr>
        <w:t>ssessment</w:t>
      </w:r>
      <w:r w:rsidR="00FB44E6" w:rsidRPr="28D940A9">
        <w:rPr>
          <w:lang w:val="en-GB"/>
        </w:rPr>
        <w:t xml:space="preserve"> </w:t>
      </w:r>
      <w:r w:rsidRPr="28D940A9">
        <w:rPr>
          <w:lang w:val="en-GB"/>
        </w:rPr>
        <w:t xml:space="preserve">prior to the formal submission of a planning application. </w:t>
      </w:r>
    </w:p>
    <w:p w14:paraId="62631BA7" w14:textId="0CF47708" w:rsidR="00BB42DA" w:rsidRPr="000D65CE" w:rsidRDefault="00374A1F" w:rsidP="003B280C">
      <w:pPr>
        <w:pStyle w:val="Paragraphs"/>
        <w:rPr>
          <w:lang w:val="en-GB"/>
        </w:rPr>
      </w:pPr>
      <w:r w:rsidRPr="28D940A9">
        <w:rPr>
          <w:lang w:val="en-GB"/>
        </w:rPr>
        <w:t xml:space="preserve">At </w:t>
      </w:r>
      <w:r w:rsidR="00A529BC" w:rsidRPr="28D940A9">
        <w:rPr>
          <w:lang w:val="en-GB"/>
        </w:rPr>
        <w:t>p</w:t>
      </w:r>
      <w:r w:rsidRPr="28D940A9">
        <w:rPr>
          <w:lang w:val="en-GB"/>
        </w:rPr>
        <w:t xml:space="preserve">lanning </w:t>
      </w:r>
      <w:r w:rsidR="00A529BC" w:rsidRPr="28D940A9">
        <w:rPr>
          <w:lang w:val="en-GB"/>
        </w:rPr>
        <w:t>a</w:t>
      </w:r>
      <w:r w:rsidRPr="28D940A9">
        <w:rPr>
          <w:lang w:val="en-GB"/>
        </w:rPr>
        <w:t xml:space="preserve">pplication </w:t>
      </w:r>
      <w:r w:rsidR="00C52A8C" w:rsidRPr="28D940A9">
        <w:rPr>
          <w:lang w:val="en-GB"/>
        </w:rPr>
        <w:t>s</w:t>
      </w:r>
      <w:r w:rsidRPr="28D940A9">
        <w:rPr>
          <w:lang w:val="en-GB"/>
        </w:rPr>
        <w:t>tage, p</w:t>
      </w:r>
      <w:r w:rsidR="00985899" w:rsidRPr="28D940A9">
        <w:rPr>
          <w:lang w:val="en-GB"/>
        </w:rPr>
        <w:t xml:space="preserve">roposals </w:t>
      </w:r>
      <w:r w:rsidR="00191CC0" w:rsidRPr="28D940A9">
        <w:rPr>
          <w:lang w:val="en-GB"/>
        </w:rPr>
        <w:t xml:space="preserve">which cannot meet </w:t>
      </w:r>
      <w:r w:rsidR="00FB44E6" w:rsidRPr="28D940A9">
        <w:rPr>
          <w:lang w:val="en-GB"/>
        </w:rPr>
        <w:t xml:space="preserve">the full range of planning obligations must be </w:t>
      </w:r>
      <w:r w:rsidR="00985899" w:rsidRPr="28D940A9">
        <w:rPr>
          <w:lang w:val="en-GB"/>
        </w:rPr>
        <w:t>submitted with a full</w:t>
      </w:r>
      <w:r w:rsidR="009C3358" w:rsidRPr="28D940A9">
        <w:rPr>
          <w:lang w:val="en-GB"/>
        </w:rPr>
        <w:t xml:space="preserve"> </w:t>
      </w:r>
      <w:r w:rsidR="0022090B" w:rsidRPr="28D940A9">
        <w:rPr>
          <w:lang w:val="en-GB"/>
        </w:rPr>
        <w:t>f</w:t>
      </w:r>
      <w:r w:rsidR="009C3358" w:rsidRPr="28D940A9">
        <w:rPr>
          <w:lang w:val="en-GB"/>
        </w:rPr>
        <w:t>inancial</w:t>
      </w:r>
      <w:r w:rsidR="00985899" w:rsidRPr="28D940A9">
        <w:rPr>
          <w:lang w:val="en-GB"/>
        </w:rPr>
        <w:t xml:space="preserve"> </w:t>
      </w:r>
      <w:r w:rsidR="0022090B" w:rsidRPr="28D940A9">
        <w:rPr>
          <w:lang w:val="en-GB"/>
        </w:rPr>
        <w:t>v</w:t>
      </w:r>
      <w:r w:rsidR="00985899" w:rsidRPr="28D940A9">
        <w:rPr>
          <w:lang w:val="en-GB"/>
        </w:rPr>
        <w:t xml:space="preserve">iability </w:t>
      </w:r>
      <w:r w:rsidR="0022090B" w:rsidRPr="28D940A9">
        <w:rPr>
          <w:lang w:val="en-GB"/>
        </w:rPr>
        <w:t>a</w:t>
      </w:r>
      <w:r w:rsidR="00985899" w:rsidRPr="28D940A9">
        <w:rPr>
          <w:lang w:val="en-GB"/>
        </w:rPr>
        <w:t>ssessment</w:t>
      </w:r>
      <w:r w:rsidR="00636893" w:rsidRPr="28D940A9">
        <w:rPr>
          <w:lang w:val="en-GB"/>
        </w:rPr>
        <w:t xml:space="preserve"> </w:t>
      </w:r>
      <w:r w:rsidR="007F1189" w:rsidRPr="28D940A9">
        <w:rPr>
          <w:lang w:val="en-GB"/>
        </w:rPr>
        <w:t>to enable the viability of the scheme to be comprehensively assessed.</w:t>
      </w:r>
    </w:p>
    <w:p w14:paraId="0F28D1E7" w14:textId="5E05F9C1" w:rsidR="00985899" w:rsidRPr="000D65CE" w:rsidRDefault="00B8565A" w:rsidP="003B280C">
      <w:pPr>
        <w:pStyle w:val="Paragraphs"/>
        <w:rPr>
          <w:lang w:val="en-GB"/>
        </w:rPr>
      </w:pPr>
      <w:r w:rsidRPr="28D940A9">
        <w:rPr>
          <w:lang w:val="en-GB"/>
        </w:rPr>
        <w:t>The Development Viability SPD provides</w:t>
      </w:r>
      <w:r w:rsidR="007F1189" w:rsidRPr="28D940A9">
        <w:rPr>
          <w:lang w:val="en-GB"/>
        </w:rPr>
        <w:t xml:space="preserve"> guidance relating to development viability</w:t>
      </w:r>
      <w:r w:rsidR="00A529BC" w:rsidRPr="28D940A9">
        <w:rPr>
          <w:lang w:val="en-GB"/>
        </w:rPr>
        <w:t xml:space="preserve">. </w:t>
      </w:r>
      <w:r w:rsidR="007F1189" w:rsidRPr="28D940A9">
        <w:rPr>
          <w:lang w:val="en-GB"/>
        </w:rPr>
        <w:t xml:space="preserve">Applicants and their agents should discuss </w:t>
      </w:r>
      <w:r w:rsidR="00075A3F" w:rsidRPr="28D940A9">
        <w:rPr>
          <w:lang w:val="en-GB"/>
        </w:rPr>
        <w:t xml:space="preserve">the approach to viability </w:t>
      </w:r>
      <w:r w:rsidR="007F1189" w:rsidRPr="28D940A9">
        <w:rPr>
          <w:lang w:val="en-GB"/>
        </w:rPr>
        <w:t>with the</w:t>
      </w:r>
      <w:r w:rsidR="009F00C4" w:rsidRPr="28D940A9">
        <w:rPr>
          <w:lang w:val="en-GB"/>
        </w:rPr>
        <w:t xml:space="preserve"> </w:t>
      </w:r>
      <w:r w:rsidR="0022090B" w:rsidRPr="28D940A9">
        <w:rPr>
          <w:lang w:val="en-GB"/>
        </w:rPr>
        <w:t>Council</w:t>
      </w:r>
      <w:r w:rsidR="007F1189" w:rsidRPr="28D940A9">
        <w:rPr>
          <w:lang w:val="en-GB"/>
        </w:rPr>
        <w:t xml:space="preserve"> at an early stage. </w:t>
      </w:r>
      <w:r w:rsidR="00596DB8" w:rsidRPr="28D940A9">
        <w:rPr>
          <w:lang w:val="en-GB"/>
        </w:rPr>
        <w:t xml:space="preserve"> </w:t>
      </w:r>
    </w:p>
    <w:p w14:paraId="2C09448A" w14:textId="539D71E7" w:rsidR="00D85765" w:rsidRPr="000D65CE" w:rsidRDefault="003A165D" w:rsidP="003B280C">
      <w:pPr>
        <w:pStyle w:val="Paragraphs"/>
        <w:rPr>
          <w:lang w:val="en-GB"/>
        </w:rPr>
      </w:pPr>
      <w:r w:rsidRPr="28D940A9">
        <w:rPr>
          <w:rStyle w:val="ParagraphsChar"/>
        </w:rPr>
        <w:t xml:space="preserve">Viability </w:t>
      </w:r>
      <w:r w:rsidR="0022090B" w:rsidRPr="28D940A9">
        <w:rPr>
          <w:rStyle w:val="ParagraphsChar"/>
        </w:rPr>
        <w:t>a</w:t>
      </w:r>
      <w:r w:rsidR="00D85765" w:rsidRPr="28D940A9">
        <w:rPr>
          <w:rStyle w:val="ParagraphsChar"/>
        </w:rPr>
        <w:t>ssessment</w:t>
      </w:r>
      <w:r w:rsidR="00B168AA" w:rsidRPr="28D940A9">
        <w:rPr>
          <w:rStyle w:val="ParagraphsChar"/>
        </w:rPr>
        <w:t>s</w:t>
      </w:r>
      <w:r w:rsidR="00D85765" w:rsidRPr="28D940A9">
        <w:rPr>
          <w:rStyle w:val="ParagraphsChar"/>
        </w:rPr>
        <w:t xml:space="preserve"> must be completed in accordance with the guidelines set out in the Tower Hamlets Development </w:t>
      </w:r>
      <w:r w:rsidR="000429FB" w:rsidRPr="28D940A9">
        <w:rPr>
          <w:rStyle w:val="ParagraphsChar"/>
        </w:rPr>
        <w:t xml:space="preserve">Viability </w:t>
      </w:r>
      <w:r w:rsidRPr="28D940A9">
        <w:rPr>
          <w:rStyle w:val="ParagraphsChar"/>
        </w:rPr>
        <w:t xml:space="preserve">SPD. Where </w:t>
      </w:r>
      <w:r w:rsidR="0022090B" w:rsidRPr="28D940A9">
        <w:rPr>
          <w:rStyle w:val="ParagraphsChar"/>
        </w:rPr>
        <w:t>v</w:t>
      </w:r>
      <w:r w:rsidRPr="28D940A9">
        <w:rPr>
          <w:rStyle w:val="ParagraphsChar"/>
        </w:rPr>
        <w:t xml:space="preserve">iability </w:t>
      </w:r>
      <w:r w:rsidR="0022090B" w:rsidRPr="28D940A9">
        <w:rPr>
          <w:rStyle w:val="ParagraphsChar"/>
        </w:rPr>
        <w:t>as</w:t>
      </w:r>
      <w:r w:rsidR="00D85765" w:rsidRPr="28D940A9">
        <w:rPr>
          <w:rStyle w:val="ParagraphsChar"/>
        </w:rPr>
        <w:t xml:space="preserve">sessments are submitted as part of the planning process, </w:t>
      </w:r>
      <w:r w:rsidR="0022090B" w:rsidRPr="28D940A9">
        <w:rPr>
          <w:rStyle w:val="ParagraphsChar"/>
        </w:rPr>
        <w:t>the Council will</w:t>
      </w:r>
      <w:r w:rsidR="00D85765" w:rsidRPr="28D940A9">
        <w:rPr>
          <w:rStyle w:val="ParagraphsChar"/>
        </w:rPr>
        <w:t xml:space="preserve"> review these rigorously as required by the London Plan</w:t>
      </w:r>
      <w:r w:rsidR="0022090B" w:rsidRPr="28D940A9">
        <w:rPr>
          <w:rStyle w:val="ParagraphsChar"/>
        </w:rPr>
        <w:t xml:space="preserve"> and</w:t>
      </w:r>
      <w:r w:rsidR="00D85765" w:rsidRPr="28D940A9">
        <w:rPr>
          <w:rStyle w:val="ParagraphsChar"/>
        </w:rPr>
        <w:t xml:space="preserve"> in line with the guidance in the GLA’s Affordable Housing and Viability Supplementary Planning Guidance.</w:t>
      </w:r>
    </w:p>
    <w:p w14:paraId="7A972FC1" w14:textId="68745922" w:rsidR="00664375" w:rsidRDefault="000429FB" w:rsidP="003B280C">
      <w:pPr>
        <w:pStyle w:val="Paragraphs"/>
        <w:rPr>
          <w:lang w:val="en-GB"/>
        </w:rPr>
      </w:pPr>
      <w:r w:rsidRPr="28D940A9">
        <w:rPr>
          <w:lang w:val="en-GB"/>
        </w:rPr>
        <w:t xml:space="preserve">Applications that meet or exceed the minimum required level of </w:t>
      </w:r>
      <w:r w:rsidR="002B7A1C" w:rsidRPr="28D940A9">
        <w:rPr>
          <w:lang w:val="en-GB"/>
        </w:rPr>
        <w:t>a</w:t>
      </w:r>
      <w:r w:rsidR="00892A5D" w:rsidRPr="28D940A9">
        <w:rPr>
          <w:lang w:val="en-GB"/>
        </w:rPr>
        <w:t xml:space="preserve">ffordable </w:t>
      </w:r>
      <w:r w:rsidR="002B7A1C" w:rsidRPr="28D940A9">
        <w:rPr>
          <w:lang w:val="en-GB"/>
        </w:rPr>
        <w:t>h</w:t>
      </w:r>
      <w:r w:rsidR="00892A5D" w:rsidRPr="28D940A9">
        <w:rPr>
          <w:lang w:val="en-GB"/>
        </w:rPr>
        <w:t>ousing</w:t>
      </w:r>
      <w:r w:rsidR="00B8565A" w:rsidRPr="28D940A9">
        <w:rPr>
          <w:lang w:val="en-GB"/>
        </w:rPr>
        <w:t xml:space="preserve"> without public subsidy are</w:t>
      </w:r>
      <w:r w:rsidRPr="28D940A9">
        <w:rPr>
          <w:lang w:val="en-GB"/>
        </w:rPr>
        <w:t xml:space="preserve"> not required to submit detailed viability information. The </w:t>
      </w:r>
      <w:r w:rsidR="0022090B" w:rsidRPr="28D940A9">
        <w:rPr>
          <w:lang w:val="en-GB"/>
        </w:rPr>
        <w:t>‘</w:t>
      </w:r>
      <w:r w:rsidR="00D92D42" w:rsidRPr="28D940A9">
        <w:rPr>
          <w:lang w:val="en-GB"/>
        </w:rPr>
        <w:t>t</w:t>
      </w:r>
      <w:r w:rsidRPr="28D940A9">
        <w:rPr>
          <w:lang w:val="en-GB"/>
        </w:rPr>
        <w:t xml:space="preserve">hreshold </w:t>
      </w:r>
      <w:r w:rsidR="00D92D42" w:rsidRPr="28D940A9">
        <w:rPr>
          <w:lang w:val="en-GB"/>
        </w:rPr>
        <w:t>a</w:t>
      </w:r>
      <w:r w:rsidRPr="28D940A9">
        <w:rPr>
          <w:lang w:val="en-GB"/>
        </w:rPr>
        <w:t>pproach</w:t>
      </w:r>
      <w:r w:rsidR="0022090B" w:rsidRPr="28D940A9">
        <w:rPr>
          <w:lang w:val="en-GB"/>
        </w:rPr>
        <w:t>’</w:t>
      </w:r>
      <w:r w:rsidRPr="28D940A9">
        <w:rPr>
          <w:lang w:val="en-GB"/>
        </w:rPr>
        <w:t xml:space="preserve"> to viability is adopted by the Council in its Local Plan and detailed in the Development Viability SPD. This approach is in line with the Mayor of London’s London Plan and the relevant viability guidance. </w:t>
      </w:r>
    </w:p>
    <w:p w14:paraId="15100636" w14:textId="1A41C938" w:rsidR="00664375" w:rsidRPr="000D65CE" w:rsidRDefault="00664375" w:rsidP="008C7468">
      <w:pPr>
        <w:pStyle w:val="Paragraphs"/>
        <w:spacing w:after="180"/>
        <w:rPr>
          <w:lang w:val="en-GB"/>
        </w:rPr>
      </w:pPr>
      <w:r w:rsidRPr="28D940A9">
        <w:rPr>
          <w:lang w:val="en-GB"/>
        </w:rPr>
        <w:t>The London Plan stipulates that the threshold approach applies to Major Development proposals which trigger Affordable Housing requirements. The threshold level of Affordable Housing on gross residential development is initially set at:</w:t>
      </w:r>
    </w:p>
    <w:p w14:paraId="22CB0C47" w14:textId="77777777" w:rsidR="00664375" w:rsidRPr="000D65CE" w:rsidRDefault="00664375" w:rsidP="00664375">
      <w:pPr>
        <w:pStyle w:val="ListBullet4"/>
        <w:jc w:val="both"/>
      </w:pPr>
      <w:r>
        <w:t xml:space="preserve">a minimum of 35 per cent; or </w:t>
      </w:r>
    </w:p>
    <w:p w14:paraId="62A2BE48" w14:textId="77777777" w:rsidR="00664375" w:rsidRPr="000D65CE" w:rsidRDefault="00664375" w:rsidP="00664375">
      <w:pPr>
        <w:pStyle w:val="ListBullet4"/>
        <w:jc w:val="both"/>
      </w:pPr>
      <w:r>
        <w:t>50 per cent for public sector land where there is no portfolio agreement with the Mayor; or</w:t>
      </w:r>
    </w:p>
    <w:p w14:paraId="186ABCBB" w14:textId="77777777" w:rsidR="00664375" w:rsidRPr="000D65CE" w:rsidRDefault="00664375" w:rsidP="00664375">
      <w:pPr>
        <w:pStyle w:val="ListBullet4"/>
        <w:jc w:val="both"/>
      </w:pPr>
      <w:r>
        <w:t>50 per cent for Strategic Industrial Locations, Locally Significant Industrial Sites and Non-designated Industrial Sites appropriate for residential uses in accordance with Policy E7 Industrial intensification, co-location and substitution where the scheme would result in a net loss of industrial capacity.</w:t>
      </w:r>
    </w:p>
    <w:p w14:paraId="51D70CFA" w14:textId="55944C21" w:rsidR="000429FB" w:rsidRPr="000D65CE" w:rsidRDefault="00664375" w:rsidP="003B280C">
      <w:pPr>
        <w:pStyle w:val="Paragraphs"/>
        <w:rPr>
          <w:lang w:val="en-GB"/>
        </w:rPr>
      </w:pPr>
      <w:r w:rsidRPr="28D940A9">
        <w:rPr>
          <w:lang w:val="en-GB"/>
        </w:rPr>
        <w:t xml:space="preserve">Schemes which follow the fast track route of the threshold approach will need to comply with housing sizes and local tenure policies in accordance with paragraphs 9.37 and 9.38 of the Local Plan and Policy H5 Part C of the London Plan Intend to Publish version. </w:t>
      </w:r>
      <w:r w:rsidR="000429FB" w:rsidRPr="28D940A9">
        <w:rPr>
          <w:lang w:val="en-GB"/>
        </w:rPr>
        <w:t>Such schemes will be the subject of an early stage review mechanism if the scheme is not implemented within 2 years</w:t>
      </w:r>
      <w:r w:rsidRPr="28D940A9">
        <w:rPr>
          <w:lang w:val="en-GB"/>
        </w:rPr>
        <w:t>.</w:t>
      </w:r>
      <w:r w:rsidR="000429FB" w:rsidRPr="28D940A9">
        <w:rPr>
          <w:lang w:val="en-GB"/>
        </w:rPr>
        <w:t xml:space="preserve"> Schemes that provide off-site </w:t>
      </w:r>
      <w:r w:rsidRPr="28D940A9">
        <w:rPr>
          <w:lang w:val="en-GB"/>
        </w:rPr>
        <w:t>A</w:t>
      </w:r>
      <w:r w:rsidR="00892A5D" w:rsidRPr="28D940A9">
        <w:rPr>
          <w:lang w:val="en-GB"/>
        </w:rPr>
        <w:t xml:space="preserve">ffordable </w:t>
      </w:r>
      <w:r w:rsidRPr="28D940A9">
        <w:rPr>
          <w:lang w:val="en-GB"/>
        </w:rPr>
        <w:t>H</w:t>
      </w:r>
      <w:r w:rsidR="00892A5D" w:rsidRPr="28D940A9">
        <w:rPr>
          <w:lang w:val="en-GB"/>
        </w:rPr>
        <w:t>ousing</w:t>
      </w:r>
      <w:r w:rsidR="00143346" w:rsidRPr="28D940A9">
        <w:rPr>
          <w:lang w:val="en-GB"/>
        </w:rPr>
        <w:t xml:space="preserve"> or</w:t>
      </w:r>
      <w:r w:rsidR="000429FB" w:rsidRPr="28D940A9">
        <w:rPr>
          <w:lang w:val="en-GB"/>
        </w:rPr>
        <w:t xml:space="preserve"> cash in lieu contributions</w:t>
      </w:r>
      <w:r w:rsidR="00143346" w:rsidRPr="28D940A9">
        <w:rPr>
          <w:lang w:val="en-GB"/>
        </w:rPr>
        <w:t xml:space="preserve"> and</w:t>
      </w:r>
      <w:r w:rsidR="000429FB" w:rsidRPr="28D940A9">
        <w:rPr>
          <w:lang w:val="en-GB"/>
        </w:rPr>
        <w:t xml:space="preserve"> estate regeneration schemes will </w:t>
      </w:r>
      <w:r w:rsidR="000429FB" w:rsidRPr="28D940A9">
        <w:rPr>
          <w:lang w:val="en-GB"/>
        </w:rPr>
        <w:lastRenderedPageBreak/>
        <w:t>not qualify</w:t>
      </w:r>
      <w:r w:rsidR="00143346" w:rsidRPr="28D940A9">
        <w:rPr>
          <w:lang w:val="en-GB"/>
        </w:rPr>
        <w:t xml:space="preserve"> for the threshold approach</w:t>
      </w:r>
      <w:r w:rsidR="000429FB" w:rsidRPr="28D940A9">
        <w:rPr>
          <w:lang w:val="en-GB"/>
        </w:rPr>
        <w:t>.</w:t>
      </w:r>
    </w:p>
    <w:p w14:paraId="701E58A1" w14:textId="4E95868D" w:rsidR="004858CE" w:rsidRPr="000D65CE" w:rsidRDefault="00F22D7A" w:rsidP="003B280C">
      <w:pPr>
        <w:pStyle w:val="Heading1"/>
        <w:jc w:val="both"/>
        <w:rPr>
          <w:sz w:val="30"/>
          <w:szCs w:val="30"/>
          <w:lang w:val="en-GB"/>
        </w:rPr>
      </w:pPr>
      <w:r w:rsidRPr="000D65CE">
        <w:rPr>
          <w:sz w:val="30"/>
          <w:szCs w:val="30"/>
          <w:lang w:val="en-GB"/>
        </w:rPr>
        <w:t>Viability Review Mechanisms</w:t>
      </w:r>
      <w:r w:rsidR="008E65FE" w:rsidRPr="000D65CE">
        <w:rPr>
          <w:sz w:val="30"/>
          <w:szCs w:val="30"/>
          <w:lang w:val="en-GB"/>
        </w:rPr>
        <w:tab/>
      </w:r>
      <w:r w:rsidRPr="000D65CE">
        <w:rPr>
          <w:sz w:val="30"/>
          <w:szCs w:val="30"/>
          <w:lang w:val="en-GB"/>
        </w:rPr>
        <w:t xml:space="preserve"> </w:t>
      </w:r>
    </w:p>
    <w:p w14:paraId="573B18FD" w14:textId="24261D69" w:rsidR="00ED7046" w:rsidRPr="000D65CE" w:rsidRDefault="00F305C3" w:rsidP="003B280C">
      <w:pPr>
        <w:pStyle w:val="Paragraphs"/>
        <w:rPr>
          <w:lang w:val="en-GB"/>
        </w:rPr>
      </w:pPr>
      <w:r w:rsidRPr="28D940A9">
        <w:rPr>
          <w:lang w:val="en-GB"/>
        </w:rPr>
        <w:t xml:space="preserve">For all applications where policy requirements are not met in full at the time permission is granted and where the departure is justified as a result of the submission of a </w:t>
      </w:r>
      <w:r w:rsidR="00C52A8C" w:rsidRPr="28D940A9">
        <w:rPr>
          <w:lang w:val="en-GB"/>
        </w:rPr>
        <w:t>f</w:t>
      </w:r>
      <w:r w:rsidRPr="28D940A9">
        <w:rPr>
          <w:lang w:val="en-GB"/>
        </w:rPr>
        <w:t xml:space="preserve">inancial </w:t>
      </w:r>
      <w:r w:rsidR="00D92D42" w:rsidRPr="28D940A9">
        <w:rPr>
          <w:lang w:val="en-GB"/>
        </w:rPr>
        <w:t>v</w:t>
      </w:r>
      <w:r w:rsidRPr="28D940A9">
        <w:rPr>
          <w:lang w:val="en-GB"/>
        </w:rPr>
        <w:t xml:space="preserve">iability </w:t>
      </w:r>
      <w:r w:rsidR="00D92D42" w:rsidRPr="28D940A9">
        <w:rPr>
          <w:lang w:val="en-GB"/>
        </w:rPr>
        <w:t>a</w:t>
      </w:r>
      <w:r w:rsidRPr="28D940A9">
        <w:rPr>
          <w:lang w:val="en-GB"/>
        </w:rPr>
        <w:t>ssessment, provisions for viability review mechanisms will be requ</w:t>
      </w:r>
      <w:r w:rsidR="00182CA9" w:rsidRPr="28D940A9">
        <w:rPr>
          <w:lang w:val="en-GB"/>
        </w:rPr>
        <w:t xml:space="preserve">ired to be incorporated within </w:t>
      </w:r>
      <w:r w:rsidR="00032BFE" w:rsidRPr="28D940A9">
        <w:rPr>
          <w:lang w:val="en-GB"/>
        </w:rPr>
        <w:t xml:space="preserve">legal </w:t>
      </w:r>
      <w:r w:rsidRPr="28D940A9">
        <w:rPr>
          <w:lang w:val="en-GB"/>
        </w:rPr>
        <w:t>agreements.</w:t>
      </w:r>
    </w:p>
    <w:p w14:paraId="113A8F89" w14:textId="059257C6" w:rsidR="00ED7046" w:rsidRPr="000D65CE" w:rsidRDefault="00F305C3" w:rsidP="003B280C">
      <w:pPr>
        <w:pStyle w:val="Paragraphs"/>
        <w:rPr>
          <w:lang w:val="en-GB"/>
        </w:rPr>
      </w:pPr>
      <w:r w:rsidRPr="28D940A9">
        <w:rPr>
          <w:lang w:val="en-GB"/>
        </w:rPr>
        <w:t>Viability review mechanisms will be triggered and undertaken according to the circumstances in each case</w:t>
      </w:r>
      <w:r w:rsidR="00D92D42" w:rsidRPr="28D940A9">
        <w:rPr>
          <w:lang w:val="en-GB"/>
        </w:rPr>
        <w:t>,</w:t>
      </w:r>
      <w:r w:rsidRPr="28D940A9">
        <w:rPr>
          <w:lang w:val="en-GB"/>
        </w:rPr>
        <w:t xml:space="preserve"> but based on the following principles</w:t>
      </w:r>
      <w:r w:rsidR="00506F85" w:rsidRPr="28D940A9">
        <w:rPr>
          <w:lang w:val="en-GB"/>
        </w:rPr>
        <w:t xml:space="preserve"> as set out in the Tower Hamlets Development Viability SPD</w:t>
      </w:r>
      <w:r w:rsidR="00D92D42" w:rsidRPr="28D940A9">
        <w:rPr>
          <w:lang w:val="en-GB"/>
        </w:rPr>
        <w:t>:</w:t>
      </w:r>
      <w:r>
        <w:tab/>
      </w:r>
    </w:p>
    <w:p w14:paraId="0EA12448" w14:textId="77777777" w:rsidR="00116827" w:rsidRPr="000D65CE" w:rsidRDefault="00116827" w:rsidP="003B280C">
      <w:pPr>
        <w:pStyle w:val="Style1"/>
        <w:contextualSpacing/>
        <w:jc w:val="both"/>
        <w:rPr>
          <w:lang w:val="en-GB"/>
        </w:rPr>
      </w:pPr>
      <w:r w:rsidRPr="000D65CE">
        <w:rPr>
          <w:lang w:val="en-GB"/>
        </w:rPr>
        <w:t xml:space="preserve">If substantial implementation hasn’t occurred within 24 months of planning permission, a pre-implementation review will be required. </w:t>
      </w:r>
    </w:p>
    <w:p w14:paraId="56F9A9C2" w14:textId="77777777" w:rsidR="007D28BD" w:rsidRPr="000D65CE" w:rsidRDefault="00F305C3" w:rsidP="003B280C">
      <w:pPr>
        <w:pStyle w:val="Style1"/>
        <w:contextualSpacing/>
        <w:jc w:val="both"/>
        <w:rPr>
          <w:lang w:val="en-GB"/>
        </w:rPr>
      </w:pPr>
      <w:r w:rsidRPr="000D65CE">
        <w:rPr>
          <w:lang w:val="en-GB"/>
        </w:rPr>
        <w:t xml:space="preserve">For phased schemes requiring a review, mid-term reviews will be necessary </w:t>
      </w:r>
      <w:r w:rsidR="00A361F1" w:rsidRPr="000D65CE">
        <w:rPr>
          <w:lang w:val="en-GB"/>
        </w:rPr>
        <w:t>prior to the implementation of later phases of a development</w:t>
      </w:r>
      <w:r w:rsidRPr="000D65CE">
        <w:rPr>
          <w:lang w:val="en-GB"/>
        </w:rPr>
        <w:t>.</w:t>
      </w:r>
    </w:p>
    <w:p w14:paraId="42F25BE1" w14:textId="4BA012F3" w:rsidR="00663FCF" w:rsidRPr="000D65CE" w:rsidRDefault="00A361F1" w:rsidP="003B280C">
      <w:pPr>
        <w:pStyle w:val="Style1"/>
        <w:contextualSpacing/>
        <w:jc w:val="both"/>
        <w:rPr>
          <w:rFonts w:cs="Arial"/>
          <w:b/>
          <w:sz w:val="28"/>
          <w:szCs w:val="28"/>
          <w:lang w:val="en-GB"/>
        </w:rPr>
      </w:pPr>
      <w:r w:rsidRPr="000D65CE">
        <w:rPr>
          <w:lang w:val="en-GB"/>
        </w:rPr>
        <w:t xml:space="preserve">For all schemes requiring a review, an advanced stage review will be carried out. These reviews should be undertaken </w:t>
      </w:r>
      <w:r w:rsidR="00E429DD" w:rsidRPr="000D65CE">
        <w:rPr>
          <w:lang w:val="en-GB"/>
        </w:rPr>
        <w:t>upon disposal</w:t>
      </w:r>
      <w:r w:rsidRPr="000D65CE">
        <w:rPr>
          <w:lang w:val="en-GB"/>
        </w:rPr>
        <w:t xml:space="preserve"> of 75% of market residential accommodation for residential-led schemes, or within a </w:t>
      </w:r>
      <w:r w:rsidR="00B859CB" w:rsidRPr="000D65CE">
        <w:rPr>
          <w:lang w:val="en-GB"/>
        </w:rPr>
        <w:t>three-month</w:t>
      </w:r>
      <w:r w:rsidRPr="000D65CE">
        <w:rPr>
          <w:lang w:val="en-GB"/>
        </w:rPr>
        <w:t xml:space="preserve"> period prior to practical completion for all other schemes.</w:t>
      </w:r>
    </w:p>
    <w:p w14:paraId="66BBAFDC" w14:textId="3F8E7D55" w:rsidR="00086BBE" w:rsidRPr="000D65CE" w:rsidRDefault="00D1019D" w:rsidP="003B280C">
      <w:pPr>
        <w:pStyle w:val="Heading1"/>
        <w:jc w:val="both"/>
        <w:rPr>
          <w:sz w:val="30"/>
          <w:szCs w:val="30"/>
          <w:lang w:val="en-GB"/>
        </w:rPr>
      </w:pPr>
      <w:r w:rsidRPr="000D65CE">
        <w:rPr>
          <w:sz w:val="30"/>
          <w:szCs w:val="30"/>
          <w:lang w:val="en-GB"/>
        </w:rPr>
        <w:t xml:space="preserve">Post Decision </w:t>
      </w:r>
    </w:p>
    <w:p w14:paraId="4956850E" w14:textId="61A5C593" w:rsidR="00D1019D" w:rsidRPr="000D65CE" w:rsidRDefault="00D1019D" w:rsidP="003B280C">
      <w:pPr>
        <w:pStyle w:val="Paragraphs"/>
        <w:rPr>
          <w:lang w:val="en-GB"/>
        </w:rPr>
      </w:pPr>
      <w:r w:rsidRPr="28D940A9">
        <w:rPr>
          <w:lang w:val="en-GB"/>
        </w:rPr>
        <w:t>Following the decision to grant planning permission subject to a legal agreement, the Council’s solicitor and planning officers</w:t>
      </w:r>
      <w:r w:rsidR="00075DCE" w:rsidRPr="28D940A9">
        <w:rPr>
          <w:lang w:val="en-GB"/>
        </w:rPr>
        <w:t>,</w:t>
      </w:r>
      <w:r w:rsidRPr="28D940A9">
        <w:rPr>
          <w:lang w:val="en-GB"/>
        </w:rPr>
        <w:t xml:space="preserve"> in liaison with the applicant’s solicitor</w:t>
      </w:r>
      <w:r w:rsidR="00075DCE" w:rsidRPr="28D940A9">
        <w:rPr>
          <w:lang w:val="en-GB"/>
        </w:rPr>
        <w:t>,</w:t>
      </w:r>
      <w:r w:rsidRPr="28D940A9">
        <w:rPr>
          <w:lang w:val="en-GB"/>
        </w:rPr>
        <w:t xml:space="preserve"> will complete the setting out of the planning obligation(s) in the form of a binding legal agreement.</w:t>
      </w:r>
      <w:r w:rsidR="00075DCE" w:rsidRPr="28D940A9">
        <w:rPr>
          <w:lang w:val="en-GB"/>
        </w:rPr>
        <w:t xml:space="preserve"> </w:t>
      </w:r>
      <w:r w:rsidR="004730F9" w:rsidRPr="28D940A9">
        <w:rPr>
          <w:lang w:val="en-GB"/>
        </w:rPr>
        <w:t>If not already provided t</w:t>
      </w:r>
      <w:r w:rsidR="00075DCE" w:rsidRPr="28D940A9">
        <w:rPr>
          <w:lang w:val="en-GB"/>
        </w:rPr>
        <w:t>he Council’s solicitor will require the applicant’s solicitor to provide an undertaking for the Council’s costs.</w:t>
      </w:r>
      <w:r w:rsidRPr="28D940A9">
        <w:rPr>
          <w:lang w:val="en-GB"/>
        </w:rPr>
        <w:t xml:space="preserve"> The</w:t>
      </w:r>
      <w:r w:rsidR="00075DCE" w:rsidRPr="28D940A9">
        <w:rPr>
          <w:lang w:val="en-GB"/>
        </w:rPr>
        <w:t xml:space="preserve"> </w:t>
      </w:r>
      <w:r w:rsidR="00032BFE" w:rsidRPr="28D940A9">
        <w:rPr>
          <w:lang w:val="en-GB"/>
        </w:rPr>
        <w:t xml:space="preserve">legal </w:t>
      </w:r>
      <w:r w:rsidRPr="28D940A9">
        <w:rPr>
          <w:lang w:val="en-GB"/>
        </w:rPr>
        <w:t>agreement will</w:t>
      </w:r>
      <w:r w:rsidR="00075DCE" w:rsidRPr="28D940A9">
        <w:rPr>
          <w:lang w:val="en-GB"/>
        </w:rPr>
        <w:t xml:space="preserve"> be drafted using the Council’s template agreement. The </w:t>
      </w:r>
      <w:r w:rsidR="00032BFE" w:rsidRPr="28D940A9">
        <w:rPr>
          <w:lang w:val="en-GB"/>
        </w:rPr>
        <w:t xml:space="preserve">legal </w:t>
      </w:r>
      <w:r w:rsidR="00075DCE" w:rsidRPr="28D940A9">
        <w:rPr>
          <w:lang w:val="en-GB"/>
        </w:rPr>
        <w:t>agreement will</w:t>
      </w:r>
      <w:r w:rsidRPr="28D940A9">
        <w:rPr>
          <w:lang w:val="en-GB"/>
        </w:rPr>
        <w:t xml:space="preserve"> set out the detail of the planning obligations, including the trigger mechanisms for payment of financial contributions,</w:t>
      </w:r>
      <w:r w:rsidR="006769D2" w:rsidRPr="28D940A9">
        <w:rPr>
          <w:lang w:val="en-GB"/>
        </w:rPr>
        <w:t xml:space="preserve"> viability re-assessments</w:t>
      </w:r>
      <w:r w:rsidR="00D92D42" w:rsidRPr="28D940A9">
        <w:rPr>
          <w:lang w:val="en-GB"/>
        </w:rPr>
        <w:t>,</w:t>
      </w:r>
      <w:r w:rsidRPr="28D940A9">
        <w:rPr>
          <w:lang w:val="en-GB"/>
        </w:rPr>
        <w:t xml:space="preserve"> schedules of works and other commitments to be undertaken by the developer, as well as obligations upon the Council. </w:t>
      </w:r>
    </w:p>
    <w:p w14:paraId="173B46C6" w14:textId="68D100DE" w:rsidR="00D1019D" w:rsidRPr="000D65CE" w:rsidRDefault="00182CA9" w:rsidP="003B280C">
      <w:pPr>
        <w:pStyle w:val="Paragraphs"/>
        <w:rPr>
          <w:lang w:val="en-GB"/>
        </w:rPr>
      </w:pPr>
      <w:r w:rsidRPr="7A52AF77">
        <w:rPr>
          <w:lang w:val="en-GB"/>
        </w:rPr>
        <w:t xml:space="preserve">On completion and </w:t>
      </w:r>
      <w:r w:rsidR="00DC3506" w:rsidRPr="7A52AF77">
        <w:rPr>
          <w:lang w:val="en-GB"/>
        </w:rPr>
        <w:t>execution</w:t>
      </w:r>
      <w:r w:rsidRPr="7A52AF77">
        <w:rPr>
          <w:lang w:val="en-GB"/>
        </w:rPr>
        <w:t xml:space="preserve"> of a </w:t>
      </w:r>
      <w:r w:rsidR="00D1019D" w:rsidRPr="7A52AF77">
        <w:rPr>
          <w:lang w:val="en-GB"/>
        </w:rPr>
        <w:t>legal agreement, planning permission is formally issued. The legal agreement is placed on the statutory register</w:t>
      </w:r>
      <w:r w:rsidR="005571C0">
        <w:rPr>
          <w:rStyle w:val="FootnoteReference"/>
          <w:lang w:val="en-GB"/>
        </w:rPr>
        <w:footnoteReference w:id="4"/>
      </w:r>
      <w:r w:rsidR="00D1019D" w:rsidRPr="7A52AF77">
        <w:rPr>
          <w:lang w:val="en-GB"/>
        </w:rPr>
        <w:t xml:space="preserve"> and is </w:t>
      </w:r>
      <w:r w:rsidR="004B67F6" w:rsidRPr="7A52AF77">
        <w:rPr>
          <w:lang w:val="en-GB"/>
        </w:rPr>
        <w:t>publicly</w:t>
      </w:r>
      <w:r w:rsidR="00D1019D" w:rsidRPr="7A52AF77">
        <w:rPr>
          <w:lang w:val="en-GB"/>
        </w:rPr>
        <w:t xml:space="preserve"> available online together with the decision notice.</w:t>
      </w:r>
      <w:r w:rsidR="005571C0">
        <w:rPr>
          <w:lang w:val="en-GB"/>
        </w:rPr>
        <w:t xml:space="preserve"> </w:t>
      </w:r>
    </w:p>
    <w:p w14:paraId="33708A04" w14:textId="73647AAD" w:rsidR="004B11DC" w:rsidRPr="00873AEC" w:rsidRDefault="00D1019D" w:rsidP="00873AEC">
      <w:pPr>
        <w:pStyle w:val="Paragraphs"/>
        <w:rPr>
          <w:lang w:val="en-GB"/>
        </w:rPr>
      </w:pPr>
      <w:r w:rsidRPr="28D940A9">
        <w:rPr>
          <w:lang w:val="en-GB"/>
        </w:rPr>
        <w:t xml:space="preserve">The </w:t>
      </w:r>
      <w:r w:rsidR="00DC3506" w:rsidRPr="28D940A9">
        <w:rPr>
          <w:lang w:val="en-GB"/>
        </w:rPr>
        <w:t>executed</w:t>
      </w:r>
      <w:r w:rsidRPr="28D940A9">
        <w:rPr>
          <w:lang w:val="en-GB"/>
        </w:rPr>
        <w:t xml:space="preserve"> agreements are registered as a local land charge against the land, copies of which can be provided to the public on payment of an administ</w:t>
      </w:r>
      <w:r w:rsidR="00182CA9" w:rsidRPr="28D940A9">
        <w:rPr>
          <w:lang w:val="en-GB"/>
        </w:rPr>
        <w:t xml:space="preserve">ration fee to the Council. The </w:t>
      </w:r>
      <w:r w:rsidR="00032BFE" w:rsidRPr="28D940A9">
        <w:rPr>
          <w:lang w:val="en-GB"/>
        </w:rPr>
        <w:t>legal</w:t>
      </w:r>
      <w:r w:rsidRPr="28D940A9">
        <w:rPr>
          <w:lang w:val="en-GB"/>
        </w:rPr>
        <w:t xml:space="preserve"> agreement is</w:t>
      </w:r>
      <w:r w:rsidR="00D92D42" w:rsidRPr="28D940A9">
        <w:rPr>
          <w:lang w:val="en-GB"/>
        </w:rPr>
        <w:t xml:space="preserve"> also</w:t>
      </w:r>
      <w:r w:rsidRPr="28D940A9">
        <w:rPr>
          <w:lang w:val="en-GB"/>
        </w:rPr>
        <w:t xml:space="preserve"> registered on the Council’s planning obligation database, which is used for monitoring and project management purposes. </w:t>
      </w:r>
    </w:p>
    <w:p w14:paraId="01C992CE" w14:textId="5C47395D" w:rsidR="00985899" w:rsidRPr="000D65CE" w:rsidRDefault="00667B00" w:rsidP="00721B10">
      <w:pPr>
        <w:pStyle w:val="Headers"/>
        <w:rPr>
          <w:szCs w:val="22"/>
        </w:rPr>
      </w:pPr>
      <w:bookmarkStart w:id="7" w:name="_Toc69374669"/>
      <w:r w:rsidRPr="000D65CE">
        <w:lastRenderedPageBreak/>
        <w:t>Standard Obligations and Charges</w:t>
      </w:r>
      <w:bookmarkEnd w:id="7"/>
    </w:p>
    <w:p w14:paraId="2D119EF0" w14:textId="1F7DBC0E" w:rsidR="001D64F5" w:rsidRPr="000D65CE" w:rsidRDefault="00A14A84" w:rsidP="003B280C">
      <w:pPr>
        <w:pStyle w:val="Paragraphs"/>
        <w:rPr>
          <w:lang w:val="en-GB"/>
        </w:rPr>
      </w:pPr>
      <w:r w:rsidRPr="000D65CE">
        <w:rPr>
          <w:lang w:val="en-GB"/>
        </w:rPr>
        <w:t>This section sets out</w:t>
      </w:r>
      <w:r w:rsidR="00907706" w:rsidRPr="000D65CE">
        <w:rPr>
          <w:lang w:val="en-GB"/>
        </w:rPr>
        <w:t xml:space="preserve"> </w:t>
      </w:r>
      <w:r w:rsidRPr="000D65CE">
        <w:rPr>
          <w:lang w:val="en-GB"/>
        </w:rPr>
        <w:t>how</w:t>
      </w:r>
      <w:r w:rsidR="001D64F5" w:rsidRPr="000D65CE">
        <w:rPr>
          <w:lang w:val="en-GB"/>
        </w:rPr>
        <w:t xml:space="preserve"> </w:t>
      </w:r>
      <w:r w:rsidRPr="000D65CE">
        <w:rPr>
          <w:lang w:val="en-GB"/>
        </w:rPr>
        <w:t xml:space="preserve">the Council will </w:t>
      </w:r>
      <w:r w:rsidR="000A66A7" w:rsidRPr="000D65CE">
        <w:rPr>
          <w:lang w:val="en-GB"/>
        </w:rPr>
        <w:t>apply</w:t>
      </w:r>
      <w:r w:rsidRPr="000D65CE">
        <w:rPr>
          <w:lang w:val="en-GB"/>
        </w:rPr>
        <w:t xml:space="preserve"> </w:t>
      </w:r>
      <w:r w:rsidR="00985899" w:rsidRPr="000D65CE">
        <w:rPr>
          <w:lang w:val="en-GB"/>
        </w:rPr>
        <w:t xml:space="preserve">planning obligations </w:t>
      </w:r>
      <w:r w:rsidR="005013E0" w:rsidRPr="000D65CE">
        <w:rPr>
          <w:lang w:val="en-GB"/>
        </w:rPr>
        <w:t xml:space="preserve">to </w:t>
      </w:r>
      <w:r w:rsidRPr="000D65CE">
        <w:rPr>
          <w:lang w:val="en-GB"/>
        </w:rPr>
        <w:t>make development acceptable</w:t>
      </w:r>
      <w:r w:rsidR="00907706" w:rsidRPr="000D65CE">
        <w:rPr>
          <w:lang w:val="en-GB"/>
        </w:rPr>
        <w:t xml:space="preserve"> in planning terms</w:t>
      </w:r>
      <w:r w:rsidR="00985899" w:rsidRPr="000D65CE">
        <w:rPr>
          <w:lang w:val="en-GB"/>
        </w:rPr>
        <w:t>.</w:t>
      </w:r>
      <w:r w:rsidR="007B2E02" w:rsidRPr="000D65CE">
        <w:rPr>
          <w:lang w:val="en-GB"/>
        </w:rPr>
        <w:t xml:space="preserve"> </w:t>
      </w:r>
      <w:r w:rsidR="001D64F5" w:rsidRPr="000D65CE">
        <w:rPr>
          <w:lang w:val="en-GB"/>
        </w:rPr>
        <w:t xml:space="preserve">Each development will be considered on a case by case basis in line with relevant and available evidence, guidance and policies. A variety of planning obligations may be necessary depending on the development and its impacts. As such, the planning obligations outlined in this section are not exhaustive. </w:t>
      </w:r>
    </w:p>
    <w:p w14:paraId="180B1637" w14:textId="77777777" w:rsidR="00086BBE" w:rsidRPr="000D65CE" w:rsidRDefault="00E814B5" w:rsidP="003B280C">
      <w:pPr>
        <w:pStyle w:val="Paragraphs"/>
        <w:rPr>
          <w:lang w:val="en-GB"/>
        </w:rPr>
      </w:pPr>
      <w:r w:rsidRPr="000D65CE">
        <w:rPr>
          <w:lang w:val="en-GB"/>
        </w:rPr>
        <w:t>For each obligation</w:t>
      </w:r>
      <w:r w:rsidR="00E4601D" w:rsidRPr="000D65CE">
        <w:rPr>
          <w:lang w:val="en-GB"/>
        </w:rPr>
        <w:t>,</w:t>
      </w:r>
      <w:r w:rsidRPr="000D65CE">
        <w:rPr>
          <w:lang w:val="en-GB"/>
        </w:rPr>
        <w:t xml:space="preserve"> the</w:t>
      </w:r>
      <w:r w:rsidR="00907706" w:rsidRPr="000D65CE">
        <w:rPr>
          <w:lang w:val="en-GB"/>
        </w:rPr>
        <w:t xml:space="preserve"> justification,</w:t>
      </w:r>
      <w:r w:rsidRPr="000D65CE">
        <w:rPr>
          <w:lang w:val="en-GB"/>
        </w:rPr>
        <w:t xml:space="preserve"> threshold and contribution requirements are provided</w:t>
      </w:r>
      <w:r w:rsidR="001D64F5" w:rsidRPr="000D65CE">
        <w:rPr>
          <w:lang w:val="en-GB"/>
        </w:rPr>
        <w:t>.</w:t>
      </w:r>
      <w:r w:rsidR="00C52A8C" w:rsidRPr="000D65CE">
        <w:rPr>
          <w:lang w:val="en-GB"/>
        </w:rPr>
        <w:t xml:space="preserve"> </w:t>
      </w:r>
      <w:r w:rsidR="001D64F5" w:rsidRPr="000D65CE">
        <w:rPr>
          <w:lang w:val="en-GB"/>
        </w:rPr>
        <w:t>T</w:t>
      </w:r>
      <w:r w:rsidRPr="000D65CE">
        <w:rPr>
          <w:lang w:val="en-GB"/>
        </w:rPr>
        <w:t xml:space="preserve">hese are taken into </w:t>
      </w:r>
      <w:r w:rsidR="000A66A7" w:rsidRPr="000D65CE">
        <w:rPr>
          <w:lang w:val="en-GB"/>
        </w:rPr>
        <w:t xml:space="preserve">account </w:t>
      </w:r>
      <w:r w:rsidRPr="000D65CE">
        <w:rPr>
          <w:lang w:val="en-GB"/>
        </w:rPr>
        <w:t>when determining whe</w:t>
      </w:r>
      <w:r w:rsidR="001D64F5" w:rsidRPr="000D65CE">
        <w:rPr>
          <w:lang w:val="en-GB"/>
        </w:rPr>
        <w:t>ther</w:t>
      </w:r>
      <w:r w:rsidRPr="000D65CE">
        <w:rPr>
          <w:lang w:val="en-GB"/>
        </w:rPr>
        <w:t xml:space="preserve"> a proposed development should be subject to planning obligations and to estimate</w:t>
      </w:r>
      <w:r w:rsidR="001D64F5" w:rsidRPr="000D65CE">
        <w:rPr>
          <w:lang w:val="en-GB"/>
        </w:rPr>
        <w:t xml:space="preserve"> the </w:t>
      </w:r>
      <w:r w:rsidR="000A66A7" w:rsidRPr="000D65CE">
        <w:rPr>
          <w:lang w:val="en-GB"/>
        </w:rPr>
        <w:t>required obligations.</w:t>
      </w:r>
      <w:r w:rsidRPr="000D65CE">
        <w:rPr>
          <w:lang w:val="en-GB"/>
        </w:rPr>
        <w:t xml:space="preserve"> </w:t>
      </w:r>
    </w:p>
    <w:p w14:paraId="7C5FE8DC" w14:textId="76A12C1D" w:rsidR="00277737" w:rsidRPr="000D65CE" w:rsidRDefault="00C04493" w:rsidP="00721B10">
      <w:pPr>
        <w:pStyle w:val="Heading2"/>
      </w:pPr>
      <w:bookmarkStart w:id="8" w:name="_Toc69374670"/>
      <w:r w:rsidRPr="000D65CE">
        <w:t>Affordable</w:t>
      </w:r>
      <w:r w:rsidR="00684EF1" w:rsidRPr="000D65CE">
        <w:t>,</w:t>
      </w:r>
      <w:r w:rsidR="0030339B" w:rsidRPr="000D65CE">
        <w:t xml:space="preserve"> Self-Build,</w:t>
      </w:r>
      <w:r w:rsidR="00EC3EBA" w:rsidRPr="000D65CE">
        <w:t xml:space="preserve"> Temporary,</w:t>
      </w:r>
      <w:r w:rsidR="00CB75FB" w:rsidRPr="000D65CE">
        <w:t xml:space="preserve"> Specialist</w:t>
      </w:r>
      <w:r w:rsidR="00EC3EBA" w:rsidRPr="000D65CE">
        <w:t xml:space="preserve"> and Intermediate</w:t>
      </w:r>
      <w:r w:rsidR="009534C8" w:rsidRPr="000D65CE">
        <w:t xml:space="preserve"> Housing</w:t>
      </w:r>
      <w:bookmarkEnd w:id="8"/>
      <w:r w:rsidR="009534C8" w:rsidRPr="000D65CE">
        <w:t xml:space="preserve"> </w:t>
      </w:r>
    </w:p>
    <w:tbl>
      <w:tblPr>
        <w:tblStyle w:val="TableGrid"/>
        <w:tblW w:w="0" w:type="auto"/>
        <w:tblInd w:w="786"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6E597EC8" w14:textId="77777777" w:rsidTr="00990FBE">
        <w:tc>
          <w:tcPr>
            <w:tcW w:w="3119" w:type="dxa"/>
            <w:tcBorders>
              <w:bottom w:val="single" w:sz="8" w:space="0" w:color="006BB6"/>
            </w:tcBorders>
            <w:shd w:val="clear" w:color="auto" w:fill="F2F2F2" w:themeFill="background1" w:themeFillShade="F2"/>
          </w:tcPr>
          <w:p w14:paraId="0675388F"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5A078A82" w14:textId="35A42C7E"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S.H1, D.H2, D.H3</w:t>
            </w:r>
          </w:p>
        </w:tc>
      </w:tr>
    </w:tbl>
    <w:p w14:paraId="7A61AB86" w14:textId="77777777" w:rsidR="00575071" w:rsidRPr="000D65CE" w:rsidRDefault="00575071" w:rsidP="003B280C">
      <w:pPr>
        <w:jc w:val="both"/>
        <w:rPr>
          <w:u w:val="single"/>
        </w:rPr>
      </w:pPr>
    </w:p>
    <w:p w14:paraId="0FFE310A" w14:textId="77777777" w:rsidR="00532188" w:rsidRPr="000D65CE" w:rsidRDefault="00E919AA" w:rsidP="003B280C">
      <w:pPr>
        <w:pStyle w:val="Paragraphs"/>
        <w:rPr>
          <w:lang w:val="en-GB"/>
        </w:rPr>
      </w:pPr>
      <w:r w:rsidRPr="000D65CE">
        <w:rPr>
          <w:lang w:val="en-GB"/>
        </w:rPr>
        <w:t>Tower Hamlets</w:t>
      </w:r>
      <w:r w:rsidR="00954AA1" w:rsidRPr="000D65CE">
        <w:rPr>
          <w:lang w:val="en-GB"/>
        </w:rPr>
        <w:t xml:space="preserve"> </w:t>
      </w:r>
      <w:r w:rsidRPr="000D65CE">
        <w:rPr>
          <w:lang w:val="en-GB"/>
        </w:rPr>
        <w:t>has an acute housing need</w:t>
      </w:r>
      <w:r w:rsidR="00954AA1" w:rsidRPr="000D65CE">
        <w:rPr>
          <w:lang w:val="en-GB"/>
        </w:rPr>
        <w:t xml:space="preserve"> which is reflected in the housing</w:t>
      </w:r>
      <w:r w:rsidR="00F863AC" w:rsidRPr="000D65CE">
        <w:rPr>
          <w:lang w:val="en-GB"/>
        </w:rPr>
        <w:t xml:space="preserve"> supply</w:t>
      </w:r>
      <w:r w:rsidR="00C44288" w:rsidRPr="000D65CE">
        <w:rPr>
          <w:lang w:val="en-GB"/>
        </w:rPr>
        <w:t xml:space="preserve"> targets for the b</w:t>
      </w:r>
      <w:r w:rsidR="00954AA1" w:rsidRPr="000D65CE">
        <w:rPr>
          <w:lang w:val="en-GB"/>
        </w:rPr>
        <w:t>orough</w:t>
      </w:r>
      <w:r w:rsidR="00F863AC" w:rsidRPr="000D65CE">
        <w:rPr>
          <w:lang w:val="en-GB"/>
        </w:rPr>
        <w:t>. These</w:t>
      </w:r>
      <w:r w:rsidR="00954AA1" w:rsidRPr="000D65CE">
        <w:rPr>
          <w:lang w:val="en-GB"/>
        </w:rPr>
        <w:t xml:space="preserve"> </w:t>
      </w:r>
      <w:r w:rsidR="00F863AC" w:rsidRPr="000D65CE">
        <w:rPr>
          <w:lang w:val="en-GB"/>
        </w:rPr>
        <w:t xml:space="preserve">targets are required </w:t>
      </w:r>
      <w:r w:rsidR="00954AA1" w:rsidRPr="000D65CE">
        <w:rPr>
          <w:lang w:val="en-GB"/>
        </w:rPr>
        <w:t>in order to meet the curren</w:t>
      </w:r>
      <w:r w:rsidR="00F863AC" w:rsidRPr="000D65CE">
        <w:rPr>
          <w:lang w:val="en-GB"/>
        </w:rPr>
        <w:t>t demand as well as to contribute</w:t>
      </w:r>
      <w:r w:rsidR="00954AA1" w:rsidRPr="000D65CE">
        <w:rPr>
          <w:lang w:val="en-GB"/>
        </w:rPr>
        <w:t xml:space="preserve"> to meeting the wider London need. </w:t>
      </w:r>
      <w:r w:rsidRPr="000D65CE">
        <w:rPr>
          <w:lang w:val="en-GB"/>
        </w:rPr>
        <w:t xml:space="preserve"> </w:t>
      </w:r>
    </w:p>
    <w:p w14:paraId="25ABFBC4" w14:textId="73A13321" w:rsidR="00090D84" w:rsidRDefault="00F863AC" w:rsidP="003B280C">
      <w:pPr>
        <w:pStyle w:val="Paragraphs"/>
        <w:rPr>
          <w:lang w:val="en-GB"/>
        </w:rPr>
      </w:pPr>
      <w:r w:rsidRPr="000D65CE">
        <w:rPr>
          <w:lang w:val="en-GB"/>
        </w:rPr>
        <w:t>The housing need</w:t>
      </w:r>
      <w:r w:rsidR="00954AA1" w:rsidRPr="000D65CE">
        <w:rPr>
          <w:lang w:val="en-GB"/>
        </w:rPr>
        <w:t xml:space="preserve"> also extends to </w:t>
      </w:r>
      <w:r w:rsidR="00892A5D" w:rsidRPr="000D65CE">
        <w:rPr>
          <w:lang w:val="en-GB"/>
        </w:rPr>
        <w:t>Affordable Housing</w:t>
      </w:r>
      <w:r w:rsidRPr="000D65CE">
        <w:rPr>
          <w:lang w:val="en-GB"/>
        </w:rPr>
        <w:t xml:space="preserve"> in the borough</w:t>
      </w:r>
      <w:r w:rsidR="00954AA1" w:rsidRPr="000D65CE">
        <w:rPr>
          <w:lang w:val="en-GB"/>
        </w:rPr>
        <w:t xml:space="preserve"> for which</w:t>
      </w:r>
      <w:r w:rsidRPr="000D65CE">
        <w:rPr>
          <w:lang w:val="en-GB"/>
        </w:rPr>
        <w:t xml:space="preserve"> there</w:t>
      </w:r>
      <w:r w:rsidR="00D1019D" w:rsidRPr="000D65CE">
        <w:rPr>
          <w:lang w:val="en-GB"/>
        </w:rPr>
        <w:t xml:space="preserve"> is a pressing requirement</w:t>
      </w:r>
      <w:r w:rsidR="00F15756" w:rsidRPr="000D65CE">
        <w:rPr>
          <w:lang w:val="en-GB"/>
        </w:rPr>
        <w:t>,</w:t>
      </w:r>
      <w:r w:rsidR="00D1019D" w:rsidRPr="000D65CE">
        <w:rPr>
          <w:lang w:val="en-GB"/>
        </w:rPr>
        <w:t xml:space="preserve"> especially for families. </w:t>
      </w:r>
      <w:r w:rsidR="007F5D0D" w:rsidRPr="000D65CE">
        <w:rPr>
          <w:lang w:val="en-GB"/>
        </w:rPr>
        <w:t>T</w:t>
      </w:r>
      <w:r w:rsidR="00A216F7" w:rsidRPr="000D65CE">
        <w:rPr>
          <w:lang w:val="en-GB"/>
        </w:rPr>
        <w:t xml:space="preserve">he Local Plan </w:t>
      </w:r>
      <w:r w:rsidR="00090D84" w:rsidRPr="000D65CE">
        <w:rPr>
          <w:lang w:val="en-GB"/>
        </w:rPr>
        <w:t>has set an overall strategic target</w:t>
      </w:r>
      <w:r w:rsidR="00CF7BC0" w:rsidRPr="000D65CE">
        <w:rPr>
          <w:lang w:val="en-GB"/>
        </w:rPr>
        <w:t xml:space="preserve"> </w:t>
      </w:r>
      <w:r w:rsidR="000873B4" w:rsidRPr="000D65CE">
        <w:rPr>
          <w:lang w:val="en-GB"/>
        </w:rPr>
        <w:t>to</w:t>
      </w:r>
      <w:r w:rsidR="00090D84" w:rsidRPr="000D65CE">
        <w:rPr>
          <w:lang w:val="en-GB"/>
        </w:rPr>
        <w:t xml:space="preserve"> </w:t>
      </w:r>
      <w:r w:rsidR="000873B4" w:rsidRPr="000D65CE">
        <w:rPr>
          <w:lang w:val="en-GB"/>
        </w:rPr>
        <w:t>deliver</w:t>
      </w:r>
      <w:r w:rsidR="00CF7BC0" w:rsidRPr="000D65CE">
        <w:rPr>
          <w:lang w:val="en-GB"/>
        </w:rPr>
        <w:t xml:space="preserve"> </w:t>
      </w:r>
      <w:r w:rsidR="00090D84" w:rsidRPr="000D65CE">
        <w:rPr>
          <w:lang w:val="en-GB"/>
        </w:rPr>
        <w:t>50% of new homes acro</w:t>
      </w:r>
      <w:r w:rsidR="00CF7BC0" w:rsidRPr="000D65CE">
        <w:rPr>
          <w:lang w:val="en-GB"/>
        </w:rPr>
        <w:t xml:space="preserve">ss the </w:t>
      </w:r>
      <w:r w:rsidR="00C44288" w:rsidRPr="000D65CE">
        <w:rPr>
          <w:lang w:val="en-GB"/>
        </w:rPr>
        <w:t>b</w:t>
      </w:r>
      <w:r w:rsidR="00747592" w:rsidRPr="000D65CE">
        <w:rPr>
          <w:lang w:val="en-GB"/>
        </w:rPr>
        <w:t>orough</w:t>
      </w:r>
      <w:r w:rsidR="00CF7BC0" w:rsidRPr="000D65CE">
        <w:rPr>
          <w:lang w:val="en-GB"/>
        </w:rPr>
        <w:t xml:space="preserve"> as affordable</w:t>
      </w:r>
      <w:r w:rsidR="000873B4" w:rsidRPr="000D65CE">
        <w:rPr>
          <w:lang w:val="en-GB"/>
        </w:rPr>
        <w:t xml:space="preserve"> during the plan period 201</w:t>
      </w:r>
      <w:r w:rsidR="00CE0DD8" w:rsidRPr="000D65CE">
        <w:rPr>
          <w:lang w:val="en-GB"/>
        </w:rPr>
        <w:t>6</w:t>
      </w:r>
      <w:r w:rsidR="000873B4" w:rsidRPr="000D65CE">
        <w:rPr>
          <w:lang w:val="en-GB"/>
        </w:rPr>
        <w:t>-2031</w:t>
      </w:r>
      <w:r w:rsidR="00090D84" w:rsidRPr="000D65CE">
        <w:rPr>
          <w:lang w:val="en-GB"/>
        </w:rPr>
        <w:t xml:space="preserve">. </w:t>
      </w:r>
      <w:r w:rsidRPr="000D65CE">
        <w:rPr>
          <w:lang w:val="en-GB"/>
        </w:rPr>
        <w:t xml:space="preserve">The housing targets cover a variety of housing products </w:t>
      </w:r>
      <w:r w:rsidR="00267AA4" w:rsidRPr="000D65CE">
        <w:rPr>
          <w:lang w:val="en-GB"/>
        </w:rPr>
        <w:t>to provide more choice so that development meets a wide range of</w:t>
      </w:r>
      <w:r w:rsidR="00D92D42">
        <w:rPr>
          <w:lang w:val="en-GB"/>
        </w:rPr>
        <w:t xml:space="preserve"> housing</w:t>
      </w:r>
      <w:r w:rsidR="00267AA4" w:rsidRPr="000D65CE">
        <w:rPr>
          <w:lang w:val="en-GB"/>
        </w:rPr>
        <w:t xml:space="preserve"> needs. </w:t>
      </w:r>
      <w:r w:rsidRPr="000D65CE">
        <w:rPr>
          <w:lang w:val="en-GB"/>
        </w:rPr>
        <w:t xml:space="preserve"> </w:t>
      </w:r>
    </w:p>
    <w:p w14:paraId="51E64B58" w14:textId="52682CDA" w:rsidR="00724970" w:rsidRPr="00744F87" w:rsidRDefault="00BE3E5C" w:rsidP="00744F87">
      <w:pPr>
        <w:pStyle w:val="Paragraphs"/>
        <w:rPr>
          <w:lang w:val="en-GB"/>
        </w:rPr>
      </w:pPr>
      <w:r w:rsidRPr="00C770AB">
        <w:rPr>
          <w:lang w:val="en-GB"/>
        </w:rPr>
        <w:t>This section</w:t>
      </w:r>
      <w:r w:rsidR="00C770AB" w:rsidRPr="00C770AB">
        <w:rPr>
          <w:lang w:val="en-GB"/>
        </w:rPr>
        <w:t xml:space="preserve"> </w:t>
      </w:r>
      <w:r w:rsidRPr="00C770AB">
        <w:rPr>
          <w:lang w:val="en-GB"/>
        </w:rPr>
        <w:t>outlines the requ</w:t>
      </w:r>
      <w:r w:rsidR="00724970" w:rsidRPr="00C770AB">
        <w:rPr>
          <w:lang w:val="en-GB"/>
        </w:rPr>
        <w:t>irement for schemes to deliver Affordable H</w:t>
      </w:r>
      <w:r w:rsidRPr="00C770AB">
        <w:rPr>
          <w:lang w:val="en-GB"/>
        </w:rPr>
        <w:t>ousing</w:t>
      </w:r>
      <w:r w:rsidR="00FE0F0E">
        <w:rPr>
          <w:lang w:val="en-GB"/>
        </w:rPr>
        <w:t xml:space="preserve"> in accordance with Local Plan policy</w:t>
      </w:r>
      <w:r w:rsidR="00A5741E" w:rsidRPr="00C770AB">
        <w:rPr>
          <w:lang w:val="en-GB"/>
        </w:rPr>
        <w:t xml:space="preserve"> as well as </w:t>
      </w:r>
      <w:r w:rsidR="00C770AB">
        <w:rPr>
          <w:lang w:val="en-GB"/>
        </w:rPr>
        <w:t>addressing different housing products which may be included in schemes.</w:t>
      </w:r>
      <w:r w:rsidR="00B13FFC">
        <w:rPr>
          <w:lang w:val="en-GB"/>
        </w:rPr>
        <w:t xml:space="preserve"> As such,</w:t>
      </w:r>
      <w:r w:rsidR="00C770AB">
        <w:rPr>
          <w:lang w:val="en-GB"/>
        </w:rPr>
        <w:t xml:space="preserve"> </w:t>
      </w:r>
      <w:r w:rsidR="00B13FFC">
        <w:rPr>
          <w:lang w:val="en-GB"/>
        </w:rPr>
        <w:t>t</w:t>
      </w:r>
      <w:r w:rsidR="00744F87">
        <w:rPr>
          <w:lang w:val="en-GB"/>
        </w:rPr>
        <w:t>he section has been split into two sub-sections; the first addressing Affordable Housing</w:t>
      </w:r>
      <w:r w:rsidR="00B13FFC">
        <w:rPr>
          <w:lang w:val="en-GB"/>
        </w:rPr>
        <w:t xml:space="preserve"> requirements</w:t>
      </w:r>
      <w:r w:rsidR="00744F87">
        <w:rPr>
          <w:lang w:val="en-GB"/>
        </w:rPr>
        <w:t xml:space="preserve"> for major and minor applications and the second</w:t>
      </w:r>
      <w:r w:rsidR="00B13FFC">
        <w:rPr>
          <w:lang w:val="en-GB"/>
        </w:rPr>
        <w:t xml:space="preserve"> providing guidance for schemes which include </w:t>
      </w:r>
      <w:r w:rsidR="00255223">
        <w:rPr>
          <w:lang w:val="en-GB"/>
        </w:rPr>
        <w:t xml:space="preserve">specific </w:t>
      </w:r>
      <w:r w:rsidR="00744F87">
        <w:rPr>
          <w:lang w:val="en-GB"/>
        </w:rPr>
        <w:t>housing products</w:t>
      </w:r>
      <w:r w:rsidR="00B13FFC">
        <w:rPr>
          <w:lang w:val="en-GB"/>
        </w:rPr>
        <w:t>.</w:t>
      </w:r>
    </w:p>
    <w:p w14:paraId="1A68F064" w14:textId="6D3CF160" w:rsidR="00EB7C6A" w:rsidRPr="000D65CE" w:rsidRDefault="006B4172" w:rsidP="003B280C">
      <w:pPr>
        <w:spacing w:before="360" w:after="120"/>
        <w:jc w:val="both"/>
        <w:rPr>
          <w:b/>
          <w:color w:val="00477E"/>
          <w:sz w:val="24"/>
        </w:rPr>
      </w:pPr>
      <w:r>
        <w:rPr>
          <w:b/>
          <w:color w:val="00477E"/>
          <w:sz w:val="24"/>
        </w:rPr>
        <w:t xml:space="preserve">How the Council </w:t>
      </w:r>
      <w:r w:rsidR="00B73EFF">
        <w:rPr>
          <w:b/>
          <w:color w:val="00477E"/>
          <w:sz w:val="24"/>
        </w:rPr>
        <w:t>w</w:t>
      </w:r>
      <w:r>
        <w:rPr>
          <w:b/>
          <w:color w:val="00477E"/>
          <w:sz w:val="24"/>
        </w:rPr>
        <w:t>ill Secure A</w:t>
      </w:r>
      <w:r w:rsidR="00EB7C6A" w:rsidRPr="000D65CE">
        <w:rPr>
          <w:b/>
          <w:color w:val="00477E"/>
          <w:sz w:val="24"/>
        </w:rPr>
        <w:t>ffordable</w:t>
      </w:r>
      <w:r w:rsidR="00C47CBB" w:rsidRPr="000D65CE">
        <w:rPr>
          <w:b/>
          <w:color w:val="00477E"/>
          <w:sz w:val="24"/>
        </w:rPr>
        <w:t xml:space="preserve"> H</w:t>
      </w:r>
      <w:r w:rsidR="00EB7C6A" w:rsidRPr="000D65CE">
        <w:rPr>
          <w:b/>
          <w:color w:val="00477E"/>
          <w:sz w:val="24"/>
        </w:rPr>
        <w:t xml:space="preserve">ousing </w:t>
      </w:r>
      <w:r>
        <w:rPr>
          <w:b/>
          <w:color w:val="00477E"/>
          <w:sz w:val="24"/>
        </w:rPr>
        <w:t xml:space="preserve">Through </w:t>
      </w:r>
      <w:r w:rsidR="000E364F">
        <w:rPr>
          <w:b/>
          <w:color w:val="00477E"/>
          <w:sz w:val="24"/>
        </w:rPr>
        <w:t>Planning Obligations</w:t>
      </w:r>
    </w:p>
    <w:p w14:paraId="46DADE28" w14:textId="41B646B0" w:rsidR="005A5D50" w:rsidRPr="000D65CE" w:rsidRDefault="005A5D50" w:rsidP="003B280C">
      <w:pPr>
        <w:pStyle w:val="Heading1"/>
        <w:spacing w:before="240"/>
        <w:ind w:firstLine="170"/>
        <w:jc w:val="both"/>
        <w:rPr>
          <w:rStyle w:val="Strong"/>
          <w:b/>
          <w:color w:val="auto"/>
          <w:lang w:val="en-GB"/>
        </w:rPr>
      </w:pPr>
      <w:r w:rsidRPr="000D65CE">
        <w:rPr>
          <w:rStyle w:val="Strong"/>
          <w:b/>
          <w:color w:val="auto"/>
          <w:lang w:val="en-GB"/>
        </w:rPr>
        <w:t>Affordable Housing</w:t>
      </w:r>
      <w:r w:rsidR="00C64984" w:rsidRPr="000D65CE">
        <w:rPr>
          <w:rStyle w:val="Strong"/>
          <w:b/>
          <w:color w:val="auto"/>
          <w:lang w:val="en-GB"/>
        </w:rPr>
        <w:t xml:space="preserve"> – Major Applications</w:t>
      </w:r>
    </w:p>
    <w:p w14:paraId="5589765A" w14:textId="171B129E" w:rsidR="00764093" w:rsidRDefault="00892A5D" w:rsidP="003B280C">
      <w:pPr>
        <w:pStyle w:val="Paragraphs"/>
        <w:rPr>
          <w:lang w:val="en-GB"/>
        </w:rPr>
      </w:pPr>
      <w:r w:rsidRPr="7A52AF77">
        <w:rPr>
          <w:lang w:val="en-GB"/>
        </w:rPr>
        <w:t>Affordable Housing</w:t>
      </w:r>
      <w:r w:rsidR="00BC23FD" w:rsidRPr="7A52AF77">
        <w:rPr>
          <w:lang w:val="en-GB"/>
        </w:rPr>
        <w:t xml:space="preserve"> is being delivered through negotiations as a part of major residential schemes, as well as through a range of public initiatives and the effective use of grant funding. </w:t>
      </w:r>
      <w:r w:rsidR="004706BC" w:rsidRPr="7A52AF77">
        <w:rPr>
          <w:lang w:val="en-GB"/>
        </w:rPr>
        <w:t>In line with</w:t>
      </w:r>
      <w:r w:rsidR="00990FBE" w:rsidRPr="7A52AF77">
        <w:rPr>
          <w:lang w:val="en-GB"/>
        </w:rPr>
        <w:t xml:space="preserve"> </w:t>
      </w:r>
      <w:r w:rsidR="004706BC" w:rsidRPr="7A52AF77">
        <w:rPr>
          <w:lang w:val="en-GB"/>
        </w:rPr>
        <w:t>Local Plan Policies S.H1 and D.H2,</w:t>
      </w:r>
      <w:r w:rsidR="002D2EF0" w:rsidRPr="7A52AF77">
        <w:rPr>
          <w:lang w:val="en-GB"/>
        </w:rPr>
        <w:t xml:space="preserve"> a target of 50% Affordable Housing has been set for major residential schemes. These schemes are </w:t>
      </w:r>
      <w:r w:rsidR="002D2EF0" w:rsidRPr="7A52AF77">
        <w:rPr>
          <w:lang w:val="en-GB"/>
        </w:rPr>
        <w:lastRenderedPageBreak/>
        <w:t xml:space="preserve">expected to deliver a minimum of 35% Affordable Housing </w:t>
      </w:r>
      <w:r w:rsidR="00764093" w:rsidRPr="7A52AF77">
        <w:rPr>
          <w:lang w:val="en-GB"/>
        </w:rPr>
        <w:t xml:space="preserve">with a mix of tenures and unit sizes, subject to viability. The Development Viability SPD sets out the detail around securing on-site </w:t>
      </w:r>
      <w:r w:rsidRPr="7A52AF77">
        <w:rPr>
          <w:lang w:val="en-GB"/>
        </w:rPr>
        <w:t>Affordable Housing</w:t>
      </w:r>
      <w:r w:rsidR="00764093" w:rsidRPr="7A52AF77">
        <w:rPr>
          <w:lang w:val="en-GB"/>
        </w:rPr>
        <w:t xml:space="preserve"> provision, in line with the Mayor of London’s Affordable Housing and Viability SPG.</w:t>
      </w:r>
    </w:p>
    <w:p w14:paraId="158E4206" w14:textId="77777777" w:rsidR="00A933D3" w:rsidRPr="003D2BA4" w:rsidRDefault="00A933D3" w:rsidP="003D2BA4">
      <w:pPr>
        <w:spacing w:after="120"/>
        <w:rPr>
          <w:b/>
        </w:rPr>
      </w:pPr>
      <w:r w:rsidRPr="003D2BA4">
        <w:rPr>
          <w:b/>
        </w:rPr>
        <w:t>Text Box 1: Affordable Housing - Major Applications</w:t>
      </w:r>
    </w:p>
    <w:p w14:paraId="0D87A62B" w14:textId="77777777" w:rsidR="004F1A31" w:rsidRPr="002D2EF0" w:rsidRDefault="004F1A31" w:rsidP="00A933D3">
      <w:r w:rsidRPr="000D65CE">
        <w:rPr>
          <w:noProof/>
          <w:lang w:eastAsia="en-GB"/>
        </w:rPr>
        <mc:AlternateContent>
          <mc:Choice Requires="wps">
            <w:drawing>
              <wp:inline distT="0" distB="0" distL="0" distR="0" wp14:anchorId="4BBEDF0B" wp14:editId="67386100">
                <wp:extent cx="5715000" cy="6763407"/>
                <wp:effectExtent l="0" t="0" r="0" b="0"/>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6763407"/>
                        </a:xfrm>
                        <a:prstGeom prst="rect">
                          <a:avLst/>
                        </a:prstGeom>
                        <a:solidFill>
                          <a:schemeClr val="accent1">
                            <a:lumMod val="20000"/>
                            <a:lumOff val="80000"/>
                          </a:schemeClr>
                        </a:solidFill>
                        <a:ln>
                          <a:noFill/>
                        </a:ln>
                      </wps:spPr>
                      <wps:txbx>
                        <w:txbxContent>
                          <w:p w14:paraId="7C3BE621" w14:textId="77777777" w:rsidR="00EB3B59" w:rsidRPr="004F1A31" w:rsidRDefault="00EB3B59" w:rsidP="004F1A31">
                            <w:pPr>
                              <w:widowControl w:val="0"/>
                              <w:autoSpaceDE w:val="0"/>
                              <w:autoSpaceDN w:val="0"/>
                              <w:adjustRightInd w:val="0"/>
                              <w:jc w:val="both"/>
                              <w:textAlignment w:val="center"/>
                              <w:rPr>
                                <w:rFonts w:cs="Arial"/>
                                <w:b/>
                                <w:szCs w:val="22"/>
                              </w:rPr>
                            </w:pPr>
                            <w:r w:rsidRPr="004F1A31">
                              <w:rPr>
                                <w:rFonts w:cs="Arial"/>
                                <w:b/>
                                <w:szCs w:val="22"/>
                              </w:rPr>
                              <w:t>Threshold and Contribution Requirements</w:t>
                            </w:r>
                          </w:p>
                          <w:p w14:paraId="20F86BD0" w14:textId="77777777" w:rsidR="00EB3B59" w:rsidRPr="004F1A31" w:rsidRDefault="00EB3B59" w:rsidP="004F1A31">
                            <w:pPr>
                              <w:widowControl w:val="0"/>
                              <w:autoSpaceDE w:val="0"/>
                              <w:autoSpaceDN w:val="0"/>
                              <w:adjustRightInd w:val="0"/>
                              <w:jc w:val="both"/>
                              <w:textAlignment w:val="center"/>
                              <w:rPr>
                                <w:rFonts w:cs="Arial"/>
                                <w:szCs w:val="22"/>
                              </w:rPr>
                            </w:pPr>
                            <w:r w:rsidRPr="004F1A31">
                              <w:rPr>
                                <w:rFonts w:cs="Arial"/>
                                <w:szCs w:val="22"/>
                              </w:rPr>
                              <w:t>Planning obligations relating to Affordable Housing will be secured for:</w:t>
                            </w:r>
                          </w:p>
                          <w:p w14:paraId="754CCCB9" w14:textId="77777777" w:rsidR="00EB3B59" w:rsidRPr="004F1A31" w:rsidRDefault="00EB3B59" w:rsidP="004F1A31">
                            <w:pPr>
                              <w:pStyle w:val="ListParagraph"/>
                              <w:widowControl w:val="0"/>
                              <w:numPr>
                                <w:ilvl w:val="0"/>
                                <w:numId w:val="7"/>
                              </w:numPr>
                              <w:autoSpaceDE w:val="0"/>
                              <w:autoSpaceDN w:val="0"/>
                              <w:adjustRightInd w:val="0"/>
                              <w:jc w:val="both"/>
                              <w:textAlignment w:val="center"/>
                            </w:pPr>
                            <w:r w:rsidRPr="004F1A31">
                              <w:rPr>
                                <w:rFonts w:cs="Arial"/>
                                <w:szCs w:val="22"/>
                              </w:rPr>
                              <w:t>Residential developments of 10 units or more, or with a combined gross floorspace of 1,000 sqm (gross internal area) or more</w:t>
                            </w:r>
                          </w:p>
                          <w:p w14:paraId="1E56BDF6" w14:textId="77777777" w:rsidR="00EB3B59" w:rsidRPr="004F1A31" w:rsidRDefault="00EB3B59" w:rsidP="004F1A31">
                            <w:pPr>
                              <w:jc w:val="both"/>
                              <w:rPr>
                                <w:rFonts w:cs="Arial"/>
                                <w:b/>
                                <w:szCs w:val="22"/>
                              </w:rPr>
                            </w:pPr>
                            <w:r w:rsidRPr="004F1A31">
                              <w:rPr>
                                <w:rFonts w:cs="Arial"/>
                                <w:b/>
                                <w:szCs w:val="22"/>
                              </w:rPr>
                              <w:t>On-Site Provision</w:t>
                            </w:r>
                          </w:p>
                          <w:p w14:paraId="00C23773" w14:textId="7125A84E" w:rsidR="00EB3B59" w:rsidRDefault="00EB3B59" w:rsidP="004F1A31">
                            <w:pPr>
                              <w:jc w:val="both"/>
                              <w:rPr>
                                <w:rFonts w:cs="Arial"/>
                                <w:szCs w:val="22"/>
                              </w:rPr>
                            </w:pPr>
                            <w:r w:rsidRPr="004F1A31">
                              <w:rPr>
                                <w:rFonts w:cs="Arial"/>
                                <w:szCs w:val="22"/>
                              </w:rPr>
                              <w:t xml:space="preserve">The Council will require the provision of 35 – 50% Affordable Housing. Development is expected to maximise the delivery of affordable housing on-site. The level of Affordable Housing provision or contribution and the tenure and mix will be considered on a site-by-site basis subject to viability having regard to the Local Plan policies. </w:t>
                            </w:r>
                          </w:p>
                          <w:p w14:paraId="2312D0DE" w14:textId="18A75FF9" w:rsidR="00EB3B59" w:rsidRPr="004F1A31" w:rsidRDefault="00EB3B59" w:rsidP="004F1A31">
                            <w:pPr>
                              <w:jc w:val="both"/>
                              <w:rPr>
                                <w:rFonts w:cs="Arial"/>
                                <w:szCs w:val="22"/>
                              </w:rPr>
                            </w:pPr>
                            <w:r>
                              <w:rPr>
                                <w:rFonts w:cs="Arial"/>
                                <w:szCs w:val="22"/>
                              </w:rPr>
                              <w:t>The legal agreement will require the developer to provide an annual update on the amount of Affordable Housing that has been transferred to housing providers.</w:t>
                            </w:r>
                          </w:p>
                          <w:p w14:paraId="35D5E948" w14:textId="77777777" w:rsidR="00EB3B59" w:rsidRPr="004F1A31" w:rsidRDefault="00EB3B59" w:rsidP="004F1A31">
                            <w:pPr>
                              <w:jc w:val="both"/>
                              <w:rPr>
                                <w:rFonts w:cs="Arial"/>
                                <w:b/>
                                <w:szCs w:val="22"/>
                              </w:rPr>
                            </w:pPr>
                            <w:r w:rsidRPr="004F1A31">
                              <w:rPr>
                                <w:rFonts w:cs="Arial"/>
                                <w:b/>
                                <w:szCs w:val="22"/>
                              </w:rPr>
                              <w:t>Circumstances for Off-Site Provision or Financial Contributions</w:t>
                            </w:r>
                          </w:p>
                          <w:p w14:paraId="6A6332F7" w14:textId="77777777" w:rsidR="00EB3B59" w:rsidRPr="004F1A31" w:rsidRDefault="00EB3B59" w:rsidP="004F1A31">
                            <w:pPr>
                              <w:jc w:val="both"/>
                              <w:rPr>
                                <w:rFonts w:cs="Arial"/>
                                <w:szCs w:val="22"/>
                              </w:rPr>
                            </w:pPr>
                            <w:r w:rsidRPr="004F1A31">
                              <w:rPr>
                                <w:rFonts w:cs="Arial"/>
                                <w:szCs w:val="22"/>
                              </w:rPr>
                              <w:t xml:space="preserve">Affordable Housing should be provided on-site in the majority of circumstances. In accordance with the explanations for Local Plan Policies S.H1 and D.H2, only where exceptional circumstances exist and where the Council is satisfied that it would deliver a better outcome, will off-site provision be accepted. </w:t>
                            </w:r>
                          </w:p>
                          <w:p w14:paraId="7AA721CB" w14:textId="77777777" w:rsidR="00EB3B59" w:rsidRPr="004F1A31" w:rsidRDefault="00EB3B59" w:rsidP="004F1A31">
                            <w:pPr>
                              <w:jc w:val="both"/>
                              <w:rPr>
                                <w:rFonts w:cs="Arial"/>
                                <w:szCs w:val="22"/>
                              </w:rPr>
                            </w:pPr>
                            <w:r w:rsidRPr="004F1A31">
                              <w:rPr>
                                <w:rFonts w:cs="Arial"/>
                                <w:szCs w:val="22"/>
                              </w:rPr>
                              <w:t>Where housing cannot be provided on- or off-site, a commuted sum will be required. As detailed in the explanation for Local Plan Policy D.H2, developers must demonstrate, through the financial viability statement that the payment will enable the construction or purchase of a minimum of 50% Affordable Housing in the borough and there is no financial advantage to the development of not providing Affordable Housing on-site. The commuted sum will be used to provide Affordable Housing in the borough.</w:t>
                            </w:r>
                          </w:p>
                          <w:p w14:paraId="78C85072" w14:textId="77777777" w:rsidR="00EB3B59" w:rsidRPr="004F1A31" w:rsidRDefault="00EB3B59" w:rsidP="004F1A31">
                            <w:pPr>
                              <w:jc w:val="both"/>
                              <w:rPr>
                                <w:rFonts w:cs="Arial"/>
                                <w:szCs w:val="22"/>
                              </w:rPr>
                            </w:pPr>
                            <w:r w:rsidRPr="004F1A31">
                              <w:rPr>
                                <w:rFonts w:cs="Arial"/>
                                <w:szCs w:val="22"/>
                              </w:rPr>
                              <w:t xml:space="preserve">The acceptability of off-site provision and/or a commuted sum is entirely at the discretion of the Council. </w:t>
                            </w:r>
                          </w:p>
                          <w:p w14:paraId="37C30E3D" w14:textId="77777777" w:rsidR="00EB3B59" w:rsidRPr="004F1A31" w:rsidRDefault="00EB3B59" w:rsidP="004F1A31">
                            <w:pPr>
                              <w:jc w:val="both"/>
                              <w:rPr>
                                <w:rFonts w:cs="Arial"/>
                                <w:szCs w:val="22"/>
                              </w:rPr>
                            </w:pPr>
                            <w:r w:rsidRPr="004F1A31">
                              <w:rPr>
                                <w:rFonts w:cs="Arial"/>
                                <w:szCs w:val="22"/>
                              </w:rPr>
                              <w:t xml:space="preserve">An indicative formula has been provided below to calculate the commuted sum. The exact figure will be subject to up-to-date costs at the discretion of the Council. </w:t>
                            </w:r>
                          </w:p>
                        </w:txbxContent>
                      </wps:txbx>
                      <wps:bodyPr rot="0" vert="horz" wrap="square" lIns="91440" tIns="45720" rIns="91440" bIns="45720" anchor="t" anchorCtr="0" upright="1">
                        <a:noAutofit/>
                      </wps:bodyPr>
                    </wps:wsp>
                  </a:graphicData>
                </a:graphic>
              </wp:inline>
            </w:drawing>
          </mc:Choice>
          <mc:Fallback>
            <w:pict>
              <v:shapetype w14:anchorId="4BBEDF0B" id="_x0000_t202" coordsize="21600,21600" o:spt="202" path="m,l,21600r21600,l21600,xe">
                <v:stroke joinstyle="miter"/>
                <v:path gradientshapeok="t" o:connecttype="rect"/>
              </v:shapetype>
              <v:shape id="Text Box 17" o:spid="_x0000_s1026" type="#_x0000_t202" style="width:450pt;height:5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" fillcolor="#dbe5f1 [660]" stroked="f">
                <v:textbox>
                  <w:txbxContent>
                    <w:p w14:paraId="7C3BE621" w14:textId="77777777" w:rsidR="00EB3B59" w:rsidRPr="004F1A31" w:rsidRDefault="00EB3B59" w:rsidP="004F1A31">
                      <w:pPr>
                        <w:widowControl w:val="0"/>
                        <w:autoSpaceDE w:val="0"/>
                        <w:autoSpaceDN w:val="0"/>
                        <w:adjustRightInd w:val="0"/>
                        <w:jc w:val="both"/>
                        <w:textAlignment w:val="center"/>
                        <w:rPr>
                          <w:rFonts w:cs="Arial"/>
                          <w:b/>
                          <w:szCs w:val="22"/>
                        </w:rPr>
                      </w:pPr>
                      <w:r w:rsidRPr="004F1A31">
                        <w:rPr>
                          <w:rFonts w:cs="Arial"/>
                          <w:b/>
                          <w:szCs w:val="22"/>
                        </w:rPr>
                        <w:t>Threshold and Contribution Requirements</w:t>
                      </w:r>
                    </w:p>
                    <w:p w14:paraId="20F86BD0" w14:textId="77777777" w:rsidR="00EB3B59" w:rsidRPr="004F1A31" w:rsidRDefault="00EB3B59" w:rsidP="004F1A31">
                      <w:pPr>
                        <w:widowControl w:val="0"/>
                        <w:autoSpaceDE w:val="0"/>
                        <w:autoSpaceDN w:val="0"/>
                        <w:adjustRightInd w:val="0"/>
                        <w:jc w:val="both"/>
                        <w:textAlignment w:val="center"/>
                        <w:rPr>
                          <w:rFonts w:cs="Arial"/>
                          <w:szCs w:val="22"/>
                        </w:rPr>
                      </w:pPr>
                      <w:r w:rsidRPr="004F1A31">
                        <w:rPr>
                          <w:rFonts w:cs="Arial"/>
                          <w:szCs w:val="22"/>
                        </w:rPr>
                        <w:t>Planning obligations relating to Affordable Housing will be secured for:</w:t>
                      </w:r>
                    </w:p>
                    <w:p w14:paraId="754CCCB9" w14:textId="77777777" w:rsidR="00EB3B59" w:rsidRPr="004F1A31" w:rsidRDefault="00EB3B59" w:rsidP="004F1A31">
                      <w:pPr>
                        <w:pStyle w:val="ListParagraph"/>
                        <w:widowControl w:val="0"/>
                        <w:numPr>
                          <w:ilvl w:val="0"/>
                          <w:numId w:val="7"/>
                        </w:numPr>
                        <w:autoSpaceDE w:val="0"/>
                        <w:autoSpaceDN w:val="0"/>
                        <w:adjustRightInd w:val="0"/>
                        <w:jc w:val="both"/>
                        <w:textAlignment w:val="center"/>
                      </w:pPr>
                      <w:r w:rsidRPr="004F1A31">
                        <w:rPr>
                          <w:rFonts w:cs="Arial"/>
                          <w:szCs w:val="22"/>
                        </w:rPr>
                        <w:t>Residential developments of 10 units or more, or with a combined gross floorspace of 1,000 sqm (gross internal area) or more</w:t>
                      </w:r>
                    </w:p>
                    <w:p w14:paraId="1E56BDF6" w14:textId="77777777" w:rsidR="00EB3B59" w:rsidRPr="004F1A31" w:rsidRDefault="00EB3B59" w:rsidP="004F1A31">
                      <w:pPr>
                        <w:jc w:val="both"/>
                        <w:rPr>
                          <w:rFonts w:cs="Arial"/>
                          <w:b/>
                          <w:szCs w:val="22"/>
                        </w:rPr>
                      </w:pPr>
                      <w:r w:rsidRPr="004F1A31">
                        <w:rPr>
                          <w:rFonts w:cs="Arial"/>
                          <w:b/>
                          <w:szCs w:val="22"/>
                        </w:rPr>
                        <w:t>On-Site Provision</w:t>
                      </w:r>
                    </w:p>
                    <w:p w14:paraId="00C23773" w14:textId="7125A84E" w:rsidR="00EB3B59" w:rsidRDefault="00EB3B59" w:rsidP="004F1A31">
                      <w:pPr>
                        <w:jc w:val="both"/>
                        <w:rPr>
                          <w:rFonts w:cs="Arial"/>
                          <w:szCs w:val="22"/>
                        </w:rPr>
                      </w:pPr>
                      <w:r w:rsidRPr="004F1A31">
                        <w:rPr>
                          <w:rFonts w:cs="Arial"/>
                          <w:szCs w:val="22"/>
                        </w:rPr>
                        <w:t xml:space="preserve">The Council will require the provision of 35 – 50% Affordable Housing. Development is expected to maximise the delivery of affordable housing on-site. The level of Affordable Housing provision or contribution and the tenure and mix will be considered on a site-by-site basis subject to viability having regard to the Local Plan policies. </w:t>
                      </w:r>
                    </w:p>
                    <w:p w14:paraId="2312D0DE" w14:textId="18A75FF9" w:rsidR="00EB3B59" w:rsidRPr="004F1A31" w:rsidRDefault="00EB3B59" w:rsidP="004F1A31">
                      <w:pPr>
                        <w:jc w:val="both"/>
                        <w:rPr>
                          <w:rFonts w:cs="Arial"/>
                          <w:szCs w:val="22"/>
                        </w:rPr>
                      </w:pPr>
                      <w:r>
                        <w:rPr>
                          <w:rFonts w:cs="Arial"/>
                          <w:szCs w:val="22"/>
                        </w:rPr>
                        <w:t>The legal agreement will require the developer to provide an annual update on the amount of Affordable Housing that has been transferred to housing providers.</w:t>
                      </w:r>
                    </w:p>
                    <w:p w14:paraId="35D5E948" w14:textId="77777777" w:rsidR="00EB3B59" w:rsidRPr="004F1A31" w:rsidRDefault="00EB3B59" w:rsidP="004F1A31">
                      <w:pPr>
                        <w:jc w:val="both"/>
                        <w:rPr>
                          <w:rFonts w:cs="Arial"/>
                          <w:b/>
                          <w:szCs w:val="22"/>
                        </w:rPr>
                      </w:pPr>
                      <w:r w:rsidRPr="004F1A31">
                        <w:rPr>
                          <w:rFonts w:cs="Arial"/>
                          <w:b/>
                          <w:szCs w:val="22"/>
                        </w:rPr>
                        <w:t>Circumstances for Off-Site Provision or Financial Contributions</w:t>
                      </w:r>
                    </w:p>
                    <w:p w14:paraId="6A6332F7" w14:textId="77777777" w:rsidR="00EB3B59" w:rsidRPr="004F1A31" w:rsidRDefault="00EB3B59" w:rsidP="004F1A31">
                      <w:pPr>
                        <w:jc w:val="both"/>
                        <w:rPr>
                          <w:rFonts w:cs="Arial"/>
                          <w:szCs w:val="22"/>
                        </w:rPr>
                      </w:pPr>
                      <w:r w:rsidRPr="004F1A31">
                        <w:rPr>
                          <w:rFonts w:cs="Arial"/>
                          <w:szCs w:val="22"/>
                        </w:rPr>
                        <w:t xml:space="preserve">Affordable Housing should be provided on-site in the majority of circumstances. In accordance with the explanations for Local Plan Policies S.H1 and D.H2, only where exceptional circumstances exist and where the Council is satisfied that it would deliver a better outcome, will off-site provision be accepted. </w:t>
                      </w:r>
                    </w:p>
                    <w:p w14:paraId="7AA721CB" w14:textId="77777777" w:rsidR="00EB3B59" w:rsidRPr="004F1A31" w:rsidRDefault="00EB3B59" w:rsidP="004F1A31">
                      <w:pPr>
                        <w:jc w:val="both"/>
                        <w:rPr>
                          <w:rFonts w:cs="Arial"/>
                          <w:szCs w:val="22"/>
                        </w:rPr>
                      </w:pPr>
                      <w:r w:rsidRPr="004F1A31">
                        <w:rPr>
                          <w:rFonts w:cs="Arial"/>
                          <w:szCs w:val="22"/>
                        </w:rPr>
                        <w:t>Where housing cannot be provided on- or off-site, a commuted sum will be required. As detailed in the explanation for Local Plan Policy D.H2, developers must demonstrate, through the financial viability statement that the payment will enable the construction or purchase of a minimum of 50% Affordable Housing in the borough and there is no financial advantage to the development of not providing Affordable Housing on-site. The commuted sum will be used to provide Affordable Housing in the borough.</w:t>
                      </w:r>
                    </w:p>
                    <w:p w14:paraId="78C85072" w14:textId="77777777" w:rsidR="00EB3B59" w:rsidRPr="004F1A31" w:rsidRDefault="00EB3B59" w:rsidP="004F1A31">
                      <w:pPr>
                        <w:jc w:val="both"/>
                        <w:rPr>
                          <w:rFonts w:cs="Arial"/>
                          <w:szCs w:val="22"/>
                        </w:rPr>
                      </w:pPr>
                      <w:r w:rsidRPr="004F1A31">
                        <w:rPr>
                          <w:rFonts w:cs="Arial"/>
                          <w:szCs w:val="22"/>
                        </w:rPr>
                        <w:t xml:space="preserve">The acceptability of off-site provision and/or a commuted sum is entirely at the discretion of the Council. </w:t>
                      </w:r>
                    </w:p>
                    <w:p w14:paraId="37C30E3D" w14:textId="77777777" w:rsidR="00EB3B59" w:rsidRPr="004F1A31" w:rsidRDefault="00EB3B59" w:rsidP="004F1A31">
                      <w:pPr>
                        <w:jc w:val="both"/>
                        <w:rPr>
                          <w:rFonts w:cs="Arial"/>
                          <w:szCs w:val="22"/>
                        </w:rPr>
                      </w:pPr>
                      <w:r w:rsidRPr="004F1A31">
                        <w:rPr>
                          <w:rFonts w:cs="Arial"/>
                          <w:szCs w:val="22"/>
                        </w:rPr>
                        <w:t xml:space="preserve">An indicative formula has been provided below to calculate the commuted sum. The exact figure will be subject to up-to-date costs at the discretion of the Council. </w:t>
                      </w:r>
                    </w:p>
                  </w:txbxContent>
                </v:textbox>
                <w10:anchorlock/>
              </v:shape>
            </w:pict>
          </mc:Fallback>
        </mc:AlternateContent>
      </w:r>
    </w:p>
    <w:p w14:paraId="27FE65C3" w14:textId="77777777" w:rsidR="00090D84" w:rsidRPr="000D65CE" w:rsidRDefault="00B109C1" w:rsidP="003B280C">
      <w:pPr>
        <w:pStyle w:val="Paragraphs"/>
        <w:numPr>
          <w:ilvl w:val="0"/>
          <w:numId w:val="0"/>
        </w:numPr>
        <w:rPr>
          <w:lang w:val="en-GB"/>
        </w:rPr>
      </w:pPr>
      <w:r w:rsidRPr="000D65CE">
        <w:rPr>
          <w:noProof/>
          <w:lang w:val="en-GB" w:eastAsia="en-GB"/>
        </w:rPr>
        <w:lastRenderedPageBreak/>
        <mc:AlternateContent>
          <mc:Choice Requires="wps">
            <w:drawing>
              <wp:inline distT="0" distB="0" distL="0" distR="0" wp14:anchorId="59E247E3" wp14:editId="04E1221C">
                <wp:extent cx="5715000" cy="2128345"/>
                <wp:effectExtent l="0" t="0" r="0" b="5715"/>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2128345"/>
                        </a:xfrm>
                        <a:prstGeom prst="rect">
                          <a:avLst/>
                        </a:prstGeom>
                        <a:solidFill>
                          <a:schemeClr val="accent1">
                            <a:lumMod val="20000"/>
                            <a:lumOff val="80000"/>
                          </a:schemeClr>
                        </a:solidFill>
                        <a:ln>
                          <a:noFill/>
                        </a:ln>
                      </wps:spPr>
                      <wps:txbx>
                        <w:txbxContent>
                          <w:p w14:paraId="71E68DE9" w14:textId="77777777" w:rsidR="00EB3B59" w:rsidRPr="006B71BD" w:rsidRDefault="00EB3B59" w:rsidP="00885EB9">
                            <w:pPr>
                              <w:jc w:val="both"/>
                              <w:rPr>
                                <w:rFonts w:cs="Arial"/>
                                <w:b/>
                                <w:szCs w:val="22"/>
                                <w:lang w:val="en-US"/>
                              </w:rPr>
                            </w:pPr>
                            <w:r>
                              <w:rPr>
                                <w:rFonts w:cs="Arial"/>
                                <w:b/>
                                <w:szCs w:val="22"/>
                                <w:lang w:val="en-US"/>
                              </w:rPr>
                              <w:t>Commuted Sum</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563"/>
                              <w:gridCol w:w="323"/>
                              <w:gridCol w:w="1789"/>
                              <w:gridCol w:w="323"/>
                              <w:gridCol w:w="1766"/>
                              <w:gridCol w:w="323"/>
                            </w:tblGrid>
                            <w:tr w:rsidR="00EB3B59" w14:paraId="188EC55C" w14:textId="77777777" w:rsidTr="00FA1433">
                              <w:tc>
                                <w:tcPr>
                                  <w:tcW w:w="2977" w:type="dxa"/>
                                  <w:vAlign w:val="center"/>
                                </w:tcPr>
                                <w:p w14:paraId="34DF1251" w14:textId="77777777" w:rsidR="00EB3B59" w:rsidRPr="006C4D19" w:rsidRDefault="00EB3B59" w:rsidP="00FA1433">
                                  <w:pPr>
                                    <w:spacing w:after="0"/>
                                    <w:contextualSpacing/>
                                    <w:rPr>
                                      <w:rFonts w:cs="Arial"/>
                                      <w:szCs w:val="22"/>
                                    </w:rPr>
                                  </w:pPr>
                                  <w:r>
                                    <w:rPr>
                                      <w:rFonts w:cs="Arial"/>
                                      <w:szCs w:val="22"/>
                                    </w:rPr>
                                    <w:t>Total floor area of on-site Affordable Housing requirement that is to be delivered as private housing</w:t>
                                  </w:r>
                                </w:p>
                              </w:tc>
                              <w:tc>
                                <w:tcPr>
                                  <w:tcW w:w="567" w:type="dxa"/>
                                  <w:vAlign w:val="center"/>
                                </w:tcPr>
                                <w:p w14:paraId="6CCE6BD7" w14:textId="77777777" w:rsidR="00EB3B59" w:rsidRPr="006C4D19" w:rsidRDefault="00EB3B59" w:rsidP="00FA1433">
                                  <w:pPr>
                                    <w:spacing w:after="0"/>
                                    <w:contextualSpacing/>
                                    <w:jc w:val="center"/>
                                    <w:rPr>
                                      <w:rFonts w:cs="Arial"/>
                                      <w:szCs w:val="22"/>
                                    </w:rPr>
                                  </w:pPr>
                                  <w:r>
                                    <w:rPr>
                                      <w:rFonts w:cs="Arial"/>
                                      <w:szCs w:val="22"/>
                                    </w:rPr>
                                    <w:t>x</w:t>
                                  </w:r>
                                </w:p>
                              </w:tc>
                              <w:tc>
                                <w:tcPr>
                                  <w:tcW w:w="323" w:type="dxa"/>
                                  <w:vAlign w:val="center"/>
                                </w:tcPr>
                                <w:p w14:paraId="460BFCB5" w14:textId="77777777" w:rsidR="00EB3B59" w:rsidRPr="006C4D19" w:rsidRDefault="00EB3B59" w:rsidP="00FA1433">
                                  <w:pPr>
                                    <w:spacing w:after="0"/>
                                    <w:contextualSpacing/>
                                    <w:rPr>
                                      <w:rFonts w:cs="Arial"/>
                                      <w:szCs w:val="22"/>
                                    </w:rPr>
                                  </w:pPr>
                                  <w:r w:rsidRPr="006C4D19">
                                    <w:rPr>
                                      <w:rFonts w:cs="Arial"/>
                                      <w:sz w:val="32"/>
                                      <w:szCs w:val="22"/>
                                    </w:rPr>
                                    <w:t>(</w:t>
                                  </w:r>
                                </w:p>
                              </w:tc>
                              <w:tc>
                                <w:tcPr>
                                  <w:tcW w:w="1803" w:type="dxa"/>
                                  <w:vAlign w:val="center"/>
                                </w:tcPr>
                                <w:p w14:paraId="54EA9148" w14:textId="77777777" w:rsidR="00EB3B59" w:rsidRPr="006C4D19" w:rsidRDefault="00EB3B59" w:rsidP="00FA1433">
                                  <w:pPr>
                                    <w:spacing w:after="0"/>
                                    <w:contextualSpacing/>
                                    <w:rPr>
                                      <w:rFonts w:cs="Arial"/>
                                      <w:szCs w:val="22"/>
                                    </w:rPr>
                                  </w:pPr>
                                  <w:r>
                                    <w:rPr>
                                      <w:rFonts w:cs="Arial"/>
                                      <w:szCs w:val="22"/>
                                      <w:lang w:val="en-US"/>
                                    </w:rPr>
                                    <w:t>Value per square foot of private housing on-site</w:t>
                                  </w:r>
                                </w:p>
                              </w:tc>
                              <w:tc>
                                <w:tcPr>
                                  <w:tcW w:w="323" w:type="dxa"/>
                                  <w:vAlign w:val="center"/>
                                </w:tcPr>
                                <w:p w14:paraId="45D455B7" w14:textId="77777777" w:rsidR="00EB3B59" w:rsidRPr="006C4D19" w:rsidRDefault="00EB3B59" w:rsidP="00FA1433">
                                  <w:pPr>
                                    <w:spacing w:after="0"/>
                                    <w:contextualSpacing/>
                                    <w:jc w:val="center"/>
                                    <w:rPr>
                                      <w:rFonts w:cs="Arial"/>
                                      <w:szCs w:val="22"/>
                                    </w:rPr>
                                  </w:pPr>
                                  <w:r w:rsidRPr="006B1381">
                                    <w:rPr>
                                      <w:rFonts w:cs="Arial"/>
                                      <w:sz w:val="32"/>
                                      <w:szCs w:val="22"/>
                                    </w:rPr>
                                    <w:t>-</w:t>
                                  </w:r>
                                </w:p>
                              </w:tc>
                              <w:tc>
                                <w:tcPr>
                                  <w:tcW w:w="1775" w:type="dxa"/>
                                  <w:vAlign w:val="center"/>
                                </w:tcPr>
                                <w:p w14:paraId="7DE93028" w14:textId="77777777" w:rsidR="00EB3B59" w:rsidRPr="006C4D19" w:rsidRDefault="00EB3B59" w:rsidP="00FA1433">
                                  <w:pPr>
                                    <w:spacing w:after="0"/>
                                    <w:contextualSpacing/>
                                    <w:rPr>
                                      <w:rFonts w:cs="Arial"/>
                                      <w:szCs w:val="22"/>
                                    </w:rPr>
                                  </w:pPr>
                                  <w:r>
                                    <w:rPr>
                                      <w:rFonts w:cs="Arial"/>
                                      <w:szCs w:val="22"/>
                                    </w:rPr>
                                    <w:t>Value per square foot of Affordable Housing on-site</w:t>
                                  </w:r>
                                </w:p>
                              </w:tc>
                              <w:tc>
                                <w:tcPr>
                                  <w:tcW w:w="323" w:type="dxa"/>
                                  <w:vAlign w:val="center"/>
                                </w:tcPr>
                                <w:p w14:paraId="75E97733" w14:textId="77777777" w:rsidR="00EB3B59" w:rsidRPr="006C4D19" w:rsidRDefault="00EB3B59" w:rsidP="00FA1433">
                                  <w:pPr>
                                    <w:spacing w:after="0"/>
                                    <w:contextualSpacing/>
                                    <w:rPr>
                                      <w:rFonts w:cs="Arial"/>
                                      <w:sz w:val="32"/>
                                      <w:szCs w:val="32"/>
                                    </w:rPr>
                                  </w:pPr>
                                  <w:r w:rsidRPr="006C4D19">
                                    <w:rPr>
                                      <w:rFonts w:cs="Arial"/>
                                      <w:sz w:val="32"/>
                                      <w:szCs w:val="32"/>
                                    </w:rPr>
                                    <w:t>)</w:t>
                                  </w:r>
                                </w:p>
                              </w:tc>
                            </w:tr>
                          </w:tbl>
                          <w:p w14:paraId="38360834" w14:textId="77777777" w:rsidR="00EB3B59" w:rsidRPr="00A80644" w:rsidRDefault="00EB3B59" w:rsidP="00885EB9">
                            <w:pPr>
                              <w:ind w:firstLine="720"/>
                              <w:jc w:val="both"/>
                              <w:rPr>
                                <w:rFonts w:cs="Arial"/>
                                <w:szCs w:val="22"/>
                                <w:u w:val="single"/>
                              </w:rPr>
                            </w:pPr>
                            <w:r>
                              <w:rPr>
                                <w:rFonts w:cs="Arial"/>
                                <w:szCs w:val="22"/>
                                <w:u w:val="single"/>
                              </w:rPr>
                              <w:t>_____________________________________</w:t>
                            </w:r>
                            <w:r w:rsidRPr="007B1194">
                              <w:rPr>
                                <w:rFonts w:cs="Arial"/>
                                <w:szCs w:val="22"/>
                                <w:u w:val="single"/>
                              </w:rPr>
                              <w:t xml:space="preserve"> </w:t>
                            </w:r>
                          </w:p>
                          <w:p w14:paraId="0BE58C0F" w14:textId="77777777" w:rsidR="00EB3B59" w:rsidRPr="00885EB9" w:rsidRDefault="00EB3B59" w:rsidP="00885EB9">
                            <w:pPr>
                              <w:ind w:firstLine="720"/>
                              <w:jc w:val="both"/>
                              <w:rPr>
                                <w:rFonts w:cs="Arial"/>
                                <w:b/>
                                <w:szCs w:val="22"/>
                              </w:rPr>
                            </w:pPr>
                            <w:r w:rsidRPr="006471C4">
                              <w:rPr>
                                <w:rFonts w:cs="Arial"/>
                                <w:b/>
                                <w:szCs w:val="22"/>
                                <w:lang w:val="en-US"/>
                              </w:rPr>
                              <w:t>= Contribution required</w:t>
                            </w:r>
                          </w:p>
                        </w:txbxContent>
                      </wps:txbx>
                      <wps:bodyPr rot="0" vert="horz" wrap="square" lIns="91440" tIns="45720" rIns="91440" bIns="45720" anchor="t" anchorCtr="0" upright="1">
                        <a:noAutofit/>
                      </wps:bodyPr>
                    </wps:wsp>
                  </a:graphicData>
                </a:graphic>
              </wp:inline>
            </w:drawing>
          </mc:Choice>
          <mc:Fallback>
            <w:pict>
              <v:shapetype w14:anchorId="59E247E3" id="_x0000_t202" coordsize="21600,21600" o:spt="202" path="m,l,21600r21600,l21600,xe">
                <v:stroke joinstyle="miter"/>
                <v:path gradientshapeok="t" o:connecttype="rect"/>
              </v:shapetype>
              <v:shape id="_x0000_s1027" type="#_x0000_t202" style="width:450pt;height:1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" fillcolor="#dbe5f1 [660]" stroked="f">
                <v:textbox>
                  <w:txbxContent>
                    <w:p w14:paraId="71E68DE9" w14:textId="77777777" w:rsidR="00EB3B59" w:rsidRPr="006B71BD" w:rsidRDefault="00EB3B59" w:rsidP="00885EB9">
                      <w:pPr>
                        <w:jc w:val="both"/>
                        <w:rPr>
                          <w:rFonts w:cs="Arial"/>
                          <w:b/>
                          <w:szCs w:val="22"/>
                          <w:lang w:val="en-US"/>
                        </w:rPr>
                      </w:pPr>
                      <w:r>
                        <w:rPr>
                          <w:rFonts w:cs="Arial"/>
                          <w:b/>
                          <w:szCs w:val="22"/>
                          <w:lang w:val="en-US"/>
                        </w:rPr>
                        <w:t>Commuted Sum</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563"/>
                        <w:gridCol w:w="323"/>
                        <w:gridCol w:w="1789"/>
                        <w:gridCol w:w="323"/>
                        <w:gridCol w:w="1766"/>
                        <w:gridCol w:w="323"/>
                      </w:tblGrid>
                      <w:tr w:rsidR="00EB3B59" w14:paraId="188EC55C" w14:textId="77777777" w:rsidTr="00FA1433">
                        <w:tc>
                          <w:tcPr>
                            <w:tcW w:w="2977" w:type="dxa"/>
                            <w:vAlign w:val="center"/>
                          </w:tcPr>
                          <w:p w14:paraId="34DF1251" w14:textId="77777777" w:rsidR="00EB3B59" w:rsidRPr="006C4D19" w:rsidRDefault="00EB3B59" w:rsidP="00FA1433">
                            <w:pPr>
                              <w:spacing w:after="0"/>
                              <w:contextualSpacing/>
                              <w:rPr>
                                <w:rFonts w:cs="Arial"/>
                                <w:szCs w:val="22"/>
                              </w:rPr>
                            </w:pPr>
                            <w:r>
                              <w:rPr>
                                <w:rFonts w:cs="Arial"/>
                                <w:szCs w:val="22"/>
                              </w:rPr>
                              <w:t>Total floor area of on-site Affordable Housing requirement that is to be delivered as private housing</w:t>
                            </w:r>
                          </w:p>
                        </w:tc>
                        <w:tc>
                          <w:tcPr>
                            <w:tcW w:w="567" w:type="dxa"/>
                            <w:vAlign w:val="center"/>
                          </w:tcPr>
                          <w:p w14:paraId="6CCE6BD7" w14:textId="77777777" w:rsidR="00EB3B59" w:rsidRPr="006C4D19" w:rsidRDefault="00EB3B59" w:rsidP="00FA1433">
                            <w:pPr>
                              <w:spacing w:after="0"/>
                              <w:contextualSpacing/>
                              <w:jc w:val="center"/>
                              <w:rPr>
                                <w:rFonts w:cs="Arial"/>
                                <w:szCs w:val="22"/>
                              </w:rPr>
                            </w:pPr>
                            <w:r>
                              <w:rPr>
                                <w:rFonts w:cs="Arial"/>
                                <w:szCs w:val="22"/>
                              </w:rPr>
                              <w:t>x</w:t>
                            </w:r>
                          </w:p>
                        </w:tc>
                        <w:tc>
                          <w:tcPr>
                            <w:tcW w:w="323" w:type="dxa"/>
                            <w:vAlign w:val="center"/>
                          </w:tcPr>
                          <w:p w14:paraId="460BFCB5" w14:textId="77777777" w:rsidR="00EB3B59" w:rsidRPr="006C4D19" w:rsidRDefault="00EB3B59" w:rsidP="00FA1433">
                            <w:pPr>
                              <w:spacing w:after="0"/>
                              <w:contextualSpacing/>
                              <w:rPr>
                                <w:rFonts w:cs="Arial"/>
                                <w:szCs w:val="22"/>
                              </w:rPr>
                            </w:pPr>
                            <w:r w:rsidRPr="006C4D19">
                              <w:rPr>
                                <w:rFonts w:cs="Arial"/>
                                <w:sz w:val="32"/>
                                <w:szCs w:val="22"/>
                              </w:rPr>
                              <w:t>(</w:t>
                            </w:r>
                          </w:p>
                        </w:tc>
                        <w:tc>
                          <w:tcPr>
                            <w:tcW w:w="1803" w:type="dxa"/>
                            <w:vAlign w:val="center"/>
                          </w:tcPr>
                          <w:p w14:paraId="54EA9148" w14:textId="77777777" w:rsidR="00EB3B59" w:rsidRPr="006C4D19" w:rsidRDefault="00EB3B59" w:rsidP="00FA1433">
                            <w:pPr>
                              <w:spacing w:after="0"/>
                              <w:contextualSpacing/>
                              <w:rPr>
                                <w:rFonts w:cs="Arial"/>
                                <w:szCs w:val="22"/>
                              </w:rPr>
                            </w:pPr>
                            <w:r>
                              <w:rPr>
                                <w:rFonts w:cs="Arial"/>
                                <w:szCs w:val="22"/>
                                <w:lang w:val="en-US"/>
                              </w:rPr>
                              <w:t>Value per square foot of private housing on-site</w:t>
                            </w:r>
                          </w:p>
                        </w:tc>
                        <w:tc>
                          <w:tcPr>
                            <w:tcW w:w="323" w:type="dxa"/>
                            <w:vAlign w:val="center"/>
                          </w:tcPr>
                          <w:p w14:paraId="45D455B7" w14:textId="77777777" w:rsidR="00EB3B59" w:rsidRPr="006C4D19" w:rsidRDefault="00EB3B59" w:rsidP="00FA1433">
                            <w:pPr>
                              <w:spacing w:after="0"/>
                              <w:contextualSpacing/>
                              <w:jc w:val="center"/>
                              <w:rPr>
                                <w:rFonts w:cs="Arial"/>
                                <w:szCs w:val="22"/>
                              </w:rPr>
                            </w:pPr>
                            <w:r w:rsidRPr="006B1381">
                              <w:rPr>
                                <w:rFonts w:cs="Arial"/>
                                <w:sz w:val="32"/>
                                <w:szCs w:val="22"/>
                              </w:rPr>
                              <w:t>-</w:t>
                            </w:r>
                          </w:p>
                        </w:tc>
                        <w:tc>
                          <w:tcPr>
                            <w:tcW w:w="1775" w:type="dxa"/>
                            <w:vAlign w:val="center"/>
                          </w:tcPr>
                          <w:p w14:paraId="7DE93028" w14:textId="77777777" w:rsidR="00EB3B59" w:rsidRPr="006C4D19" w:rsidRDefault="00EB3B59" w:rsidP="00FA1433">
                            <w:pPr>
                              <w:spacing w:after="0"/>
                              <w:contextualSpacing/>
                              <w:rPr>
                                <w:rFonts w:cs="Arial"/>
                                <w:szCs w:val="22"/>
                              </w:rPr>
                            </w:pPr>
                            <w:r>
                              <w:rPr>
                                <w:rFonts w:cs="Arial"/>
                                <w:szCs w:val="22"/>
                              </w:rPr>
                              <w:t>Value per square foot of Affordable Housing on-site</w:t>
                            </w:r>
                          </w:p>
                        </w:tc>
                        <w:tc>
                          <w:tcPr>
                            <w:tcW w:w="323" w:type="dxa"/>
                            <w:vAlign w:val="center"/>
                          </w:tcPr>
                          <w:p w14:paraId="75E97733" w14:textId="77777777" w:rsidR="00EB3B59" w:rsidRPr="006C4D19" w:rsidRDefault="00EB3B59" w:rsidP="00FA1433">
                            <w:pPr>
                              <w:spacing w:after="0"/>
                              <w:contextualSpacing/>
                              <w:rPr>
                                <w:rFonts w:cs="Arial"/>
                                <w:sz w:val="32"/>
                                <w:szCs w:val="32"/>
                              </w:rPr>
                            </w:pPr>
                            <w:r w:rsidRPr="006C4D19">
                              <w:rPr>
                                <w:rFonts w:cs="Arial"/>
                                <w:sz w:val="32"/>
                                <w:szCs w:val="32"/>
                              </w:rPr>
                              <w:t>)</w:t>
                            </w:r>
                          </w:p>
                        </w:tc>
                      </w:tr>
                    </w:tbl>
                    <w:p w14:paraId="38360834" w14:textId="77777777" w:rsidR="00EB3B59" w:rsidRPr="00A80644" w:rsidRDefault="00EB3B59" w:rsidP="00885EB9">
                      <w:pPr>
                        <w:ind w:firstLine="720"/>
                        <w:jc w:val="both"/>
                        <w:rPr>
                          <w:rFonts w:cs="Arial"/>
                          <w:szCs w:val="22"/>
                          <w:u w:val="single"/>
                        </w:rPr>
                      </w:pPr>
                      <w:r>
                        <w:rPr>
                          <w:rFonts w:cs="Arial"/>
                          <w:szCs w:val="22"/>
                          <w:u w:val="single"/>
                        </w:rPr>
                        <w:t>_____________________________________</w:t>
                      </w:r>
                      <w:r w:rsidRPr="007B1194">
                        <w:rPr>
                          <w:rFonts w:cs="Arial"/>
                          <w:szCs w:val="22"/>
                          <w:u w:val="single"/>
                        </w:rPr>
                        <w:t xml:space="preserve"> </w:t>
                      </w:r>
                    </w:p>
                    <w:p w14:paraId="0BE58C0F" w14:textId="77777777" w:rsidR="00EB3B59" w:rsidRPr="00885EB9" w:rsidRDefault="00EB3B59" w:rsidP="00885EB9">
                      <w:pPr>
                        <w:ind w:firstLine="720"/>
                        <w:jc w:val="both"/>
                        <w:rPr>
                          <w:rFonts w:cs="Arial"/>
                          <w:b/>
                          <w:szCs w:val="22"/>
                        </w:rPr>
                      </w:pPr>
                      <w:r w:rsidRPr="006471C4">
                        <w:rPr>
                          <w:rFonts w:cs="Arial"/>
                          <w:b/>
                          <w:szCs w:val="22"/>
                          <w:lang w:val="en-US"/>
                        </w:rPr>
                        <w:t>= Contribution required</w:t>
                      </w:r>
                    </w:p>
                  </w:txbxContent>
                </v:textbox>
                <w10:anchorlock/>
              </v:shape>
            </w:pict>
          </mc:Fallback>
        </mc:AlternateContent>
      </w:r>
    </w:p>
    <w:p w14:paraId="6592AEC6" w14:textId="77777777" w:rsidR="006C4D19" w:rsidRPr="000D65CE" w:rsidRDefault="006C4D19" w:rsidP="003B280C">
      <w:pPr>
        <w:jc w:val="both"/>
      </w:pPr>
    </w:p>
    <w:p w14:paraId="4747BFF7" w14:textId="77777777" w:rsidR="00C64984" w:rsidRPr="000D65CE" w:rsidRDefault="00C64984" w:rsidP="003B280C">
      <w:pPr>
        <w:ind w:firstLine="170"/>
        <w:jc w:val="both"/>
        <w:rPr>
          <w:rStyle w:val="Strong"/>
        </w:rPr>
      </w:pPr>
      <w:r w:rsidRPr="000D65CE">
        <w:rPr>
          <w:rStyle w:val="Strong"/>
        </w:rPr>
        <w:t>Affordable Housing – Minor Applications</w:t>
      </w:r>
    </w:p>
    <w:p w14:paraId="269C3EFF" w14:textId="4E6DB4D4" w:rsidR="00707758" w:rsidRPr="000D65CE" w:rsidRDefault="00764093" w:rsidP="003B280C">
      <w:pPr>
        <w:pStyle w:val="Paragraphs"/>
        <w:rPr>
          <w:lang w:val="en-GB"/>
        </w:rPr>
      </w:pPr>
      <w:r w:rsidRPr="7A52AF77">
        <w:rPr>
          <w:lang w:val="en-GB"/>
        </w:rPr>
        <w:t>In accordance with Local Plan Policies S.H1 and D.H2 mi</w:t>
      </w:r>
      <w:r w:rsidR="00CC15D3" w:rsidRPr="7A52AF77">
        <w:rPr>
          <w:lang w:val="en-GB"/>
        </w:rPr>
        <w:t>nor applications where 2 - 9</w:t>
      </w:r>
      <w:r w:rsidRPr="7A52AF77">
        <w:rPr>
          <w:lang w:val="en-GB"/>
        </w:rPr>
        <w:t xml:space="preserve"> units are proposed</w:t>
      </w:r>
      <w:r w:rsidR="00707758" w:rsidRPr="7A52AF77">
        <w:rPr>
          <w:lang w:val="en-GB"/>
        </w:rPr>
        <w:t xml:space="preserve"> should contr</w:t>
      </w:r>
      <w:r w:rsidR="00892A5D" w:rsidRPr="7A52AF77">
        <w:rPr>
          <w:lang w:val="en-GB"/>
        </w:rPr>
        <w:t>ibute towards the provision of A</w:t>
      </w:r>
      <w:r w:rsidR="00707758" w:rsidRPr="7A52AF77">
        <w:rPr>
          <w:lang w:val="en-GB"/>
        </w:rPr>
        <w:t xml:space="preserve">ffordable </w:t>
      </w:r>
      <w:r w:rsidR="00892A5D" w:rsidRPr="7A52AF77">
        <w:rPr>
          <w:lang w:val="en-GB"/>
        </w:rPr>
        <w:t>H</w:t>
      </w:r>
      <w:r w:rsidR="00707758" w:rsidRPr="7A52AF77">
        <w:rPr>
          <w:lang w:val="en-GB"/>
        </w:rPr>
        <w:t>ousing</w:t>
      </w:r>
      <w:r w:rsidR="00CC15D3" w:rsidRPr="7A52AF77">
        <w:rPr>
          <w:lang w:val="en-GB"/>
        </w:rPr>
        <w:t xml:space="preserve"> (“Small Sites Contribution”)</w:t>
      </w:r>
      <w:r w:rsidR="00707758" w:rsidRPr="7A52AF77">
        <w:rPr>
          <w:lang w:val="en-GB"/>
        </w:rPr>
        <w:t xml:space="preserve">. </w:t>
      </w:r>
      <w:r w:rsidR="00EA5C56" w:rsidRPr="7A52AF77">
        <w:rPr>
          <w:lang w:val="en-GB"/>
        </w:rPr>
        <w:t xml:space="preserve">As detailed in paragraph 9.21 of the Local Plan, it is considered necessary and appropriate to seek financial contributions from minor applications using the methodology outlined in this SPD.  </w:t>
      </w:r>
    </w:p>
    <w:p w14:paraId="5329956D" w14:textId="39DE644C" w:rsidR="00AD59E3" w:rsidRPr="000D65CE" w:rsidRDefault="007E66B9" w:rsidP="003B280C">
      <w:pPr>
        <w:pStyle w:val="Paragraphs"/>
        <w:rPr>
          <w:lang w:val="en-GB"/>
        </w:rPr>
      </w:pPr>
      <w:r w:rsidRPr="000D65CE">
        <w:rPr>
          <w:lang w:val="en-GB"/>
        </w:rPr>
        <w:t xml:space="preserve">The </w:t>
      </w:r>
      <w:r w:rsidR="00983FC5" w:rsidRPr="7A52AF77">
        <w:rPr>
          <w:lang w:val="en-GB"/>
        </w:rPr>
        <w:t xml:space="preserve">rationale for the contribution and calculation </w:t>
      </w:r>
      <w:r w:rsidR="004D4868" w:rsidRPr="7A52AF77">
        <w:rPr>
          <w:lang w:val="en-GB"/>
        </w:rPr>
        <w:t>method is</w:t>
      </w:r>
      <w:r w:rsidR="00A01811" w:rsidRPr="000D65CE">
        <w:rPr>
          <w:lang w:val="en-GB"/>
        </w:rPr>
        <w:t xml:space="preserve"> </w:t>
      </w:r>
      <w:r w:rsidR="00D327D8" w:rsidRPr="000D65CE">
        <w:rPr>
          <w:lang w:val="en-GB"/>
        </w:rPr>
        <w:t xml:space="preserve">set out in the Small Sites Affordable Housing </w:t>
      </w:r>
      <w:r w:rsidRPr="000D65CE">
        <w:rPr>
          <w:lang w:val="en-GB"/>
        </w:rPr>
        <w:t>Contributions Paper (2017)</w:t>
      </w:r>
      <w:r w:rsidR="0057557C" w:rsidRPr="000D65CE">
        <w:rPr>
          <w:rStyle w:val="FootnoteReference"/>
          <w:lang w:val="en-GB"/>
        </w:rPr>
        <w:footnoteReference w:id="5"/>
      </w:r>
      <w:r w:rsidRPr="000D65CE">
        <w:rPr>
          <w:lang w:val="en-GB"/>
        </w:rPr>
        <w:t xml:space="preserve">. </w:t>
      </w:r>
      <w:r w:rsidR="00EA5C56" w:rsidRPr="7A52AF77">
        <w:rPr>
          <w:lang w:val="en-GB"/>
        </w:rPr>
        <w:t>The Small Sites Contribution will negate the need for smaller developments to go through the viability negotiation process, saving time and costs.</w:t>
      </w:r>
    </w:p>
    <w:p w14:paraId="74BFFA31" w14:textId="7C010803" w:rsidR="00880300" w:rsidRDefault="00880300" w:rsidP="00880300">
      <w:pPr>
        <w:pStyle w:val="Paragraphs"/>
        <w:rPr>
          <w:lang w:val="en-GB"/>
        </w:rPr>
      </w:pPr>
      <w:r w:rsidRPr="002E5F32">
        <w:rPr>
          <w:lang w:val="en-GB"/>
        </w:rPr>
        <w:t>The</w:t>
      </w:r>
      <w:r w:rsidRPr="00665CA9">
        <w:rPr>
          <w:lang w:val="en-GB"/>
        </w:rPr>
        <w:t xml:space="preserve"> </w:t>
      </w:r>
      <w:hyperlink r:id="rId12" w:history="1">
        <w:r w:rsidRPr="00E93590">
          <w:rPr>
            <w:rStyle w:val="Hyperlink"/>
            <w:lang w:val="en-GB"/>
          </w:rPr>
          <w:t>Small Sites Contribution calculator</w:t>
        </w:r>
      </w:hyperlink>
      <w:r w:rsidRPr="002E5F32">
        <w:rPr>
          <w:lang w:val="en-GB"/>
        </w:rPr>
        <w:t xml:space="preserve"> </w:t>
      </w:r>
      <w:r w:rsidRPr="00E616AA">
        <w:rPr>
          <w:lang w:val="en-GB"/>
        </w:rPr>
        <w:t>has been developed to work out the financial contributi</w:t>
      </w:r>
      <w:r w:rsidRPr="002E5F32">
        <w:rPr>
          <w:lang w:val="en-GB"/>
        </w:rPr>
        <w:t>on</w:t>
      </w:r>
      <w:r w:rsidRPr="00665CA9">
        <w:rPr>
          <w:lang w:val="en-GB"/>
        </w:rPr>
        <w:t xml:space="preserve"> by first calculating the monetary value of the affordable housing provision</w:t>
      </w:r>
      <w:r w:rsidRPr="00E616AA">
        <w:rPr>
          <w:lang w:val="en-GB"/>
        </w:rPr>
        <w:t xml:space="preserve"> and then applying a sliding scale housing target. The calculator works by users </w:t>
      </w:r>
      <w:r w:rsidR="001915C9">
        <w:rPr>
          <w:lang w:val="en-GB"/>
        </w:rPr>
        <w:t>entering the number, floor area</w:t>
      </w:r>
      <w:r w:rsidRPr="00E616AA">
        <w:rPr>
          <w:lang w:val="en-GB"/>
        </w:rPr>
        <w:t xml:space="preserve"> and market value of units as well as th</w:t>
      </w:r>
      <w:r w:rsidR="001915C9">
        <w:rPr>
          <w:lang w:val="en-GB"/>
        </w:rPr>
        <w:t>e ward that the scheme is</w:t>
      </w:r>
      <w:r w:rsidRPr="00E616AA">
        <w:rPr>
          <w:lang w:val="en-GB"/>
        </w:rPr>
        <w:t xml:space="preserve"> located in. </w:t>
      </w:r>
    </w:p>
    <w:p w14:paraId="1EE15253" w14:textId="77777777" w:rsidR="00E17501" w:rsidRDefault="00E17501" w:rsidP="00880300">
      <w:pPr>
        <w:pStyle w:val="Paragraphs"/>
        <w:rPr>
          <w:lang w:val="en-GB"/>
        </w:rPr>
      </w:pPr>
      <w:r>
        <w:rPr>
          <w:lang w:val="en-GB"/>
        </w:rPr>
        <w:t xml:space="preserve">The calculator is based on the normal 70:30 split between Affordable and Intermediate products, with the affordable units provided as rented products and the intermediate units as shared ownership. </w:t>
      </w:r>
    </w:p>
    <w:p w14:paraId="23943FD9" w14:textId="77777777" w:rsidR="00E17501" w:rsidRDefault="00E17501" w:rsidP="00880300">
      <w:pPr>
        <w:pStyle w:val="Paragraphs"/>
        <w:rPr>
          <w:lang w:val="en-GB"/>
        </w:rPr>
      </w:pPr>
      <w:r>
        <w:rPr>
          <w:lang w:val="en-GB"/>
        </w:rPr>
        <w:t xml:space="preserve">The rented units have been valued by capitalising the annual rents received at a yield of 5.00%. Rents are based on the relevant policy and will be updated annually as appropriate. </w:t>
      </w:r>
    </w:p>
    <w:p w14:paraId="2B01831E" w14:textId="672F113E" w:rsidR="00E17501" w:rsidRPr="00E17501" w:rsidRDefault="00E17501" w:rsidP="00EB3B59">
      <w:pPr>
        <w:pStyle w:val="Paragraphs"/>
        <w:rPr>
          <w:sz w:val="20"/>
        </w:rPr>
      </w:pPr>
      <w:r w:rsidRPr="00E17501">
        <w:rPr>
          <w:lang w:val="en-GB"/>
        </w:rPr>
        <w:t xml:space="preserve">For the shared ownership units, the calculator is based on 25% of the equity being purchased at the outset. An annual rent of 2.75% of the remaining unsold equity is then included, with this income (net of management charge) capitalised at a 5.00% </w:t>
      </w:r>
      <w:r w:rsidRPr="00E17501">
        <w:rPr>
          <w:lang w:val="en-GB"/>
        </w:rPr>
        <w:lastRenderedPageBreak/>
        <w:t>yield. For simplicity, no staircasing has been assumed for the shared ownership units.</w:t>
      </w:r>
      <w:r>
        <w:rPr>
          <w:lang w:val="en-GB"/>
        </w:rPr>
        <w:t xml:space="preserve"> T</w:t>
      </w:r>
      <w:r>
        <w:t>he market value on which the shared ownership values are based is derived from the floor areas input into the calculator, multiplied by the market value per sqm for the site’s CIL Zone. This is then indexed by the “all property types” index on the Land Registry HPI.</w:t>
      </w:r>
    </w:p>
    <w:p w14:paraId="740FEBFD" w14:textId="335770E6" w:rsidR="00E17501" w:rsidRDefault="00E17501" w:rsidP="00E17501">
      <w:pPr>
        <w:pStyle w:val="Paragraphs"/>
      </w:pPr>
      <w:r>
        <w:t>The values are then pro-rated to reflect the policy splits. Generally, this will equate to partial units as, due to the small scheme sizes, the provision of each tenure and unit size would be less than one full unit.</w:t>
      </w:r>
    </w:p>
    <w:p w14:paraId="1BCE6ADE" w14:textId="762DEBC5" w:rsidR="00E17501" w:rsidRPr="00E17501" w:rsidRDefault="00E17501" w:rsidP="00E17501">
      <w:pPr>
        <w:pStyle w:val="Paragraphs"/>
      </w:pPr>
      <w:r>
        <w:t>This final affordable housing value is then multiplied by the relevant weighting according to the sliding scale. This converts the value from being equivalent to 35% provision to being equivalent to the appropriate provision for the scheme as per the sliding scale.</w:t>
      </w:r>
    </w:p>
    <w:p w14:paraId="03EE1939" w14:textId="61071B06" w:rsidR="00880300" w:rsidRPr="000D65CE" w:rsidRDefault="00880300" w:rsidP="00880300">
      <w:pPr>
        <w:pStyle w:val="Paragraphs"/>
        <w:rPr>
          <w:lang w:val="en-GB"/>
        </w:rPr>
      </w:pPr>
      <w:r w:rsidRPr="28D940A9">
        <w:rPr>
          <w:lang w:val="en-GB"/>
        </w:rPr>
        <w:t xml:space="preserve">The calculator uses a range of data inputs to calculate the required financial contribution including affordable rent levels, management costs, yields and equity rent. These inputs will </w:t>
      </w:r>
      <w:r w:rsidR="00B859CB" w:rsidRPr="28D940A9">
        <w:rPr>
          <w:lang w:val="en-GB"/>
        </w:rPr>
        <w:t xml:space="preserve">be </w:t>
      </w:r>
      <w:r w:rsidRPr="28D940A9">
        <w:rPr>
          <w:lang w:val="en-GB"/>
        </w:rPr>
        <w:t>revi</w:t>
      </w:r>
      <w:r w:rsidR="00426328" w:rsidRPr="28D940A9">
        <w:rPr>
          <w:lang w:val="en-GB"/>
        </w:rPr>
        <w:t>ewed and updated as required but</w:t>
      </w:r>
      <w:r w:rsidRPr="28D940A9">
        <w:rPr>
          <w:lang w:val="en-GB"/>
        </w:rPr>
        <w:t xml:space="preserve"> on a yearly basis</w:t>
      </w:r>
      <w:r w:rsidR="00426328" w:rsidRPr="28D940A9">
        <w:rPr>
          <w:lang w:val="en-GB"/>
        </w:rPr>
        <w:t xml:space="preserve"> as a minimum</w:t>
      </w:r>
      <w:r w:rsidRPr="28D940A9">
        <w:rPr>
          <w:lang w:val="en-GB"/>
        </w:rPr>
        <w:t>.</w:t>
      </w:r>
    </w:p>
    <w:p w14:paraId="1EFB7D06" w14:textId="34036E06" w:rsidR="003D2BA4" w:rsidRPr="00B4557E" w:rsidRDefault="00A52F35" w:rsidP="00EB3B59">
      <w:pPr>
        <w:pStyle w:val="Paragraphs"/>
        <w:rPr>
          <w:lang w:val="en-GB"/>
        </w:rPr>
      </w:pPr>
      <w:r w:rsidRPr="28D940A9">
        <w:rPr>
          <w:lang w:val="en-GB"/>
        </w:rPr>
        <w:t xml:space="preserve">The </w:t>
      </w:r>
      <w:r w:rsidR="006B3212" w:rsidRPr="28D940A9">
        <w:rPr>
          <w:lang w:val="en-GB"/>
        </w:rPr>
        <w:t>S</w:t>
      </w:r>
      <w:r w:rsidRPr="28D940A9">
        <w:rPr>
          <w:lang w:val="en-GB"/>
        </w:rPr>
        <w:t xml:space="preserve">mall </w:t>
      </w:r>
      <w:r w:rsidR="006B3212" w:rsidRPr="28D940A9">
        <w:rPr>
          <w:lang w:val="en-GB"/>
        </w:rPr>
        <w:t>Sites C</w:t>
      </w:r>
      <w:r w:rsidRPr="28D940A9">
        <w:rPr>
          <w:lang w:val="en-GB"/>
        </w:rPr>
        <w:t>ontribution</w:t>
      </w:r>
      <w:r w:rsidR="00880300" w:rsidRPr="28D940A9">
        <w:rPr>
          <w:lang w:val="en-GB"/>
        </w:rPr>
        <w:t xml:space="preserve"> </w:t>
      </w:r>
      <w:r w:rsidR="00EA5C56" w:rsidRPr="28D940A9">
        <w:rPr>
          <w:lang w:val="en-GB"/>
        </w:rPr>
        <w:t>will</w:t>
      </w:r>
      <w:r w:rsidR="00B74F1D">
        <w:rPr>
          <w:lang w:val="en-GB"/>
        </w:rPr>
        <w:t xml:space="preserve"> normally</w:t>
      </w:r>
      <w:r w:rsidR="00EA5C56" w:rsidRPr="28D940A9">
        <w:rPr>
          <w:lang w:val="en-GB"/>
        </w:rPr>
        <w:t xml:space="preserve"> be</w:t>
      </w:r>
      <w:r w:rsidRPr="28D940A9">
        <w:rPr>
          <w:lang w:val="en-GB"/>
        </w:rPr>
        <w:t xml:space="preserve"> pay</w:t>
      </w:r>
      <w:r w:rsidR="006B3212" w:rsidRPr="28D940A9">
        <w:rPr>
          <w:lang w:val="en-GB"/>
        </w:rPr>
        <w:t>able</w:t>
      </w:r>
      <w:r w:rsidR="00B74F1D">
        <w:rPr>
          <w:lang w:val="en-GB"/>
        </w:rPr>
        <w:t xml:space="preserve"> on commencement</w:t>
      </w:r>
      <w:r w:rsidR="00F61C87">
        <w:rPr>
          <w:lang w:val="en-GB"/>
        </w:rPr>
        <w:t xml:space="preserve">. If agreed with the Council, the contribution may be payed </w:t>
      </w:r>
      <w:r w:rsidR="00277B74" w:rsidRPr="28D940A9">
        <w:rPr>
          <w:lang w:val="en-GB"/>
        </w:rPr>
        <w:t>within six months of development commencing</w:t>
      </w:r>
      <w:r w:rsidR="00B74F1D">
        <w:rPr>
          <w:lang w:val="en-GB"/>
        </w:rPr>
        <w:t xml:space="preserve"> or first occupation</w:t>
      </w:r>
      <w:r w:rsidR="00166516">
        <w:rPr>
          <w:lang w:val="en-GB"/>
        </w:rPr>
        <w:t>,</w:t>
      </w:r>
      <w:r w:rsidR="00B74F1D">
        <w:rPr>
          <w:lang w:val="en-GB"/>
        </w:rPr>
        <w:t xml:space="preserve"> whichever is earlier. The contribution</w:t>
      </w:r>
      <w:r w:rsidRPr="28D940A9">
        <w:rPr>
          <w:lang w:val="en-GB"/>
        </w:rPr>
        <w:t xml:space="preserve"> </w:t>
      </w:r>
      <w:r w:rsidR="00B4557E" w:rsidRPr="28D940A9">
        <w:rPr>
          <w:lang w:val="en-GB"/>
        </w:rPr>
        <w:t xml:space="preserve"> </w:t>
      </w:r>
      <w:r w:rsidR="00892A5D" w:rsidRPr="28D940A9">
        <w:rPr>
          <w:lang w:val="en-GB"/>
        </w:rPr>
        <w:t>will be used to provide Affordable H</w:t>
      </w:r>
      <w:r w:rsidR="00C44288" w:rsidRPr="28D940A9">
        <w:rPr>
          <w:lang w:val="en-GB"/>
        </w:rPr>
        <w:t>ousing within the b</w:t>
      </w:r>
      <w:r w:rsidR="00707758" w:rsidRPr="28D940A9">
        <w:rPr>
          <w:lang w:val="en-GB"/>
        </w:rPr>
        <w:t>o</w:t>
      </w:r>
      <w:r w:rsidR="00892A5D" w:rsidRPr="28D940A9">
        <w:rPr>
          <w:lang w:val="en-GB"/>
        </w:rPr>
        <w:t>rough as part of the Council’s Affordable H</w:t>
      </w:r>
      <w:r w:rsidR="00707758" w:rsidRPr="28D940A9">
        <w:rPr>
          <w:lang w:val="en-GB"/>
        </w:rPr>
        <w:t xml:space="preserve">ousing delivery programme. </w:t>
      </w:r>
    </w:p>
    <w:p w14:paraId="6285E041" w14:textId="111C3A57" w:rsidR="007C2A62" w:rsidRPr="000D65CE" w:rsidRDefault="00A933D3" w:rsidP="003D2BA4">
      <w:r w:rsidRPr="003D2BA4">
        <w:rPr>
          <w:b/>
        </w:rPr>
        <w:t>Text Box 2: Affordable Housing - Minor Applications</w:t>
      </w:r>
      <w:r w:rsidR="007C2A62" w:rsidRPr="000D65CE">
        <w:rPr>
          <w:noProof/>
          <w:lang w:eastAsia="en-GB"/>
        </w:rPr>
        <mc:AlternateContent>
          <mc:Choice Requires="wps">
            <w:drawing>
              <wp:inline distT="0" distB="0" distL="0" distR="0" wp14:anchorId="0E21793B" wp14:editId="27E47C60">
                <wp:extent cx="5715000" cy="1947553"/>
                <wp:effectExtent l="0" t="0" r="0" b="0"/>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1947553"/>
                        </a:xfrm>
                        <a:prstGeom prst="rect">
                          <a:avLst/>
                        </a:prstGeom>
                        <a:solidFill>
                          <a:schemeClr val="accent1">
                            <a:lumMod val="20000"/>
                            <a:lumOff val="80000"/>
                          </a:schemeClr>
                        </a:solidFill>
                        <a:ln>
                          <a:noFill/>
                        </a:ln>
                      </wps:spPr>
                      <wps:txbx>
                        <w:txbxContent>
                          <w:p w14:paraId="6C0161AE" w14:textId="77777777" w:rsidR="00EB3B59" w:rsidRPr="001A2022" w:rsidRDefault="00EB3B59" w:rsidP="0006503F">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0C0D416F" w14:textId="77777777" w:rsidR="00EB3B59" w:rsidRPr="001A2022" w:rsidRDefault="00EB3B59" w:rsidP="0006503F">
                            <w:pPr>
                              <w:widowControl w:val="0"/>
                              <w:autoSpaceDE w:val="0"/>
                              <w:autoSpaceDN w:val="0"/>
                              <w:adjustRightInd w:val="0"/>
                              <w:jc w:val="both"/>
                              <w:textAlignment w:val="center"/>
                              <w:rPr>
                                <w:rFonts w:cs="Arial"/>
                                <w:szCs w:val="22"/>
                                <w:lang w:val="en-US"/>
                              </w:rPr>
                            </w:pPr>
                            <w:r w:rsidRPr="001A2022">
                              <w:rPr>
                                <w:rFonts w:cs="Arial"/>
                                <w:szCs w:val="22"/>
                                <w:lang w:val="en-US"/>
                              </w:rPr>
                              <w:t xml:space="preserve">Planning obligations relating to </w:t>
                            </w:r>
                            <w:r>
                              <w:rPr>
                                <w:rFonts w:cs="Arial"/>
                                <w:szCs w:val="22"/>
                                <w:lang w:val="en-US"/>
                              </w:rPr>
                              <w:t>A</w:t>
                            </w:r>
                            <w:r w:rsidRPr="001A2022">
                              <w:rPr>
                                <w:rFonts w:cs="Arial"/>
                                <w:szCs w:val="22"/>
                                <w:lang w:val="en-US"/>
                              </w:rPr>
                              <w:t xml:space="preserve">ffordable </w:t>
                            </w:r>
                            <w:r>
                              <w:rPr>
                                <w:rFonts w:cs="Arial"/>
                                <w:szCs w:val="22"/>
                                <w:lang w:val="en-US"/>
                              </w:rPr>
                              <w:t>H</w:t>
                            </w:r>
                            <w:r w:rsidRPr="001A2022">
                              <w:rPr>
                                <w:rFonts w:cs="Arial"/>
                                <w:szCs w:val="22"/>
                                <w:lang w:val="en-US"/>
                              </w:rPr>
                              <w:t>ousing will be sought for:</w:t>
                            </w:r>
                          </w:p>
                          <w:p w14:paraId="7393EC81" w14:textId="77777777" w:rsidR="00EB3B59" w:rsidRPr="00CC0E9E" w:rsidRDefault="00EB3B59" w:rsidP="0055222C">
                            <w:pPr>
                              <w:pStyle w:val="ListParagraph"/>
                              <w:widowControl w:val="0"/>
                              <w:numPr>
                                <w:ilvl w:val="0"/>
                                <w:numId w:val="7"/>
                              </w:numPr>
                              <w:autoSpaceDE w:val="0"/>
                              <w:autoSpaceDN w:val="0"/>
                              <w:adjustRightInd w:val="0"/>
                              <w:jc w:val="both"/>
                              <w:textAlignment w:val="center"/>
                              <w:rPr>
                                <w:rFonts w:cs="Arial"/>
                                <w:szCs w:val="22"/>
                                <w:lang w:val="en-US"/>
                              </w:rPr>
                            </w:pPr>
                            <w:r>
                              <w:rPr>
                                <w:rFonts w:cs="Arial"/>
                                <w:szCs w:val="22"/>
                                <w:lang w:val="en-US"/>
                              </w:rPr>
                              <w:t>Applications providing 2 to 9 new residential units.</w:t>
                            </w:r>
                          </w:p>
                          <w:p w14:paraId="0CE4FF03" w14:textId="77777777" w:rsidR="00EB3B59" w:rsidRPr="006B71BD" w:rsidRDefault="00EB3B59" w:rsidP="0006503F">
                            <w:pPr>
                              <w:jc w:val="both"/>
                              <w:rPr>
                                <w:rFonts w:cs="Arial"/>
                                <w:b/>
                                <w:szCs w:val="22"/>
                                <w:lang w:val="en-US"/>
                              </w:rPr>
                            </w:pPr>
                            <w:r>
                              <w:rPr>
                                <w:rFonts w:cs="Arial"/>
                                <w:b/>
                                <w:szCs w:val="22"/>
                                <w:lang w:val="en-US"/>
                              </w:rPr>
                              <w:t>Sliding Scale Financial Contribution</w:t>
                            </w:r>
                          </w:p>
                          <w:p w14:paraId="4817CA2A" w14:textId="174E4944" w:rsidR="00EB3B59" w:rsidRDefault="00EB3B59" w:rsidP="0006503F">
                            <w:pPr>
                              <w:jc w:val="both"/>
                              <w:rPr>
                                <w:rFonts w:cs="Arial"/>
                                <w:szCs w:val="22"/>
                                <w:lang w:val="en-US"/>
                              </w:rPr>
                            </w:pPr>
                            <w:r>
                              <w:rPr>
                                <w:rFonts w:cs="Arial"/>
                                <w:szCs w:val="22"/>
                                <w:lang w:val="en-US"/>
                              </w:rPr>
                              <w:t xml:space="preserve">The Council </w:t>
                            </w:r>
                            <w:r w:rsidRPr="006B71BD">
                              <w:rPr>
                                <w:rFonts w:cs="Arial"/>
                                <w:szCs w:val="22"/>
                                <w:lang w:val="en-US"/>
                              </w:rPr>
                              <w:t xml:space="preserve">will </w:t>
                            </w:r>
                            <w:r>
                              <w:rPr>
                                <w:rFonts w:cs="Arial"/>
                                <w:szCs w:val="22"/>
                                <w:lang w:val="en-US"/>
                              </w:rPr>
                              <w:t xml:space="preserve">require a financial contribution towards Affordable Housing, calculated using the Small Sites Contribution calculator. </w:t>
                            </w:r>
                          </w:p>
                          <w:p w14:paraId="12E046E4" w14:textId="77777777" w:rsidR="00EB3B59" w:rsidRPr="00275810" w:rsidRDefault="00EB3B59" w:rsidP="008143DA">
                            <w:pPr>
                              <w:jc w:val="both"/>
                              <w:rPr>
                                <w:rFonts w:cs="Arial"/>
                                <w:b/>
                                <w:szCs w:val="22"/>
                              </w:rPr>
                            </w:pPr>
                          </w:p>
                        </w:txbxContent>
                      </wps:txbx>
                      <wps:bodyPr rot="0" vert="horz" wrap="square" lIns="91440" tIns="45720" rIns="91440" bIns="45720" anchor="t" anchorCtr="0" upright="1">
                        <a:noAutofit/>
                      </wps:bodyPr>
                    </wps:wsp>
                  </a:graphicData>
                </a:graphic>
              </wp:inline>
            </w:drawing>
          </mc:Choice>
          <mc:Fallback>
            <w:pict>
              <v:shape w14:anchorId="0E21793B" id="_x0000_s1028" type="#_x0000_t202" style="width:450pt;height:15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" fillcolor="#dbe5f1 [660]" stroked="f">
                <v:textbox>
                  <w:txbxContent>
                    <w:p w14:paraId="6C0161AE" w14:textId="77777777" w:rsidR="00EB3B59" w:rsidRPr="001A2022" w:rsidRDefault="00EB3B59" w:rsidP="0006503F">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0C0D416F" w14:textId="77777777" w:rsidR="00EB3B59" w:rsidRPr="001A2022" w:rsidRDefault="00EB3B59" w:rsidP="0006503F">
                      <w:pPr>
                        <w:widowControl w:val="0"/>
                        <w:autoSpaceDE w:val="0"/>
                        <w:autoSpaceDN w:val="0"/>
                        <w:adjustRightInd w:val="0"/>
                        <w:jc w:val="both"/>
                        <w:textAlignment w:val="center"/>
                        <w:rPr>
                          <w:rFonts w:cs="Arial"/>
                          <w:szCs w:val="22"/>
                          <w:lang w:val="en-US"/>
                        </w:rPr>
                      </w:pPr>
                      <w:r w:rsidRPr="001A2022">
                        <w:rPr>
                          <w:rFonts w:cs="Arial"/>
                          <w:szCs w:val="22"/>
                          <w:lang w:val="en-US"/>
                        </w:rPr>
                        <w:t xml:space="preserve">Planning obligations relating to </w:t>
                      </w:r>
                      <w:r>
                        <w:rPr>
                          <w:rFonts w:cs="Arial"/>
                          <w:szCs w:val="22"/>
                          <w:lang w:val="en-US"/>
                        </w:rPr>
                        <w:t>A</w:t>
                      </w:r>
                      <w:r w:rsidRPr="001A2022">
                        <w:rPr>
                          <w:rFonts w:cs="Arial"/>
                          <w:szCs w:val="22"/>
                          <w:lang w:val="en-US"/>
                        </w:rPr>
                        <w:t xml:space="preserve">ffordable </w:t>
                      </w:r>
                      <w:r>
                        <w:rPr>
                          <w:rFonts w:cs="Arial"/>
                          <w:szCs w:val="22"/>
                          <w:lang w:val="en-US"/>
                        </w:rPr>
                        <w:t>H</w:t>
                      </w:r>
                      <w:r w:rsidRPr="001A2022">
                        <w:rPr>
                          <w:rFonts w:cs="Arial"/>
                          <w:szCs w:val="22"/>
                          <w:lang w:val="en-US"/>
                        </w:rPr>
                        <w:t>ousing will be sought for:</w:t>
                      </w:r>
                    </w:p>
                    <w:p w14:paraId="7393EC81" w14:textId="77777777" w:rsidR="00EB3B59" w:rsidRPr="00CC0E9E" w:rsidRDefault="00EB3B59" w:rsidP="0055222C">
                      <w:pPr>
                        <w:pStyle w:val="ListParagraph"/>
                        <w:widowControl w:val="0"/>
                        <w:numPr>
                          <w:ilvl w:val="0"/>
                          <w:numId w:val="7"/>
                        </w:numPr>
                        <w:autoSpaceDE w:val="0"/>
                        <w:autoSpaceDN w:val="0"/>
                        <w:adjustRightInd w:val="0"/>
                        <w:jc w:val="both"/>
                        <w:textAlignment w:val="center"/>
                        <w:rPr>
                          <w:rFonts w:cs="Arial"/>
                          <w:szCs w:val="22"/>
                          <w:lang w:val="en-US"/>
                        </w:rPr>
                      </w:pPr>
                      <w:r>
                        <w:rPr>
                          <w:rFonts w:cs="Arial"/>
                          <w:szCs w:val="22"/>
                          <w:lang w:val="en-US"/>
                        </w:rPr>
                        <w:t>Applications providing 2 to 9 new residential units.</w:t>
                      </w:r>
                    </w:p>
                    <w:p w14:paraId="0CE4FF03" w14:textId="77777777" w:rsidR="00EB3B59" w:rsidRPr="006B71BD" w:rsidRDefault="00EB3B59" w:rsidP="0006503F">
                      <w:pPr>
                        <w:jc w:val="both"/>
                        <w:rPr>
                          <w:rFonts w:cs="Arial"/>
                          <w:b/>
                          <w:szCs w:val="22"/>
                          <w:lang w:val="en-US"/>
                        </w:rPr>
                      </w:pPr>
                      <w:r>
                        <w:rPr>
                          <w:rFonts w:cs="Arial"/>
                          <w:b/>
                          <w:szCs w:val="22"/>
                          <w:lang w:val="en-US"/>
                        </w:rPr>
                        <w:t>Sliding Scale Financial Contribution</w:t>
                      </w:r>
                    </w:p>
                    <w:p w14:paraId="4817CA2A" w14:textId="174E4944" w:rsidR="00EB3B59" w:rsidRDefault="00EB3B59" w:rsidP="0006503F">
                      <w:pPr>
                        <w:jc w:val="both"/>
                        <w:rPr>
                          <w:rFonts w:cs="Arial"/>
                          <w:szCs w:val="22"/>
                          <w:lang w:val="en-US"/>
                        </w:rPr>
                      </w:pPr>
                      <w:r>
                        <w:rPr>
                          <w:rFonts w:cs="Arial"/>
                          <w:szCs w:val="22"/>
                          <w:lang w:val="en-US"/>
                        </w:rPr>
                        <w:t xml:space="preserve">The Council </w:t>
                      </w:r>
                      <w:r w:rsidRPr="006B71BD">
                        <w:rPr>
                          <w:rFonts w:cs="Arial"/>
                          <w:szCs w:val="22"/>
                          <w:lang w:val="en-US"/>
                        </w:rPr>
                        <w:t xml:space="preserve">will </w:t>
                      </w:r>
                      <w:r>
                        <w:rPr>
                          <w:rFonts w:cs="Arial"/>
                          <w:szCs w:val="22"/>
                          <w:lang w:val="en-US"/>
                        </w:rPr>
                        <w:t xml:space="preserve">require a financial contribution towards Affordable Housing, calculated using the Small Sites Contribution calculator. </w:t>
                      </w:r>
                    </w:p>
                    <w:p w14:paraId="12E046E4" w14:textId="77777777" w:rsidR="00EB3B59" w:rsidRPr="00275810" w:rsidRDefault="00EB3B59" w:rsidP="008143DA">
                      <w:pPr>
                        <w:jc w:val="both"/>
                        <w:rPr>
                          <w:rFonts w:cs="Arial"/>
                          <w:b/>
                          <w:szCs w:val="22"/>
                        </w:rPr>
                      </w:pPr>
                    </w:p>
                  </w:txbxContent>
                </v:textbox>
                <w10:anchorlock/>
              </v:shape>
            </w:pict>
          </mc:Fallback>
        </mc:AlternateContent>
      </w:r>
    </w:p>
    <w:p w14:paraId="44F912A7" w14:textId="7F0047E6" w:rsidR="00C770AB" w:rsidRPr="00C770AB" w:rsidRDefault="00C770AB" w:rsidP="00C770AB">
      <w:pPr>
        <w:spacing w:before="360" w:after="120"/>
        <w:jc w:val="both"/>
        <w:rPr>
          <w:rStyle w:val="Strong"/>
          <w:bCs w:val="0"/>
          <w:color w:val="00477E"/>
        </w:rPr>
      </w:pPr>
      <w:r>
        <w:rPr>
          <w:b/>
          <w:color w:val="00477E"/>
          <w:sz w:val="24"/>
        </w:rPr>
        <w:t>How the Council will Secure Self-B</w:t>
      </w:r>
      <w:r w:rsidRPr="000D65CE">
        <w:rPr>
          <w:b/>
          <w:color w:val="00477E"/>
          <w:sz w:val="24"/>
        </w:rPr>
        <w:t>uild</w:t>
      </w:r>
      <w:r>
        <w:rPr>
          <w:b/>
          <w:color w:val="00477E"/>
          <w:sz w:val="24"/>
        </w:rPr>
        <w:t>, T</w:t>
      </w:r>
      <w:r w:rsidRPr="000D65CE">
        <w:rPr>
          <w:b/>
          <w:color w:val="00477E"/>
          <w:sz w:val="24"/>
        </w:rPr>
        <w:t>emporary,</w:t>
      </w:r>
      <w:r>
        <w:rPr>
          <w:b/>
          <w:color w:val="00477E"/>
          <w:sz w:val="24"/>
        </w:rPr>
        <w:t xml:space="preserve"> S</w:t>
      </w:r>
      <w:r w:rsidRPr="000D65CE">
        <w:rPr>
          <w:b/>
          <w:color w:val="00477E"/>
          <w:sz w:val="24"/>
        </w:rPr>
        <w:t xml:space="preserve">pecialist and Intermediate Housing </w:t>
      </w:r>
      <w:r>
        <w:rPr>
          <w:b/>
          <w:color w:val="00477E"/>
          <w:sz w:val="24"/>
        </w:rPr>
        <w:t xml:space="preserve">Through </w:t>
      </w:r>
      <w:r w:rsidR="000E364F">
        <w:rPr>
          <w:b/>
          <w:color w:val="00477E"/>
          <w:sz w:val="24"/>
        </w:rPr>
        <w:t>Planning Obligations</w:t>
      </w:r>
    </w:p>
    <w:p w14:paraId="224D5FDF" w14:textId="4A5BF3D0" w:rsidR="00057851" w:rsidRPr="000D65CE" w:rsidRDefault="008B5782" w:rsidP="003B280C">
      <w:pPr>
        <w:pStyle w:val="Heading1"/>
        <w:ind w:firstLine="170"/>
        <w:jc w:val="both"/>
        <w:rPr>
          <w:rStyle w:val="Strong"/>
          <w:b/>
          <w:color w:val="auto"/>
          <w:lang w:val="en-GB"/>
        </w:rPr>
      </w:pPr>
      <w:r w:rsidRPr="000D65CE">
        <w:rPr>
          <w:rStyle w:val="Strong"/>
          <w:b/>
          <w:color w:val="auto"/>
          <w:lang w:val="en-GB"/>
        </w:rPr>
        <w:t xml:space="preserve">Affordable </w:t>
      </w:r>
      <w:r w:rsidR="00057851" w:rsidRPr="000D65CE">
        <w:rPr>
          <w:rStyle w:val="Strong"/>
          <w:b/>
          <w:color w:val="auto"/>
          <w:lang w:val="en-GB"/>
        </w:rPr>
        <w:t>Self-build Housing</w:t>
      </w:r>
    </w:p>
    <w:p w14:paraId="0D63A144" w14:textId="77777777" w:rsidR="00C904FA" w:rsidRPr="000D65CE" w:rsidRDefault="00295EDB" w:rsidP="003B280C">
      <w:pPr>
        <w:pStyle w:val="Paragraphs"/>
        <w:rPr>
          <w:lang w:val="en-GB"/>
        </w:rPr>
      </w:pPr>
      <w:r w:rsidRPr="28D940A9">
        <w:rPr>
          <w:lang w:val="en-GB"/>
        </w:rPr>
        <w:t xml:space="preserve">Policy S.H1 </w:t>
      </w:r>
      <w:r w:rsidR="00C904FA" w:rsidRPr="28D940A9">
        <w:rPr>
          <w:lang w:val="en-GB"/>
        </w:rPr>
        <w:t xml:space="preserve">recognises the duty for LBTH </w:t>
      </w:r>
      <w:r w:rsidRPr="28D940A9">
        <w:rPr>
          <w:lang w:val="en-GB"/>
        </w:rPr>
        <w:t xml:space="preserve">to support local demand for individual and group self-build projects. </w:t>
      </w:r>
      <w:r w:rsidR="00C904FA" w:rsidRPr="28D940A9">
        <w:rPr>
          <w:lang w:val="en-GB"/>
        </w:rPr>
        <w:t>Due to the specific financial constraints relating</w:t>
      </w:r>
      <w:r w:rsidR="008143DA" w:rsidRPr="28D940A9">
        <w:rPr>
          <w:lang w:val="en-GB"/>
        </w:rPr>
        <w:t xml:space="preserve"> to developing self-build homes</w:t>
      </w:r>
      <w:r w:rsidR="00C904FA" w:rsidRPr="28D940A9">
        <w:rPr>
          <w:lang w:val="en-GB"/>
        </w:rPr>
        <w:t xml:space="preserve"> (particularly on smaller sites) such as high local land values and housing targets, </w:t>
      </w:r>
      <w:r w:rsidR="00DE58F4" w:rsidRPr="28D940A9">
        <w:rPr>
          <w:lang w:val="en-GB"/>
        </w:rPr>
        <w:t>these developments will ofte</w:t>
      </w:r>
      <w:r w:rsidR="00892A5D" w:rsidRPr="28D940A9">
        <w:rPr>
          <w:lang w:val="en-GB"/>
        </w:rPr>
        <w:t xml:space="preserve">n not provide a policy-defined </w:t>
      </w:r>
      <w:r w:rsidR="00892A5D" w:rsidRPr="28D940A9">
        <w:rPr>
          <w:lang w:val="en-GB"/>
        </w:rPr>
        <w:lastRenderedPageBreak/>
        <w:t>Affordable H</w:t>
      </w:r>
      <w:r w:rsidR="00DE58F4" w:rsidRPr="28D940A9">
        <w:rPr>
          <w:lang w:val="en-GB"/>
        </w:rPr>
        <w:t xml:space="preserve">ousing product. </w:t>
      </w:r>
    </w:p>
    <w:p w14:paraId="422E6A78" w14:textId="77777777" w:rsidR="00EB022C" w:rsidRPr="000D65CE" w:rsidRDefault="00B70CD4" w:rsidP="003B280C">
      <w:pPr>
        <w:pStyle w:val="Paragraphs"/>
        <w:rPr>
          <w:lang w:val="en-GB"/>
        </w:rPr>
      </w:pPr>
      <w:r w:rsidRPr="000D65CE">
        <w:rPr>
          <w:lang w:val="en-GB"/>
        </w:rPr>
        <w:t xml:space="preserve">The </w:t>
      </w:r>
      <w:r w:rsidR="00AD1FB6" w:rsidRPr="000D65CE">
        <w:rPr>
          <w:lang w:val="en-GB"/>
        </w:rPr>
        <w:t>Council</w:t>
      </w:r>
      <w:r w:rsidRPr="000D65CE">
        <w:rPr>
          <w:lang w:val="en-GB"/>
        </w:rPr>
        <w:t xml:space="preserve">’s </w:t>
      </w:r>
      <w:r w:rsidR="00EB022C" w:rsidRPr="000D65CE">
        <w:rPr>
          <w:lang w:val="en-GB"/>
        </w:rPr>
        <w:t xml:space="preserve">Affordable </w:t>
      </w:r>
      <w:r w:rsidR="00046E26" w:rsidRPr="000D65CE">
        <w:rPr>
          <w:lang w:val="en-GB"/>
        </w:rPr>
        <w:t>S</w:t>
      </w:r>
      <w:r w:rsidRPr="000D65CE">
        <w:rPr>
          <w:lang w:val="en-GB"/>
        </w:rPr>
        <w:t>elf-</w:t>
      </w:r>
      <w:r w:rsidR="00046E26" w:rsidRPr="000D65CE">
        <w:rPr>
          <w:lang w:val="en-GB"/>
        </w:rPr>
        <w:t>B</w:t>
      </w:r>
      <w:r w:rsidRPr="000D65CE">
        <w:rPr>
          <w:lang w:val="en-GB"/>
        </w:rPr>
        <w:t xml:space="preserve">uild </w:t>
      </w:r>
      <w:r w:rsidR="00046E26" w:rsidRPr="000D65CE">
        <w:rPr>
          <w:lang w:val="en-GB"/>
        </w:rPr>
        <w:t>P</w:t>
      </w:r>
      <w:r w:rsidRPr="000D65CE">
        <w:rPr>
          <w:lang w:val="en-GB"/>
        </w:rPr>
        <w:t>olicy</w:t>
      </w:r>
      <w:r w:rsidR="00CA4827" w:rsidRPr="000D65CE">
        <w:rPr>
          <w:lang w:val="en-GB"/>
        </w:rPr>
        <w:t xml:space="preserve"> on Council Owned Land</w:t>
      </w:r>
      <w:r w:rsidR="00C904FA" w:rsidRPr="000D65CE">
        <w:rPr>
          <w:rStyle w:val="FootnoteReference"/>
          <w:lang w:val="en-GB"/>
        </w:rPr>
        <w:footnoteReference w:id="6"/>
      </w:r>
      <w:r w:rsidRPr="000D65CE">
        <w:rPr>
          <w:lang w:val="en-GB"/>
        </w:rPr>
        <w:t xml:space="preserve"> seeks to deliver an</w:t>
      </w:r>
      <w:r w:rsidR="0080032A" w:rsidRPr="000D65CE">
        <w:rPr>
          <w:lang w:val="en-GB"/>
        </w:rPr>
        <w:t xml:space="preserve"> affordable</w:t>
      </w:r>
      <w:r w:rsidRPr="000D65CE">
        <w:rPr>
          <w:lang w:val="en-GB"/>
        </w:rPr>
        <w:t xml:space="preserve"> in-perpetuity self-build product</w:t>
      </w:r>
      <w:r w:rsidR="00EB022C" w:rsidRPr="000D65CE">
        <w:rPr>
          <w:lang w:val="en-GB"/>
        </w:rPr>
        <w:t xml:space="preserve"> on all Council owne</w:t>
      </w:r>
      <w:r w:rsidR="008143DA" w:rsidRPr="000D65CE">
        <w:rPr>
          <w:lang w:val="en-GB"/>
        </w:rPr>
        <w:t>d sites provided for self-build.</w:t>
      </w:r>
      <w:r w:rsidR="00EB022C" w:rsidRPr="000D65CE">
        <w:rPr>
          <w:lang w:val="en-GB"/>
        </w:rPr>
        <w:t xml:space="preserve"> The Affordable Self-Build Policy specifies the approach that will be taken to</w:t>
      </w:r>
      <w:r w:rsidR="0080032A" w:rsidRPr="000D65CE">
        <w:rPr>
          <w:lang w:val="en-GB"/>
        </w:rPr>
        <w:t xml:space="preserve"> dispose of</w:t>
      </w:r>
      <w:r w:rsidR="00EB022C" w:rsidRPr="000D65CE">
        <w:rPr>
          <w:lang w:val="en-GB"/>
        </w:rPr>
        <w:t xml:space="preserve"> Council owned land proposed for</w:t>
      </w:r>
      <w:r w:rsidR="0080032A" w:rsidRPr="000D65CE">
        <w:rPr>
          <w:lang w:val="en-GB"/>
        </w:rPr>
        <w:t xml:space="preserve"> release</w:t>
      </w:r>
      <w:r w:rsidR="00EB022C" w:rsidRPr="000D65CE">
        <w:rPr>
          <w:lang w:val="en-GB"/>
        </w:rPr>
        <w:t xml:space="preserve"> to self-builders. </w:t>
      </w:r>
      <w:r w:rsidR="0080032A" w:rsidRPr="000D65CE">
        <w:rPr>
          <w:lang w:val="en-GB"/>
        </w:rPr>
        <w:t xml:space="preserve">Any reduction in the open market value of the land </w:t>
      </w:r>
      <w:r w:rsidR="00EB022C" w:rsidRPr="000D65CE">
        <w:rPr>
          <w:lang w:val="en-GB"/>
        </w:rPr>
        <w:t xml:space="preserve">will apply to the initial buyer and any future buyer or renter.  </w:t>
      </w:r>
    </w:p>
    <w:p w14:paraId="09B7635A" w14:textId="1A688947" w:rsidR="00B70CD4" w:rsidRPr="000D65CE" w:rsidRDefault="00DA48D2" w:rsidP="003B280C">
      <w:pPr>
        <w:pStyle w:val="Paragraphs"/>
        <w:rPr>
          <w:lang w:val="en-GB"/>
        </w:rPr>
      </w:pPr>
      <w:r w:rsidRPr="28D940A9">
        <w:rPr>
          <w:lang w:val="en-GB"/>
        </w:rPr>
        <w:t>S</w:t>
      </w:r>
      <w:r w:rsidR="00B70CD4" w:rsidRPr="28D940A9">
        <w:rPr>
          <w:lang w:val="en-GB"/>
        </w:rPr>
        <w:t xml:space="preserve">elf-build homes delivered on </w:t>
      </w:r>
      <w:r w:rsidR="00AD1FB6" w:rsidRPr="28D940A9">
        <w:rPr>
          <w:lang w:val="en-GB"/>
        </w:rPr>
        <w:t>Council</w:t>
      </w:r>
      <w:r w:rsidR="00B70CD4" w:rsidRPr="28D940A9">
        <w:rPr>
          <w:lang w:val="en-GB"/>
        </w:rPr>
        <w:t>-owned land</w:t>
      </w:r>
      <w:r w:rsidR="00CA4827" w:rsidRPr="28D940A9">
        <w:rPr>
          <w:lang w:val="en-GB"/>
        </w:rPr>
        <w:t xml:space="preserve"> in accordance with the Affordable Self-Build Policy</w:t>
      </w:r>
      <w:r w:rsidR="00B70CD4" w:rsidRPr="28D940A9">
        <w:rPr>
          <w:lang w:val="en-GB"/>
        </w:rPr>
        <w:t xml:space="preserve">, will </w:t>
      </w:r>
      <w:r w:rsidR="00892A5D" w:rsidRPr="28D940A9">
        <w:rPr>
          <w:lang w:val="en-GB"/>
        </w:rPr>
        <w:t>be exempt from the small sites Affordable H</w:t>
      </w:r>
      <w:r w:rsidR="00B70CD4" w:rsidRPr="28D940A9">
        <w:rPr>
          <w:lang w:val="en-GB"/>
        </w:rPr>
        <w:t>ousing requirements (Policy S.H1, part 2aii)</w:t>
      </w:r>
      <w:r w:rsidR="00B70C4F" w:rsidRPr="28D940A9">
        <w:rPr>
          <w:lang w:val="en-GB"/>
        </w:rPr>
        <w:t xml:space="preserve"> and </w:t>
      </w:r>
      <w:r w:rsidR="00B70CD4" w:rsidRPr="28D940A9">
        <w:rPr>
          <w:lang w:val="en-GB"/>
        </w:rPr>
        <w:t xml:space="preserve">would </w:t>
      </w:r>
      <w:r w:rsidR="00D51A91" w:rsidRPr="28D940A9">
        <w:rPr>
          <w:lang w:val="en-GB"/>
        </w:rPr>
        <w:t>instead</w:t>
      </w:r>
      <w:r w:rsidR="002F43AE" w:rsidRPr="28D940A9">
        <w:rPr>
          <w:lang w:val="en-GB"/>
        </w:rPr>
        <w:t xml:space="preserve"> secure</w:t>
      </w:r>
      <w:r w:rsidR="00D51A91" w:rsidRPr="28D940A9">
        <w:rPr>
          <w:lang w:val="en-GB"/>
        </w:rPr>
        <w:t xml:space="preserve"> the reduction in the open market value of the land in</w:t>
      </w:r>
      <w:r w:rsidR="00B70CD4" w:rsidRPr="28D940A9">
        <w:rPr>
          <w:lang w:val="en-GB"/>
        </w:rPr>
        <w:t xml:space="preserve"> a</w:t>
      </w:r>
      <w:r w:rsidR="00CA0D29" w:rsidRPr="28D940A9">
        <w:rPr>
          <w:lang w:val="en-GB"/>
        </w:rPr>
        <w:t xml:space="preserve"> </w:t>
      </w:r>
      <w:r w:rsidR="00032BFE" w:rsidRPr="28D940A9">
        <w:rPr>
          <w:lang w:val="en-GB"/>
        </w:rPr>
        <w:t xml:space="preserve">legal </w:t>
      </w:r>
      <w:r w:rsidR="00B70CD4" w:rsidRPr="28D940A9">
        <w:rPr>
          <w:lang w:val="en-GB"/>
        </w:rPr>
        <w:t>agreement. This is to ensure that</w:t>
      </w:r>
      <w:r w:rsidR="0080032A" w:rsidRPr="28D940A9">
        <w:rPr>
          <w:lang w:val="en-GB"/>
        </w:rPr>
        <w:t xml:space="preserve"> any reduction</w:t>
      </w:r>
      <w:r w:rsidR="00BE1855" w:rsidRPr="28D940A9">
        <w:rPr>
          <w:lang w:val="en-GB"/>
        </w:rPr>
        <w:t xml:space="preserve"> is passed onto any household buying</w:t>
      </w:r>
      <w:r w:rsidR="0080032A" w:rsidRPr="28D940A9">
        <w:rPr>
          <w:lang w:val="en-GB"/>
        </w:rPr>
        <w:t xml:space="preserve"> or renting</w:t>
      </w:r>
      <w:r w:rsidR="00BE1855" w:rsidRPr="28D940A9">
        <w:rPr>
          <w:lang w:val="en-GB"/>
        </w:rPr>
        <w:t xml:space="preserve"> a self-build home once developed.</w:t>
      </w:r>
      <w:r w:rsidR="00B70CD4" w:rsidRPr="28D940A9">
        <w:rPr>
          <w:lang w:val="en-GB"/>
        </w:rPr>
        <w:t xml:space="preserve"> </w:t>
      </w:r>
    </w:p>
    <w:p w14:paraId="67B8792A" w14:textId="5F1A55EA" w:rsidR="00A0296E" w:rsidRPr="00925217" w:rsidRDefault="000E78C8" w:rsidP="00925217">
      <w:pPr>
        <w:pStyle w:val="Paragraphs"/>
        <w:rPr>
          <w:lang w:val="en-GB"/>
        </w:rPr>
      </w:pPr>
      <w:r w:rsidRPr="28D940A9">
        <w:rPr>
          <w:lang w:val="en-GB"/>
        </w:rPr>
        <w:t xml:space="preserve">Where </w:t>
      </w:r>
      <w:r w:rsidR="00B70CD4" w:rsidRPr="28D940A9">
        <w:rPr>
          <w:lang w:val="en-GB"/>
        </w:rPr>
        <w:t xml:space="preserve">a </w:t>
      </w:r>
      <w:r w:rsidR="00A96E96" w:rsidRPr="28D940A9">
        <w:rPr>
          <w:lang w:val="en-GB"/>
        </w:rPr>
        <w:t>self-build</w:t>
      </w:r>
      <w:r w:rsidR="00056D08" w:rsidRPr="28D940A9">
        <w:rPr>
          <w:lang w:val="en-GB"/>
        </w:rPr>
        <w:t xml:space="preserve"> project</w:t>
      </w:r>
      <w:r w:rsidR="00A96E96" w:rsidRPr="28D940A9">
        <w:rPr>
          <w:lang w:val="en-GB"/>
        </w:rPr>
        <w:t xml:space="preserve"> that has not </w:t>
      </w:r>
      <w:r w:rsidR="00CA4827" w:rsidRPr="28D940A9">
        <w:rPr>
          <w:lang w:val="en-GB"/>
        </w:rPr>
        <w:t>being delivered under</w:t>
      </w:r>
      <w:r w:rsidR="00AC10F2" w:rsidRPr="28D940A9">
        <w:rPr>
          <w:lang w:val="en-GB"/>
        </w:rPr>
        <w:t xml:space="preserve"> the</w:t>
      </w:r>
      <w:r w:rsidR="00CA4827" w:rsidRPr="28D940A9">
        <w:rPr>
          <w:lang w:val="en-GB"/>
        </w:rPr>
        <w:t xml:space="preserve"> Council’s Affordable Self-Build Polic</w:t>
      </w:r>
      <w:r w:rsidR="00C71692" w:rsidRPr="28D940A9">
        <w:rPr>
          <w:lang w:val="en-GB"/>
        </w:rPr>
        <w:t>y</w:t>
      </w:r>
      <w:r w:rsidR="00056D08" w:rsidRPr="28D940A9">
        <w:rPr>
          <w:lang w:val="en-GB"/>
        </w:rPr>
        <w:t xml:space="preserve"> (i.e. a stand-alone project)</w:t>
      </w:r>
      <w:r w:rsidR="00B70CD4" w:rsidRPr="28D940A9">
        <w:rPr>
          <w:lang w:val="en-GB"/>
        </w:rPr>
        <w:t xml:space="preserve"> comes forward, </w:t>
      </w:r>
      <w:r w:rsidR="00077600" w:rsidRPr="28D940A9">
        <w:rPr>
          <w:lang w:val="en-GB"/>
        </w:rPr>
        <w:t>it</w:t>
      </w:r>
      <w:r w:rsidR="00B75165" w:rsidRPr="28D940A9">
        <w:rPr>
          <w:lang w:val="en-GB"/>
        </w:rPr>
        <w:t xml:space="preserve"> would need to comply with Policy S.H1</w:t>
      </w:r>
      <w:r w:rsidR="00B70CD4" w:rsidRPr="28D940A9">
        <w:rPr>
          <w:lang w:val="en-GB"/>
        </w:rPr>
        <w:t>. The</w:t>
      </w:r>
      <w:r w:rsidR="006B3212" w:rsidRPr="28D940A9">
        <w:rPr>
          <w:lang w:val="en-GB"/>
        </w:rPr>
        <w:t xml:space="preserve"> Small S</w:t>
      </w:r>
      <w:r w:rsidR="00B75165" w:rsidRPr="28D940A9">
        <w:rPr>
          <w:lang w:val="en-GB"/>
        </w:rPr>
        <w:t xml:space="preserve">ites </w:t>
      </w:r>
      <w:r w:rsidR="006B3212" w:rsidRPr="28D940A9">
        <w:rPr>
          <w:lang w:val="en-GB"/>
        </w:rPr>
        <w:t>C</w:t>
      </w:r>
      <w:r w:rsidR="00B75165" w:rsidRPr="28D940A9">
        <w:rPr>
          <w:lang w:val="en-GB"/>
        </w:rPr>
        <w:t>ontribution</w:t>
      </w:r>
      <w:r w:rsidR="00B70CD4" w:rsidRPr="28D940A9">
        <w:rPr>
          <w:lang w:val="en-GB"/>
        </w:rPr>
        <w:t xml:space="preserve"> would be payable if it cannot be demonstrated that the self-build housing can be classed as affordable. </w:t>
      </w:r>
    </w:p>
    <w:p w14:paraId="36E1EAA4" w14:textId="70B19545" w:rsidR="003D2BA4" w:rsidRPr="003D2BA4" w:rsidRDefault="003D2BA4" w:rsidP="003D2BA4">
      <w:pPr>
        <w:spacing w:after="120"/>
        <w:rPr>
          <w:b/>
        </w:rPr>
      </w:pPr>
      <w:r w:rsidRPr="003D2BA4">
        <w:rPr>
          <w:b/>
        </w:rPr>
        <w:t>Text Box 3: Affordable Self-build Housing</w:t>
      </w:r>
    </w:p>
    <w:p w14:paraId="13F37903" w14:textId="77777777" w:rsidR="009D5C0B" w:rsidRPr="000D65CE" w:rsidRDefault="009D5C0B" w:rsidP="003B280C">
      <w:pPr>
        <w:jc w:val="both"/>
      </w:pPr>
      <w:r w:rsidRPr="000D65CE">
        <w:rPr>
          <w:noProof/>
          <w:lang w:eastAsia="en-GB"/>
        </w:rPr>
        <mc:AlternateContent>
          <mc:Choice Requires="wps">
            <w:drawing>
              <wp:inline distT="0" distB="0" distL="0" distR="0" wp14:anchorId="39E261E7" wp14:editId="3CD2BA01">
                <wp:extent cx="5731510" cy="1943100"/>
                <wp:effectExtent l="0" t="0" r="2540" b="0"/>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1943100"/>
                        </a:xfrm>
                        <a:prstGeom prst="rect">
                          <a:avLst/>
                        </a:prstGeom>
                        <a:solidFill>
                          <a:schemeClr val="accent1">
                            <a:lumMod val="20000"/>
                            <a:lumOff val="80000"/>
                          </a:schemeClr>
                        </a:solidFill>
                        <a:ln>
                          <a:noFill/>
                        </a:ln>
                      </wps:spPr>
                      <wps:txbx>
                        <w:txbxContent>
                          <w:p w14:paraId="0FFA9C76" w14:textId="77777777" w:rsidR="00EB3B59" w:rsidRPr="00620858" w:rsidRDefault="00EB3B59" w:rsidP="009D5C0B">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1C5102CE" w14:textId="77777777" w:rsidR="00EB3B59" w:rsidRPr="00620858" w:rsidRDefault="00EB3B59" w:rsidP="009D5C0B">
                            <w:pPr>
                              <w:jc w:val="both"/>
                            </w:pPr>
                            <w:r w:rsidRPr="00620858">
                              <w:t>Planning obligations will be secured for:</w:t>
                            </w:r>
                          </w:p>
                          <w:p w14:paraId="6AE56B8E" w14:textId="77777777" w:rsidR="00EB3B59" w:rsidRPr="00620858" w:rsidRDefault="00EB3B59" w:rsidP="009D5C0B">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sidRPr="00620858">
                              <w:rPr>
                                <w:rFonts w:cs="Arial"/>
                                <w:color w:val="000000"/>
                              </w:rPr>
                              <w:t>Any self-build home delivered on Council-owned land in accordance with the Affordable Self-Build policy</w:t>
                            </w:r>
                          </w:p>
                          <w:p w14:paraId="7E5C14CD" w14:textId="77777777" w:rsidR="00EB3B59" w:rsidRPr="009F1874" w:rsidRDefault="00EB3B59" w:rsidP="009D5C0B">
                            <w:pPr>
                              <w:widowControl w:val="0"/>
                              <w:autoSpaceDE w:val="0"/>
                              <w:autoSpaceDN w:val="0"/>
                              <w:adjustRightInd w:val="0"/>
                              <w:jc w:val="both"/>
                              <w:textAlignment w:val="center"/>
                              <w:rPr>
                                <w:rFonts w:cs="Arial"/>
                                <w:color w:val="000000"/>
                                <w:highlight w:val="yellow"/>
                              </w:rPr>
                            </w:pPr>
                          </w:p>
                          <w:p w14:paraId="2D97042B" w14:textId="77777777" w:rsidR="00EB3B59" w:rsidRPr="00E10A96" w:rsidRDefault="00EB3B59" w:rsidP="00E10A96">
                            <w:pPr>
                              <w:widowControl w:val="0"/>
                              <w:autoSpaceDE w:val="0"/>
                              <w:autoSpaceDN w:val="0"/>
                              <w:adjustRightInd w:val="0"/>
                              <w:jc w:val="both"/>
                              <w:textAlignment w:val="center"/>
                              <w:rPr>
                                <w:rFonts w:cs="Arial"/>
                                <w:bCs/>
                                <w:szCs w:val="22"/>
                                <w:lang w:val="en-US"/>
                              </w:rPr>
                            </w:pPr>
                            <w:r>
                              <w:rPr>
                                <w:rFonts w:cs="Arial"/>
                                <w:bCs/>
                                <w:szCs w:val="22"/>
                                <w:lang w:val="en-US"/>
                              </w:rPr>
                              <w:t xml:space="preserve">Self-build housing on Council-owned land will be secured as discounted housing and will be exempt from the Small Sites Contribution </w:t>
                            </w:r>
                            <w:r w:rsidRPr="004A15D0">
                              <w:rPr>
                                <w:rFonts w:cs="Arial"/>
                                <w:bCs/>
                                <w:szCs w:val="22"/>
                                <w:lang w:val="en-US"/>
                              </w:rPr>
                              <w:t>policy requirements</w:t>
                            </w:r>
                            <w:r>
                              <w:rPr>
                                <w:rFonts w:cs="Arial"/>
                                <w:bCs/>
                                <w:szCs w:val="22"/>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39E261E7" id="_x0000_s1029" type="#_x0000_t202" style="width:451.3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" fillcolor="#dbe5f1 [660]" stroked="f">
                <v:textbox>
                  <w:txbxContent>
                    <w:p w14:paraId="0FFA9C76" w14:textId="77777777" w:rsidR="00EB3B59" w:rsidRPr="00620858" w:rsidRDefault="00EB3B59" w:rsidP="009D5C0B">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1C5102CE" w14:textId="77777777" w:rsidR="00EB3B59" w:rsidRPr="00620858" w:rsidRDefault="00EB3B59" w:rsidP="009D5C0B">
                      <w:pPr>
                        <w:jc w:val="both"/>
                      </w:pPr>
                      <w:r w:rsidRPr="00620858">
                        <w:t>Planning obligations will be secured for:</w:t>
                      </w:r>
                    </w:p>
                    <w:p w14:paraId="6AE56B8E" w14:textId="77777777" w:rsidR="00EB3B59" w:rsidRPr="00620858" w:rsidRDefault="00EB3B59" w:rsidP="009D5C0B">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sidRPr="00620858">
                        <w:rPr>
                          <w:rFonts w:cs="Arial"/>
                          <w:color w:val="000000"/>
                        </w:rPr>
                        <w:t>Any self-build home delivered on Council-owned land in accordance with the Affordable Self-Build policy</w:t>
                      </w:r>
                    </w:p>
                    <w:p w14:paraId="7E5C14CD" w14:textId="77777777" w:rsidR="00EB3B59" w:rsidRPr="009F1874" w:rsidRDefault="00EB3B59" w:rsidP="009D5C0B">
                      <w:pPr>
                        <w:widowControl w:val="0"/>
                        <w:autoSpaceDE w:val="0"/>
                        <w:autoSpaceDN w:val="0"/>
                        <w:adjustRightInd w:val="0"/>
                        <w:jc w:val="both"/>
                        <w:textAlignment w:val="center"/>
                        <w:rPr>
                          <w:rFonts w:cs="Arial"/>
                          <w:color w:val="000000"/>
                          <w:highlight w:val="yellow"/>
                        </w:rPr>
                      </w:pPr>
                    </w:p>
                    <w:p w14:paraId="2D97042B" w14:textId="77777777" w:rsidR="00EB3B59" w:rsidRPr="00E10A96" w:rsidRDefault="00EB3B59" w:rsidP="00E10A96">
                      <w:pPr>
                        <w:widowControl w:val="0"/>
                        <w:autoSpaceDE w:val="0"/>
                        <w:autoSpaceDN w:val="0"/>
                        <w:adjustRightInd w:val="0"/>
                        <w:jc w:val="both"/>
                        <w:textAlignment w:val="center"/>
                        <w:rPr>
                          <w:rFonts w:cs="Arial"/>
                          <w:bCs/>
                          <w:szCs w:val="22"/>
                          <w:lang w:val="en-US"/>
                        </w:rPr>
                      </w:pPr>
                      <w:r>
                        <w:rPr>
                          <w:rFonts w:cs="Arial"/>
                          <w:bCs/>
                          <w:szCs w:val="22"/>
                          <w:lang w:val="en-US"/>
                        </w:rPr>
                        <w:t xml:space="preserve">Self-build housing on Council-owned land will be secured as discounted housing and will be exempt from the Small Sites Contribution </w:t>
                      </w:r>
                      <w:r w:rsidRPr="004A15D0">
                        <w:rPr>
                          <w:rFonts w:cs="Arial"/>
                          <w:bCs/>
                          <w:szCs w:val="22"/>
                          <w:lang w:val="en-US"/>
                        </w:rPr>
                        <w:t>policy requirements</w:t>
                      </w:r>
                      <w:r>
                        <w:rPr>
                          <w:rFonts w:cs="Arial"/>
                          <w:bCs/>
                          <w:szCs w:val="22"/>
                          <w:lang w:val="en-US"/>
                        </w:rPr>
                        <w:t xml:space="preserve">.  </w:t>
                      </w:r>
                    </w:p>
                  </w:txbxContent>
                </v:textbox>
                <w10:anchorlock/>
              </v:shape>
            </w:pict>
          </mc:Fallback>
        </mc:AlternateContent>
      </w:r>
    </w:p>
    <w:p w14:paraId="7E761CFC" w14:textId="677CF48F" w:rsidR="0027148D" w:rsidRPr="000D65CE" w:rsidRDefault="0027148D" w:rsidP="003B280C">
      <w:pPr>
        <w:pStyle w:val="Paragraphs"/>
        <w:numPr>
          <w:ilvl w:val="0"/>
          <w:numId w:val="0"/>
        </w:numPr>
        <w:spacing w:before="360" w:after="120"/>
        <w:ind w:left="170"/>
        <w:rPr>
          <w:rStyle w:val="Strong"/>
          <w:lang w:val="en-GB"/>
        </w:rPr>
      </w:pPr>
      <w:r w:rsidRPr="000D65CE">
        <w:rPr>
          <w:rStyle w:val="Strong"/>
          <w:lang w:val="en-GB"/>
        </w:rPr>
        <w:t>Temporary Housing</w:t>
      </w:r>
    </w:p>
    <w:p w14:paraId="1442F8E5" w14:textId="774A171A" w:rsidR="00F57A2E" w:rsidRDefault="0027148D" w:rsidP="003B280C">
      <w:pPr>
        <w:pStyle w:val="Paragraphs"/>
        <w:rPr>
          <w:lang w:val="en-GB"/>
        </w:rPr>
      </w:pPr>
      <w:r w:rsidRPr="28D940A9">
        <w:rPr>
          <w:lang w:val="en-GB"/>
        </w:rPr>
        <w:t xml:space="preserve">As part of the </w:t>
      </w:r>
      <w:hyperlink r:id="rId13">
        <w:r w:rsidR="00AD1FB6" w:rsidRPr="28D940A9">
          <w:rPr>
            <w:rStyle w:val="Hyperlink"/>
            <w:lang w:val="en-GB"/>
          </w:rPr>
          <w:t>Council</w:t>
        </w:r>
        <w:r w:rsidRPr="28D940A9">
          <w:rPr>
            <w:rStyle w:val="Hyperlink"/>
            <w:lang w:val="en-GB"/>
          </w:rPr>
          <w:t xml:space="preserve">’s </w:t>
        </w:r>
        <w:r w:rsidR="00A233F0" w:rsidRPr="28D940A9">
          <w:rPr>
            <w:rStyle w:val="Hyperlink"/>
            <w:lang w:val="en-GB"/>
          </w:rPr>
          <w:t>H</w:t>
        </w:r>
        <w:r w:rsidRPr="28D940A9">
          <w:rPr>
            <w:rStyle w:val="Hyperlink"/>
            <w:lang w:val="en-GB"/>
          </w:rPr>
          <w:t>omeless</w:t>
        </w:r>
        <w:r w:rsidR="00A233F0" w:rsidRPr="28D940A9">
          <w:rPr>
            <w:rStyle w:val="Hyperlink"/>
            <w:lang w:val="en-GB"/>
          </w:rPr>
          <w:t>ness</w:t>
        </w:r>
        <w:r w:rsidRPr="28D940A9">
          <w:rPr>
            <w:rStyle w:val="Hyperlink"/>
            <w:lang w:val="en-GB"/>
          </w:rPr>
          <w:t xml:space="preserve"> </w:t>
        </w:r>
        <w:r w:rsidR="00A233F0" w:rsidRPr="28D940A9">
          <w:rPr>
            <w:rStyle w:val="Hyperlink"/>
            <w:lang w:val="en-GB"/>
          </w:rPr>
          <w:t>S</w:t>
        </w:r>
        <w:r w:rsidRPr="28D940A9">
          <w:rPr>
            <w:rStyle w:val="Hyperlink"/>
            <w:lang w:val="en-GB"/>
          </w:rPr>
          <w:t>trategy</w:t>
        </w:r>
      </w:hyperlink>
      <w:r w:rsidRPr="28D940A9">
        <w:rPr>
          <w:lang w:val="en-GB"/>
        </w:rPr>
        <w:t xml:space="preserve">, </w:t>
      </w:r>
      <w:r w:rsidR="00B463D6" w:rsidRPr="28D940A9">
        <w:rPr>
          <w:lang w:val="en-GB"/>
        </w:rPr>
        <w:t xml:space="preserve">the </w:t>
      </w:r>
      <w:r w:rsidR="00AD1FB6" w:rsidRPr="28D940A9">
        <w:rPr>
          <w:lang w:val="en-GB"/>
        </w:rPr>
        <w:t>Council</w:t>
      </w:r>
      <w:r w:rsidR="00B463D6" w:rsidRPr="28D940A9">
        <w:rPr>
          <w:lang w:val="en-GB"/>
        </w:rPr>
        <w:t xml:space="preserve"> will bring forward temporary accommodation </w:t>
      </w:r>
      <w:r w:rsidRPr="28D940A9">
        <w:rPr>
          <w:lang w:val="en-GB"/>
        </w:rPr>
        <w:t xml:space="preserve">as </w:t>
      </w:r>
      <w:r w:rsidR="00A233F0" w:rsidRPr="28D940A9">
        <w:rPr>
          <w:lang w:val="en-GB"/>
        </w:rPr>
        <w:t>meanwhile</w:t>
      </w:r>
      <w:r w:rsidRPr="28D940A9">
        <w:rPr>
          <w:lang w:val="en-GB"/>
        </w:rPr>
        <w:t xml:space="preserve"> </w:t>
      </w:r>
      <w:r w:rsidR="0032509C" w:rsidRPr="28D940A9">
        <w:rPr>
          <w:lang w:val="en-GB"/>
        </w:rPr>
        <w:t xml:space="preserve">use </w:t>
      </w:r>
      <w:r w:rsidRPr="28D940A9">
        <w:rPr>
          <w:lang w:val="en-GB"/>
        </w:rPr>
        <w:t xml:space="preserve">developments </w:t>
      </w:r>
      <w:r w:rsidR="0032509C" w:rsidRPr="28D940A9">
        <w:rPr>
          <w:lang w:val="en-GB"/>
        </w:rPr>
        <w:t>on vacant sites</w:t>
      </w:r>
      <w:r w:rsidR="00A233F0" w:rsidRPr="28D940A9">
        <w:rPr>
          <w:lang w:val="en-GB"/>
        </w:rPr>
        <w:t>. The</w:t>
      </w:r>
      <w:r w:rsidR="006962C0" w:rsidRPr="28D940A9">
        <w:rPr>
          <w:lang w:val="en-GB"/>
        </w:rPr>
        <w:t>se</w:t>
      </w:r>
      <w:r w:rsidR="00A233F0" w:rsidRPr="28D940A9">
        <w:rPr>
          <w:lang w:val="en-GB"/>
        </w:rPr>
        <w:t xml:space="preserve"> </w:t>
      </w:r>
      <w:r w:rsidR="00D70200" w:rsidRPr="28D940A9">
        <w:rPr>
          <w:lang w:val="en-GB"/>
        </w:rPr>
        <w:t xml:space="preserve">modular developments are intended to be </w:t>
      </w:r>
      <w:r w:rsidRPr="28D940A9">
        <w:rPr>
          <w:lang w:val="en-GB"/>
        </w:rPr>
        <w:t>deconstructed and reco</w:t>
      </w:r>
      <w:r w:rsidR="0032509C" w:rsidRPr="28D940A9">
        <w:rPr>
          <w:lang w:val="en-GB"/>
        </w:rPr>
        <w:t>nstructed</w:t>
      </w:r>
      <w:r w:rsidR="006962C0" w:rsidRPr="28D940A9">
        <w:rPr>
          <w:lang w:val="en-GB"/>
        </w:rPr>
        <w:t xml:space="preserve"> as required</w:t>
      </w:r>
      <w:r w:rsidR="0032509C" w:rsidRPr="28D940A9">
        <w:rPr>
          <w:lang w:val="en-GB"/>
        </w:rPr>
        <w:t xml:space="preserve"> elsewhere</w:t>
      </w:r>
      <w:r w:rsidR="006962C0" w:rsidRPr="28D940A9">
        <w:rPr>
          <w:lang w:val="en-GB"/>
        </w:rPr>
        <w:t xml:space="preserve"> within the borough</w:t>
      </w:r>
      <w:r w:rsidR="0032509C" w:rsidRPr="28D940A9">
        <w:rPr>
          <w:lang w:val="en-GB"/>
        </w:rPr>
        <w:t xml:space="preserve"> as part of the</w:t>
      </w:r>
      <w:r w:rsidRPr="28D940A9">
        <w:rPr>
          <w:lang w:val="en-GB"/>
        </w:rPr>
        <w:t xml:space="preserve"> </w:t>
      </w:r>
      <w:r w:rsidR="0032509C" w:rsidRPr="28D940A9">
        <w:rPr>
          <w:lang w:val="en-GB"/>
        </w:rPr>
        <w:t>temporary housing strategy</w:t>
      </w:r>
      <w:r w:rsidRPr="28D940A9">
        <w:rPr>
          <w:lang w:val="en-GB"/>
        </w:rPr>
        <w:t xml:space="preserve">. </w:t>
      </w:r>
      <w:r w:rsidR="00B463D6" w:rsidRPr="28D940A9">
        <w:rPr>
          <w:lang w:val="en-GB"/>
        </w:rPr>
        <w:t xml:space="preserve">Such sites </w:t>
      </w:r>
      <w:r w:rsidR="003000C8" w:rsidRPr="28D940A9">
        <w:rPr>
          <w:lang w:val="en-GB"/>
        </w:rPr>
        <w:t xml:space="preserve">led by the </w:t>
      </w:r>
      <w:r w:rsidR="00AD1FB6" w:rsidRPr="28D940A9">
        <w:rPr>
          <w:lang w:val="en-GB"/>
        </w:rPr>
        <w:t>Council</w:t>
      </w:r>
      <w:r w:rsidR="00944DC1" w:rsidRPr="28D940A9">
        <w:rPr>
          <w:lang w:val="en-GB"/>
        </w:rPr>
        <w:t>,</w:t>
      </w:r>
      <w:r w:rsidR="003000C8" w:rsidRPr="28D940A9">
        <w:rPr>
          <w:lang w:val="en-GB"/>
        </w:rPr>
        <w:t xml:space="preserve"> </w:t>
      </w:r>
      <w:r w:rsidR="00B463D6" w:rsidRPr="28D940A9">
        <w:rPr>
          <w:lang w:val="en-GB"/>
        </w:rPr>
        <w:t xml:space="preserve">would </w:t>
      </w:r>
      <w:r w:rsidR="0032509C" w:rsidRPr="28D940A9">
        <w:rPr>
          <w:lang w:val="en-GB"/>
        </w:rPr>
        <w:t xml:space="preserve">be secured as </w:t>
      </w:r>
      <w:r w:rsidR="00892A5D" w:rsidRPr="28D940A9">
        <w:rPr>
          <w:lang w:val="en-GB"/>
        </w:rPr>
        <w:t>A</w:t>
      </w:r>
      <w:r w:rsidR="0032509C" w:rsidRPr="28D940A9">
        <w:rPr>
          <w:lang w:val="en-GB"/>
        </w:rPr>
        <w:t xml:space="preserve">ffordable </w:t>
      </w:r>
      <w:r w:rsidR="00892A5D" w:rsidRPr="28D940A9">
        <w:rPr>
          <w:lang w:val="en-GB"/>
        </w:rPr>
        <w:t>H</w:t>
      </w:r>
      <w:r w:rsidR="0032509C" w:rsidRPr="28D940A9">
        <w:rPr>
          <w:lang w:val="en-GB"/>
        </w:rPr>
        <w:t xml:space="preserve">ousing for </w:t>
      </w:r>
      <w:r w:rsidR="00D70200" w:rsidRPr="28D940A9">
        <w:rPr>
          <w:lang w:val="en-GB"/>
        </w:rPr>
        <w:t xml:space="preserve">the </w:t>
      </w:r>
      <w:r w:rsidR="0032509C" w:rsidRPr="28D940A9">
        <w:rPr>
          <w:lang w:val="en-GB"/>
        </w:rPr>
        <w:t xml:space="preserve">duration </w:t>
      </w:r>
      <w:r w:rsidR="00D70200" w:rsidRPr="28D940A9">
        <w:rPr>
          <w:lang w:val="en-GB"/>
        </w:rPr>
        <w:t>of the temporary permission.</w:t>
      </w:r>
      <w:r w:rsidR="00057851" w:rsidRPr="28D940A9">
        <w:rPr>
          <w:lang w:val="en-GB"/>
        </w:rPr>
        <w:t xml:space="preserve"> </w:t>
      </w:r>
      <w:r w:rsidR="003000C8" w:rsidRPr="28D940A9">
        <w:rPr>
          <w:lang w:val="en-GB"/>
        </w:rPr>
        <w:t>Privately</w:t>
      </w:r>
      <w:r w:rsidR="00B859CB" w:rsidRPr="28D940A9">
        <w:rPr>
          <w:lang w:val="en-GB"/>
        </w:rPr>
        <w:t xml:space="preserve"> </w:t>
      </w:r>
      <w:r w:rsidR="003000C8" w:rsidRPr="28D940A9">
        <w:rPr>
          <w:lang w:val="en-GB"/>
        </w:rPr>
        <w:t>led temporary housing projects will need to comply with the relevant planning</w:t>
      </w:r>
      <w:r w:rsidR="00892A5D" w:rsidRPr="28D940A9">
        <w:rPr>
          <w:lang w:val="en-GB"/>
        </w:rPr>
        <w:t xml:space="preserve"> Affordable H</w:t>
      </w:r>
      <w:r w:rsidR="00637A08" w:rsidRPr="28D940A9">
        <w:rPr>
          <w:lang w:val="en-GB"/>
        </w:rPr>
        <w:t>ousing</w:t>
      </w:r>
      <w:r w:rsidR="003000C8" w:rsidRPr="28D940A9">
        <w:rPr>
          <w:lang w:val="en-GB"/>
        </w:rPr>
        <w:t xml:space="preserve"> policies</w:t>
      </w:r>
      <w:r w:rsidR="008B411D" w:rsidRPr="28D940A9">
        <w:rPr>
          <w:lang w:val="en-GB"/>
        </w:rPr>
        <w:t xml:space="preserve"> set out in the Local Plan</w:t>
      </w:r>
      <w:r w:rsidR="003000C8" w:rsidRPr="28D940A9">
        <w:rPr>
          <w:lang w:val="en-GB"/>
        </w:rPr>
        <w:t xml:space="preserve">. </w:t>
      </w:r>
    </w:p>
    <w:p w14:paraId="63A34ADE" w14:textId="77777777" w:rsidR="00925217" w:rsidRDefault="00925217" w:rsidP="003D2BA4">
      <w:pPr>
        <w:spacing w:after="120"/>
        <w:rPr>
          <w:b/>
        </w:rPr>
      </w:pPr>
    </w:p>
    <w:p w14:paraId="68531AB8" w14:textId="3F16AACD" w:rsidR="003D2BA4" w:rsidRPr="003D2BA4" w:rsidRDefault="003D2BA4" w:rsidP="003D2BA4">
      <w:pPr>
        <w:spacing w:after="120"/>
        <w:rPr>
          <w:b/>
        </w:rPr>
      </w:pPr>
      <w:r w:rsidRPr="003D2BA4">
        <w:rPr>
          <w:b/>
        </w:rPr>
        <w:lastRenderedPageBreak/>
        <w:t xml:space="preserve">Text Box </w:t>
      </w:r>
      <w:r>
        <w:rPr>
          <w:b/>
        </w:rPr>
        <w:t>4</w:t>
      </w:r>
      <w:r w:rsidRPr="003D2BA4">
        <w:rPr>
          <w:b/>
        </w:rPr>
        <w:t xml:space="preserve">: </w:t>
      </w:r>
      <w:r>
        <w:rPr>
          <w:b/>
        </w:rPr>
        <w:t>Temporary Housing</w:t>
      </w:r>
    </w:p>
    <w:p w14:paraId="5734E128" w14:textId="77777777" w:rsidR="00CE7715" w:rsidRPr="000D65CE" w:rsidRDefault="00CE7715" w:rsidP="003B280C">
      <w:pPr>
        <w:jc w:val="both"/>
      </w:pPr>
      <w:r w:rsidRPr="000D65CE">
        <w:rPr>
          <w:noProof/>
          <w:lang w:eastAsia="en-GB"/>
        </w:rPr>
        <mc:AlternateContent>
          <mc:Choice Requires="wps">
            <w:drawing>
              <wp:inline distT="0" distB="0" distL="0" distR="0" wp14:anchorId="7B367F18" wp14:editId="6225109E">
                <wp:extent cx="5731510" cy="2422566"/>
                <wp:effectExtent l="0" t="0" r="2540" b="0"/>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2422566"/>
                        </a:xfrm>
                        <a:prstGeom prst="rect">
                          <a:avLst/>
                        </a:prstGeom>
                        <a:solidFill>
                          <a:schemeClr val="accent1">
                            <a:lumMod val="20000"/>
                            <a:lumOff val="80000"/>
                          </a:schemeClr>
                        </a:solidFill>
                        <a:ln>
                          <a:noFill/>
                        </a:ln>
                      </wps:spPr>
                      <wps:txbx>
                        <w:txbxContent>
                          <w:p w14:paraId="1383E6A5" w14:textId="77777777" w:rsidR="00EB3B59" w:rsidRPr="00620858" w:rsidRDefault="00EB3B59" w:rsidP="002E451A">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46341125" w14:textId="77777777" w:rsidR="00EB3B59" w:rsidRPr="00620858" w:rsidRDefault="00EB3B59" w:rsidP="002E451A">
                            <w:pPr>
                              <w:jc w:val="both"/>
                            </w:pPr>
                            <w:r w:rsidRPr="00620858">
                              <w:t>Planning obligations will be secured for:</w:t>
                            </w:r>
                          </w:p>
                          <w:p w14:paraId="5682A40A" w14:textId="592B4FD7" w:rsidR="00EB3B59" w:rsidRPr="00620858" w:rsidRDefault="00EB3B59" w:rsidP="002E451A">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Pr>
                                <w:rFonts w:cs="Arial"/>
                                <w:color w:val="000000"/>
                              </w:rPr>
                              <w:t>Privately led temporary housing projects</w:t>
                            </w:r>
                          </w:p>
                          <w:p w14:paraId="6CDBE72D" w14:textId="77777777" w:rsidR="00EB3B59" w:rsidRPr="009F1874" w:rsidRDefault="00EB3B59" w:rsidP="002E451A">
                            <w:pPr>
                              <w:widowControl w:val="0"/>
                              <w:autoSpaceDE w:val="0"/>
                              <w:autoSpaceDN w:val="0"/>
                              <w:adjustRightInd w:val="0"/>
                              <w:jc w:val="both"/>
                              <w:textAlignment w:val="center"/>
                              <w:rPr>
                                <w:rFonts w:cs="Arial"/>
                                <w:color w:val="000000"/>
                                <w:highlight w:val="yellow"/>
                              </w:rPr>
                            </w:pPr>
                          </w:p>
                          <w:p w14:paraId="4B40977E" w14:textId="77777777" w:rsidR="00EB3B59" w:rsidRPr="00620858" w:rsidRDefault="00EB3B59" w:rsidP="002E451A">
                            <w:pPr>
                              <w:widowControl w:val="0"/>
                              <w:autoSpaceDE w:val="0"/>
                              <w:autoSpaceDN w:val="0"/>
                              <w:adjustRightInd w:val="0"/>
                              <w:jc w:val="both"/>
                              <w:textAlignment w:val="center"/>
                              <w:rPr>
                                <w:rFonts w:cs="Arial"/>
                                <w:b/>
                                <w:color w:val="000000"/>
                              </w:rPr>
                            </w:pPr>
                            <w:r>
                              <w:rPr>
                                <w:rFonts w:cs="Arial"/>
                                <w:b/>
                                <w:color w:val="000000"/>
                              </w:rPr>
                              <w:t>Temporary Housing</w:t>
                            </w:r>
                          </w:p>
                          <w:p w14:paraId="19B5D5AD" w14:textId="02699CDF" w:rsidR="00EB3B59" w:rsidRPr="00A0296E" w:rsidRDefault="00EB3B59" w:rsidP="00A0296E">
                            <w:pPr>
                              <w:jc w:val="both"/>
                            </w:pPr>
                            <w:r w:rsidRPr="00055AE1">
                              <w:t>An adequate management plan setting out the strategy</w:t>
                            </w:r>
                            <w:r>
                              <w:t xml:space="preserve"> to be adopted</w:t>
                            </w:r>
                            <w:r w:rsidRPr="00055AE1">
                              <w:t xml:space="preserve"> for the type of occupants, their length of stay and tenure will be agreed and secured as part of a planning obligation. Where a temporary development includes affordable temporary units, they should be secured as </w:t>
                            </w:r>
                            <w:r>
                              <w:t>Affordable Housing</w:t>
                            </w:r>
                            <w:r w:rsidRPr="00055AE1">
                              <w:t xml:space="preserve"> for the duration of the temporary permission.</w:t>
                            </w:r>
                          </w:p>
                        </w:txbxContent>
                      </wps:txbx>
                      <wps:bodyPr rot="0" vert="horz" wrap="square" lIns="91440" tIns="45720" rIns="91440" bIns="45720" anchor="t" anchorCtr="0" upright="1">
                        <a:noAutofit/>
                      </wps:bodyPr>
                    </wps:wsp>
                  </a:graphicData>
                </a:graphic>
              </wp:inline>
            </w:drawing>
          </mc:Choice>
          <mc:Fallback>
            <w:pict>
              <v:shape w14:anchorId="7B367F18" id="_x0000_s1030" type="#_x0000_t202" style="width:451.3pt;height:1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" fillcolor="#dbe5f1 [660]" stroked="f">
                <v:textbox>
                  <w:txbxContent>
                    <w:p w14:paraId="1383E6A5" w14:textId="77777777" w:rsidR="00EB3B59" w:rsidRPr="00620858" w:rsidRDefault="00EB3B59" w:rsidP="002E451A">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46341125" w14:textId="77777777" w:rsidR="00EB3B59" w:rsidRPr="00620858" w:rsidRDefault="00EB3B59" w:rsidP="002E451A">
                      <w:pPr>
                        <w:jc w:val="both"/>
                      </w:pPr>
                      <w:r w:rsidRPr="00620858">
                        <w:t>Planning obligations will be secured for:</w:t>
                      </w:r>
                    </w:p>
                    <w:p w14:paraId="5682A40A" w14:textId="592B4FD7" w:rsidR="00EB3B59" w:rsidRPr="00620858" w:rsidRDefault="00EB3B59" w:rsidP="002E451A">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Pr>
                          <w:rFonts w:cs="Arial"/>
                          <w:color w:val="000000"/>
                        </w:rPr>
                        <w:t>Privately led temporary housing projects</w:t>
                      </w:r>
                    </w:p>
                    <w:p w14:paraId="6CDBE72D" w14:textId="77777777" w:rsidR="00EB3B59" w:rsidRPr="009F1874" w:rsidRDefault="00EB3B59" w:rsidP="002E451A">
                      <w:pPr>
                        <w:widowControl w:val="0"/>
                        <w:autoSpaceDE w:val="0"/>
                        <w:autoSpaceDN w:val="0"/>
                        <w:adjustRightInd w:val="0"/>
                        <w:jc w:val="both"/>
                        <w:textAlignment w:val="center"/>
                        <w:rPr>
                          <w:rFonts w:cs="Arial"/>
                          <w:color w:val="000000"/>
                          <w:highlight w:val="yellow"/>
                        </w:rPr>
                      </w:pPr>
                    </w:p>
                    <w:p w14:paraId="4B40977E" w14:textId="77777777" w:rsidR="00EB3B59" w:rsidRPr="00620858" w:rsidRDefault="00EB3B59" w:rsidP="002E451A">
                      <w:pPr>
                        <w:widowControl w:val="0"/>
                        <w:autoSpaceDE w:val="0"/>
                        <w:autoSpaceDN w:val="0"/>
                        <w:adjustRightInd w:val="0"/>
                        <w:jc w:val="both"/>
                        <w:textAlignment w:val="center"/>
                        <w:rPr>
                          <w:rFonts w:cs="Arial"/>
                          <w:b/>
                          <w:color w:val="000000"/>
                        </w:rPr>
                      </w:pPr>
                      <w:r>
                        <w:rPr>
                          <w:rFonts w:cs="Arial"/>
                          <w:b/>
                          <w:color w:val="000000"/>
                        </w:rPr>
                        <w:t>Temporary Housing</w:t>
                      </w:r>
                    </w:p>
                    <w:p w14:paraId="19B5D5AD" w14:textId="02699CDF" w:rsidR="00EB3B59" w:rsidRPr="00A0296E" w:rsidRDefault="00EB3B59" w:rsidP="00A0296E">
                      <w:pPr>
                        <w:jc w:val="both"/>
                      </w:pPr>
                      <w:r w:rsidRPr="00055AE1">
                        <w:t>An adequate management plan setting out the strategy</w:t>
                      </w:r>
                      <w:r>
                        <w:t xml:space="preserve"> to be adopted</w:t>
                      </w:r>
                      <w:r w:rsidRPr="00055AE1">
                        <w:t xml:space="preserve"> for the type of occupants, their length of stay and tenure will be agreed and secured as part of a planning obligation. Where a temporary development includes affordable temporary units, they should be secured as </w:t>
                      </w:r>
                      <w:r>
                        <w:t>Affordable Housing</w:t>
                      </w:r>
                      <w:r w:rsidRPr="00055AE1">
                        <w:t xml:space="preserve"> for the duration of the temporary permission.</w:t>
                      </w:r>
                    </w:p>
                  </w:txbxContent>
                </v:textbox>
                <w10:anchorlock/>
              </v:shape>
            </w:pict>
          </mc:Fallback>
        </mc:AlternateContent>
      </w:r>
    </w:p>
    <w:p w14:paraId="22AE8CFB" w14:textId="77777777" w:rsidR="006242F6" w:rsidRPr="000D65CE" w:rsidRDefault="006242F6" w:rsidP="003B280C">
      <w:pPr>
        <w:pStyle w:val="Paragraphs"/>
        <w:numPr>
          <w:ilvl w:val="0"/>
          <w:numId w:val="0"/>
        </w:numPr>
        <w:spacing w:before="360" w:after="120"/>
        <w:ind w:left="170"/>
        <w:rPr>
          <w:rStyle w:val="Strong"/>
          <w:lang w:val="en-GB"/>
        </w:rPr>
      </w:pPr>
      <w:r w:rsidRPr="000D65CE">
        <w:rPr>
          <w:rStyle w:val="Strong"/>
          <w:lang w:val="en-GB"/>
        </w:rPr>
        <w:t>Specialist Housing</w:t>
      </w:r>
    </w:p>
    <w:p w14:paraId="1D633DAC" w14:textId="4EB06BB3" w:rsidR="00897F7F" w:rsidRPr="000D65CE" w:rsidRDefault="00897F7F" w:rsidP="00897F7F">
      <w:pPr>
        <w:pStyle w:val="Paragraphs"/>
        <w:rPr>
          <w:lang w:val="en-GB"/>
        </w:rPr>
      </w:pPr>
      <w:r w:rsidRPr="28D940A9">
        <w:rPr>
          <w:lang w:val="en-GB"/>
        </w:rPr>
        <w:t xml:space="preserve">Tower Hamlets currently has the lowest supported living accommodation of any Council in the North East sub-region resulting in insufficient specialist accommodation to support residents in the </w:t>
      </w:r>
      <w:r w:rsidR="00F447A2" w:rsidRPr="28D940A9">
        <w:rPr>
          <w:lang w:val="en-GB"/>
        </w:rPr>
        <w:t>b</w:t>
      </w:r>
      <w:r w:rsidRPr="28D940A9">
        <w:rPr>
          <w:lang w:val="en-GB"/>
        </w:rPr>
        <w:t xml:space="preserve">orough. As development continues and population increases, the number of people requiring </w:t>
      </w:r>
      <w:r w:rsidR="0062675D" w:rsidRPr="28D940A9">
        <w:rPr>
          <w:lang w:val="en-GB"/>
        </w:rPr>
        <w:t>S</w:t>
      </w:r>
      <w:r w:rsidRPr="28D940A9">
        <w:rPr>
          <w:lang w:val="en-GB"/>
        </w:rPr>
        <w:t xml:space="preserve">pecialist </w:t>
      </w:r>
      <w:r w:rsidR="0062675D" w:rsidRPr="28D940A9">
        <w:rPr>
          <w:lang w:val="en-GB"/>
        </w:rPr>
        <w:t>H</w:t>
      </w:r>
      <w:r w:rsidRPr="28D940A9">
        <w:rPr>
          <w:lang w:val="en-GB"/>
        </w:rPr>
        <w:t xml:space="preserve">ousing is expected to increase resulting in further pressure on the current accommodation options. The Council is committed to ensuring a sufficient supply of appropriate </w:t>
      </w:r>
      <w:r w:rsidR="0062675D" w:rsidRPr="28D940A9">
        <w:rPr>
          <w:lang w:val="en-GB"/>
        </w:rPr>
        <w:t>S</w:t>
      </w:r>
      <w:r w:rsidRPr="28D940A9">
        <w:rPr>
          <w:lang w:val="en-GB"/>
        </w:rPr>
        <w:t xml:space="preserve">pecialist </w:t>
      </w:r>
      <w:r w:rsidR="0062675D" w:rsidRPr="28D940A9">
        <w:rPr>
          <w:lang w:val="en-GB"/>
        </w:rPr>
        <w:t>H</w:t>
      </w:r>
      <w:r w:rsidRPr="28D940A9">
        <w:rPr>
          <w:lang w:val="en-GB"/>
        </w:rPr>
        <w:t xml:space="preserve">ousing in the borough. </w:t>
      </w:r>
    </w:p>
    <w:p w14:paraId="0341A3B7" w14:textId="09C5CA6E" w:rsidR="00B41B3E" w:rsidRPr="000D65CE" w:rsidRDefault="00897F7F" w:rsidP="003B280C">
      <w:pPr>
        <w:pStyle w:val="Paragraphs"/>
        <w:rPr>
          <w:lang w:val="en-GB"/>
        </w:rPr>
      </w:pPr>
      <w:r w:rsidRPr="000D65CE">
        <w:rPr>
          <w:lang w:val="en-GB"/>
        </w:rPr>
        <w:t xml:space="preserve">In Tower Hamlets there is a particular need to accommodate people with learning disabilities, including shared and self-contained accommodation, to address this need. </w:t>
      </w:r>
      <w:r w:rsidR="00B41B3E" w:rsidRPr="000D65CE">
        <w:rPr>
          <w:lang w:val="en-GB"/>
        </w:rPr>
        <w:t>The Adult Learning Disability Strategy ‘</w:t>
      </w:r>
      <w:hyperlink r:id="rId14" w:history="1">
        <w:r w:rsidR="00B41B3E" w:rsidRPr="00080CDF">
          <w:rPr>
            <w:rStyle w:val="Hyperlink"/>
            <w:lang w:val="en-GB"/>
          </w:rPr>
          <w:t>Living Well in Tower Hamlets’</w:t>
        </w:r>
      </w:hyperlink>
      <w:r w:rsidR="00B41B3E" w:rsidRPr="000D65CE">
        <w:rPr>
          <w:rStyle w:val="FootnoteReference"/>
          <w:lang w:val="en-GB"/>
        </w:rPr>
        <w:footnoteReference w:id="7"/>
      </w:r>
      <w:r w:rsidR="00B41B3E" w:rsidRPr="000D65CE">
        <w:rPr>
          <w:lang w:val="en-GB"/>
        </w:rPr>
        <w:t xml:space="preserve"> sets out the Councils approach to improving support for Adults with a learning disability. Living locally in accommodation that meets their needs and being part of the local community was identified by people with learning disability, their famil</w:t>
      </w:r>
      <w:r w:rsidR="00E10FAA" w:rsidRPr="000D65CE">
        <w:rPr>
          <w:lang w:val="en-GB"/>
        </w:rPr>
        <w:t>ies,</w:t>
      </w:r>
      <w:r w:rsidR="00B41B3E" w:rsidRPr="000D65CE">
        <w:rPr>
          <w:lang w:val="en-GB"/>
        </w:rPr>
        <w:t xml:space="preserve"> and carers, as important</w:t>
      </w:r>
      <w:r w:rsidRPr="000D65CE">
        <w:rPr>
          <w:lang w:val="en-GB"/>
        </w:rPr>
        <w:t xml:space="preserve"> and is</w:t>
      </w:r>
      <w:r w:rsidR="00B41B3E" w:rsidRPr="000D65CE">
        <w:rPr>
          <w:lang w:val="en-GB"/>
        </w:rPr>
        <w:t xml:space="preserve"> one of the six outcomes </w:t>
      </w:r>
      <w:r w:rsidRPr="000D65CE">
        <w:rPr>
          <w:lang w:val="en-GB"/>
        </w:rPr>
        <w:t>detailed</w:t>
      </w:r>
      <w:r w:rsidR="00B41B3E" w:rsidRPr="000D65CE">
        <w:rPr>
          <w:lang w:val="en-GB"/>
        </w:rPr>
        <w:t xml:space="preserve"> in the Strategy.   </w:t>
      </w:r>
    </w:p>
    <w:p w14:paraId="7BC44288" w14:textId="360B71FB" w:rsidR="00AF24AA" w:rsidRDefault="00613AA5" w:rsidP="003B280C">
      <w:pPr>
        <w:pStyle w:val="Paragraphs"/>
        <w:rPr>
          <w:lang w:val="en-GB"/>
        </w:rPr>
      </w:pPr>
      <w:r w:rsidRPr="28D940A9">
        <w:rPr>
          <w:lang w:val="en-GB"/>
        </w:rPr>
        <w:t>Local Plan Policies S.H1 and D.H4 support developments that meet specialist housing needs. Develop</w:t>
      </w:r>
      <w:r w:rsidR="00AF24AA">
        <w:rPr>
          <w:lang w:val="en-GB"/>
        </w:rPr>
        <w:t>ments which include specialist housing</w:t>
      </w:r>
      <w:r w:rsidRPr="28D940A9">
        <w:rPr>
          <w:lang w:val="en-GB"/>
        </w:rPr>
        <w:t xml:space="preserve"> are encouraged to deliver specialist housing units as </w:t>
      </w:r>
      <w:r w:rsidR="00892A5D" w:rsidRPr="28D940A9">
        <w:rPr>
          <w:lang w:val="en-GB"/>
        </w:rPr>
        <w:t>Affordable Housing</w:t>
      </w:r>
      <w:r w:rsidRPr="28D940A9">
        <w:rPr>
          <w:lang w:val="en-GB"/>
        </w:rPr>
        <w:t>.</w:t>
      </w:r>
      <w:r w:rsidR="00AF24AA">
        <w:rPr>
          <w:lang w:val="en-GB"/>
        </w:rPr>
        <w:t xml:space="preserve"> It is recommended that this is discussed with the Council during pre-application discussions. </w:t>
      </w:r>
    </w:p>
    <w:p w14:paraId="0BF740EF" w14:textId="3A904FB3" w:rsidR="00B41B3E" w:rsidRDefault="00B41B3E" w:rsidP="003B280C">
      <w:pPr>
        <w:pStyle w:val="Paragraphs"/>
        <w:rPr>
          <w:lang w:val="en-GB"/>
        </w:rPr>
      </w:pPr>
      <w:r w:rsidRPr="28D940A9">
        <w:rPr>
          <w:lang w:val="en-GB"/>
        </w:rPr>
        <w:t>Developments are encouraged to deliver specialist housing on-site in accordance with best practice guidance</w:t>
      </w:r>
      <w:r w:rsidR="006E0C37" w:rsidRPr="28D940A9">
        <w:rPr>
          <w:lang w:val="en-GB"/>
        </w:rPr>
        <w:t xml:space="preserve"> to</w:t>
      </w:r>
      <w:r w:rsidRPr="28D940A9">
        <w:rPr>
          <w:lang w:val="en-GB"/>
        </w:rPr>
        <w:t xml:space="preserve"> develop </w:t>
      </w:r>
      <w:r w:rsidR="006E0C37" w:rsidRPr="28D940A9">
        <w:rPr>
          <w:lang w:val="en-GB"/>
        </w:rPr>
        <w:t>accommodation which meets the</w:t>
      </w:r>
      <w:r w:rsidRPr="28D940A9">
        <w:rPr>
          <w:lang w:val="en-GB"/>
        </w:rPr>
        <w:t xml:space="preserve"> specific needs</w:t>
      </w:r>
      <w:r w:rsidR="00D30A5E" w:rsidRPr="28D940A9">
        <w:rPr>
          <w:lang w:val="en-GB"/>
        </w:rPr>
        <w:t xml:space="preserve"> of the intended occupants</w:t>
      </w:r>
      <w:r w:rsidRPr="28D940A9">
        <w:rPr>
          <w:lang w:val="en-GB"/>
        </w:rPr>
        <w:t>.</w:t>
      </w:r>
      <w:r w:rsidR="00A6079A" w:rsidRPr="28D940A9">
        <w:rPr>
          <w:lang w:val="en-GB"/>
        </w:rPr>
        <w:t xml:space="preserve"> This includes</w:t>
      </w:r>
      <w:r w:rsidR="00AF24AA">
        <w:rPr>
          <w:lang w:val="en-GB"/>
        </w:rPr>
        <w:t xml:space="preserve"> universal design properties suitable for all autistic families and wheelchair accessible properties </w:t>
      </w:r>
      <w:r w:rsidR="00637A08" w:rsidRPr="28D940A9">
        <w:rPr>
          <w:lang w:val="en-GB"/>
        </w:rPr>
        <w:t>(including those referred to under the wheelchair accessible housing obligation below)</w:t>
      </w:r>
      <w:r w:rsidR="000A504E" w:rsidRPr="28D940A9">
        <w:rPr>
          <w:lang w:val="en-GB"/>
        </w:rPr>
        <w:t xml:space="preserve">. </w:t>
      </w:r>
      <w:r w:rsidRPr="28D940A9">
        <w:rPr>
          <w:lang w:val="en-GB"/>
        </w:rPr>
        <w:t xml:space="preserve"> </w:t>
      </w:r>
    </w:p>
    <w:p w14:paraId="5AF415CC" w14:textId="77777777" w:rsidR="00AF24AA" w:rsidRDefault="00AF24AA" w:rsidP="003D2BA4">
      <w:pPr>
        <w:spacing w:after="120"/>
        <w:rPr>
          <w:b/>
        </w:rPr>
      </w:pPr>
    </w:p>
    <w:p w14:paraId="2782D36E" w14:textId="3AEAC0D2" w:rsidR="003D2BA4" w:rsidRPr="003D2BA4" w:rsidRDefault="003D2BA4" w:rsidP="003D2BA4">
      <w:pPr>
        <w:spacing w:after="120"/>
        <w:rPr>
          <w:b/>
        </w:rPr>
      </w:pPr>
      <w:r w:rsidRPr="003D2BA4">
        <w:rPr>
          <w:b/>
        </w:rPr>
        <w:lastRenderedPageBreak/>
        <w:t xml:space="preserve">Text Box </w:t>
      </w:r>
      <w:r>
        <w:rPr>
          <w:b/>
        </w:rPr>
        <w:t>5</w:t>
      </w:r>
      <w:r w:rsidRPr="003D2BA4">
        <w:rPr>
          <w:b/>
        </w:rPr>
        <w:t xml:space="preserve">: </w:t>
      </w:r>
      <w:r w:rsidR="00815E3A">
        <w:rPr>
          <w:b/>
        </w:rPr>
        <w:t>Specialist</w:t>
      </w:r>
      <w:r w:rsidRPr="003D2BA4">
        <w:rPr>
          <w:b/>
        </w:rPr>
        <w:t xml:space="preserve"> Housing</w:t>
      </w:r>
    </w:p>
    <w:p w14:paraId="60F5D989" w14:textId="77777777" w:rsidR="00882345" w:rsidRPr="000D65CE" w:rsidRDefault="00882345" w:rsidP="003B280C">
      <w:pPr>
        <w:jc w:val="both"/>
      </w:pPr>
      <w:r w:rsidRPr="000D65CE">
        <w:rPr>
          <w:noProof/>
          <w:lang w:eastAsia="en-GB"/>
        </w:rPr>
        <mc:AlternateContent>
          <mc:Choice Requires="wps">
            <w:drawing>
              <wp:inline distT="0" distB="0" distL="0" distR="0" wp14:anchorId="1E4641A9" wp14:editId="0851B2DC">
                <wp:extent cx="5731510" cy="1943100"/>
                <wp:effectExtent l="0" t="0" r="2540" b="0"/>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1943100"/>
                        </a:xfrm>
                        <a:prstGeom prst="rect">
                          <a:avLst/>
                        </a:prstGeom>
                        <a:solidFill>
                          <a:schemeClr val="accent1">
                            <a:lumMod val="20000"/>
                            <a:lumOff val="80000"/>
                          </a:schemeClr>
                        </a:solidFill>
                        <a:ln>
                          <a:noFill/>
                        </a:ln>
                      </wps:spPr>
                      <wps:txbx>
                        <w:txbxContent>
                          <w:p w14:paraId="0DA4564B" w14:textId="77777777" w:rsidR="00EB3B59" w:rsidRPr="00620858" w:rsidRDefault="00EB3B59" w:rsidP="00882345">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748F2AD3" w14:textId="77777777" w:rsidR="00EB3B59" w:rsidRPr="00620858" w:rsidRDefault="00EB3B59" w:rsidP="00882345">
                            <w:pPr>
                              <w:jc w:val="both"/>
                            </w:pPr>
                            <w:r w:rsidRPr="00620858">
                              <w:t>Planning obligations will be secured for:</w:t>
                            </w:r>
                          </w:p>
                          <w:p w14:paraId="336AC79B" w14:textId="6DA2D0EE" w:rsidR="00EB3B59" w:rsidRPr="00620858" w:rsidRDefault="00EB3B59" w:rsidP="00882345">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Pr>
                                <w:rFonts w:cs="Arial"/>
                                <w:color w:val="000000"/>
                              </w:rPr>
                              <w:t>Developments delivering Specialist Housing</w:t>
                            </w:r>
                          </w:p>
                          <w:p w14:paraId="22784EF7" w14:textId="77777777" w:rsidR="00EB3B59" w:rsidRPr="009F1874" w:rsidRDefault="00EB3B59" w:rsidP="00882345">
                            <w:pPr>
                              <w:widowControl w:val="0"/>
                              <w:autoSpaceDE w:val="0"/>
                              <w:autoSpaceDN w:val="0"/>
                              <w:adjustRightInd w:val="0"/>
                              <w:jc w:val="both"/>
                              <w:textAlignment w:val="center"/>
                              <w:rPr>
                                <w:rFonts w:cs="Arial"/>
                                <w:color w:val="000000"/>
                                <w:highlight w:val="yellow"/>
                              </w:rPr>
                            </w:pPr>
                          </w:p>
                          <w:p w14:paraId="7C7A2268" w14:textId="2C98078A" w:rsidR="00EB3B59" w:rsidRPr="00AF343B" w:rsidRDefault="00EB3B59" w:rsidP="00882345">
                            <w:pPr>
                              <w:widowControl w:val="0"/>
                              <w:autoSpaceDE w:val="0"/>
                              <w:autoSpaceDN w:val="0"/>
                              <w:adjustRightInd w:val="0"/>
                              <w:jc w:val="both"/>
                              <w:textAlignment w:val="center"/>
                            </w:pPr>
                            <w:r>
                              <w:t xml:space="preserve">The planning obligation will require delivery of the specialist housing units. The legal agreement will identify the units to be delivered as specialist housing </w:t>
                            </w:r>
                            <w:r w:rsidRPr="00055AE1">
                              <w:t>and outline what needs these will be adapted to</w:t>
                            </w:r>
                            <w:r>
                              <w:t>, including any units to be delivered as Affordable Housing</w:t>
                            </w:r>
                            <w:r w:rsidRPr="00055AE1">
                              <w:t xml:space="preserve"> </w:t>
                            </w:r>
                          </w:p>
                        </w:txbxContent>
                      </wps:txbx>
                      <wps:bodyPr rot="0" vert="horz" wrap="square" lIns="91440" tIns="45720" rIns="91440" bIns="45720" anchor="t" anchorCtr="0" upright="1">
                        <a:noAutofit/>
                      </wps:bodyPr>
                    </wps:wsp>
                  </a:graphicData>
                </a:graphic>
              </wp:inline>
            </w:drawing>
          </mc:Choice>
          <mc:Fallback>
            <w:pict>
              <v:shape w14:anchorId="1E4641A9" id="_x0000_s1031" type="#_x0000_t202" style="width:451.3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" fillcolor="#dbe5f1 [660]" stroked="f">
                <v:textbox>
                  <w:txbxContent>
                    <w:p w14:paraId="0DA4564B" w14:textId="77777777" w:rsidR="00EB3B59" w:rsidRPr="00620858" w:rsidRDefault="00EB3B59" w:rsidP="00882345">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748F2AD3" w14:textId="77777777" w:rsidR="00EB3B59" w:rsidRPr="00620858" w:rsidRDefault="00EB3B59" w:rsidP="00882345">
                      <w:pPr>
                        <w:jc w:val="both"/>
                      </w:pPr>
                      <w:r w:rsidRPr="00620858">
                        <w:t>Planning obligations will be secured for:</w:t>
                      </w:r>
                    </w:p>
                    <w:p w14:paraId="336AC79B" w14:textId="6DA2D0EE" w:rsidR="00EB3B59" w:rsidRPr="00620858" w:rsidRDefault="00EB3B59" w:rsidP="00882345">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Pr>
                          <w:rFonts w:cs="Arial"/>
                          <w:color w:val="000000"/>
                        </w:rPr>
                        <w:t>Developments delivering Specialist Housing</w:t>
                      </w:r>
                    </w:p>
                    <w:p w14:paraId="22784EF7" w14:textId="77777777" w:rsidR="00EB3B59" w:rsidRPr="009F1874" w:rsidRDefault="00EB3B59" w:rsidP="00882345">
                      <w:pPr>
                        <w:widowControl w:val="0"/>
                        <w:autoSpaceDE w:val="0"/>
                        <w:autoSpaceDN w:val="0"/>
                        <w:adjustRightInd w:val="0"/>
                        <w:jc w:val="both"/>
                        <w:textAlignment w:val="center"/>
                        <w:rPr>
                          <w:rFonts w:cs="Arial"/>
                          <w:color w:val="000000"/>
                          <w:highlight w:val="yellow"/>
                        </w:rPr>
                      </w:pPr>
                    </w:p>
                    <w:p w14:paraId="7C7A2268" w14:textId="2C98078A" w:rsidR="00EB3B59" w:rsidRPr="00AF343B" w:rsidRDefault="00EB3B59" w:rsidP="00882345">
                      <w:pPr>
                        <w:widowControl w:val="0"/>
                        <w:autoSpaceDE w:val="0"/>
                        <w:autoSpaceDN w:val="0"/>
                        <w:adjustRightInd w:val="0"/>
                        <w:jc w:val="both"/>
                        <w:textAlignment w:val="center"/>
                      </w:pPr>
                      <w:r>
                        <w:t xml:space="preserve">The planning obligation will require delivery of the specialist housing units. The legal agreement will identify the units to be delivered as specialist housing </w:t>
                      </w:r>
                      <w:r w:rsidRPr="00055AE1">
                        <w:t>and outline what needs these will be adapted to</w:t>
                      </w:r>
                      <w:r>
                        <w:t>, including any units to be delivered as Affordable Housing</w:t>
                      </w:r>
                      <w:r w:rsidRPr="00055AE1">
                        <w:t xml:space="preserve"> </w:t>
                      </w:r>
                    </w:p>
                  </w:txbxContent>
                </v:textbox>
                <w10:anchorlock/>
              </v:shape>
            </w:pict>
          </mc:Fallback>
        </mc:AlternateContent>
      </w:r>
    </w:p>
    <w:p w14:paraId="52A74704" w14:textId="77777777" w:rsidR="001C62BD" w:rsidRPr="000D65CE" w:rsidRDefault="00EC3EBA" w:rsidP="003B280C">
      <w:pPr>
        <w:pStyle w:val="Paragraphs"/>
        <w:numPr>
          <w:ilvl w:val="0"/>
          <w:numId w:val="0"/>
        </w:numPr>
        <w:spacing w:before="360" w:after="120"/>
        <w:ind w:left="170"/>
        <w:rPr>
          <w:rStyle w:val="Strong"/>
          <w:lang w:val="en-GB"/>
        </w:rPr>
      </w:pPr>
      <w:r w:rsidRPr="000D65CE">
        <w:rPr>
          <w:rStyle w:val="Strong"/>
          <w:lang w:val="en-GB"/>
        </w:rPr>
        <w:t>Intermediate Housing</w:t>
      </w:r>
    </w:p>
    <w:p w14:paraId="765C5405" w14:textId="77777777" w:rsidR="004525BF" w:rsidRPr="000D65CE" w:rsidRDefault="00F651F4" w:rsidP="003B280C">
      <w:pPr>
        <w:pStyle w:val="Paragraphs"/>
        <w:rPr>
          <w:lang w:val="en-GB"/>
        </w:rPr>
      </w:pPr>
      <w:r w:rsidRPr="28D940A9">
        <w:rPr>
          <w:lang w:val="en-GB"/>
        </w:rPr>
        <w:t xml:space="preserve">Local Plan policies </w:t>
      </w:r>
      <w:r w:rsidR="001F3FEA" w:rsidRPr="28D940A9">
        <w:rPr>
          <w:lang w:val="en-GB"/>
        </w:rPr>
        <w:t>S.H1 and D.H2 support developments which contribute to</w:t>
      </w:r>
      <w:r w:rsidR="00CE3E25" w:rsidRPr="28D940A9">
        <w:rPr>
          <w:lang w:val="en-GB"/>
        </w:rPr>
        <w:t xml:space="preserve"> mixed and balanced communities</w:t>
      </w:r>
      <w:r w:rsidR="001F3FEA" w:rsidRPr="28D940A9">
        <w:rPr>
          <w:lang w:val="en-GB"/>
        </w:rPr>
        <w:t xml:space="preserve"> incl</w:t>
      </w:r>
      <w:r w:rsidR="00C47CBB" w:rsidRPr="28D940A9">
        <w:rPr>
          <w:lang w:val="en-GB"/>
        </w:rPr>
        <w:t>uding through the provision of Intermediate H</w:t>
      </w:r>
      <w:r w:rsidR="001F3FEA" w:rsidRPr="28D940A9">
        <w:rPr>
          <w:lang w:val="en-GB"/>
        </w:rPr>
        <w:t xml:space="preserve">ousing. </w:t>
      </w:r>
      <w:r w:rsidR="00C47CBB" w:rsidRPr="28D940A9">
        <w:rPr>
          <w:lang w:val="en-GB"/>
        </w:rPr>
        <w:t>Intermediate H</w:t>
      </w:r>
      <w:r w:rsidR="004525BF" w:rsidRPr="28D940A9">
        <w:rPr>
          <w:lang w:val="en-GB"/>
        </w:rPr>
        <w:t>ousing describes a range of homes for sale and rent provided at a cost above social rent but below market levels (subject to the criteria in the NPPF</w:t>
      </w:r>
      <w:r w:rsidR="00AC10F2" w:rsidRPr="28D940A9">
        <w:rPr>
          <w:lang w:val="en-GB"/>
        </w:rPr>
        <w:t>)</w:t>
      </w:r>
      <w:r w:rsidR="004525BF" w:rsidRPr="28D940A9">
        <w:rPr>
          <w:lang w:val="en-GB"/>
        </w:rPr>
        <w:t>.</w:t>
      </w:r>
    </w:p>
    <w:p w14:paraId="4F102F6A" w14:textId="77777777" w:rsidR="00F651F4" w:rsidRPr="000D65CE" w:rsidRDefault="004525BF" w:rsidP="003B280C">
      <w:pPr>
        <w:pStyle w:val="Paragraphs"/>
        <w:rPr>
          <w:lang w:val="en-GB"/>
        </w:rPr>
      </w:pPr>
      <w:r w:rsidRPr="28D940A9">
        <w:rPr>
          <w:lang w:val="en-GB"/>
        </w:rPr>
        <w:t>The C</w:t>
      </w:r>
      <w:r w:rsidR="009B05A4" w:rsidRPr="28D940A9">
        <w:rPr>
          <w:lang w:val="en-GB"/>
        </w:rPr>
        <w:t>ouncil</w:t>
      </w:r>
      <w:r w:rsidR="00C47CBB" w:rsidRPr="28D940A9">
        <w:rPr>
          <w:lang w:val="en-GB"/>
        </w:rPr>
        <w:t xml:space="preserve"> wants to promote a variety of I</w:t>
      </w:r>
      <w:r w:rsidR="009B05A4" w:rsidRPr="28D940A9">
        <w:rPr>
          <w:lang w:val="en-GB"/>
        </w:rPr>
        <w:t xml:space="preserve">ntermediate </w:t>
      </w:r>
      <w:r w:rsidR="00C47CBB" w:rsidRPr="28D940A9">
        <w:rPr>
          <w:lang w:val="en-GB"/>
        </w:rPr>
        <w:t>H</w:t>
      </w:r>
      <w:r w:rsidR="009B05A4" w:rsidRPr="28D940A9">
        <w:rPr>
          <w:lang w:val="en-GB"/>
        </w:rPr>
        <w:t>ousing products across the borough</w:t>
      </w:r>
      <w:r w:rsidR="00CC43B6" w:rsidRPr="28D940A9">
        <w:rPr>
          <w:lang w:val="en-GB"/>
        </w:rPr>
        <w:t xml:space="preserve"> and is particularly supportive of intermediate rented </w:t>
      </w:r>
      <w:r w:rsidR="001F2AEC" w:rsidRPr="28D940A9">
        <w:rPr>
          <w:lang w:val="en-GB"/>
        </w:rPr>
        <w:t>produc</w:t>
      </w:r>
      <w:r w:rsidR="00C47CBB" w:rsidRPr="28D940A9">
        <w:rPr>
          <w:lang w:val="en-GB"/>
        </w:rPr>
        <w:t>ts which are a more affordable Intermediate H</w:t>
      </w:r>
      <w:r w:rsidR="001F2AEC" w:rsidRPr="28D940A9">
        <w:rPr>
          <w:lang w:val="en-GB"/>
        </w:rPr>
        <w:t>ousing product</w:t>
      </w:r>
      <w:r w:rsidR="001D734A" w:rsidRPr="28D940A9">
        <w:rPr>
          <w:lang w:val="en-GB"/>
        </w:rPr>
        <w:t xml:space="preserve"> for a wider range of </w:t>
      </w:r>
      <w:r w:rsidR="00943CF1" w:rsidRPr="28D940A9">
        <w:rPr>
          <w:lang w:val="en-GB"/>
        </w:rPr>
        <w:t>Tower Hamlets residents</w:t>
      </w:r>
      <w:r w:rsidR="001D734A" w:rsidRPr="28D940A9">
        <w:rPr>
          <w:lang w:val="en-GB"/>
        </w:rPr>
        <w:t xml:space="preserve">. </w:t>
      </w:r>
      <w:r w:rsidR="001F2AEC" w:rsidRPr="28D940A9">
        <w:rPr>
          <w:lang w:val="en-GB"/>
        </w:rPr>
        <w:t xml:space="preserve"> </w:t>
      </w:r>
    </w:p>
    <w:p w14:paraId="3AF7C90E" w14:textId="347A4239" w:rsidR="00943CF1" w:rsidRDefault="00C47CBB" w:rsidP="003B280C">
      <w:pPr>
        <w:pStyle w:val="Paragraphs"/>
        <w:rPr>
          <w:lang w:val="en-GB"/>
        </w:rPr>
      </w:pPr>
      <w:r w:rsidRPr="28D940A9">
        <w:rPr>
          <w:lang w:val="en-GB"/>
        </w:rPr>
        <w:t>Where Intermediate H</w:t>
      </w:r>
      <w:r w:rsidR="00943CF1" w:rsidRPr="28D940A9">
        <w:rPr>
          <w:lang w:val="en-GB"/>
        </w:rPr>
        <w:t>ousing is included in</w:t>
      </w:r>
      <w:r w:rsidR="00E25C4F" w:rsidRPr="28D940A9">
        <w:rPr>
          <w:lang w:val="en-GB"/>
        </w:rPr>
        <w:t xml:space="preserve"> a</w:t>
      </w:r>
      <w:r w:rsidR="00943CF1" w:rsidRPr="28D940A9">
        <w:rPr>
          <w:lang w:val="en-GB"/>
        </w:rPr>
        <w:t xml:space="preserve"> development</w:t>
      </w:r>
      <w:r w:rsidR="00E25C4F" w:rsidRPr="28D940A9">
        <w:rPr>
          <w:lang w:val="en-GB"/>
        </w:rPr>
        <w:t xml:space="preserve"> and is funded without support from the GLA</w:t>
      </w:r>
      <w:r w:rsidR="00943CF1" w:rsidRPr="28D940A9">
        <w:rPr>
          <w:lang w:val="en-GB"/>
        </w:rPr>
        <w:t xml:space="preserve">, the </w:t>
      </w:r>
      <w:r w:rsidR="00032BFE" w:rsidRPr="28D940A9">
        <w:rPr>
          <w:lang w:val="en-GB"/>
        </w:rPr>
        <w:t xml:space="preserve">legal </w:t>
      </w:r>
      <w:r w:rsidR="00943CF1" w:rsidRPr="28D940A9">
        <w:rPr>
          <w:lang w:val="en-GB"/>
        </w:rPr>
        <w:t xml:space="preserve">agreement will </w:t>
      </w:r>
      <w:r w:rsidR="00BE2855" w:rsidRPr="28D940A9">
        <w:rPr>
          <w:lang w:val="en-GB"/>
        </w:rPr>
        <w:t xml:space="preserve">detail the requirements for </w:t>
      </w:r>
      <w:r w:rsidR="00E25C4F" w:rsidRPr="28D940A9">
        <w:rPr>
          <w:lang w:val="en-GB"/>
        </w:rPr>
        <w:t>marketing the units</w:t>
      </w:r>
      <w:r w:rsidR="006B5516">
        <w:rPr>
          <w:lang w:val="en-GB"/>
        </w:rPr>
        <w:t xml:space="preserve"> in accordance with the Tower Hamlets Intermediate Housing Policy</w:t>
      </w:r>
      <w:r w:rsidR="00E25C4F" w:rsidRPr="28D940A9">
        <w:rPr>
          <w:lang w:val="en-GB"/>
        </w:rPr>
        <w:t xml:space="preserve">.  </w:t>
      </w:r>
    </w:p>
    <w:p w14:paraId="08EC8AF7" w14:textId="77777777" w:rsidR="00815E3A" w:rsidRPr="003D2BA4" w:rsidRDefault="00815E3A" w:rsidP="00815E3A">
      <w:pPr>
        <w:spacing w:after="120"/>
        <w:rPr>
          <w:b/>
        </w:rPr>
      </w:pPr>
      <w:r w:rsidRPr="003D2BA4">
        <w:rPr>
          <w:b/>
        </w:rPr>
        <w:t xml:space="preserve">Text Box </w:t>
      </w:r>
      <w:r>
        <w:rPr>
          <w:b/>
        </w:rPr>
        <w:t>6</w:t>
      </w:r>
      <w:r w:rsidRPr="003D2BA4">
        <w:rPr>
          <w:b/>
        </w:rPr>
        <w:t xml:space="preserve">: </w:t>
      </w:r>
      <w:r>
        <w:rPr>
          <w:b/>
        </w:rPr>
        <w:t xml:space="preserve">Intermediate </w:t>
      </w:r>
      <w:r w:rsidRPr="003D2BA4">
        <w:rPr>
          <w:b/>
        </w:rPr>
        <w:t>Housing</w:t>
      </w:r>
    </w:p>
    <w:p w14:paraId="759BE92A" w14:textId="77777777" w:rsidR="00F651F4" w:rsidRPr="000D65CE" w:rsidRDefault="00F651F4" w:rsidP="003B280C">
      <w:pPr>
        <w:pStyle w:val="Paragraphs"/>
        <w:numPr>
          <w:ilvl w:val="0"/>
          <w:numId w:val="0"/>
        </w:numPr>
        <w:rPr>
          <w:lang w:val="en-GB"/>
        </w:rPr>
      </w:pPr>
      <w:r w:rsidRPr="000D65CE">
        <w:rPr>
          <w:noProof/>
          <w:lang w:val="en-GB" w:eastAsia="en-GB"/>
        </w:rPr>
        <mc:AlternateContent>
          <mc:Choice Requires="wps">
            <w:drawing>
              <wp:inline distT="0" distB="0" distL="0" distR="0" wp14:anchorId="414759D2" wp14:editId="1FC7C495">
                <wp:extent cx="5731510" cy="2533650"/>
                <wp:effectExtent l="0" t="0" r="2540" b="0"/>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2533650"/>
                        </a:xfrm>
                        <a:prstGeom prst="rect">
                          <a:avLst/>
                        </a:prstGeom>
                        <a:solidFill>
                          <a:schemeClr val="accent1">
                            <a:lumMod val="20000"/>
                            <a:lumOff val="80000"/>
                          </a:schemeClr>
                        </a:solidFill>
                        <a:ln>
                          <a:noFill/>
                        </a:ln>
                      </wps:spPr>
                      <wps:txbx>
                        <w:txbxContent>
                          <w:p w14:paraId="78CB1B9E" w14:textId="77777777" w:rsidR="00EB3B59" w:rsidRPr="00620858" w:rsidRDefault="00EB3B59" w:rsidP="00F651F4">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22EF6EF7" w14:textId="77777777" w:rsidR="00EB3B59" w:rsidRPr="00620858" w:rsidRDefault="00EB3B59" w:rsidP="00F651F4">
                            <w:pPr>
                              <w:jc w:val="both"/>
                            </w:pPr>
                            <w:r w:rsidRPr="00620858">
                              <w:t>Planning obligations will be secured for:</w:t>
                            </w:r>
                          </w:p>
                          <w:p w14:paraId="5680C93A" w14:textId="1899DD63" w:rsidR="00EB3B59" w:rsidRPr="00620858" w:rsidRDefault="00EB3B59" w:rsidP="00F651F4">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Pr>
                                <w:rFonts w:cs="Arial"/>
                                <w:color w:val="000000"/>
                              </w:rPr>
                              <w:t>New build Intermediate Housing funded without support from the GLA</w:t>
                            </w:r>
                          </w:p>
                          <w:p w14:paraId="25B4AB8F" w14:textId="77777777" w:rsidR="00EB3B59" w:rsidRPr="009F1874" w:rsidRDefault="00EB3B59" w:rsidP="00F651F4">
                            <w:pPr>
                              <w:widowControl w:val="0"/>
                              <w:autoSpaceDE w:val="0"/>
                              <w:autoSpaceDN w:val="0"/>
                              <w:adjustRightInd w:val="0"/>
                              <w:jc w:val="both"/>
                              <w:textAlignment w:val="center"/>
                              <w:rPr>
                                <w:rFonts w:cs="Arial"/>
                                <w:color w:val="000000"/>
                                <w:highlight w:val="yellow"/>
                              </w:rPr>
                            </w:pPr>
                          </w:p>
                          <w:p w14:paraId="5C4B2266" w14:textId="13B4EE95" w:rsidR="000B29AC" w:rsidRPr="00AF343B" w:rsidRDefault="00EB3B59" w:rsidP="00F651F4">
                            <w:pPr>
                              <w:widowControl w:val="0"/>
                              <w:autoSpaceDE w:val="0"/>
                              <w:autoSpaceDN w:val="0"/>
                              <w:adjustRightInd w:val="0"/>
                              <w:jc w:val="both"/>
                              <w:textAlignment w:val="center"/>
                            </w:pPr>
                            <w:r>
                              <w:t xml:space="preserve">The legal agreement will require Intermediate Housing products to be </w:t>
                            </w:r>
                            <w:r w:rsidRPr="00664641">
                              <w:t>marketed to Tower Hamlets residents</w:t>
                            </w:r>
                            <w:r w:rsidR="006B5516">
                              <w:t xml:space="preserve"> and those who work in the Borough</w:t>
                            </w:r>
                            <w:r w:rsidRPr="00664641">
                              <w:t xml:space="preserve"> for the first three months of marketing</w:t>
                            </w:r>
                            <w:r w:rsidR="006B5516">
                              <w:t>, in accordance with the Tower Hamlets Intermediate Housing Policy</w:t>
                            </w:r>
                            <w:r>
                              <w:t>. Developers or registered providers will be required to inform the Council when this marketing begins</w:t>
                            </w:r>
                            <w:r w:rsidR="000B29AC">
                              <w:t xml:space="preserve"> </w:t>
                            </w:r>
                            <w:r w:rsidR="000B29AC" w:rsidRPr="000B29AC">
                              <w:t xml:space="preserve">and once the three-month period is complete, prior to commencing London-wide marketing. </w:t>
                            </w:r>
                            <w:r w:rsidRPr="000B29AC">
                              <w:t>This will not apply to resale of Intermediate Housing products.</w:t>
                            </w:r>
                          </w:p>
                        </w:txbxContent>
                      </wps:txbx>
                      <wps:bodyPr rot="0" vert="horz" wrap="square" lIns="91440" tIns="45720" rIns="91440" bIns="45720" anchor="t" anchorCtr="0" upright="1">
                        <a:noAutofit/>
                      </wps:bodyPr>
                    </wps:wsp>
                  </a:graphicData>
                </a:graphic>
              </wp:inline>
            </w:drawing>
          </mc:Choice>
          <mc:Fallback>
            <w:pict>
              <v:shape w14:anchorId="414759D2" id="_x0000_s1032" type="#_x0000_t202" style="width:451.3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" fillcolor="#dbe5f1 [660]" stroked="f">
                <v:textbox>
                  <w:txbxContent>
                    <w:p w14:paraId="78CB1B9E" w14:textId="77777777" w:rsidR="00EB3B59" w:rsidRPr="00620858" w:rsidRDefault="00EB3B59" w:rsidP="00F651F4">
                      <w:pPr>
                        <w:widowControl w:val="0"/>
                        <w:autoSpaceDE w:val="0"/>
                        <w:autoSpaceDN w:val="0"/>
                        <w:adjustRightInd w:val="0"/>
                        <w:jc w:val="both"/>
                        <w:textAlignment w:val="center"/>
                        <w:rPr>
                          <w:rFonts w:cs="Arial"/>
                          <w:b/>
                          <w:szCs w:val="22"/>
                        </w:rPr>
                      </w:pPr>
                      <w:r w:rsidRPr="00620858">
                        <w:rPr>
                          <w:rFonts w:cs="Arial"/>
                          <w:b/>
                          <w:szCs w:val="22"/>
                        </w:rPr>
                        <w:t>Threshold and Contribution Requirements</w:t>
                      </w:r>
                    </w:p>
                    <w:p w14:paraId="22EF6EF7" w14:textId="77777777" w:rsidR="00EB3B59" w:rsidRPr="00620858" w:rsidRDefault="00EB3B59" w:rsidP="00F651F4">
                      <w:pPr>
                        <w:jc w:val="both"/>
                      </w:pPr>
                      <w:r w:rsidRPr="00620858">
                        <w:t>Planning obligations will be secured for:</w:t>
                      </w:r>
                    </w:p>
                    <w:p w14:paraId="5680C93A" w14:textId="1899DD63" w:rsidR="00EB3B59" w:rsidRPr="00620858" w:rsidRDefault="00EB3B59" w:rsidP="00F651F4">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Pr>
                          <w:rFonts w:cs="Arial"/>
                          <w:color w:val="000000"/>
                        </w:rPr>
                        <w:t>New build Intermediate Housing funded without support from the GLA</w:t>
                      </w:r>
                    </w:p>
                    <w:p w14:paraId="25B4AB8F" w14:textId="77777777" w:rsidR="00EB3B59" w:rsidRPr="009F1874" w:rsidRDefault="00EB3B59" w:rsidP="00F651F4">
                      <w:pPr>
                        <w:widowControl w:val="0"/>
                        <w:autoSpaceDE w:val="0"/>
                        <w:autoSpaceDN w:val="0"/>
                        <w:adjustRightInd w:val="0"/>
                        <w:jc w:val="both"/>
                        <w:textAlignment w:val="center"/>
                        <w:rPr>
                          <w:rFonts w:cs="Arial"/>
                          <w:color w:val="000000"/>
                          <w:highlight w:val="yellow"/>
                        </w:rPr>
                      </w:pPr>
                    </w:p>
                    <w:p w14:paraId="5C4B2266" w14:textId="13B4EE95" w:rsidR="000B29AC" w:rsidRPr="00AF343B" w:rsidRDefault="00EB3B59" w:rsidP="00F651F4">
                      <w:pPr>
                        <w:widowControl w:val="0"/>
                        <w:autoSpaceDE w:val="0"/>
                        <w:autoSpaceDN w:val="0"/>
                        <w:adjustRightInd w:val="0"/>
                        <w:jc w:val="both"/>
                        <w:textAlignment w:val="center"/>
                      </w:pPr>
                      <w:r>
                        <w:t xml:space="preserve">The legal agreement will require Intermediate Housing products to be </w:t>
                      </w:r>
                      <w:r w:rsidRPr="00664641">
                        <w:t>marketed to Tower Hamlets residents</w:t>
                      </w:r>
                      <w:r w:rsidR="006B5516">
                        <w:t xml:space="preserve"> and those who work in the Borough</w:t>
                      </w:r>
                      <w:r w:rsidRPr="00664641">
                        <w:t xml:space="preserve"> for the first three months of marketing</w:t>
                      </w:r>
                      <w:r w:rsidR="006B5516">
                        <w:t>, in accordance with the Tower Hamlets Intermediate Housing Policy</w:t>
                      </w:r>
                      <w:r>
                        <w:t>. Developers or registered providers will be required to inform the Council when this marketing begins</w:t>
                      </w:r>
                      <w:r w:rsidR="000B29AC">
                        <w:t xml:space="preserve"> </w:t>
                      </w:r>
                      <w:r w:rsidR="000B29AC" w:rsidRPr="000B29AC">
                        <w:t xml:space="preserve">and once the three-month period is complete, prior to commencing London-wide marketing. </w:t>
                      </w:r>
                      <w:r w:rsidRPr="000B29AC">
                        <w:t>This will not apply to resale of Intermediate Housing products.</w:t>
                      </w:r>
                    </w:p>
                  </w:txbxContent>
                </v:textbox>
                <w10:anchorlock/>
              </v:shape>
            </w:pict>
          </mc:Fallback>
        </mc:AlternateContent>
      </w:r>
    </w:p>
    <w:p w14:paraId="794CDC60" w14:textId="77777777" w:rsidR="004C3EBE" w:rsidRPr="000D65CE" w:rsidRDefault="004C3EBE" w:rsidP="00721B10">
      <w:pPr>
        <w:pStyle w:val="Heading2"/>
        <w:rPr>
          <w:highlight w:val="yellow"/>
        </w:rPr>
      </w:pPr>
      <w:bookmarkStart w:id="9" w:name="_Toc69374671"/>
      <w:r w:rsidRPr="000D65CE">
        <w:lastRenderedPageBreak/>
        <w:t>Wheelchair Accessible Housing</w:t>
      </w:r>
      <w:r w:rsidR="00C5603B" w:rsidRPr="000D65CE">
        <w:t xml:space="preserve"> and Parking</w:t>
      </w:r>
      <w:bookmarkEnd w:id="9"/>
    </w:p>
    <w:tbl>
      <w:tblPr>
        <w:tblStyle w:val="TableGrid"/>
        <w:tblW w:w="0" w:type="auto"/>
        <w:tblInd w:w="720"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04317154" w14:textId="77777777" w:rsidTr="00990FBE">
        <w:tc>
          <w:tcPr>
            <w:tcW w:w="3119" w:type="dxa"/>
            <w:tcBorders>
              <w:bottom w:val="single" w:sz="8" w:space="0" w:color="006BB6"/>
            </w:tcBorders>
            <w:shd w:val="clear" w:color="auto" w:fill="F2F2F2" w:themeFill="background1" w:themeFillShade="F2"/>
          </w:tcPr>
          <w:p w14:paraId="14AF5347"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251A7CC6"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D.H3, D.H6</w:t>
            </w:r>
          </w:p>
        </w:tc>
      </w:tr>
    </w:tbl>
    <w:p w14:paraId="77D55C3C" w14:textId="77777777" w:rsidR="00575071" w:rsidRPr="000D65CE" w:rsidRDefault="00575071" w:rsidP="003B280C">
      <w:pPr>
        <w:jc w:val="both"/>
        <w:rPr>
          <w:rStyle w:val="Strong"/>
        </w:rPr>
      </w:pPr>
    </w:p>
    <w:p w14:paraId="4F4056E4" w14:textId="559E990C" w:rsidR="00CB75FB" w:rsidRPr="000D65CE" w:rsidRDefault="00B73EFF" w:rsidP="003B280C">
      <w:pPr>
        <w:spacing w:after="120"/>
        <w:jc w:val="both"/>
        <w:rPr>
          <w:b/>
          <w:color w:val="00477E"/>
          <w:sz w:val="24"/>
        </w:rPr>
      </w:pPr>
      <w:r>
        <w:rPr>
          <w:b/>
          <w:color w:val="00477E"/>
          <w:sz w:val="24"/>
        </w:rPr>
        <w:t>How the Council w</w:t>
      </w:r>
      <w:r w:rsidR="006B4172">
        <w:rPr>
          <w:b/>
          <w:color w:val="00477E"/>
          <w:sz w:val="24"/>
        </w:rPr>
        <w:t>ill Secure Wheelchair A</w:t>
      </w:r>
      <w:r w:rsidR="00CB75FB" w:rsidRPr="000D65CE">
        <w:rPr>
          <w:b/>
          <w:color w:val="00477E"/>
          <w:sz w:val="24"/>
        </w:rPr>
        <w:t xml:space="preserve">ccessible </w:t>
      </w:r>
      <w:r w:rsidR="006B4172">
        <w:rPr>
          <w:b/>
          <w:color w:val="00477E"/>
          <w:sz w:val="24"/>
        </w:rPr>
        <w:t>Housing a</w:t>
      </w:r>
      <w:r w:rsidR="006B4172" w:rsidRPr="000D65CE">
        <w:rPr>
          <w:b/>
          <w:color w:val="00477E"/>
          <w:sz w:val="24"/>
        </w:rPr>
        <w:t xml:space="preserve">nd Parking Through </w:t>
      </w:r>
      <w:r w:rsidR="000E364F">
        <w:rPr>
          <w:b/>
          <w:color w:val="00477E"/>
          <w:sz w:val="24"/>
        </w:rPr>
        <w:t>Planning Obligations</w:t>
      </w:r>
    </w:p>
    <w:p w14:paraId="725254A6" w14:textId="77777777" w:rsidR="00CB75FB" w:rsidRPr="000D65CE" w:rsidRDefault="00C35636" w:rsidP="003B280C">
      <w:pPr>
        <w:pStyle w:val="Paragraphs"/>
        <w:numPr>
          <w:ilvl w:val="0"/>
          <w:numId w:val="0"/>
        </w:numPr>
        <w:spacing w:before="240" w:after="120"/>
        <w:ind w:left="794" w:hanging="624"/>
        <w:rPr>
          <w:rStyle w:val="Strong"/>
          <w:lang w:val="en-GB"/>
        </w:rPr>
      </w:pPr>
      <w:r w:rsidRPr="000D65CE">
        <w:rPr>
          <w:rStyle w:val="Strong"/>
          <w:lang w:val="en-GB"/>
        </w:rPr>
        <w:t>Wheelchair</w:t>
      </w:r>
      <w:r w:rsidR="006F7F76" w:rsidRPr="000D65CE">
        <w:rPr>
          <w:rStyle w:val="Strong"/>
          <w:lang w:val="en-GB"/>
        </w:rPr>
        <w:t xml:space="preserve"> Accessible</w:t>
      </w:r>
      <w:r w:rsidRPr="000D65CE">
        <w:rPr>
          <w:rStyle w:val="Strong"/>
          <w:lang w:val="en-GB"/>
        </w:rPr>
        <w:t xml:space="preserve"> Housing</w:t>
      </w:r>
    </w:p>
    <w:p w14:paraId="5B864CC1" w14:textId="77777777" w:rsidR="004C3EBE" w:rsidRPr="00FE62EA" w:rsidRDefault="00D018C2" w:rsidP="003B280C">
      <w:pPr>
        <w:pStyle w:val="Paragraphs"/>
        <w:rPr>
          <w:lang w:val="en-GB"/>
        </w:rPr>
      </w:pPr>
      <w:r w:rsidRPr="28D940A9">
        <w:rPr>
          <w:lang w:val="en-GB"/>
        </w:rPr>
        <w:t xml:space="preserve">To meet the current and future needs of households requiring accessible housing, </w:t>
      </w:r>
      <w:r w:rsidR="004C3EBE" w:rsidRPr="28D940A9">
        <w:rPr>
          <w:lang w:val="en-GB"/>
        </w:rPr>
        <w:t>Local Plan Policy D.H3 require</w:t>
      </w:r>
      <w:r w:rsidR="0058440A" w:rsidRPr="28D940A9">
        <w:rPr>
          <w:lang w:val="en-GB"/>
        </w:rPr>
        <w:t>s</w:t>
      </w:r>
      <w:r w:rsidR="004C3EBE" w:rsidRPr="28D940A9">
        <w:rPr>
          <w:lang w:val="en-GB"/>
        </w:rPr>
        <w:t xml:space="preserve"> at least 10%</w:t>
      </w:r>
      <w:r w:rsidR="008E4F06" w:rsidRPr="28D940A9">
        <w:rPr>
          <w:lang w:val="en-GB"/>
        </w:rPr>
        <w:t xml:space="preserve"> of all</w:t>
      </w:r>
      <w:r w:rsidR="00FE62EA" w:rsidRPr="28D940A9">
        <w:rPr>
          <w:lang w:val="en-GB"/>
        </w:rPr>
        <w:t xml:space="preserve"> new</w:t>
      </w:r>
      <w:r w:rsidR="008E4F06" w:rsidRPr="28D940A9">
        <w:rPr>
          <w:lang w:val="en-GB"/>
        </w:rPr>
        <w:t xml:space="preserve"> units to be</w:t>
      </w:r>
      <w:r w:rsidR="00FE62EA" w:rsidRPr="28D940A9">
        <w:rPr>
          <w:lang w:val="en-GB"/>
        </w:rPr>
        <w:t xml:space="preserve"> built to the</w:t>
      </w:r>
      <w:r w:rsidR="008E4F06" w:rsidRPr="28D940A9">
        <w:rPr>
          <w:lang w:val="en-GB"/>
        </w:rPr>
        <w:t xml:space="preserve"> </w:t>
      </w:r>
      <w:r w:rsidR="00FE62EA" w:rsidRPr="28D940A9">
        <w:rPr>
          <w:lang w:val="en-GB"/>
        </w:rPr>
        <w:t>‘</w:t>
      </w:r>
      <w:r w:rsidR="008E4F06" w:rsidRPr="28D940A9">
        <w:rPr>
          <w:lang w:val="en-GB"/>
        </w:rPr>
        <w:t>wheelchair user dwellings</w:t>
      </w:r>
      <w:r w:rsidR="00FE62EA" w:rsidRPr="28D940A9">
        <w:rPr>
          <w:lang w:val="en-GB"/>
        </w:rPr>
        <w:t>’ accessible housing standard M4 (3)</w:t>
      </w:r>
      <w:r w:rsidR="00E10FAA" w:rsidRPr="28D940A9">
        <w:rPr>
          <w:lang w:val="en-GB"/>
        </w:rPr>
        <w:t xml:space="preserve">. Where a better outcome would be provided this can be varied to at least 10% </w:t>
      </w:r>
      <w:r w:rsidR="00C47CBB" w:rsidRPr="28D940A9">
        <w:rPr>
          <w:lang w:val="en-GB"/>
        </w:rPr>
        <w:t>of Habitable R</w:t>
      </w:r>
      <w:r w:rsidR="008E4F06" w:rsidRPr="28D940A9">
        <w:rPr>
          <w:lang w:val="en-GB"/>
        </w:rPr>
        <w:t>ooms</w:t>
      </w:r>
      <w:r w:rsidR="00B5781C" w:rsidRPr="28D940A9">
        <w:rPr>
          <w:lang w:val="en-GB"/>
        </w:rPr>
        <w:t xml:space="preserve">. </w:t>
      </w:r>
    </w:p>
    <w:p w14:paraId="4A3B6A0B" w14:textId="77777777" w:rsidR="00FE62EA" w:rsidRDefault="00FE62EA" w:rsidP="00FE62EA">
      <w:pPr>
        <w:pStyle w:val="Paragraphs"/>
        <w:rPr>
          <w:lang w:val="en-GB"/>
        </w:rPr>
      </w:pPr>
      <w:r w:rsidRPr="28D940A9">
        <w:rPr>
          <w:lang w:val="en-GB"/>
        </w:rPr>
        <w:t xml:space="preserve">The Council’s preference is that units which meet the accessible units standards M4 (3) will be provided below the fifth floor due to difficulties allocating wheelchair accessible units on higher floors. </w:t>
      </w:r>
    </w:p>
    <w:p w14:paraId="64601158" w14:textId="22E30321" w:rsidR="00FE62EA" w:rsidRPr="004D5C67" w:rsidRDefault="00FE62EA" w:rsidP="00FE62EA">
      <w:pPr>
        <w:pStyle w:val="Paragraphs"/>
        <w:rPr>
          <w:lang w:val="en-GB"/>
        </w:rPr>
      </w:pPr>
      <w:r>
        <w:t xml:space="preserve">At least 10% of all new units across all tenures should be built to the ‘wheelchair user dwellings’ accessible housing standard M4 (3). The remainder of dwellings should be built to the ‘accessible and adaptable dwellings’ accessible housing standard M4 (2) both contained within part M (volume 1) of the building regulations. </w:t>
      </w:r>
    </w:p>
    <w:p w14:paraId="79FBCB26" w14:textId="24D3E178" w:rsidR="004D5C67" w:rsidRPr="00FE62EA" w:rsidRDefault="004D5C67" w:rsidP="00FE62EA">
      <w:pPr>
        <w:pStyle w:val="Paragraphs"/>
        <w:rPr>
          <w:lang w:val="en-GB"/>
        </w:rPr>
      </w:pPr>
      <w:r w:rsidRPr="28D940A9">
        <w:rPr>
          <w:lang w:val="en-GB"/>
        </w:rPr>
        <w:t>Within student accommodation, Local Plan Policy D.H6 requires 5% of units to be wheelchair accessible with access to an independent, accessible shower unit</w:t>
      </w:r>
      <w:r w:rsidR="00B50608">
        <w:t xml:space="preserve"> in line with the British Standard BS8300</w:t>
      </w:r>
      <w:r w:rsidRPr="28D940A9">
        <w:rPr>
          <w:lang w:val="en-GB"/>
        </w:rPr>
        <w:t>.</w:t>
      </w:r>
    </w:p>
    <w:p w14:paraId="3E2A9B44" w14:textId="25E6AD09" w:rsidR="00E1582E" w:rsidRPr="00A0296E" w:rsidRDefault="004D5C67" w:rsidP="00A0296E">
      <w:pPr>
        <w:pStyle w:val="Paragraphs"/>
        <w:rPr>
          <w:lang w:val="en-GB"/>
        </w:rPr>
      </w:pPr>
      <w:r w:rsidRPr="28D940A9">
        <w:rPr>
          <w:lang w:val="en-GB"/>
        </w:rPr>
        <w:t>In general, planning conditions will be used to</w:t>
      </w:r>
      <w:r w:rsidR="00015065" w:rsidRPr="28D940A9">
        <w:rPr>
          <w:lang w:val="en-GB"/>
        </w:rPr>
        <w:t xml:space="preserve"> clearly state requirements and</w:t>
      </w:r>
      <w:r w:rsidRPr="28D940A9">
        <w:rPr>
          <w:lang w:val="en-GB"/>
        </w:rPr>
        <w:t xml:space="preserve"> secure the detailed design of wheelchair accessible housing to ensure high quality wheelchair user units are delivered. </w:t>
      </w:r>
      <w:r w:rsidR="00015065" w:rsidRPr="28D940A9">
        <w:rPr>
          <w:lang w:val="en-GB"/>
        </w:rPr>
        <w:t>In instances where these requirements can’t be addressed via conditions</w:t>
      </w:r>
      <w:r w:rsidR="005F4ECD" w:rsidRPr="28D940A9">
        <w:rPr>
          <w:lang w:val="en-GB"/>
        </w:rPr>
        <w:t>,</w:t>
      </w:r>
      <w:r w:rsidR="00015065" w:rsidRPr="28D940A9">
        <w:rPr>
          <w:lang w:val="en-GB"/>
        </w:rPr>
        <w:t xml:space="preserve"> they may be secured via </w:t>
      </w:r>
      <w:r w:rsidR="00032BFE" w:rsidRPr="28D940A9">
        <w:rPr>
          <w:lang w:val="en-GB"/>
        </w:rPr>
        <w:t>legal</w:t>
      </w:r>
      <w:r w:rsidR="00015065" w:rsidRPr="28D940A9">
        <w:rPr>
          <w:lang w:val="en-GB"/>
        </w:rPr>
        <w:t xml:space="preserve"> agreement. </w:t>
      </w:r>
      <w:r w:rsidR="00CF6663" w:rsidRPr="28D940A9">
        <w:rPr>
          <w:lang w:val="en-GB"/>
        </w:rPr>
        <w:t xml:space="preserve"> </w:t>
      </w:r>
    </w:p>
    <w:p w14:paraId="03934EC2" w14:textId="77777777" w:rsidR="00BD2F48" w:rsidRPr="000D65CE" w:rsidRDefault="00E1582E" w:rsidP="003B280C">
      <w:pPr>
        <w:pStyle w:val="Paragraphs"/>
        <w:rPr>
          <w:lang w:val="en-GB"/>
        </w:rPr>
      </w:pPr>
      <w:r w:rsidRPr="28D940A9">
        <w:rPr>
          <w:lang w:val="en-GB"/>
        </w:rPr>
        <w:t>A commuted sum may be sought</w:t>
      </w:r>
      <w:r w:rsidR="00784902" w:rsidRPr="28D940A9">
        <w:rPr>
          <w:lang w:val="en-GB"/>
        </w:rPr>
        <w:t xml:space="preserve"> in exceptional circumstances</w:t>
      </w:r>
      <w:r w:rsidRPr="28D940A9">
        <w:rPr>
          <w:lang w:val="en-GB"/>
        </w:rPr>
        <w:t xml:space="preserve"> where units cannot be delivered on-site. This financial contribution covers the t</w:t>
      </w:r>
      <w:r w:rsidR="00BD2F48" w:rsidRPr="28D940A9">
        <w:rPr>
          <w:lang w:val="en-GB"/>
        </w:rPr>
        <w:t>ypical installation costs</w:t>
      </w:r>
      <w:r w:rsidRPr="28D940A9">
        <w:rPr>
          <w:lang w:val="en-GB"/>
        </w:rPr>
        <w:t xml:space="preserve"> for retrofitting an existing home. Retrofit costs vary widely between the </w:t>
      </w:r>
      <w:r w:rsidR="00DB2D58" w:rsidRPr="28D940A9">
        <w:rPr>
          <w:lang w:val="en-GB"/>
        </w:rPr>
        <w:t>types</w:t>
      </w:r>
      <w:r w:rsidRPr="28D940A9">
        <w:rPr>
          <w:lang w:val="en-GB"/>
        </w:rPr>
        <w:t xml:space="preserve"> of units and </w:t>
      </w:r>
      <w:r w:rsidR="001125BE" w:rsidRPr="28D940A9">
        <w:rPr>
          <w:lang w:val="en-GB"/>
        </w:rPr>
        <w:t>is tailored</w:t>
      </w:r>
      <w:r w:rsidRPr="28D940A9">
        <w:rPr>
          <w:lang w:val="en-GB"/>
        </w:rPr>
        <w:t xml:space="preserve"> </w:t>
      </w:r>
      <w:r w:rsidR="001125BE" w:rsidRPr="28D940A9">
        <w:rPr>
          <w:lang w:val="en-GB"/>
        </w:rPr>
        <w:t xml:space="preserve">to </w:t>
      </w:r>
      <w:r w:rsidRPr="28D940A9">
        <w:rPr>
          <w:lang w:val="en-GB"/>
        </w:rPr>
        <w:t xml:space="preserve">the needs of the individual wheelchair user or household. The indicative installation cost listed below would typically include the </w:t>
      </w:r>
      <w:r w:rsidR="002A494D" w:rsidRPr="28D940A9">
        <w:rPr>
          <w:lang w:val="en-GB"/>
        </w:rPr>
        <w:t>identified works</w:t>
      </w:r>
      <w:r w:rsidRPr="28D940A9">
        <w:rPr>
          <w:lang w:val="en-GB"/>
        </w:rPr>
        <w:t xml:space="preserve"> and additional fees for management work:</w:t>
      </w:r>
    </w:p>
    <w:p w14:paraId="79E60DB1" w14:textId="77777777" w:rsidR="002D1F36" w:rsidRPr="002D1F36" w:rsidRDefault="002D1F36" w:rsidP="002D1F36">
      <w:pPr>
        <w:pStyle w:val="ListBullet4"/>
        <w:ind w:left="1208" w:hanging="357"/>
        <w:jc w:val="both"/>
      </w:pPr>
      <w:r w:rsidRPr="002D1F36">
        <w:t xml:space="preserve">Communal &amp; fire doors to be fully automated </w:t>
      </w:r>
    </w:p>
    <w:p w14:paraId="09A846DA" w14:textId="77777777" w:rsidR="002D1F36" w:rsidRPr="002D1F36" w:rsidRDefault="002D1F36" w:rsidP="002D1F36">
      <w:pPr>
        <w:pStyle w:val="ListBullet4"/>
        <w:ind w:left="1208" w:hanging="357"/>
        <w:jc w:val="both"/>
      </w:pPr>
      <w:r w:rsidRPr="002D1F36">
        <w:t xml:space="preserve">Part M wet room, 1500x1500mm laid to fall shower area, a height adjustable with hand basin &amp; toilets high 480mm &amp; projecting 750mm clear of boxing </w:t>
      </w:r>
    </w:p>
    <w:p w14:paraId="17B2BCF0" w14:textId="77777777" w:rsidR="002D1F36" w:rsidRPr="002D1F36" w:rsidRDefault="002D1F36" w:rsidP="002D1F36">
      <w:pPr>
        <w:pStyle w:val="ListBullet4"/>
        <w:ind w:left="1208" w:hanging="357"/>
        <w:jc w:val="both"/>
      </w:pPr>
      <w:r w:rsidRPr="002D1F36">
        <w:t>Wheelchair recharge/transfer space in hall</w:t>
      </w:r>
    </w:p>
    <w:p w14:paraId="3F070F51" w14:textId="77777777" w:rsidR="002D1F36" w:rsidRPr="002D1F36" w:rsidRDefault="002D1F36" w:rsidP="002D1F36">
      <w:pPr>
        <w:pStyle w:val="ListBullet4"/>
        <w:ind w:left="1208" w:hanging="357"/>
        <w:jc w:val="both"/>
      </w:pPr>
      <w:r w:rsidRPr="002D1F36">
        <w:t xml:space="preserve">Wheelchair accessible kitchen kitchens with hight adjustable worktops, hob and hand basin </w:t>
      </w:r>
    </w:p>
    <w:p w14:paraId="0CE35EE3" w14:textId="77777777" w:rsidR="002D1F36" w:rsidRPr="002D1F36" w:rsidRDefault="002D1F36" w:rsidP="002D1F36">
      <w:pPr>
        <w:pStyle w:val="ListBullet4"/>
        <w:ind w:left="1208" w:hanging="357"/>
        <w:jc w:val="both"/>
      </w:pPr>
      <w:r w:rsidRPr="002D1F36">
        <w:t xml:space="preserve">Through floor lift – if required should be hallway to hallway </w:t>
      </w:r>
    </w:p>
    <w:p w14:paraId="7C7B0E4F" w14:textId="37F6E168" w:rsidR="002D1F36" w:rsidRPr="000D65CE" w:rsidRDefault="002D1F36" w:rsidP="002D1F36">
      <w:pPr>
        <w:pStyle w:val="ListBullet4"/>
        <w:ind w:left="1208" w:hanging="357"/>
        <w:jc w:val="both"/>
      </w:pPr>
      <w:r w:rsidRPr="002D1F36">
        <w:lastRenderedPageBreak/>
        <w:t xml:space="preserve">Fixed hoist likely to be in one bedroom, bathroom/wet room or living room </w:t>
      </w:r>
    </w:p>
    <w:p w14:paraId="44C59FFB" w14:textId="77777777" w:rsidR="003F2913" w:rsidRDefault="003F2913" w:rsidP="009A0A7E">
      <w:pPr>
        <w:spacing w:after="120"/>
        <w:rPr>
          <w:b/>
        </w:rPr>
      </w:pPr>
    </w:p>
    <w:p w14:paraId="73540851" w14:textId="69C1A436" w:rsidR="009A0A7E" w:rsidRPr="003D2BA4" w:rsidRDefault="009A0A7E" w:rsidP="009A0A7E">
      <w:pPr>
        <w:spacing w:after="120"/>
        <w:rPr>
          <w:b/>
        </w:rPr>
      </w:pPr>
      <w:r w:rsidRPr="003D2BA4">
        <w:rPr>
          <w:b/>
        </w:rPr>
        <w:t xml:space="preserve">Text Box </w:t>
      </w:r>
      <w:r w:rsidR="00710A31">
        <w:rPr>
          <w:b/>
        </w:rPr>
        <w:t>7</w:t>
      </w:r>
      <w:r w:rsidRPr="003D2BA4">
        <w:rPr>
          <w:b/>
        </w:rPr>
        <w:t xml:space="preserve">: </w:t>
      </w:r>
      <w:r>
        <w:rPr>
          <w:b/>
        </w:rPr>
        <w:t xml:space="preserve">Wheelchair Accessible </w:t>
      </w:r>
      <w:r w:rsidRPr="003D2BA4">
        <w:rPr>
          <w:b/>
        </w:rPr>
        <w:t>Housing</w:t>
      </w:r>
    </w:p>
    <w:p w14:paraId="79CFFBBD" w14:textId="77777777" w:rsidR="007A1CB7" w:rsidRPr="000D65CE" w:rsidRDefault="007A1CB7" w:rsidP="003B280C">
      <w:pPr>
        <w:pStyle w:val="Paragraphs"/>
        <w:numPr>
          <w:ilvl w:val="0"/>
          <w:numId w:val="0"/>
        </w:numPr>
        <w:ind w:left="720" w:hanging="720"/>
        <w:rPr>
          <w:szCs w:val="28"/>
          <w:lang w:val="en-GB"/>
        </w:rPr>
      </w:pPr>
      <w:r w:rsidRPr="000D65CE">
        <w:rPr>
          <w:noProof/>
          <w:lang w:val="en-GB" w:eastAsia="en-GB"/>
        </w:rPr>
        <mc:AlternateContent>
          <mc:Choice Requires="wps">
            <w:drawing>
              <wp:inline distT="0" distB="0" distL="0" distR="0" wp14:anchorId="60374F82" wp14:editId="71CC03D4">
                <wp:extent cx="5734050" cy="4643252"/>
                <wp:effectExtent l="0" t="0" r="0" b="5080"/>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4643252"/>
                        </a:xfrm>
                        <a:prstGeom prst="rect">
                          <a:avLst/>
                        </a:prstGeom>
                        <a:solidFill>
                          <a:schemeClr val="accent1">
                            <a:lumMod val="20000"/>
                            <a:lumOff val="80000"/>
                          </a:schemeClr>
                        </a:solidFill>
                        <a:ln>
                          <a:noFill/>
                        </a:ln>
                      </wps:spPr>
                      <wps:txbx>
                        <w:txbxContent>
                          <w:p w14:paraId="6D2CADF8" w14:textId="77777777" w:rsidR="00EB3B59" w:rsidRPr="0013482A" w:rsidRDefault="00EB3B59" w:rsidP="0013482A">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w:t>
                            </w:r>
                            <w:r>
                              <w:rPr>
                                <w:rFonts w:cs="Arial"/>
                                <w:b/>
                                <w:szCs w:val="22"/>
                                <w:lang w:val="en-US"/>
                              </w:rPr>
                              <w:t>ements</w:t>
                            </w:r>
                          </w:p>
                          <w:p w14:paraId="661AFA14" w14:textId="77777777" w:rsidR="00EB3B59" w:rsidRPr="001A2022" w:rsidRDefault="00EB3B59" w:rsidP="006D4DEB">
                            <w:pPr>
                              <w:widowControl w:val="0"/>
                              <w:autoSpaceDE w:val="0"/>
                              <w:autoSpaceDN w:val="0"/>
                              <w:adjustRightInd w:val="0"/>
                              <w:jc w:val="both"/>
                              <w:textAlignment w:val="center"/>
                              <w:rPr>
                                <w:rFonts w:cs="Arial"/>
                                <w:szCs w:val="22"/>
                                <w:lang w:val="en-US"/>
                              </w:rPr>
                            </w:pPr>
                            <w:r w:rsidRPr="001A2022">
                              <w:rPr>
                                <w:rFonts w:cs="Arial"/>
                                <w:szCs w:val="22"/>
                                <w:lang w:val="en-US"/>
                              </w:rPr>
                              <w:t xml:space="preserve">Planning obligations relating to </w:t>
                            </w:r>
                            <w:r>
                              <w:rPr>
                                <w:rFonts w:cs="Arial"/>
                                <w:szCs w:val="22"/>
                                <w:lang w:val="en-US"/>
                              </w:rPr>
                              <w:t>wheelchair accessible housing</w:t>
                            </w:r>
                            <w:r w:rsidRPr="001A2022">
                              <w:rPr>
                                <w:rFonts w:cs="Arial"/>
                                <w:szCs w:val="22"/>
                                <w:lang w:val="en-US"/>
                              </w:rPr>
                              <w:t xml:space="preserve"> will be </w:t>
                            </w:r>
                            <w:r>
                              <w:rPr>
                                <w:rFonts w:cs="Arial"/>
                                <w:szCs w:val="22"/>
                                <w:lang w:val="en-US"/>
                              </w:rPr>
                              <w:t>secured</w:t>
                            </w:r>
                            <w:r w:rsidRPr="001A2022">
                              <w:rPr>
                                <w:rFonts w:cs="Arial"/>
                                <w:szCs w:val="22"/>
                                <w:lang w:val="en-US"/>
                              </w:rPr>
                              <w:t xml:space="preserve"> for:</w:t>
                            </w:r>
                          </w:p>
                          <w:p w14:paraId="33F8BC30" w14:textId="77777777" w:rsidR="00EB3B59" w:rsidRPr="00C91412" w:rsidRDefault="00EB3B59" w:rsidP="0055222C">
                            <w:pPr>
                              <w:pStyle w:val="ListParagraph"/>
                              <w:widowControl w:val="0"/>
                              <w:numPr>
                                <w:ilvl w:val="0"/>
                                <w:numId w:val="7"/>
                              </w:numPr>
                              <w:autoSpaceDE w:val="0"/>
                              <w:autoSpaceDN w:val="0"/>
                              <w:adjustRightInd w:val="0"/>
                              <w:jc w:val="both"/>
                              <w:textAlignment w:val="center"/>
                              <w:rPr>
                                <w:lang w:val="en-US"/>
                              </w:rPr>
                            </w:pPr>
                            <w:r w:rsidRPr="00C91412">
                              <w:rPr>
                                <w:rFonts w:cs="Arial"/>
                                <w:szCs w:val="22"/>
                                <w:lang w:val="en-US"/>
                              </w:rPr>
                              <w:t>All</w:t>
                            </w:r>
                            <w:r>
                              <w:rPr>
                                <w:rFonts w:cs="Arial"/>
                                <w:szCs w:val="22"/>
                                <w:lang w:val="en-US"/>
                              </w:rPr>
                              <w:t xml:space="preserve"> new</w:t>
                            </w:r>
                            <w:r w:rsidRPr="00C91412">
                              <w:rPr>
                                <w:rFonts w:cs="Arial"/>
                                <w:szCs w:val="22"/>
                                <w:lang w:val="en-US"/>
                              </w:rPr>
                              <w:t xml:space="preserve"> residential units</w:t>
                            </w:r>
                          </w:p>
                          <w:p w14:paraId="3AA7C7AB" w14:textId="77777777" w:rsidR="00EB3B59" w:rsidRDefault="00EB3B59" w:rsidP="006471C4">
                            <w:pPr>
                              <w:jc w:val="both"/>
                              <w:rPr>
                                <w:rFonts w:cs="Arial"/>
                                <w:szCs w:val="22"/>
                                <w:lang w:val="en-US"/>
                              </w:rPr>
                            </w:pPr>
                            <w:r w:rsidRPr="00942CDF">
                              <w:rPr>
                                <w:rFonts w:cs="Arial"/>
                                <w:b/>
                                <w:szCs w:val="22"/>
                                <w:lang w:val="en-US"/>
                              </w:rPr>
                              <w:t>Commuted</w:t>
                            </w:r>
                            <w:r>
                              <w:rPr>
                                <w:rFonts w:cs="Arial"/>
                                <w:b/>
                                <w:szCs w:val="22"/>
                                <w:lang w:val="en-US"/>
                              </w:rPr>
                              <w:t xml:space="preserve"> Sum (in exceptional circumstances only)</w:t>
                            </w:r>
                          </w:p>
                          <w:p w14:paraId="51A3D13F" w14:textId="77777777" w:rsidR="00EB3B59" w:rsidRDefault="00EB3B59" w:rsidP="006471C4">
                            <w:pPr>
                              <w:jc w:val="both"/>
                              <w:rPr>
                                <w:rFonts w:cs="Arial"/>
                                <w:szCs w:val="22"/>
                                <w:lang w:val="en-US"/>
                              </w:rPr>
                            </w:pPr>
                            <w:r>
                              <w:rPr>
                                <w:rFonts w:cs="Arial"/>
                                <w:szCs w:val="22"/>
                                <w:lang w:val="en-US"/>
                              </w:rPr>
                              <w:t>Wheelchair accessible housing should normally be provided on-site. Only where exceptional circumstances exist and at the discretion of the Council, a payment in lieu may be sought for the units that cannot be delivered on-site. The commuted sum is only applicable to the individual units that cannot feasibly be delivered on-site (i.e. it does not automatically cover the full 10% requirement if some of the units can be delivered on-site).</w:t>
                            </w:r>
                          </w:p>
                          <w:p w14:paraId="149F4DD5" w14:textId="77777777" w:rsidR="00EB3B59" w:rsidRDefault="00EB3B59" w:rsidP="001417CB">
                            <w:pPr>
                              <w:jc w:val="both"/>
                              <w:rPr>
                                <w:rFonts w:cs="Arial"/>
                                <w:szCs w:val="22"/>
                                <w:lang w:val="en-US"/>
                              </w:rPr>
                            </w:pPr>
                            <w:r>
                              <w:rPr>
                                <w:rFonts w:cs="Arial"/>
                                <w:szCs w:val="22"/>
                                <w:lang w:val="en-US"/>
                              </w:rPr>
                              <w:t>A formula with an indicative retrofitting cost has been provided below to calculate the commuted sum. The exact figure will be subject to up-to-date installation costs at the discretion of the Council.</w:t>
                            </w:r>
                          </w:p>
                          <w:tbl>
                            <w:tblPr>
                              <w:tblStyle w:val="TableGrid"/>
                              <w:tblW w:w="0" w:type="auto"/>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851"/>
                              <w:gridCol w:w="4211"/>
                            </w:tblGrid>
                            <w:tr w:rsidR="00EB3B59" w14:paraId="6D54D167" w14:textId="77777777" w:rsidTr="001417CB">
                              <w:trPr>
                                <w:trHeight w:val="959"/>
                              </w:trPr>
                              <w:tc>
                                <w:tcPr>
                                  <w:tcW w:w="2984" w:type="dxa"/>
                                  <w:vAlign w:val="center"/>
                                </w:tcPr>
                                <w:p w14:paraId="3E79A617" w14:textId="77777777" w:rsidR="00EB3B59" w:rsidRPr="001417CB" w:rsidRDefault="00EB3B59" w:rsidP="001417CB">
                                  <w:pPr>
                                    <w:spacing w:after="0"/>
                                    <w:rPr>
                                      <w:rFonts w:cs="Arial"/>
                                      <w:szCs w:val="22"/>
                                      <w:lang w:val="en-US"/>
                                    </w:rPr>
                                  </w:pPr>
                                  <w:r w:rsidRPr="00C91412">
                                    <w:rPr>
                                      <w:rFonts w:cs="Arial"/>
                                      <w:szCs w:val="22"/>
                                      <w:lang w:val="en-US"/>
                                    </w:rPr>
                                    <w:t>Number of wheelchair uni</w:t>
                                  </w:r>
                                  <w:r>
                                    <w:rPr>
                                      <w:rFonts w:cs="Arial"/>
                                      <w:szCs w:val="22"/>
                                      <w:lang w:val="en-US"/>
                                    </w:rPr>
                                    <w:t xml:space="preserve">ts not to be delivered on-site </w:t>
                                  </w:r>
                                </w:p>
                              </w:tc>
                              <w:tc>
                                <w:tcPr>
                                  <w:tcW w:w="851" w:type="dxa"/>
                                  <w:vAlign w:val="center"/>
                                </w:tcPr>
                                <w:p w14:paraId="5BE5A5A8" w14:textId="77777777" w:rsidR="00EB3B59" w:rsidRPr="00116827" w:rsidRDefault="00EB3B59" w:rsidP="001417CB">
                                  <w:pPr>
                                    <w:widowControl w:val="0"/>
                                    <w:autoSpaceDE w:val="0"/>
                                    <w:autoSpaceDN w:val="0"/>
                                    <w:adjustRightInd w:val="0"/>
                                    <w:spacing w:after="0" w:line="240" w:lineRule="auto"/>
                                    <w:contextualSpacing/>
                                    <w:jc w:val="center"/>
                                    <w:textAlignment w:val="center"/>
                                    <w:rPr>
                                      <w:rFonts w:cs="Arial"/>
                                      <w:szCs w:val="22"/>
                                      <w:lang w:val="en-US"/>
                                    </w:rPr>
                                  </w:pPr>
                                  <w:r w:rsidRPr="00116827">
                                    <w:rPr>
                                      <w:rFonts w:cs="Arial"/>
                                      <w:szCs w:val="22"/>
                                      <w:lang w:val="en-US"/>
                                    </w:rPr>
                                    <w:t>x</w:t>
                                  </w:r>
                                </w:p>
                              </w:tc>
                              <w:tc>
                                <w:tcPr>
                                  <w:tcW w:w="4211" w:type="dxa"/>
                                  <w:vAlign w:val="center"/>
                                </w:tcPr>
                                <w:p w14:paraId="14110E0D" w14:textId="77777777" w:rsidR="00EB3B59" w:rsidRPr="00116827" w:rsidRDefault="00EB3B59" w:rsidP="008D7515">
                                  <w:pPr>
                                    <w:spacing w:after="0"/>
                                    <w:rPr>
                                      <w:rFonts w:cs="Arial"/>
                                      <w:szCs w:val="22"/>
                                    </w:rPr>
                                  </w:pPr>
                                  <w:r w:rsidRPr="00C91412">
                                    <w:rPr>
                                      <w:rFonts w:cs="Arial"/>
                                      <w:szCs w:val="22"/>
                                      <w:lang w:val="en-US"/>
                                    </w:rPr>
                                    <w:t>Installation costs of retrofitting an existing home (Indicative cost: £31,740)</w:t>
                                  </w:r>
                                </w:p>
                              </w:tc>
                            </w:tr>
                          </w:tbl>
                          <w:p w14:paraId="69F23D99" w14:textId="77777777" w:rsidR="00EB3B59" w:rsidRPr="00A80644" w:rsidRDefault="00EB3B59" w:rsidP="00D7280E">
                            <w:pPr>
                              <w:ind w:firstLine="720"/>
                              <w:jc w:val="both"/>
                              <w:rPr>
                                <w:rFonts w:cs="Arial"/>
                                <w:szCs w:val="22"/>
                                <w:u w:val="single"/>
                              </w:rPr>
                            </w:pPr>
                            <w:r>
                              <w:rPr>
                                <w:rFonts w:cs="Arial"/>
                                <w:szCs w:val="22"/>
                                <w:u w:val="single"/>
                              </w:rPr>
                              <w:t>_______________________________________</w:t>
                            </w:r>
                            <w:r w:rsidRPr="007B1194">
                              <w:rPr>
                                <w:rFonts w:cs="Arial"/>
                                <w:szCs w:val="22"/>
                                <w:u w:val="single"/>
                              </w:rPr>
                              <w:t xml:space="preserve"> </w:t>
                            </w:r>
                          </w:p>
                          <w:p w14:paraId="0D32070E" w14:textId="77777777" w:rsidR="00EB3B59" w:rsidRPr="00D7280E" w:rsidRDefault="00EB3B59" w:rsidP="008F3C7E">
                            <w:pPr>
                              <w:ind w:left="720"/>
                              <w:jc w:val="both"/>
                              <w:rPr>
                                <w:rFonts w:cs="Arial"/>
                                <w:b/>
                                <w:szCs w:val="22"/>
                                <w:lang w:val="en-US"/>
                              </w:rPr>
                            </w:pPr>
                            <w:r w:rsidRPr="00D7280E">
                              <w:rPr>
                                <w:rFonts w:cs="Arial"/>
                                <w:b/>
                                <w:szCs w:val="22"/>
                                <w:lang w:val="en-US"/>
                              </w:rPr>
                              <w:t>= Contribution required</w:t>
                            </w:r>
                          </w:p>
                        </w:txbxContent>
                      </wps:txbx>
                      <wps:bodyPr rot="0" vert="horz" wrap="square" lIns="91440" tIns="45720" rIns="91440" bIns="45720" anchor="t" anchorCtr="0" upright="1">
                        <a:noAutofit/>
                      </wps:bodyPr>
                    </wps:wsp>
                  </a:graphicData>
                </a:graphic>
              </wp:inline>
            </w:drawing>
          </mc:Choice>
          <mc:Fallback>
            <w:pict>
              <v:shape w14:anchorId="60374F82" id="_x0000_s1033" type="#_x0000_t202" style="width:451.5pt;height:3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" fillcolor="#dbe5f1 [660]" stroked="f">
                <v:textbox>
                  <w:txbxContent>
                    <w:p w14:paraId="6D2CADF8" w14:textId="77777777" w:rsidR="00EB3B59" w:rsidRPr="0013482A" w:rsidRDefault="00EB3B59" w:rsidP="0013482A">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w:t>
                      </w:r>
                      <w:r>
                        <w:rPr>
                          <w:rFonts w:cs="Arial"/>
                          <w:b/>
                          <w:szCs w:val="22"/>
                          <w:lang w:val="en-US"/>
                        </w:rPr>
                        <w:t>ements</w:t>
                      </w:r>
                    </w:p>
                    <w:p w14:paraId="661AFA14" w14:textId="77777777" w:rsidR="00EB3B59" w:rsidRPr="001A2022" w:rsidRDefault="00EB3B59" w:rsidP="006D4DEB">
                      <w:pPr>
                        <w:widowControl w:val="0"/>
                        <w:autoSpaceDE w:val="0"/>
                        <w:autoSpaceDN w:val="0"/>
                        <w:adjustRightInd w:val="0"/>
                        <w:jc w:val="both"/>
                        <w:textAlignment w:val="center"/>
                        <w:rPr>
                          <w:rFonts w:cs="Arial"/>
                          <w:szCs w:val="22"/>
                          <w:lang w:val="en-US"/>
                        </w:rPr>
                      </w:pPr>
                      <w:r w:rsidRPr="001A2022">
                        <w:rPr>
                          <w:rFonts w:cs="Arial"/>
                          <w:szCs w:val="22"/>
                          <w:lang w:val="en-US"/>
                        </w:rPr>
                        <w:t xml:space="preserve">Planning obligations relating to </w:t>
                      </w:r>
                      <w:r>
                        <w:rPr>
                          <w:rFonts w:cs="Arial"/>
                          <w:szCs w:val="22"/>
                          <w:lang w:val="en-US"/>
                        </w:rPr>
                        <w:t>wheelchair accessible housing</w:t>
                      </w:r>
                      <w:r w:rsidRPr="001A2022">
                        <w:rPr>
                          <w:rFonts w:cs="Arial"/>
                          <w:szCs w:val="22"/>
                          <w:lang w:val="en-US"/>
                        </w:rPr>
                        <w:t xml:space="preserve"> will be </w:t>
                      </w:r>
                      <w:r>
                        <w:rPr>
                          <w:rFonts w:cs="Arial"/>
                          <w:szCs w:val="22"/>
                          <w:lang w:val="en-US"/>
                        </w:rPr>
                        <w:t>secured</w:t>
                      </w:r>
                      <w:r w:rsidRPr="001A2022">
                        <w:rPr>
                          <w:rFonts w:cs="Arial"/>
                          <w:szCs w:val="22"/>
                          <w:lang w:val="en-US"/>
                        </w:rPr>
                        <w:t xml:space="preserve"> for:</w:t>
                      </w:r>
                    </w:p>
                    <w:p w14:paraId="33F8BC30" w14:textId="77777777" w:rsidR="00EB3B59" w:rsidRPr="00C91412" w:rsidRDefault="00EB3B59" w:rsidP="0055222C">
                      <w:pPr>
                        <w:pStyle w:val="ListParagraph"/>
                        <w:widowControl w:val="0"/>
                        <w:numPr>
                          <w:ilvl w:val="0"/>
                          <w:numId w:val="7"/>
                        </w:numPr>
                        <w:autoSpaceDE w:val="0"/>
                        <w:autoSpaceDN w:val="0"/>
                        <w:adjustRightInd w:val="0"/>
                        <w:jc w:val="both"/>
                        <w:textAlignment w:val="center"/>
                        <w:rPr>
                          <w:lang w:val="en-US"/>
                        </w:rPr>
                      </w:pPr>
                      <w:r w:rsidRPr="00C91412">
                        <w:rPr>
                          <w:rFonts w:cs="Arial"/>
                          <w:szCs w:val="22"/>
                          <w:lang w:val="en-US"/>
                        </w:rPr>
                        <w:t>All</w:t>
                      </w:r>
                      <w:r>
                        <w:rPr>
                          <w:rFonts w:cs="Arial"/>
                          <w:szCs w:val="22"/>
                          <w:lang w:val="en-US"/>
                        </w:rPr>
                        <w:t xml:space="preserve"> new</w:t>
                      </w:r>
                      <w:r w:rsidRPr="00C91412">
                        <w:rPr>
                          <w:rFonts w:cs="Arial"/>
                          <w:szCs w:val="22"/>
                          <w:lang w:val="en-US"/>
                        </w:rPr>
                        <w:t xml:space="preserve"> residential units</w:t>
                      </w:r>
                    </w:p>
                    <w:p w14:paraId="3AA7C7AB" w14:textId="77777777" w:rsidR="00EB3B59" w:rsidRDefault="00EB3B59" w:rsidP="006471C4">
                      <w:pPr>
                        <w:jc w:val="both"/>
                        <w:rPr>
                          <w:rFonts w:cs="Arial"/>
                          <w:szCs w:val="22"/>
                          <w:lang w:val="en-US"/>
                        </w:rPr>
                      </w:pPr>
                      <w:r w:rsidRPr="00942CDF">
                        <w:rPr>
                          <w:rFonts w:cs="Arial"/>
                          <w:b/>
                          <w:szCs w:val="22"/>
                          <w:lang w:val="en-US"/>
                        </w:rPr>
                        <w:t>Commuted</w:t>
                      </w:r>
                      <w:r>
                        <w:rPr>
                          <w:rFonts w:cs="Arial"/>
                          <w:b/>
                          <w:szCs w:val="22"/>
                          <w:lang w:val="en-US"/>
                        </w:rPr>
                        <w:t xml:space="preserve"> Sum (in exceptional circumstances only)</w:t>
                      </w:r>
                    </w:p>
                    <w:p w14:paraId="51A3D13F" w14:textId="77777777" w:rsidR="00EB3B59" w:rsidRDefault="00EB3B59" w:rsidP="006471C4">
                      <w:pPr>
                        <w:jc w:val="both"/>
                        <w:rPr>
                          <w:rFonts w:cs="Arial"/>
                          <w:szCs w:val="22"/>
                          <w:lang w:val="en-US"/>
                        </w:rPr>
                      </w:pPr>
                      <w:r>
                        <w:rPr>
                          <w:rFonts w:cs="Arial"/>
                          <w:szCs w:val="22"/>
                          <w:lang w:val="en-US"/>
                        </w:rPr>
                        <w:t>Wheelchair accessible housing should normally be provided on-site. Only where exceptional circumstances exist and at the discretion of the Council, a payment in lieu may be sought for the units that cannot be delivered on-site. The commuted sum is only applicable to the individual units that cannot feasibly be delivered on-site (i.e. it does not automatically cover the full 10% requirement if some of the units can be delivered on-site).</w:t>
                      </w:r>
                    </w:p>
                    <w:p w14:paraId="149F4DD5" w14:textId="77777777" w:rsidR="00EB3B59" w:rsidRDefault="00EB3B59" w:rsidP="001417CB">
                      <w:pPr>
                        <w:jc w:val="both"/>
                        <w:rPr>
                          <w:rFonts w:cs="Arial"/>
                          <w:szCs w:val="22"/>
                          <w:lang w:val="en-US"/>
                        </w:rPr>
                      </w:pPr>
                      <w:r>
                        <w:rPr>
                          <w:rFonts w:cs="Arial"/>
                          <w:szCs w:val="22"/>
                          <w:lang w:val="en-US"/>
                        </w:rPr>
                        <w:t>A formula with an indicative retrofitting cost has been provided below to calculate the commuted sum. The exact figure will be subject to up-to-date installation costs at the discretion of the Council.</w:t>
                      </w:r>
                    </w:p>
                    <w:tbl>
                      <w:tblPr>
                        <w:tblStyle w:val="TableGrid"/>
                        <w:tblW w:w="0" w:type="auto"/>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851"/>
                        <w:gridCol w:w="4211"/>
                      </w:tblGrid>
                      <w:tr w:rsidR="00EB3B59" w14:paraId="6D54D167" w14:textId="77777777" w:rsidTr="001417CB">
                        <w:trPr>
                          <w:trHeight w:val="959"/>
                        </w:trPr>
                        <w:tc>
                          <w:tcPr>
                            <w:tcW w:w="2984" w:type="dxa"/>
                            <w:vAlign w:val="center"/>
                          </w:tcPr>
                          <w:p w14:paraId="3E79A617" w14:textId="77777777" w:rsidR="00EB3B59" w:rsidRPr="001417CB" w:rsidRDefault="00EB3B59" w:rsidP="001417CB">
                            <w:pPr>
                              <w:spacing w:after="0"/>
                              <w:rPr>
                                <w:rFonts w:cs="Arial"/>
                                <w:szCs w:val="22"/>
                                <w:lang w:val="en-US"/>
                              </w:rPr>
                            </w:pPr>
                            <w:r w:rsidRPr="00C91412">
                              <w:rPr>
                                <w:rFonts w:cs="Arial"/>
                                <w:szCs w:val="22"/>
                                <w:lang w:val="en-US"/>
                              </w:rPr>
                              <w:t>Number of wheelchair uni</w:t>
                            </w:r>
                            <w:r>
                              <w:rPr>
                                <w:rFonts w:cs="Arial"/>
                                <w:szCs w:val="22"/>
                                <w:lang w:val="en-US"/>
                              </w:rPr>
                              <w:t xml:space="preserve">ts not to be delivered on-site </w:t>
                            </w:r>
                          </w:p>
                        </w:tc>
                        <w:tc>
                          <w:tcPr>
                            <w:tcW w:w="851" w:type="dxa"/>
                            <w:vAlign w:val="center"/>
                          </w:tcPr>
                          <w:p w14:paraId="5BE5A5A8" w14:textId="77777777" w:rsidR="00EB3B59" w:rsidRPr="00116827" w:rsidRDefault="00EB3B59" w:rsidP="001417CB">
                            <w:pPr>
                              <w:widowControl w:val="0"/>
                              <w:autoSpaceDE w:val="0"/>
                              <w:autoSpaceDN w:val="0"/>
                              <w:adjustRightInd w:val="0"/>
                              <w:spacing w:after="0" w:line="240" w:lineRule="auto"/>
                              <w:contextualSpacing/>
                              <w:jc w:val="center"/>
                              <w:textAlignment w:val="center"/>
                              <w:rPr>
                                <w:rFonts w:cs="Arial"/>
                                <w:szCs w:val="22"/>
                                <w:lang w:val="en-US"/>
                              </w:rPr>
                            </w:pPr>
                            <w:r w:rsidRPr="00116827">
                              <w:rPr>
                                <w:rFonts w:cs="Arial"/>
                                <w:szCs w:val="22"/>
                                <w:lang w:val="en-US"/>
                              </w:rPr>
                              <w:t>x</w:t>
                            </w:r>
                          </w:p>
                        </w:tc>
                        <w:tc>
                          <w:tcPr>
                            <w:tcW w:w="4211" w:type="dxa"/>
                            <w:vAlign w:val="center"/>
                          </w:tcPr>
                          <w:p w14:paraId="14110E0D" w14:textId="77777777" w:rsidR="00EB3B59" w:rsidRPr="00116827" w:rsidRDefault="00EB3B59" w:rsidP="008D7515">
                            <w:pPr>
                              <w:spacing w:after="0"/>
                              <w:rPr>
                                <w:rFonts w:cs="Arial"/>
                                <w:szCs w:val="22"/>
                              </w:rPr>
                            </w:pPr>
                            <w:r w:rsidRPr="00C91412">
                              <w:rPr>
                                <w:rFonts w:cs="Arial"/>
                                <w:szCs w:val="22"/>
                                <w:lang w:val="en-US"/>
                              </w:rPr>
                              <w:t>Installation costs of retrofitting an existing home (Indicative cost: £31,740)</w:t>
                            </w:r>
                          </w:p>
                        </w:tc>
                      </w:tr>
                    </w:tbl>
                    <w:p w14:paraId="69F23D99" w14:textId="77777777" w:rsidR="00EB3B59" w:rsidRPr="00A80644" w:rsidRDefault="00EB3B59" w:rsidP="00D7280E">
                      <w:pPr>
                        <w:ind w:firstLine="720"/>
                        <w:jc w:val="both"/>
                        <w:rPr>
                          <w:rFonts w:cs="Arial"/>
                          <w:szCs w:val="22"/>
                          <w:u w:val="single"/>
                        </w:rPr>
                      </w:pPr>
                      <w:r>
                        <w:rPr>
                          <w:rFonts w:cs="Arial"/>
                          <w:szCs w:val="22"/>
                          <w:u w:val="single"/>
                        </w:rPr>
                        <w:t>_______________________________________</w:t>
                      </w:r>
                      <w:r w:rsidRPr="007B1194">
                        <w:rPr>
                          <w:rFonts w:cs="Arial"/>
                          <w:szCs w:val="22"/>
                          <w:u w:val="single"/>
                        </w:rPr>
                        <w:t xml:space="preserve"> </w:t>
                      </w:r>
                    </w:p>
                    <w:p w14:paraId="0D32070E" w14:textId="77777777" w:rsidR="00EB3B59" w:rsidRPr="00D7280E" w:rsidRDefault="00EB3B59" w:rsidP="008F3C7E">
                      <w:pPr>
                        <w:ind w:left="720"/>
                        <w:jc w:val="both"/>
                        <w:rPr>
                          <w:rFonts w:cs="Arial"/>
                          <w:b/>
                          <w:szCs w:val="22"/>
                          <w:lang w:val="en-US"/>
                        </w:rPr>
                      </w:pPr>
                      <w:r w:rsidRPr="00D7280E">
                        <w:rPr>
                          <w:rFonts w:cs="Arial"/>
                          <w:b/>
                          <w:szCs w:val="22"/>
                          <w:lang w:val="en-US"/>
                        </w:rPr>
                        <w:t>= Contribution required</w:t>
                      </w:r>
                    </w:p>
                  </w:txbxContent>
                </v:textbox>
                <w10:anchorlock/>
              </v:shape>
            </w:pict>
          </mc:Fallback>
        </mc:AlternateContent>
      </w:r>
    </w:p>
    <w:p w14:paraId="3AF98CA7" w14:textId="3ABBC584" w:rsidR="00CB75FB" w:rsidRPr="000D65CE" w:rsidRDefault="00C35636" w:rsidP="003B280C">
      <w:pPr>
        <w:pStyle w:val="Paragraphs"/>
        <w:numPr>
          <w:ilvl w:val="0"/>
          <w:numId w:val="0"/>
        </w:numPr>
        <w:spacing w:before="360" w:after="120"/>
        <w:ind w:left="709" w:hanging="539"/>
        <w:rPr>
          <w:rStyle w:val="Strong"/>
          <w:lang w:val="en-GB"/>
        </w:rPr>
      </w:pPr>
      <w:r w:rsidRPr="000D65CE">
        <w:rPr>
          <w:rStyle w:val="Strong"/>
          <w:lang w:val="en-GB"/>
        </w:rPr>
        <w:t>Wheelchair Accessible Parking</w:t>
      </w:r>
    </w:p>
    <w:p w14:paraId="1295BA69" w14:textId="77777777" w:rsidR="0058440A" w:rsidRPr="000D65CE" w:rsidRDefault="00632984" w:rsidP="003B280C">
      <w:pPr>
        <w:pStyle w:val="Paragraphs"/>
        <w:rPr>
          <w:lang w:val="en-GB"/>
        </w:rPr>
      </w:pPr>
      <w:r w:rsidRPr="28D940A9">
        <w:rPr>
          <w:lang w:val="en-GB"/>
        </w:rPr>
        <w:t xml:space="preserve">Local Plan </w:t>
      </w:r>
      <w:r w:rsidR="0058440A" w:rsidRPr="28D940A9">
        <w:rPr>
          <w:lang w:val="en-GB"/>
        </w:rPr>
        <w:t>Policy D.TR3</w:t>
      </w:r>
      <w:r w:rsidRPr="28D940A9">
        <w:rPr>
          <w:lang w:val="en-GB"/>
        </w:rPr>
        <w:t xml:space="preserve"> </w:t>
      </w:r>
      <w:r w:rsidR="0058440A" w:rsidRPr="28D940A9">
        <w:rPr>
          <w:lang w:val="en-GB"/>
        </w:rPr>
        <w:t>and the associated explanation</w:t>
      </w:r>
      <w:r w:rsidR="002A494D" w:rsidRPr="28D940A9">
        <w:rPr>
          <w:lang w:val="en-GB"/>
        </w:rPr>
        <w:t xml:space="preserve"> require</w:t>
      </w:r>
      <w:r w:rsidR="00DE4F0B" w:rsidRPr="28D940A9">
        <w:rPr>
          <w:lang w:val="en-GB"/>
        </w:rPr>
        <w:t xml:space="preserve"> </w:t>
      </w:r>
      <w:r w:rsidR="00BF79F2" w:rsidRPr="28D940A9">
        <w:rPr>
          <w:lang w:val="en-GB"/>
        </w:rPr>
        <w:t>that accessible parking should form a portion of overall parking provision</w:t>
      </w:r>
      <w:r w:rsidR="001417CB" w:rsidRPr="28D940A9">
        <w:rPr>
          <w:lang w:val="en-GB"/>
        </w:rPr>
        <w:t>.</w:t>
      </w:r>
      <w:r w:rsidRPr="28D940A9">
        <w:rPr>
          <w:lang w:val="en-GB"/>
        </w:rPr>
        <w:t xml:space="preserve"> Appendix 3 of the Local Plan specifies the requirements for providing accessible parking on-site</w:t>
      </w:r>
      <w:r w:rsidR="001417CB" w:rsidRPr="28D940A9">
        <w:rPr>
          <w:lang w:val="en-GB"/>
        </w:rPr>
        <w:t>.</w:t>
      </w:r>
      <w:r w:rsidRPr="28D940A9">
        <w:rPr>
          <w:lang w:val="en-GB"/>
        </w:rPr>
        <w:t xml:space="preserve">  </w:t>
      </w:r>
      <w:r w:rsidR="00BF79F2" w:rsidRPr="28D940A9">
        <w:rPr>
          <w:lang w:val="en-GB"/>
        </w:rPr>
        <w:t xml:space="preserve"> </w:t>
      </w:r>
      <w:r w:rsidR="0058440A" w:rsidRPr="28D940A9">
        <w:rPr>
          <w:lang w:val="en-GB"/>
        </w:rPr>
        <w:t xml:space="preserve"> </w:t>
      </w:r>
    </w:p>
    <w:p w14:paraId="18DBF402" w14:textId="763C7CC1" w:rsidR="00710A31" w:rsidRPr="000D65CE" w:rsidRDefault="00B63E91" w:rsidP="003B280C">
      <w:pPr>
        <w:pStyle w:val="Paragraphs"/>
        <w:rPr>
          <w:lang w:val="en-GB"/>
        </w:rPr>
      </w:pPr>
      <w:r w:rsidRPr="28D940A9">
        <w:rPr>
          <w:lang w:val="en-GB"/>
        </w:rPr>
        <w:t xml:space="preserve">Developments delivering parking for </w:t>
      </w:r>
      <w:r w:rsidR="00265DDD" w:rsidRPr="28D940A9">
        <w:rPr>
          <w:lang w:val="en-GB"/>
        </w:rPr>
        <w:t>disabled people on-</w:t>
      </w:r>
      <w:r w:rsidRPr="28D940A9">
        <w:rPr>
          <w:lang w:val="en-GB"/>
        </w:rPr>
        <w:t xml:space="preserve">site should </w:t>
      </w:r>
      <w:r w:rsidR="00265DDD" w:rsidRPr="28D940A9">
        <w:rPr>
          <w:lang w:val="en-GB"/>
        </w:rPr>
        <w:t>ensure</w:t>
      </w:r>
      <w:r w:rsidRPr="28D940A9">
        <w:rPr>
          <w:lang w:val="en-GB"/>
        </w:rPr>
        <w:t xml:space="preserve"> this parking is</w:t>
      </w:r>
      <w:r w:rsidR="002D1F36">
        <w:rPr>
          <w:lang w:val="en-GB"/>
        </w:rPr>
        <w:t xml:space="preserve"> linked to the wheelchair accessible units within the development </w:t>
      </w:r>
      <w:r w:rsidR="00D27DFD" w:rsidRPr="28D940A9">
        <w:rPr>
          <w:lang w:val="en-GB"/>
        </w:rPr>
        <w:t>and located to minimise the distance to the dwelling or relevant block entrance</w:t>
      </w:r>
      <w:r w:rsidRPr="28D940A9">
        <w:rPr>
          <w:lang w:val="en-GB"/>
        </w:rPr>
        <w:t>.</w:t>
      </w:r>
      <w:r w:rsidR="00A51FE0" w:rsidRPr="28D940A9">
        <w:rPr>
          <w:lang w:val="en-GB"/>
        </w:rPr>
        <w:t xml:space="preserve"> </w:t>
      </w:r>
      <w:r w:rsidRPr="28D940A9">
        <w:rPr>
          <w:lang w:val="en-GB"/>
        </w:rPr>
        <w:t xml:space="preserve"> </w:t>
      </w:r>
    </w:p>
    <w:p w14:paraId="492CB476" w14:textId="77777777" w:rsidR="00B61C92" w:rsidRDefault="00C5603B" w:rsidP="00D56C2A">
      <w:pPr>
        <w:pStyle w:val="Paragraphs"/>
      </w:pPr>
      <w:r>
        <w:t>Off-site parking spaces or spaces on the public highway for disabled people (blue badge spaces</w:t>
      </w:r>
      <w:r w:rsidR="00832B30">
        <w:t>)</w:t>
      </w:r>
      <w:r w:rsidR="002A494D">
        <w:t xml:space="preserve"> that are funded by the developer</w:t>
      </w:r>
      <w:r w:rsidR="0053354A">
        <w:t xml:space="preserve"> are subject to the discretion of the Council due to the capacity constraints on public highways. </w:t>
      </w:r>
      <w:r w:rsidR="00D82470">
        <w:t>In cases where they are agreed, they</w:t>
      </w:r>
      <w:r w:rsidR="003A165D">
        <w:t xml:space="preserve"> shall be delivered through a S</w:t>
      </w:r>
      <w:r>
        <w:t xml:space="preserve">ection 278 </w:t>
      </w:r>
      <w:r w:rsidR="00942CDF">
        <w:t xml:space="preserve">(Highways Act 1980) </w:t>
      </w:r>
      <w:r>
        <w:t xml:space="preserve">agreement by the </w:t>
      </w:r>
      <w:r w:rsidR="00AD1FB6">
        <w:t>Council</w:t>
      </w:r>
      <w:r>
        <w:t>.</w:t>
      </w:r>
    </w:p>
    <w:p w14:paraId="011B2409" w14:textId="77777777" w:rsidR="003F2913" w:rsidRDefault="003F2913" w:rsidP="00710A31">
      <w:pPr>
        <w:spacing w:after="120"/>
        <w:rPr>
          <w:b/>
        </w:rPr>
      </w:pPr>
    </w:p>
    <w:p w14:paraId="49D506B7" w14:textId="77777777" w:rsidR="003F2913" w:rsidRDefault="003F2913" w:rsidP="00710A31">
      <w:pPr>
        <w:spacing w:after="120"/>
        <w:rPr>
          <w:b/>
        </w:rPr>
      </w:pPr>
    </w:p>
    <w:p w14:paraId="5313F47F" w14:textId="5B5B1F4D" w:rsidR="00710A31" w:rsidRPr="003D2BA4" w:rsidRDefault="00710A31" w:rsidP="00710A31">
      <w:pPr>
        <w:spacing w:after="120"/>
        <w:rPr>
          <w:b/>
        </w:rPr>
      </w:pPr>
      <w:r w:rsidRPr="003D2BA4">
        <w:rPr>
          <w:b/>
        </w:rPr>
        <w:lastRenderedPageBreak/>
        <w:t xml:space="preserve">Text Box </w:t>
      </w:r>
      <w:r w:rsidR="000E08D9">
        <w:rPr>
          <w:b/>
        </w:rPr>
        <w:t>8</w:t>
      </w:r>
      <w:r w:rsidRPr="003D2BA4">
        <w:rPr>
          <w:b/>
        </w:rPr>
        <w:t xml:space="preserve">: </w:t>
      </w:r>
      <w:r>
        <w:rPr>
          <w:b/>
        </w:rPr>
        <w:t>Wheelchair Accessible Parking</w:t>
      </w:r>
    </w:p>
    <w:p w14:paraId="3F979FFA" w14:textId="77777777" w:rsidR="00D56C2A" w:rsidRPr="000D65CE" w:rsidRDefault="00D56C2A" w:rsidP="00D56C2A">
      <w:r w:rsidRPr="000D65CE">
        <w:rPr>
          <w:rFonts w:cs="Arial"/>
          <w:noProof/>
          <w:lang w:eastAsia="en-GB"/>
        </w:rPr>
        <mc:AlternateContent>
          <mc:Choice Requires="wps">
            <w:drawing>
              <wp:inline distT="0" distB="0" distL="0" distR="0" wp14:anchorId="15BEB3BF" wp14:editId="500257EA">
                <wp:extent cx="5715000" cy="2185060"/>
                <wp:effectExtent l="0" t="0" r="0" b="571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185060"/>
                        </a:xfrm>
                        <a:prstGeom prst="rect">
                          <a:avLst/>
                        </a:prstGeom>
                        <a:solidFill>
                          <a:schemeClr val="accent1">
                            <a:lumMod val="20000"/>
                            <a:lumOff val="80000"/>
                          </a:schemeClr>
                        </a:solidFill>
                        <a:ln>
                          <a:noFill/>
                        </a:ln>
                        <a:effectLst/>
                      </wps:spPr>
                      <wps:txbx>
                        <w:txbxContent>
                          <w:p w14:paraId="242EF8A7" w14:textId="77777777" w:rsidR="00EB3B59" w:rsidRPr="002748AE" w:rsidRDefault="00EB3B59" w:rsidP="00D56C2A">
                            <w:pPr>
                              <w:autoSpaceDE w:val="0"/>
                              <w:autoSpaceDN w:val="0"/>
                              <w:adjustRightInd w:val="0"/>
                              <w:jc w:val="both"/>
                              <w:rPr>
                                <w:rFonts w:cs="Arial"/>
                                <w:b/>
                                <w:bCs/>
                                <w:szCs w:val="22"/>
                              </w:rPr>
                            </w:pPr>
                            <w:r w:rsidRPr="002748AE">
                              <w:rPr>
                                <w:rFonts w:cs="Arial"/>
                                <w:b/>
                                <w:bCs/>
                                <w:szCs w:val="22"/>
                              </w:rPr>
                              <w:t>Threshold and Contribution Requirements</w:t>
                            </w:r>
                          </w:p>
                          <w:p w14:paraId="3905EAF2" w14:textId="77777777" w:rsidR="00EB3B59" w:rsidRPr="002748AE" w:rsidRDefault="00EB3B59" w:rsidP="00D56C2A">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wheelchair accessible parking</w:t>
                            </w:r>
                            <w:r w:rsidRPr="002748AE">
                              <w:rPr>
                                <w:rFonts w:cs="Arial"/>
                                <w:szCs w:val="22"/>
                              </w:rPr>
                              <w:t xml:space="preserve"> will be sought for:</w:t>
                            </w:r>
                          </w:p>
                          <w:p w14:paraId="33131C4F" w14:textId="77777777" w:rsidR="00EB3B59" w:rsidRPr="00043531" w:rsidRDefault="00EB3B59" w:rsidP="00D56C2A">
                            <w:pPr>
                              <w:pStyle w:val="ListParagraph"/>
                              <w:numPr>
                                <w:ilvl w:val="0"/>
                                <w:numId w:val="5"/>
                              </w:numPr>
                              <w:autoSpaceDE w:val="0"/>
                              <w:autoSpaceDN w:val="0"/>
                              <w:adjustRightInd w:val="0"/>
                              <w:jc w:val="both"/>
                              <w:rPr>
                                <w:rFonts w:cs="Arial"/>
                                <w:szCs w:val="22"/>
                              </w:rPr>
                            </w:pPr>
                            <w:r>
                              <w:rPr>
                                <w:rFonts w:cs="Arial"/>
                                <w:szCs w:val="22"/>
                              </w:rPr>
                              <w:t>Developments delivering accessible car parking</w:t>
                            </w:r>
                          </w:p>
                          <w:p w14:paraId="7F31C6BB" w14:textId="77777777" w:rsidR="00EB3B59" w:rsidRPr="00731E68" w:rsidRDefault="00EB3B59" w:rsidP="00D56C2A">
                            <w:pPr>
                              <w:jc w:val="both"/>
                              <w:rPr>
                                <w:b/>
                              </w:rPr>
                            </w:pPr>
                            <w:r w:rsidRPr="00731E68">
                              <w:rPr>
                                <w:b/>
                              </w:rPr>
                              <w:t>Wheelchair Accessible Parking</w:t>
                            </w:r>
                          </w:p>
                          <w:p w14:paraId="33A1F171" w14:textId="4C8997E2" w:rsidR="00EB3B59" w:rsidRDefault="00EB3B59" w:rsidP="00D56C2A">
                            <w:pPr>
                              <w:jc w:val="both"/>
                            </w:pPr>
                            <w:r w:rsidRPr="000D65CE">
                              <w:t>The</w:t>
                            </w:r>
                            <w:r>
                              <w:t xml:space="preserve"> legal agreement will secure the</w:t>
                            </w:r>
                            <w:r w:rsidRPr="000D65CE">
                              <w:t xml:space="preserve"> number and location of accessible parking spaces in perpetuity for exclusive use by the wheelchair accessible units. No parking charge should be associated with the use of the accessible parking spaces.</w:t>
                            </w:r>
                          </w:p>
                          <w:p w14:paraId="66B8391E" w14:textId="77777777" w:rsidR="00EB3B59" w:rsidRPr="002748AE" w:rsidRDefault="00EB3B59" w:rsidP="00731E68">
                            <w:pPr>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BEB3BF" id="_x0000_s1034" type="#_x0000_t202" style="width:450pt;height:17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" fillcolor="#dbe5f1 [660]" stroked="f">
                <v:textbox>
                  <w:txbxContent>
                    <w:p w14:paraId="242EF8A7" w14:textId="77777777" w:rsidR="00EB3B59" w:rsidRPr="002748AE" w:rsidRDefault="00EB3B59" w:rsidP="00D56C2A">
                      <w:pPr>
                        <w:autoSpaceDE w:val="0"/>
                        <w:autoSpaceDN w:val="0"/>
                        <w:adjustRightInd w:val="0"/>
                        <w:jc w:val="both"/>
                        <w:rPr>
                          <w:rFonts w:cs="Arial"/>
                          <w:b/>
                          <w:bCs/>
                          <w:szCs w:val="22"/>
                        </w:rPr>
                      </w:pPr>
                      <w:r w:rsidRPr="002748AE">
                        <w:rPr>
                          <w:rFonts w:cs="Arial"/>
                          <w:b/>
                          <w:bCs/>
                          <w:szCs w:val="22"/>
                        </w:rPr>
                        <w:t>Threshold and Contribution Requirements</w:t>
                      </w:r>
                    </w:p>
                    <w:p w14:paraId="3905EAF2" w14:textId="77777777" w:rsidR="00EB3B59" w:rsidRPr="002748AE" w:rsidRDefault="00EB3B59" w:rsidP="00D56C2A">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wheelchair accessible parking</w:t>
                      </w:r>
                      <w:r w:rsidRPr="002748AE">
                        <w:rPr>
                          <w:rFonts w:cs="Arial"/>
                          <w:szCs w:val="22"/>
                        </w:rPr>
                        <w:t xml:space="preserve"> will be sought for:</w:t>
                      </w:r>
                    </w:p>
                    <w:p w14:paraId="33131C4F" w14:textId="77777777" w:rsidR="00EB3B59" w:rsidRPr="00043531" w:rsidRDefault="00EB3B59" w:rsidP="00D56C2A">
                      <w:pPr>
                        <w:pStyle w:val="ListParagraph"/>
                        <w:numPr>
                          <w:ilvl w:val="0"/>
                          <w:numId w:val="5"/>
                        </w:numPr>
                        <w:autoSpaceDE w:val="0"/>
                        <w:autoSpaceDN w:val="0"/>
                        <w:adjustRightInd w:val="0"/>
                        <w:jc w:val="both"/>
                        <w:rPr>
                          <w:rFonts w:cs="Arial"/>
                          <w:szCs w:val="22"/>
                        </w:rPr>
                      </w:pPr>
                      <w:r>
                        <w:rPr>
                          <w:rFonts w:cs="Arial"/>
                          <w:szCs w:val="22"/>
                        </w:rPr>
                        <w:t>Developments delivering accessible car parking</w:t>
                      </w:r>
                    </w:p>
                    <w:p w14:paraId="7F31C6BB" w14:textId="77777777" w:rsidR="00EB3B59" w:rsidRPr="00731E68" w:rsidRDefault="00EB3B59" w:rsidP="00D56C2A">
                      <w:pPr>
                        <w:jc w:val="both"/>
                        <w:rPr>
                          <w:b/>
                        </w:rPr>
                      </w:pPr>
                      <w:r w:rsidRPr="00731E68">
                        <w:rPr>
                          <w:b/>
                        </w:rPr>
                        <w:t>Wheelchair Accessible Parking</w:t>
                      </w:r>
                    </w:p>
                    <w:p w14:paraId="33A1F171" w14:textId="4C8997E2" w:rsidR="00EB3B59" w:rsidRDefault="00EB3B59" w:rsidP="00D56C2A">
                      <w:pPr>
                        <w:jc w:val="both"/>
                      </w:pPr>
                      <w:r w:rsidRPr="000D65CE">
                        <w:t>The</w:t>
                      </w:r>
                      <w:r>
                        <w:t xml:space="preserve"> legal agreement will secure the</w:t>
                      </w:r>
                      <w:r w:rsidRPr="000D65CE">
                        <w:t xml:space="preserve"> number and location of accessible parking spaces in perpetuity for exclusive use by the wheelchair accessible units. No parking charge should be associated with the use of the accessible parking spaces.</w:t>
                      </w:r>
                    </w:p>
                    <w:p w14:paraId="66B8391E" w14:textId="77777777" w:rsidR="00EB3B59" w:rsidRPr="002748AE" w:rsidRDefault="00EB3B59" w:rsidP="00731E68">
                      <w:pPr>
                        <w:rPr>
                          <w:rFonts w:cs="Arial"/>
                          <w:szCs w:val="22"/>
                        </w:rPr>
                      </w:pPr>
                    </w:p>
                  </w:txbxContent>
                </v:textbox>
                <w10:anchorlock/>
              </v:shape>
            </w:pict>
          </mc:Fallback>
        </mc:AlternateContent>
      </w:r>
    </w:p>
    <w:p w14:paraId="36E10C9E" w14:textId="35D59C42" w:rsidR="00D15BC1" w:rsidRPr="000D65CE" w:rsidRDefault="00D15BC1" w:rsidP="00721B10">
      <w:pPr>
        <w:pStyle w:val="Heading2"/>
      </w:pPr>
      <w:bookmarkStart w:id="10" w:name="_Toc69374672"/>
      <w:r w:rsidRPr="000D65CE">
        <w:t>Student Housing Development</w:t>
      </w:r>
      <w:bookmarkEnd w:id="10"/>
    </w:p>
    <w:tbl>
      <w:tblPr>
        <w:tblStyle w:val="TableGrid"/>
        <w:tblW w:w="0" w:type="auto"/>
        <w:tblInd w:w="73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2A3432EB" w14:textId="77777777" w:rsidTr="00921BA6">
        <w:tc>
          <w:tcPr>
            <w:tcW w:w="3119" w:type="dxa"/>
            <w:tcBorders>
              <w:bottom w:val="single" w:sz="8" w:space="0" w:color="006BB6"/>
            </w:tcBorders>
            <w:shd w:val="clear" w:color="auto" w:fill="F2F2F2" w:themeFill="background1" w:themeFillShade="F2"/>
          </w:tcPr>
          <w:p w14:paraId="72ADD838"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124CDFD9"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S.H1, D.H6</w:t>
            </w:r>
          </w:p>
        </w:tc>
      </w:tr>
    </w:tbl>
    <w:p w14:paraId="2F9225DB" w14:textId="77777777" w:rsidR="00575071" w:rsidRPr="000D65CE" w:rsidRDefault="00575071" w:rsidP="003B280C">
      <w:pPr>
        <w:jc w:val="both"/>
      </w:pPr>
    </w:p>
    <w:p w14:paraId="14C31D26" w14:textId="77777777" w:rsidR="00282064" w:rsidRPr="000D65CE" w:rsidRDefault="00282064" w:rsidP="003B280C">
      <w:pPr>
        <w:pStyle w:val="Paragraphs"/>
        <w:rPr>
          <w:lang w:val="en-GB"/>
        </w:rPr>
      </w:pPr>
      <w:r w:rsidRPr="28D940A9">
        <w:rPr>
          <w:lang w:val="en-GB"/>
        </w:rPr>
        <w:t xml:space="preserve">Policy D.H6 of the Local Plan details the approach to delivering student accommodation in appropriate locations in the </w:t>
      </w:r>
      <w:r w:rsidR="00F447A2" w:rsidRPr="28D940A9">
        <w:rPr>
          <w:lang w:val="en-GB"/>
        </w:rPr>
        <w:t>b</w:t>
      </w:r>
      <w:r w:rsidR="00747592" w:rsidRPr="28D940A9">
        <w:rPr>
          <w:lang w:val="en-GB"/>
        </w:rPr>
        <w:t>orough</w:t>
      </w:r>
      <w:r w:rsidRPr="28D940A9">
        <w:rPr>
          <w:lang w:val="en-GB"/>
        </w:rPr>
        <w:t xml:space="preserve"> and the need to balance this against other priorities. </w:t>
      </w:r>
    </w:p>
    <w:p w14:paraId="1C420570" w14:textId="77777777" w:rsidR="00282064" w:rsidRPr="000D65CE" w:rsidRDefault="00282064" w:rsidP="003B280C">
      <w:pPr>
        <w:pStyle w:val="Paragraphs"/>
        <w:rPr>
          <w:lang w:val="en-GB"/>
        </w:rPr>
      </w:pPr>
      <w:r w:rsidRPr="000D65CE">
        <w:rPr>
          <w:lang w:val="en-GB"/>
        </w:rPr>
        <w:t>T</w:t>
      </w:r>
      <w:r w:rsidR="00175386" w:rsidRPr="000D65CE">
        <w:rPr>
          <w:lang w:val="en-GB"/>
        </w:rPr>
        <w:t>wo types of student accommodation</w:t>
      </w:r>
      <w:r w:rsidR="00A529BC" w:rsidRPr="000D65CE">
        <w:rPr>
          <w:vertAlign w:val="superscript"/>
          <w:lang w:val="en-GB"/>
        </w:rPr>
        <w:footnoteReference w:id="8"/>
      </w:r>
      <w:r w:rsidR="00175386" w:rsidRPr="000D65CE">
        <w:rPr>
          <w:lang w:val="en-GB"/>
        </w:rPr>
        <w:t xml:space="preserve"> </w:t>
      </w:r>
      <w:r w:rsidRPr="000D65CE">
        <w:rPr>
          <w:lang w:val="en-GB"/>
        </w:rPr>
        <w:t xml:space="preserve">have been identified </w:t>
      </w:r>
      <w:r w:rsidR="007A6A30" w:rsidRPr="000D65CE">
        <w:rPr>
          <w:lang w:val="en-GB"/>
        </w:rPr>
        <w:t>in Tower Hamlets</w:t>
      </w:r>
      <w:r w:rsidRPr="000D65CE">
        <w:rPr>
          <w:lang w:val="en-GB"/>
        </w:rPr>
        <w:t>:</w:t>
      </w:r>
      <w:r w:rsidR="00175386" w:rsidRPr="000D65CE">
        <w:rPr>
          <w:lang w:val="en-GB"/>
        </w:rPr>
        <w:t xml:space="preserve"> </w:t>
      </w:r>
    </w:p>
    <w:p w14:paraId="2BD749DE" w14:textId="41EB85C7" w:rsidR="00282064" w:rsidRPr="000D65CE" w:rsidRDefault="00282064" w:rsidP="003B280C">
      <w:pPr>
        <w:pStyle w:val="ListBullet4"/>
        <w:jc w:val="both"/>
      </w:pPr>
      <w:r>
        <w:t>M</w:t>
      </w:r>
      <w:r w:rsidR="00175386">
        <w:t>arket student housing which charges unrestricted rents and generate</w:t>
      </w:r>
      <w:r w:rsidR="005B52AC">
        <w:t>s</w:t>
      </w:r>
      <w:r w:rsidR="00175386">
        <w:t xml:space="preserve"> sufficient surplus residual values to absorb the </w:t>
      </w:r>
      <w:r w:rsidR="00747592">
        <w:t>Borough</w:t>
      </w:r>
      <w:r w:rsidR="00175386">
        <w:t xml:space="preserve"> CIL. </w:t>
      </w:r>
      <w:r w:rsidR="005B52AC">
        <w:t>For such private developments, a mix of affordable and market student housing units are expected to be delivered to meet the full range of housing needs in line with Policy S.H1</w:t>
      </w:r>
      <w:r w:rsidR="00A0296E">
        <w:t>.</w:t>
      </w:r>
      <w:r w:rsidR="005B52AC">
        <w:t xml:space="preserve"> </w:t>
      </w:r>
    </w:p>
    <w:p w14:paraId="7D399B9E" w14:textId="640BF884" w:rsidR="005B52AC" w:rsidRPr="000D65CE" w:rsidRDefault="001417CB" w:rsidP="003B280C">
      <w:pPr>
        <w:pStyle w:val="ListBullet4"/>
        <w:jc w:val="both"/>
      </w:pPr>
      <w:r>
        <w:t>Higher education</w:t>
      </w:r>
      <w:r w:rsidR="00282064">
        <w:t xml:space="preserve">-led student housing which </w:t>
      </w:r>
      <w:r w:rsidR="00175386">
        <w:t xml:space="preserve">is tied to </w:t>
      </w:r>
      <w:r w:rsidR="005B52AC">
        <w:t>one or more specific education institutions through an undertaking and</w:t>
      </w:r>
      <w:r w:rsidR="00175386">
        <w:t xml:space="preserve"> restricts rents at lower than market levels</w:t>
      </w:r>
      <w:r w:rsidR="00A0296E">
        <w:t>.</w:t>
      </w:r>
      <w:r w:rsidR="005B52AC">
        <w:t xml:space="preserve"> </w:t>
      </w:r>
    </w:p>
    <w:p w14:paraId="2613F1AA" w14:textId="02C11EB2" w:rsidR="00610BF6" w:rsidRPr="000D65CE" w:rsidRDefault="00610BF6" w:rsidP="003B280C">
      <w:pPr>
        <w:spacing w:before="360" w:after="120"/>
        <w:jc w:val="both"/>
        <w:rPr>
          <w:b/>
          <w:color w:val="00477E"/>
          <w:sz w:val="24"/>
        </w:rPr>
      </w:pPr>
      <w:r w:rsidRPr="000D65CE">
        <w:rPr>
          <w:b/>
          <w:color w:val="00477E"/>
          <w:sz w:val="24"/>
        </w:rPr>
        <w:t xml:space="preserve">How the Council will </w:t>
      </w:r>
      <w:r w:rsidR="00AD13D6" w:rsidRPr="000D65CE">
        <w:rPr>
          <w:b/>
          <w:color w:val="00477E"/>
          <w:sz w:val="24"/>
        </w:rPr>
        <w:t xml:space="preserve">Secure Student Housing Through </w:t>
      </w:r>
      <w:r w:rsidR="000E364F">
        <w:rPr>
          <w:b/>
          <w:color w:val="00477E"/>
          <w:sz w:val="24"/>
        </w:rPr>
        <w:t>Planning Obligations</w:t>
      </w:r>
    </w:p>
    <w:p w14:paraId="662AC492" w14:textId="77777777" w:rsidR="00175386" w:rsidRPr="000D65CE" w:rsidRDefault="00623397" w:rsidP="003B280C">
      <w:pPr>
        <w:pStyle w:val="Paragraphs"/>
        <w:rPr>
          <w:lang w:val="en-GB"/>
        </w:rPr>
      </w:pPr>
      <w:r w:rsidRPr="28D940A9">
        <w:rPr>
          <w:lang w:val="en-GB"/>
        </w:rPr>
        <w:t>S</w:t>
      </w:r>
      <w:r w:rsidR="005B52AC" w:rsidRPr="28D940A9">
        <w:rPr>
          <w:lang w:val="en-GB"/>
        </w:rPr>
        <w:t>tudent housing</w:t>
      </w:r>
      <w:r w:rsidRPr="28D940A9">
        <w:rPr>
          <w:lang w:val="en-GB"/>
        </w:rPr>
        <w:t xml:space="preserve"> led by higher education institutions</w:t>
      </w:r>
      <w:r w:rsidR="005B52AC" w:rsidRPr="28D940A9">
        <w:rPr>
          <w:lang w:val="en-GB"/>
        </w:rPr>
        <w:t xml:space="preserve"> has been</w:t>
      </w:r>
      <w:r w:rsidR="0064734B" w:rsidRPr="28D940A9">
        <w:rPr>
          <w:lang w:val="en-GB"/>
        </w:rPr>
        <w:t xml:space="preserve"> </w:t>
      </w:r>
      <w:r w:rsidR="00175386" w:rsidRPr="28D940A9">
        <w:rPr>
          <w:lang w:val="en-GB"/>
        </w:rPr>
        <w:t>identified as being unviable</w:t>
      </w:r>
      <w:r w:rsidR="00D82470" w:rsidRPr="28D940A9">
        <w:rPr>
          <w:lang w:val="en-GB"/>
        </w:rPr>
        <w:t xml:space="preserve"> at the current CIL rates</w:t>
      </w:r>
      <w:r w:rsidR="00175386" w:rsidRPr="28D940A9">
        <w:rPr>
          <w:lang w:val="en-GB"/>
        </w:rPr>
        <w:t>. Tower Hamlets’ Student Housing CIL rate of £45</w:t>
      </w:r>
      <w:r w:rsidR="0088647B" w:rsidRPr="28D940A9">
        <w:rPr>
          <w:lang w:val="en-GB"/>
        </w:rPr>
        <w:t>0</w:t>
      </w:r>
      <w:r w:rsidR="00175386" w:rsidRPr="28D940A9">
        <w:rPr>
          <w:lang w:val="en-GB"/>
        </w:rPr>
        <w:t xml:space="preserve"> will not apply to </w:t>
      </w:r>
      <w:r w:rsidRPr="28D940A9">
        <w:rPr>
          <w:lang w:val="en-GB"/>
        </w:rPr>
        <w:t>higher education</w:t>
      </w:r>
      <w:r w:rsidR="0064734B" w:rsidRPr="28D940A9">
        <w:rPr>
          <w:lang w:val="en-GB"/>
        </w:rPr>
        <w:t>-</w:t>
      </w:r>
      <w:r w:rsidR="00175386" w:rsidRPr="28D940A9">
        <w:rPr>
          <w:lang w:val="en-GB"/>
        </w:rPr>
        <w:t>led student accommodation with</w:t>
      </w:r>
      <w:r w:rsidR="00283CF5" w:rsidRPr="28D940A9">
        <w:rPr>
          <w:lang w:val="en-GB"/>
        </w:rPr>
        <w:t xml:space="preserve"> affordable rents (i.e.</w:t>
      </w:r>
      <w:r w:rsidR="00175386" w:rsidRPr="28D940A9">
        <w:rPr>
          <w:lang w:val="en-GB"/>
        </w:rPr>
        <w:t xml:space="preserve"> below</w:t>
      </w:r>
      <w:r w:rsidR="0064734B" w:rsidRPr="28D940A9">
        <w:rPr>
          <w:lang w:val="en-GB"/>
        </w:rPr>
        <w:t>-</w:t>
      </w:r>
      <w:r w:rsidR="00175386" w:rsidRPr="28D940A9">
        <w:rPr>
          <w:lang w:val="en-GB"/>
        </w:rPr>
        <w:t>market rents</w:t>
      </w:r>
      <w:r w:rsidR="00283CF5" w:rsidRPr="28D940A9">
        <w:rPr>
          <w:lang w:val="en-GB"/>
        </w:rPr>
        <w:t xml:space="preserve"> in accordance with the Local Plan)</w:t>
      </w:r>
      <w:r w:rsidR="005B52AC" w:rsidRPr="28D940A9">
        <w:rPr>
          <w:lang w:val="en-GB"/>
        </w:rPr>
        <w:t>.</w:t>
      </w:r>
      <w:r w:rsidR="00175386" w:rsidRPr="28D940A9">
        <w:rPr>
          <w:lang w:val="en-GB"/>
        </w:rPr>
        <w:t xml:space="preserve"> </w:t>
      </w:r>
      <w:r w:rsidR="005B52AC" w:rsidRPr="28D940A9">
        <w:rPr>
          <w:lang w:val="en-GB"/>
        </w:rPr>
        <w:t xml:space="preserve">A </w:t>
      </w:r>
      <w:r w:rsidR="00175386" w:rsidRPr="28D940A9">
        <w:rPr>
          <w:lang w:val="en-GB"/>
        </w:rPr>
        <w:t>planning obligation will be sought to secure the reduce</w:t>
      </w:r>
      <w:r w:rsidR="0064734B" w:rsidRPr="28D940A9">
        <w:rPr>
          <w:lang w:val="en-GB"/>
        </w:rPr>
        <w:t>d</w:t>
      </w:r>
      <w:r w:rsidR="00175386" w:rsidRPr="28D940A9">
        <w:rPr>
          <w:lang w:val="en-GB"/>
        </w:rPr>
        <w:t xml:space="preserve"> rent</w:t>
      </w:r>
      <w:r w:rsidR="00CC7478" w:rsidRPr="28D940A9">
        <w:rPr>
          <w:lang w:val="en-GB"/>
        </w:rPr>
        <w:t xml:space="preserve"> levels</w:t>
      </w:r>
      <w:r w:rsidR="005B52AC" w:rsidRPr="28D940A9">
        <w:rPr>
          <w:lang w:val="en-GB"/>
        </w:rPr>
        <w:t xml:space="preserve"> </w:t>
      </w:r>
      <w:r w:rsidR="00E416FC" w:rsidRPr="28D940A9">
        <w:rPr>
          <w:lang w:val="en-GB"/>
        </w:rPr>
        <w:t>for the duration that the student housing use continues</w:t>
      </w:r>
      <w:r w:rsidR="00175386" w:rsidRPr="28D940A9">
        <w:rPr>
          <w:lang w:val="en-GB"/>
        </w:rPr>
        <w:t>.</w:t>
      </w:r>
    </w:p>
    <w:p w14:paraId="11C40FA0" w14:textId="45C34BFC" w:rsidR="00B109C1" w:rsidRDefault="00EA689D" w:rsidP="003B280C">
      <w:pPr>
        <w:pStyle w:val="Paragraphs"/>
        <w:rPr>
          <w:lang w:val="en-GB"/>
        </w:rPr>
      </w:pPr>
      <w:r w:rsidRPr="28D940A9">
        <w:rPr>
          <w:lang w:val="en-GB"/>
        </w:rPr>
        <w:t>Where nil-CIL liability is sought, t</w:t>
      </w:r>
      <w:r w:rsidR="00175386" w:rsidRPr="28D940A9">
        <w:rPr>
          <w:lang w:val="en-GB"/>
        </w:rPr>
        <w:t xml:space="preserve">he </w:t>
      </w:r>
      <w:r w:rsidR="00623397" w:rsidRPr="28D940A9">
        <w:rPr>
          <w:lang w:val="en-GB"/>
        </w:rPr>
        <w:t>higher education institution</w:t>
      </w:r>
      <w:r w:rsidR="00175386" w:rsidRPr="28D940A9">
        <w:rPr>
          <w:lang w:val="en-GB"/>
        </w:rPr>
        <w:t xml:space="preserve"> in question</w:t>
      </w:r>
      <w:r w:rsidR="00CC7478" w:rsidRPr="28D940A9">
        <w:rPr>
          <w:lang w:val="en-GB"/>
        </w:rPr>
        <w:t xml:space="preserve"> will</w:t>
      </w:r>
      <w:r w:rsidR="00175386" w:rsidRPr="28D940A9">
        <w:rPr>
          <w:lang w:val="en-GB"/>
        </w:rPr>
        <w:t xml:space="preserve"> be </w:t>
      </w:r>
      <w:r w:rsidR="00175386" w:rsidRPr="28D940A9">
        <w:rPr>
          <w:lang w:val="en-GB"/>
        </w:rPr>
        <w:lastRenderedPageBreak/>
        <w:t xml:space="preserve">required to have at least one teaching facility in Tower Hamlets’ CIL </w:t>
      </w:r>
      <w:r w:rsidR="006D4E92" w:rsidRPr="28D940A9">
        <w:rPr>
          <w:lang w:val="en-GB"/>
        </w:rPr>
        <w:t>c</w:t>
      </w:r>
      <w:r w:rsidR="00175386" w:rsidRPr="28D940A9">
        <w:rPr>
          <w:lang w:val="en-GB"/>
        </w:rPr>
        <w:t xml:space="preserve">harging </w:t>
      </w:r>
      <w:r w:rsidR="006D4E92" w:rsidRPr="28D940A9">
        <w:rPr>
          <w:lang w:val="en-GB"/>
        </w:rPr>
        <w:t>a</w:t>
      </w:r>
      <w:r w:rsidR="00175386" w:rsidRPr="28D940A9">
        <w:rPr>
          <w:lang w:val="en-GB"/>
        </w:rPr>
        <w:t>rea</w:t>
      </w:r>
      <w:r w:rsidR="00417009" w:rsidRPr="28D940A9">
        <w:rPr>
          <w:lang w:val="en-GB"/>
        </w:rPr>
        <w:t>.</w:t>
      </w:r>
      <w:r w:rsidR="00175386" w:rsidRPr="28D940A9">
        <w:rPr>
          <w:lang w:val="en-GB"/>
        </w:rPr>
        <w:t xml:space="preserve"> </w:t>
      </w:r>
      <w:r w:rsidR="00417009" w:rsidRPr="28D940A9">
        <w:rPr>
          <w:lang w:val="en-GB"/>
        </w:rPr>
        <w:t>A</w:t>
      </w:r>
      <w:r w:rsidR="00175386" w:rsidRPr="28D940A9">
        <w:rPr>
          <w:lang w:val="en-GB"/>
        </w:rPr>
        <w:t xml:space="preserve">ny developer </w:t>
      </w:r>
      <w:bookmarkStart w:id="11" w:name="_Hlk49175646"/>
      <w:r w:rsidR="00175386" w:rsidRPr="28D940A9">
        <w:rPr>
          <w:lang w:val="en-GB"/>
        </w:rPr>
        <w:t xml:space="preserve">undertaking development on behalf of a </w:t>
      </w:r>
      <w:r w:rsidR="00623397" w:rsidRPr="28D940A9">
        <w:rPr>
          <w:lang w:val="en-GB"/>
        </w:rPr>
        <w:t>higher education institution</w:t>
      </w:r>
      <w:r w:rsidR="00175386" w:rsidRPr="28D940A9">
        <w:rPr>
          <w:lang w:val="en-GB"/>
        </w:rPr>
        <w:t xml:space="preserve"> must enter into a formal nomination agreement, or the equivalent, with the </w:t>
      </w:r>
      <w:r w:rsidR="00623397" w:rsidRPr="28D940A9">
        <w:rPr>
          <w:lang w:val="en-GB"/>
        </w:rPr>
        <w:t>higher education institution</w:t>
      </w:r>
      <w:r w:rsidR="00175386" w:rsidRPr="28D940A9">
        <w:rPr>
          <w:lang w:val="en-GB"/>
        </w:rPr>
        <w:t xml:space="preserve"> in question</w:t>
      </w:r>
      <w:bookmarkEnd w:id="11"/>
      <w:r w:rsidR="00AD7A35" w:rsidRPr="28D940A9">
        <w:rPr>
          <w:lang w:val="en-GB"/>
        </w:rPr>
        <w:t xml:space="preserve"> prior to the planning application being made to the Council</w:t>
      </w:r>
      <w:r w:rsidR="00175386" w:rsidRPr="28D940A9">
        <w:rPr>
          <w:lang w:val="en-GB"/>
        </w:rPr>
        <w:t xml:space="preserve">. </w:t>
      </w:r>
    </w:p>
    <w:p w14:paraId="299826E5" w14:textId="3694A62D" w:rsidR="000E08D9" w:rsidRPr="003D2BA4" w:rsidRDefault="000E08D9" w:rsidP="00A0296E">
      <w:pPr>
        <w:spacing w:after="120"/>
        <w:rPr>
          <w:b/>
        </w:rPr>
      </w:pPr>
      <w:r w:rsidRPr="003D2BA4">
        <w:rPr>
          <w:b/>
        </w:rPr>
        <w:t xml:space="preserve">Text Box </w:t>
      </w:r>
      <w:r>
        <w:rPr>
          <w:b/>
        </w:rPr>
        <w:t>9</w:t>
      </w:r>
      <w:r w:rsidRPr="003D2BA4">
        <w:rPr>
          <w:b/>
        </w:rPr>
        <w:t xml:space="preserve">: </w:t>
      </w:r>
      <w:r>
        <w:rPr>
          <w:b/>
        </w:rPr>
        <w:t>Student Housing</w:t>
      </w:r>
    </w:p>
    <w:p w14:paraId="4D18FAC1" w14:textId="77777777" w:rsidR="00A909A9" w:rsidRPr="000D65CE" w:rsidRDefault="00175386" w:rsidP="003B280C">
      <w:pPr>
        <w:jc w:val="both"/>
        <w:rPr>
          <w:rFonts w:cs="Arial"/>
          <w:sz w:val="28"/>
          <w:szCs w:val="28"/>
        </w:rPr>
      </w:pPr>
      <w:r w:rsidRPr="000D65CE">
        <w:rPr>
          <w:rFonts w:cs="Arial"/>
          <w:b/>
          <w:bCs/>
          <w:noProof/>
          <w:szCs w:val="22"/>
          <w:lang w:eastAsia="en-GB"/>
        </w:rPr>
        <mc:AlternateContent>
          <mc:Choice Requires="wps">
            <w:drawing>
              <wp:inline distT="0" distB="0" distL="0" distR="0" wp14:anchorId="04F38853" wp14:editId="7A9AB6B2">
                <wp:extent cx="5734050" cy="4381995"/>
                <wp:effectExtent l="0" t="0" r="0" b="0"/>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4381995"/>
                        </a:xfrm>
                        <a:prstGeom prst="rect">
                          <a:avLst/>
                        </a:prstGeom>
                        <a:solidFill>
                          <a:schemeClr val="accent1">
                            <a:lumMod val="20000"/>
                            <a:lumOff val="80000"/>
                          </a:schemeClr>
                        </a:solidFill>
                        <a:ln>
                          <a:noFill/>
                        </a:ln>
                      </wps:spPr>
                      <wps:txbx>
                        <w:txbxContent>
                          <w:p w14:paraId="33767AE0" w14:textId="77777777" w:rsidR="00EB3B59" w:rsidRPr="006B71BD" w:rsidRDefault="00EB3B59" w:rsidP="002E451A">
                            <w:pPr>
                              <w:widowControl w:val="0"/>
                              <w:autoSpaceDE w:val="0"/>
                              <w:autoSpaceDN w:val="0"/>
                              <w:adjustRightInd w:val="0"/>
                              <w:jc w:val="both"/>
                              <w:textAlignment w:val="center"/>
                              <w:rPr>
                                <w:rFonts w:cs="Arial"/>
                                <w:b/>
                                <w:szCs w:val="22"/>
                                <w:lang w:val="en-US"/>
                              </w:rPr>
                            </w:pPr>
                            <w:r w:rsidRPr="006B71BD">
                              <w:rPr>
                                <w:rFonts w:cs="Arial"/>
                                <w:b/>
                                <w:szCs w:val="22"/>
                                <w:lang w:val="en-US"/>
                              </w:rPr>
                              <w:t>Threshold and Contribution Requirements</w:t>
                            </w:r>
                          </w:p>
                          <w:p w14:paraId="6354BB30" w14:textId="77777777" w:rsidR="00EB3B59" w:rsidRPr="001A2022" w:rsidRDefault="00EB3B59" w:rsidP="002E451A">
                            <w:pPr>
                              <w:widowControl w:val="0"/>
                              <w:autoSpaceDE w:val="0"/>
                              <w:autoSpaceDN w:val="0"/>
                              <w:adjustRightInd w:val="0"/>
                              <w:jc w:val="both"/>
                              <w:textAlignment w:val="center"/>
                              <w:rPr>
                                <w:rFonts w:cs="Arial"/>
                                <w:szCs w:val="22"/>
                                <w:lang w:val="en-US"/>
                              </w:rPr>
                            </w:pPr>
                            <w:r w:rsidRPr="006B71BD">
                              <w:rPr>
                                <w:rFonts w:cs="Arial"/>
                                <w:szCs w:val="22"/>
                                <w:lang w:val="en-US"/>
                              </w:rPr>
                              <w:t>Planning obligations will be sought</w:t>
                            </w:r>
                            <w:r>
                              <w:rPr>
                                <w:rFonts w:cs="Arial"/>
                                <w:szCs w:val="22"/>
                                <w:lang w:val="en-US"/>
                              </w:rPr>
                              <w:t xml:space="preserve"> for</w:t>
                            </w:r>
                            <w:r w:rsidRPr="001A2022">
                              <w:rPr>
                                <w:rFonts w:cs="Arial"/>
                                <w:szCs w:val="22"/>
                                <w:lang w:val="en-US"/>
                              </w:rPr>
                              <w:t>:</w:t>
                            </w:r>
                          </w:p>
                          <w:p w14:paraId="449E1C25" w14:textId="77777777" w:rsidR="00EB3B59" w:rsidRPr="00CC0E9E" w:rsidRDefault="00EB3B59" w:rsidP="002E451A">
                            <w:pPr>
                              <w:pStyle w:val="ListParagraph"/>
                              <w:numPr>
                                <w:ilvl w:val="0"/>
                                <w:numId w:val="7"/>
                              </w:numPr>
                              <w:jc w:val="both"/>
                              <w:rPr>
                                <w:rFonts w:cs="Arial"/>
                                <w:b/>
                                <w:bCs/>
                                <w:szCs w:val="22"/>
                                <w:lang w:val="en-US"/>
                              </w:rPr>
                            </w:pPr>
                            <w:r>
                              <w:rPr>
                                <w:rFonts w:cs="Arial"/>
                                <w:szCs w:val="22"/>
                                <w:lang w:val="en-US"/>
                              </w:rPr>
                              <w:t>Student housing development</w:t>
                            </w:r>
                          </w:p>
                          <w:p w14:paraId="00AA8D04" w14:textId="77777777" w:rsidR="00EB3B59" w:rsidRPr="006B71BD" w:rsidRDefault="00EB3B59" w:rsidP="002E451A">
                            <w:pPr>
                              <w:jc w:val="both"/>
                              <w:rPr>
                                <w:rFonts w:cs="Arial"/>
                                <w:b/>
                                <w:bCs/>
                                <w:szCs w:val="22"/>
                                <w:lang w:val="en-US"/>
                              </w:rPr>
                            </w:pPr>
                            <w:r w:rsidRPr="006B71BD">
                              <w:rPr>
                                <w:rFonts w:cs="Arial"/>
                                <w:b/>
                                <w:bCs/>
                                <w:szCs w:val="22"/>
                                <w:lang w:val="en-US"/>
                              </w:rPr>
                              <w:t xml:space="preserve">Student Housing </w:t>
                            </w:r>
                          </w:p>
                          <w:p w14:paraId="29F07034" w14:textId="55949470" w:rsidR="00EB3B59" w:rsidRDefault="00EB3B59" w:rsidP="002E451A">
                            <w:pPr>
                              <w:jc w:val="both"/>
                              <w:rPr>
                                <w:rFonts w:cs="Arial"/>
                                <w:szCs w:val="22"/>
                              </w:rPr>
                            </w:pPr>
                            <w:r>
                              <w:rPr>
                                <w:lang w:val="en-US"/>
                              </w:rPr>
                              <w:t xml:space="preserve">The Council requires new purpose-built student accommodation to either have an undertaking in place to provide housing for students at one or more specific education institutions, or otherwise provide an element of affordable student accommodation. This affordable student housing will be secured through a planning obligation, requiring </w:t>
                            </w:r>
                            <w:r w:rsidRPr="006B71BD">
                              <w:rPr>
                                <w:rFonts w:cs="Arial"/>
                                <w:bCs/>
                                <w:szCs w:val="22"/>
                                <w:lang w:val="en-US"/>
                              </w:rPr>
                              <w:t>student accommodation let at below</w:t>
                            </w:r>
                            <w:r>
                              <w:rPr>
                                <w:rFonts w:cs="Arial"/>
                                <w:bCs/>
                                <w:szCs w:val="22"/>
                                <w:lang w:val="en-US"/>
                              </w:rPr>
                              <w:t>-</w:t>
                            </w:r>
                            <w:r w:rsidRPr="006B71BD">
                              <w:rPr>
                                <w:rFonts w:cs="Arial"/>
                                <w:bCs/>
                                <w:szCs w:val="22"/>
                                <w:lang w:val="en-US"/>
                              </w:rPr>
                              <w:t>market rent level</w:t>
                            </w:r>
                            <w:r>
                              <w:rPr>
                                <w:rFonts w:cs="Arial"/>
                                <w:bCs/>
                                <w:szCs w:val="22"/>
                                <w:lang w:val="en-US"/>
                              </w:rPr>
                              <w:t xml:space="preserve"> (being affordable student housing in accordance with the Local Plan and the GLA Housing Supplementary Planning Guidance)</w:t>
                            </w:r>
                            <w:r w:rsidRPr="006B71BD">
                              <w:rPr>
                                <w:rFonts w:cs="Arial"/>
                                <w:bCs/>
                                <w:szCs w:val="22"/>
                                <w:lang w:val="en-US"/>
                              </w:rPr>
                              <w:t xml:space="preserve">. </w:t>
                            </w:r>
                          </w:p>
                          <w:p w14:paraId="080D32A4" w14:textId="77777777" w:rsidR="00EB3B59" w:rsidRDefault="00EB3B59" w:rsidP="002E451A">
                            <w:pPr>
                              <w:jc w:val="both"/>
                              <w:rPr>
                                <w:rFonts w:cs="Arial"/>
                                <w:bCs/>
                                <w:szCs w:val="22"/>
                                <w:u w:val="single"/>
                                <w:lang w:val="en-US"/>
                              </w:rPr>
                            </w:pPr>
                            <w:r w:rsidRPr="006B71BD">
                              <w:rPr>
                                <w:rFonts w:cs="Arial"/>
                                <w:bCs/>
                                <w:szCs w:val="22"/>
                                <w:lang w:val="en-US"/>
                              </w:rPr>
                              <w:t>The planning obligation will be</w:t>
                            </w:r>
                            <w:r>
                              <w:rPr>
                                <w:rFonts w:cs="Arial"/>
                                <w:bCs/>
                                <w:szCs w:val="22"/>
                                <w:lang w:val="en-US"/>
                              </w:rPr>
                              <w:t xml:space="preserve"> secured for the duration that the student housing use continues. </w:t>
                            </w:r>
                            <w:r w:rsidRPr="006B71BD">
                              <w:rPr>
                                <w:rFonts w:cs="Arial"/>
                                <w:bCs/>
                                <w:szCs w:val="22"/>
                                <w:lang w:val="en-US"/>
                              </w:rPr>
                              <w:t xml:space="preserve">For monitoring purposes, </w:t>
                            </w:r>
                            <w:r>
                              <w:rPr>
                                <w:rFonts w:cs="Arial"/>
                                <w:bCs/>
                                <w:szCs w:val="22"/>
                                <w:lang w:val="en-US"/>
                              </w:rPr>
                              <w:t>we</w:t>
                            </w:r>
                            <w:r w:rsidRPr="006B71BD">
                              <w:rPr>
                                <w:rFonts w:cs="Arial"/>
                                <w:bCs/>
                                <w:szCs w:val="22"/>
                                <w:lang w:val="en-US"/>
                              </w:rPr>
                              <w:t xml:space="preserve"> will also require an ‘</w:t>
                            </w:r>
                            <w:r>
                              <w:rPr>
                                <w:rFonts w:cs="Arial"/>
                                <w:bCs/>
                                <w:szCs w:val="22"/>
                                <w:lang w:val="en-US"/>
                              </w:rPr>
                              <w:t>o</w:t>
                            </w:r>
                            <w:r w:rsidRPr="006B71BD">
                              <w:rPr>
                                <w:rFonts w:cs="Arial"/>
                                <w:bCs/>
                                <w:szCs w:val="22"/>
                                <w:lang w:val="en-US"/>
                              </w:rPr>
                              <w:t xml:space="preserve">wner’s </w:t>
                            </w:r>
                            <w:r>
                              <w:rPr>
                                <w:rFonts w:cs="Arial"/>
                                <w:bCs/>
                                <w:szCs w:val="22"/>
                                <w:lang w:val="en-US"/>
                              </w:rPr>
                              <w:t>c</w:t>
                            </w:r>
                            <w:r w:rsidRPr="006B71BD">
                              <w:rPr>
                                <w:rFonts w:cs="Arial"/>
                                <w:bCs/>
                                <w:szCs w:val="22"/>
                                <w:lang w:val="en-US"/>
                              </w:rPr>
                              <w:t xml:space="preserve">ovenant’ to be secured in the obligation, to inform </w:t>
                            </w:r>
                            <w:r>
                              <w:rPr>
                                <w:rFonts w:cs="Arial"/>
                                <w:bCs/>
                                <w:szCs w:val="22"/>
                                <w:lang w:val="en-US"/>
                              </w:rPr>
                              <w:t>us</w:t>
                            </w:r>
                            <w:r w:rsidRPr="006B71BD">
                              <w:rPr>
                                <w:rFonts w:cs="Arial"/>
                                <w:bCs/>
                                <w:szCs w:val="22"/>
                                <w:lang w:val="en-US"/>
                              </w:rPr>
                              <w:t xml:space="preserve"> each year of the rent level to be charged for the new academi</w:t>
                            </w:r>
                            <w:r>
                              <w:rPr>
                                <w:rFonts w:cs="Arial"/>
                                <w:bCs/>
                                <w:szCs w:val="22"/>
                                <w:lang w:val="en-US"/>
                              </w:rPr>
                              <w:t>c year</w:t>
                            </w:r>
                            <w:r w:rsidRPr="006B71BD">
                              <w:rPr>
                                <w:rFonts w:cs="Arial"/>
                                <w:bCs/>
                                <w:szCs w:val="22"/>
                                <w:lang w:val="en-US"/>
                              </w:rPr>
                              <w:t xml:space="preserve"> </w:t>
                            </w:r>
                            <w:r w:rsidRPr="002A494D">
                              <w:rPr>
                                <w:rFonts w:cs="Arial"/>
                                <w:bCs/>
                                <w:szCs w:val="22"/>
                                <w:lang w:val="en-US"/>
                              </w:rPr>
                              <w:t>(Consumer Price Indexed yearly from date of planning permission).</w:t>
                            </w:r>
                          </w:p>
                          <w:p w14:paraId="7D5C81F2" w14:textId="77777777" w:rsidR="00EB3B59" w:rsidRPr="00902C78" w:rsidRDefault="00EB3B59" w:rsidP="002E451A">
                            <w:pPr>
                              <w:jc w:val="both"/>
                              <w:rPr>
                                <w:rFonts w:cs="Arial"/>
                                <w:bCs/>
                                <w:szCs w:val="22"/>
                                <w:lang w:val="en-US"/>
                              </w:rPr>
                            </w:pPr>
                            <w:r>
                              <w:rPr>
                                <w:lang w:val="en-US"/>
                              </w:rPr>
                              <w:t>Nil CIL payments will only apply to affordable student accommodation units delivered in accordance with the requirements in the Local Plan and the GLA Housing Supplementary Guidance (2016).  </w:t>
                            </w:r>
                          </w:p>
                        </w:txbxContent>
                      </wps:txbx>
                      <wps:bodyPr rot="0" vert="horz" wrap="square" lIns="91440" tIns="45720" rIns="91440" bIns="45720" anchor="t" anchorCtr="0" upright="1">
                        <a:noAutofit/>
                      </wps:bodyPr>
                    </wps:wsp>
                  </a:graphicData>
                </a:graphic>
              </wp:inline>
            </w:drawing>
          </mc:Choice>
          <mc:Fallback>
            <w:pict>
              <v:shape w14:anchorId="04F38853" id="_x0000_s1035" type="#_x0000_t202" style="width:451.5pt;height:3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" fillcolor="#dbe5f1 [660]" stroked="f">
                <v:textbox>
                  <w:txbxContent>
                    <w:p w14:paraId="33767AE0" w14:textId="77777777" w:rsidR="00EB3B59" w:rsidRPr="006B71BD" w:rsidRDefault="00EB3B59" w:rsidP="002E451A">
                      <w:pPr>
                        <w:widowControl w:val="0"/>
                        <w:autoSpaceDE w:val="0"/>
                        <w:autoSpaceDN w:val="0"/>
                        <w:adjustRightInd w:val="0"/>
                        <w:jc w:val="both"/>
                        <w:textAlignment w:val="center"/>
                        <w:rPr>
                          <w:rFonts w:cs="Arial"/>
                          <w:b/>
                          <w:szCs w:val="22"/>
                          <w:lang w:val="en-US"/>
                        </w:rPr>
                      </w:pPr>
                      <w:r w:rsidRPr="006B71BD">
                        <w:rPr>
                          <w:rFonts w:cs="Arial"/>
                          <w:b/>
                          <w:szCs w:val="22"/>
                          <w:lang w:val="en-US"/>
                        </w:rPr>
                        <w:t>Threshold and Contribution Requirements</w:t>
                      </w:r>
                    </w:p>
                    <w:p w14:paraId="6354BB30" w14:textId="77777777" w:rsidR="00EB3B59" w:rsidRPr="001A2022" w:rsidRDefault="00EB3B59" w:rsidP="002E451A">
                      <w:pPr>
                        <w:widowControl w:val="0"/>
                        <w:autoSpaceDE w:val="0"/>
                        <w:autoSpaceDN w:val="0"/>
                        <w:adjustRightInd w:val="0"/>
                        <w:jc w:val="both"/>
                        <w:textAlignment w:val="center"/>
                        <w:rPr>
                          <w:rFonts w:cs="Arial"/>
                          <w:szCs w:val="22"/>
                          <w:lang w:val="en-US"/>
                        </w:rPr>
                      </w:pPr>
                      <w:r w:rsidRPr="006B71BD">
                        <w:rPr>
                          <w:rFonts w:cs="Arial"/>
                          <w:szCs w:val="22"/>
                          <w:lang w:val="en-US"/>
                        </w:rPr>
                        <w:t>Planning obligations will be sought</w:t>
                      </w:r>
                      <w:r>
                        <w:rPr>
                          <w:rFonts w:cs="Arial"/>
                          <w:szCs w:val="22"/>
                          <w:lang w:val="en-US"/>
                        </w:rPr>
                        <w:t xml:space="preserve"> for</w:t>
                      </w:r>
                      <w:r w:rsidRPr="001A2022">
                        <w:rPr>
                          <w:rFonts w:cs="Arial"/>
                          <w:szCs w:val="22"/>
                          <w:lang w:val="en-US"/>
                        </w:rPr>
                        <w:t>:</w:t>
                      </w:r>
                    </w:p>
                    <w:p w14:paraId="449E1C25" w14:textId="77777777" w:rsidR="00EB3B59" w:rsidRPr="00CC0E9E" w:rsidRDefault="00EB3B59" w:rsidP="002E451A">
                      <w:pPr>
                        <w:pStyle w:val="ListParagraph"/>
                        <w:numPr>
                          <w:ilvl w:val="0"/>
                          <w:numId w:val="7"/>
                        </w:numPr>
                        <w:jc w:val="both"/>
                        <w:rPr>
                          <w:rFonts w:cs="Arial"/>
                          <w:b/>
                          <w:bCs/>
                          <w:szCs w:val="22"/>
                          <w:lang w:val="en-US"/>
                        </w:rPr>
                      </w:pPr>
                      <w:r>
                        <w:rPr>
                          <w:rFonts w:cs="Arial"/>
                          <w:szCs w:val="22"/>
                          <w:lang w:val="en-US"/>
                        </w:rPr>
                        <w:t>Student housing development</w:t>
                      </w:r>
                    </w:p>
                    <w:p w14:paraId="00AA8D04" w14:textId="77777777" w:rsidR="00EB3B59" w:rsidRPr="006B71BD" w:rsidRDefault="00EB3B59" w:rsidP="002E451A">
                      <w:pPr>
                        <w:jc w:val="both"/>
                        <w:rPr>
                          <w:rFonts w:cs="Arial"/>
                          <w:b/>
                          <w:bCs/>
                          <w:szCs w:val="22"/>
                          <w:lang w:val="en-US"/>
                        </w:rPr>
                      </w:pPr>
                      <w:r w:rsidRPr="006B71BD">
                        <w:rPr>
                          <w:rFonts w:cs="Arial"/>
                          <w:b/>
                          <w:bCs/>
                          <w:szCs w:val="22"/>
                          <w:lang w:val="en-US"/>
                        </w:rPr>
                        <w:t xml:space="preserve">Student Housing </w:t>
                      </w:r>
                    </w:p>
                    <w:p w14:paraId="29F07034" w14:textId="55949470" w:rsidR="00EB3B59" w:rsidRDefault="00EB3B59" w:rsidP="002E451A">
                      <w:pPr>
                        <w:jc w:val="both"/>
                        <w:rPr>
                          <w:rFonts w:cs="Arial"/>
                          <w:szCs w:val="22"/>
                        </w:rPr>
                      </w:pPr>
                      <w:r>
                        <w:rPr>
                          <w:lang w:val="en-US"/>
                        </w:rPr>
                        <w:t xml:space="preserve">The Council requires new purpose-built student accommodation to either have an undertaking in place to provide housing for students at one or more specific education institutions, or otherwise provide an element of affordable student accommodation. This affordable student housing will be secured through a planning obligation, requiring </w:t>
                      </w:r>
                      <w:r w:rsidRPr="006B71BD">
                        <w:rPr>
                          <w:rFonts w:cs="Arial"/>
                          <w:bCs/>
                          <w:szCs w:val="22"/>
                          <w:lang w:val="en-US"/>
                        </w:rPr>
                        <w:t>student accommodation let at below</w:t>
                      </w:r>
                      <w:r>
                        <w:rPr>
                          <w:rFonts w:cs="Arial"/>
                          <w:bCs/>
                          <w:szCs w:val="22"/>
                          <w:lang w:val="en-US"/>
                        </w:rPr>
                        <w:t>-</w:t>
                      </w:r>
                      <w:r w:rsidRPr="006B71BD">
                        <w:rPr>
                          <w:rFonts w:cs="Arial"/>
                          <w:bCs/>
                          <w:szCs w:val="22"/>
                          <w:lang w:val="en-US"/>
                        </w:rPr>
                        <w:t>market rent level</w:t>
                      </w:r>
                      <w:r>
                        <w:rPr>
                          <w:rFonts w:cs="Arial"/>
                          <w:bCs/>
                          <w:szCs w:val="22"/>
                          <w:lang w:val="en-US"/>
                        </w:rPr>
                        <w:t xml:space="preserve"> (being affordable student housing in accordance with the Local Plan and the GLA Housing Supplementary Planning Guidance)</w:t>
                      </w:r>
                      <w:r w:rsidRPr="006B71BD">
                        <w:rPr>
                          <w:rFonts w:cs="Arial"/>
                          <w:bCs/>
                          <w:szCs w:val="22"/>
                          <w:lang w:val="en-US"/>
                        </w:rPr>
                        <w:t xml:space="preserve">. </w:t>
                      </w:r>
                    </w:p>
                    <w:p w14:paraId="080D32A4" w14:textId="77777777" w:rsidR="00EB3B59" w:rsidRDefault="00EB3B59" w:rsidP="002E451A">
                      <w:pPr>
                        <w:jc w:val="both"/>
                        <w:rPr>
                          <w:rFonts w:cs="Arial"/>
                          <w:bCs/>
                          <w:szCs w:val="22"/>
                          <w:u w:val="single"/>
                          <w:lang w:val="en-US"/>
                        </w:rPr>
                      </w:pPr>
                      <w:r w:rsidRPr="006B71BD">
                        <w:rPr>
                          <w:rFonts w:cs="Arial"/>
                          <w:bCs/>
                          <w:szCs w:val="22"/>
                          <w:lang w:val="en-US"/>
                        </w:rPr>
                        <w:t>The planning obligation will be</w:t>
                      </w:r>
                      <w:r>
                        <w:rPr>
                          <w:rFonts w:cs="Arial"/>
                          <w:bCs/>
                          <w:szCs w:val="22"/>
                          <w:lang w:val="en-US"/>
                        </w:rPr>
                        <w:t xml:space="preserve"> secured for the duration that the student housing use continues. </w:t>
                      </w:r>
                      <w:r w:rsidRPr="006B71BD">
                        <w:rPr>
                          <w:rFonts w:cs="Arial"/>
                          <w:bCs/>
                          <w:szCs w:val="22"/>
                          <w:lang w:val="en-US"/>
                        </w:rPr>
                        <w:t xml:space="preserve">For monitoring purposes, </w:t>
                      </w:r>
                      <w:r>
                        <w:rPr>
                          <w:rFonts w:cs="Arial"/>
                          <w:bCs/>
                          <w:szCs w:val="22"/>
                          <w:lang w:val="en-US"/>
                        </w:rPr>
                        <w:t>we</w:t>
                      </w:r>
                      <w:r w:rsidRPr="006B71BD">
                        <w:rPr>
                          <w:rFonts w:cs="Arial"/>
                          <w:bCs/>
                          <w:szCs w:val="22"/>
                          <w:lang w:val="en-US"/>
                        </w:rPr>
                        <w:t xml:space="preserve"> will also require an ‘</w:t>
                      </w:r>
                      <w:r>
                        <w:rPr>
                          <w:rFonts w:cs="Arial"/>
                          <w:bCs/>
                          <w:szCs w:val="22"/>
                          <w:lang w:val="en-US"/>
                        </w:rPr>
                        <w:t>o</w:t>
                      </w:r>
                      <w:r w:rsidRPr="006B71BD">
                        <w:rPr>
                          <w:rFonts w:cs="Arial"/>
                          <w:bCs/>
                          <w:szCs w:val="22"/>
                          <w:lang w:val="en-US"/>
                        </w:rPr>
                        <w:t xml:space="preserve">wner’s </w:t>
                      </w:r>
                      <w:r>
                        <w:rPr>
                          <w:rFonts w:cs="Arial"/>
                          <w:bCs/>
                          <w:szCs w:val="22"/>
                          <w:lang w:val="en-US"/>
                        </w:rPr>
                        <w:t>c</w:t>
                      </w:r>
                      <w:r w:rsidRPr="006B71BD">
                        <w:rPr>
                          <w:rFonts w:cs="Arial"/>
                          <w:bCs/>
                          <w:szCs w:val="22"/>
                          <w:lang w:val="en-US"/>
                        </w:rPr>
                        <w:t xml:space="preserve">ovenant’ to be secured in the obligation, to inform </w:t>
                      </w:r>
                      <w:r>
                        <w:rPr>
                          <w:rFonts w:cs="Arial"/>
                          <w:bCs/>
                          <w:szCs w:val="22"/>
                          <w:lang w:val="en-US"/>
                        </w:rPr>
                        <w:t>us</w:t>
                      </w:r>
                      <w:r w:rsidRPr="006B71BD">
                        <w:rPr>
                          <w:rFonts w:cs="Arial"/>
                          <w:bCs/>
                          <w:szCs w:val="22"/>
                          <w:lang w:val="en-US"/>
                        </w:rPr>
                        <w:t xml:space="preserve"> each year of the rent level to be charged for the new academi</w:t>
                      </w:r>
                      <w:r>
                        <w:rPr>
                          <w:rFonts w:cs="Arial"/>
                          <w:bCs/>
                          <w:szCs w:val="22"/>
                          <w:lang w:val="en-US"/>
                        </w:rPr>
                        <w:t>c year</w:t>
                      </w:r>
                      <w:r w:rsidRPr="006B71BD">
                        <w:rPr>
                          <w:rFonts w:cs="Arial"/>
                          <w:bCs/>
                          <w:szCs w:val="22"/>
                          <w:lang w:val="en-US"/>
                        </w:rPr>
                        <w:t xml:space="preserve"> </w:t>
                      </w:r>
                      <w:r w:rsidRPr="002A494D">
                        <w:rPr>
                          <w:rFonts w:cs="Arial"/>
                          <w:bCs/>
                          <w:szCs w:val="22"/>
                          <w:lang w:val="en-US"/>
                        </w:rPr>
                        <w:t>(Consumer Price Indexed yearly from date of planning permission).</w:t>
                      </w:r>
                    </w:p>
                    <w:p w14:paraId="7D5C81F2" w14:textId="77777777" w:rsidR="00EB3B59" w:rsidRPr="00902C78" w:rsidRDefault="00EB3B59" w:rsidP="002E451A">
                      <w:pPr>
                        <w:jc w:val="both"/>
                        <w:rPr>
                          <w:rFonts w:cs="Arial"/>
                          <w:bCs/>
                          <w:szCs w:val="22"/>
                          <w:lang w:val="en-US"/>
                        </w:rPr>
                      </w:pPr>
                      <w:r>
                        <w:rPr>
                          <w:lang w:val="en-US"/>
                        </w:rPr>
                        <w:t>Nil CIL payments will only apply to affordable student accommodation units delivered in accordance with the requirements in the Local Plan and the GLA Housing Supplementary Guidance (2016).  </w:t>
                      </w:r>
                    </w:p>
                  </w:txbxContent>
                </v:textbox>
                <w10:anchorlock/>
              </v:shape>
            </w:pict>
          </mc:Fallback>
        </mc:AlternateContent>
      </w:r>
    </w:p>
    <w:p w14:paraId="1CBFF9F5" w14:textId="77777777" w:rsidR="003F2913" w:rsidRDefault="003F2913">
      <w:pPr>
        <w:spacing w:after="0" w:line="240" w:lineRule="auto"/>
        <w:rPr>
          <w:rFonts w:eastAsiaTheme="majorEastAsia" w:cstheme="majorBidi"/>
          <w:b/>
          <w:bCs/>
          <w:color w:val="00477E"/>
          <w:sz w:val="30"/>
          <w:szCs w:val="26"/>
        </w:rPr>
      </w:pPr>
      <w:r>
        <w:br w:type="page"/>
      </w:r>
    </w:p>
    <w:p w14:paraId="2B967FA4" w14:textId="6BAE675B" w:rsidR="001F70DC" w:rsidRPr="000D65CE" w:rsidRDefault="00175386" w:rsidP="00721B10">
      <w:pPr>
        <w:pStyle w:val="Heading2"/>
      </w:pPr>
      <w:bookmarkStart w:id="12" w:name="_Toc69374673"/>
      <w:r w:rsidRPr="000D65CE">
        <w:lastRenderedPageBreak/>
        <w:t>Employment, Skills, Training and Enterprise</w:t>
      </w:r>
      <w:bookmarkEnd w:id="12"/>
    </w:p>
    <w:tbl>
      <w:tblPr>
        <w:tblStyle w:val="TableGrid"/>
        <w:tblW w:w="0" w:type="auto"/>
        <w:tblInd w:w="79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60FC6442" w14:textId="77777777" w:rsidTr="00921BA6">
        <w:tc>
          <w:tcPr>
            <w:tcW w:w="3119" w:type="dxa"/>
            <w:tcBorders>
              <w:bottom w:val="single" w:sz="8" w:space="0" w:color="006BB6"/>
            </w:tcBorders>
            <w:shd w:val="clear" w:color="auto" w:fill="F2F2F2" w:themeFill="background1" w:themeFillShade="F2"/>
          </w:tcPr>
          <w:p w14:paraId="47AB8D6B"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1B5D2FB8"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S.EMP1, S.SG2</w:t>
            </w:r>
          </w:p>
        </w:tc>
      </w:tr>
    </w:tbl>
    <w:p w14:paraId="4D9F1D94" w14:textId="77777777" w:rsidR="00575071" w:rsidRPr="000D65CE" w:rsidRDefault="00575071" w:rsidP="003B280C">
      <w:pPr>
        <w:jc w:val="both"/>
      </w:pPr>
    </w:p>
    <w:p w14:paraId="6C3E9C4B" w14:textId="77777777" w:rsidR="003D697D" w:rsidRPr="000D65CE" w:rsidRDefault="003D697D" w:rsidP="003B280C">
      <w:pPr>
        <w:pStyle w:val="Paragraphs"/>
        <w:rPr>
          <w:lang w:val="en-GB"/>
        </w:rPr>
      </w:pPr>
      <w:r w:rsidRPr="28D940A9">
        <w:rPr>
          <w:lang w:val="en-GB"/>
        </w:rPr>
        <w:t>Tower Hamlets is i</w:t>
      </w:r>
      <w:r w:rsidR="00BB3896" w:rsidRPr="28D940A9">
        <w:rPr>
          <w:lang w:val="en-GB"/>
        </w:rPr>
        <w:t>n a unique position with regard</w:t>
      </w:r>
      <w:r w:rsidRPr="28D940A9">
        <w:rPr>
          <w:lang w:val="en-GB"/>
        </w:rPr>
        <w:t xml:space="preserve"> to its economy. The </w:t>
      </w:r>
      <w:r w:rsidR="00F447A2" w:rsidRPr="28D940A9">
        <w:rPr>
          <w:lang w:val="en-GB"/>
        </w:rPr>
        <w:t>b</w:t>
      </w:r>
      <w:r w:rsidR="00747592" w:rsidRPr="28D940A9">
        <w:rPr>
          <w:lang w:val="en-GB"/>
        </w:rPr>
        <w:t>orough</w:t>
      </w:r>
      <w:r w:rsidRPr="28D940A9">
        <w:rPr>
          <w:lang w:val="en-GB"/>
        </w:rPr>
        <w:t xml:space="preserve"> hosts a significant financial services sector and also a large number of small and medium enterprises (SMEs). </w:t>
      </w:r>
      <w:r w:rsidR="00926CF9" w:rsidRPr="28D940A9">
        <w:rPr>
          <w:lang w:val="en-GB"/>
        </w:rPr>
        <w:t xml:space="preserve">Maximising employment for local people is a major priority for the </w:t>
      </w:r>
      <w:r w:rsidR="00AD1FB6" w:rsidRPr="28D940A9">
        <w:rPr>
          <w:lang w:val="en-GB"/>
        </w:rPr>
        <w:t>Council</w:t>
      </w:r>
      <w:r w:rsidR="00625B3A" w:rsidRPr="28D940A9">
        <w:rPr>
          <w:lang w:val="en-GB"/>
        </w:rPr>
        <w:t>.</w:t>
      </w:r>
      <w:r w:rsidR="00926CF9" w:rsidRPr="28D940A9">
        <w:rPr>
          <w:lang w:val="en-GB"/>
        </w:rPr>
        <w:t xml:space="preserve"> </w:t>
      </w:r>
      <w:r w:rsidR="00625B3A" w:rsidRPr="28D940A9">
        <w:rPr>
          <w:lang w:val="en-GB"/>
        </w:rPr>
        <w:t>E</w:t>
      </w:r>
      <w:r w:rsidRPr="28D940A9">
        <w:rPr>
          <w:lang w:val="en-GB"/>
        </w:rPr>
        <w:t>mployment opportunities arising from development</w:t>
      </w:r>
      <w:r w:rsidR="00926CF9" w:rsidRPr="28D940A9">
        <w:rPr>
          <w:lang w:val="en-GB"/>
        </w:rPr>
        <w:t xml:space="preserve"> in the </w:t>
      </w:r>
      <w:r w:rsidR="00F447A2" w:rsidRPr="28D940A9">
        <w:rPr>
          <w:lang w:val="en-GB"/>
        </w:rPr>
        <w:t>b</w:t>
      </w:r>
      <w:r w:rsidR="00747592" w:rsidRPr="28D940A9">
        <w:rPr>
          <w:lang w:val="en-GB"/>
        </w:rPr>
        <w:t>orough</w:t>
      </w:r>
      <w:r w:rsidR="00926CF9" w:rsidRPr="28D940A9">
        <w:rPr>
          <w:lang w:val="en-GB"/>
        </w:rPr>
        <w:t xml:space="preserve"> must</w:t>
      </w:r>
      <w:r w:rsidRPr="28D940A9">
        <w:rPr>
          <w:lang w:val="en-GB"/>
        </w:rPr>
        <w:t xml:space="preserve"> be accessible to </w:t>
      </w:r>
      <w:r w:rsidR="00926CF9" w:rsidRPr="28D940A9">
        <w:rPr>
          <w:lang w:val="en-GB"/>
        </w:rPr>
        <w:t xml:space="preserve">its </w:t>
      </w:r>
      <w:r w:rsidRPr="28D940A9">
        <w:rPr>
          <w:lang w:val="en-GB"/>
        </w:rPr>
        <w:t xml:space="preserve">residents to </w:t>
      </w:r>
      <w:r w:rsidR="00926CF9" w:rsidRPr="28D940A9">
        <w:rPr>
          <w:lang w:val="en-GB"/>
        </w:rPr>
        <w:t>increase emplo</w:t>
      </w:r>
      <w:r w:rsidR="00E1065F" w:rsidRPr="28D940A9">
        <w:rPr>
          <w:lang w:val="en-GB"/>
        </w:rPr>
        <w:t>yment levels and help tackle</w:t>
      </w:r>
      <w:r w:rsidR="00926CF9" w:rsidRPr="28D940A9">
        <w:rPr>
          <w:lang w:val="en-GB"/>
        </w:rPr>
        <w:t xml:space="preserve"> poverty and </w:t>
      </w:r>
      <w:r w:rsidRPr="28D940A9">
        <w:rPr>
          <w:lang w:val="en-GB"/>
        </w:rPr>
        <w:t>social exclusion.</w:t>
      </w:r>
      <w:r w:rsidR="002112EB" w:rsidRPr="28D940A9">
        <w:rPr>
          <w:lang w:val="en-GB"/>
        </w:rPr>
        <w:t xml:space="preserve"> In addition, supporting residents</w:t>
      </w:r>
      <w:r w:rsidR="00084219" w:rsidRPr="28D940A9">
        <w:rPr>
          <w:lang w:val="en-GB"/>
        </w:rPr>
        <w:t xml:space="preserve"> to work locally will </w:t>
      </w:r>
      <w:r w:rsidR="002112EB" w:rsidRPr="28D940A9">
        <w:rPr>
          <w:lang w:val="en-GB"/>
        </w:rPr>
        <w:t>contribute</w:t>
      </w:r>
      <w:r w:rsidR="00084219" w:rsidRPr="28D940A9">
        <w:rPr>
          <w:lang w:val="en-GB"/>
        </w:rPr>
        <w:t xml:space="preserve"> to sustainability outcomes </w:t>
      </w:r>
      <w:r w:rsidR="00B51419" w:rsidRPr="28D940A9">
        <w:rPr>
          <w:lang w:val="en-GB"/>
        </w:rPr>
        <w:t>through</w:t>
      </w:r>
      <w:r w:rsidR="00625B3A" w:rsidRPr="28D940A9">
        <w:rPr>
          <w:lang w:val="en-GB"/>
        </w:rPr>
        <w:t xml:space="preserve"> the</w:t>
      </w:r>
      <w:r w:rsidR="00B51419" w:rsidRPr="28D940A9">
        <w:rPr>
          <w:lang w:val="en-GB"/>
        </w:rPr>
        <w:t xml:space="preserve"> reduced need to commute.</w:t>
      </w:r>
      <w:r w:rsidRPr="28D940A9">
        <w:rPr>
          <w:lang w:val="en-GB"/>
        </w:rPr>
        <w:t xml:space="preserve"> </w:t>
      </w:r>
      <w:r w:rsidR="00B51419" w:rsidRPr="28D940A9">
        <w:rPr>
          <w:lang w:val="en-GB"/>
        </w:rPr>
        <w:t xml:space="preserve">Achieving these outcomes </w:t>
      </w:r>
      <w:r w:rsidR="00926CF9" w:rsidRPr="28D940A9">
        <w:rPr>
          <w:lang w:val="en-GB"/>
        </w:rPr>
        <w:t xml:space="preserve">relies on </w:t>
      </w:r>
      <w:r w:rsidRPr="28D940A9">
        <w:rPr>
          <w:lang w:val="en-GB"/>
        </w:rPr>
        <w:t>a healthy</w:t>
      </w:r>
      <w:r w:rsidR="00926CF9" w:rsidRPr="28D940A9">
        <w:rPr>
          <w:lang w:val="en-GB"/>
        </w:rPr>
        <w:t xml:space="preserve"> and growing</w:t>
      </w:r>
      <w:r w:rsidRPr="28D940A9">
        <w:rPr>
          <w:lang w:val="en-GB"/>
        </w:rPr>
        <w:t xml:space="preserve"> economy for Tower Hamlets</w:t>
      </w:r>
      <w:r w:rsidR="00926CF9" w:rsidRPr="28D940A9">
        <w:rPr>
          <w:lang w:val="en-GB"/>
        </w:rPr>
        <w:t xml:space="preserve"> which in turn means </w:t>
      </w:r>
      <w:r w:rsidR="00E1065F" w:rsidRPr="28D940A9">
        <w:rPr>
          <w:lang w:val="en-GB"/>
        </w:rPr>
        <w:t xml:space="preserve">that the </w:t>
      </w:r>
      <w:r w:rsidR="00F447A2" w:rsidRPr="28D940A9">
        <w:rPr>
          <w:lang w:val="en-GB"/>
        </w:rPr>
        <w:t>b</w:t>
      </w:r>
      <w:r w:rsidR="00747592" w:rsidRPr="28D940A9">
        <w:rPr>
          <w:lang w:val="en-GB"/>
        </w:rPr>
        <w:t>orough</w:t>
      </w:r>
      <w:r w:rsidR="00E1065F" w:rsidRPr="28D940A9">
        <w:rPr>
          <w:lang w:val="en-GB"/>
        </w:rPr>
        <w:t xml:space="preserve"> must support a</w:t>
      </w:r>
      <w:r w:rsidR="00033B2C" w:rsidRPr="28D940A9">
        <w:rPr>
          <w:lang w:val="en-GB"/>
        </w:rPr>
        <w:t>nd</w:t>
      </w:r>
      <w:r w:rsidR="00E1065F" w:rsidRPr="28D940A9">
        <w:rPr>
          <w:lang w:val="en-GB"/>
        </w:rPr>
        <w:t xml:space="preserve"> </w:t>
      </w:r>
      <w:r w:rsidR="00926CF9" w:rsidRPr="28D940A9">
        <w:rPr>
          <w:lang w:val="en-GB"/>
        </w:rPr>
        <w:t xml:space="preserve">retain </w:t>
      </w:r>
      <w:r w:rsidRPr="28D940A9">
        <w:rPr>
          <w:lang w:val="en-GB"/>
        </w:rPr>
        <w:t>a wide mix of enterprise and commercial spaces</w:t>
      </w:r>
      <w:r w:rsidR="00926CF9" w:rsidRPr="28D940A9">
        <w:rPr>
          <w:lang w:val="en-GB"/>
        </w:rPr>
        <w:t>.</w:t>
      </w:r>
      <w:r w:rsidRPr="28D940A9">
        <w:rPr>
          <w:lang w:val="en-GB"/>
        </w:rPr>
        <w:t xml:space="preserve"> </w:t>
      </w:r>
    </w:p>
    <w:p w14:paraId="38FEC7CE" w14:textId="77777777" w:rsidR="003D697D" w:rsidRPr="000D65CE" w:rsidRDefault="003D697D" w:rsidP="003B280C">
      <w:pPr>
        <w:pStyle w:val="Paragraphs"/>
        <w:rPr>
          <w:lang w:val="en-GB"/>
        </w:rPr>
      </w:pPr>
      <w:r w:rsidRPr="28D940A9">
        <w:rPr>
          <w:lang w:val="en-GB"/>
        </w:rPr>
        <w:t xml:space="preserve">Tower Hamlets has an above average unemployment level within Greater London, with a very low proportion of Tower Hamlets’ residents finding employment within the </w:t>
      </w:r>
      <w:r w:rsidR="00F447A2" w:rsidRPr="28D940A9">
        <w:rPr>
          <w:lang w:val="en-GB"/>
        </w:rPr>
        <w:t>b</w:t>
      </w:r>
      <w:r w:rsidR="00747592" w:rsidRPr="28D940A9">
        <w:rPr>
          <w:lang w:val="en-GB"/>
        </w:rPr>
        <w:t>orough</w:t>
      </w:r>
      <w:r w:rsidRPr="28D940A9">
        <w:rPr>
          <w:lang w:val="en-GB"/>
        </w:rPr>
        <w:t xml:space="preserve">. Employment opportunities </w:t>
      </w:r>
      <w:r w:rsidR="00A1020F" w:rsidRPr="28D940A9">
        <w:rPr>
          <w:lang w:val="en-GB"/>
        </w:rPr>
        <w:t xml:space="preserve">from </w:t>
      </w:r>
      <w:r w:rsidRPr="28D940A9">
        <w:rPr>
          <w:lang w:val="en-GB"/>
        </w:rPr>
        <w:t>new development</w:t>
      </w:r>
      <w:r w:rsidR="00A1020F" w:rsidRPr="28D940A9">
        <w:rPr>
          <w:lang w:val="en-GB"/>
        </w:rPr>
        <w:t>s</w:t>
      </w:r>
      <w:r w:rsidRPr="28D940A9">
        <w:rPr>
          <w:lang w:val="en-GB"/>
        </w:rPr>
        <w:t xml:space="preserve"> </w:t>
      </w:r>
      <w:r w:rsidR="00A1020F" w:rsidRPr="28D940A9">
        <w:rPr>
          <w:lang w:val="en-GB"/>
        </w:rPr>
        <w:t xml:space="preserve">must be accompanied by </w:t>
      </w:r>
      <w:r w:rsidRPr="28D940A9">
        <w:rPr>
          <w:lang w:val="en-GB"/>
        </w:rPr>
        <w:t>training to upskill residents</w:t>
      </w:r>
      <w:r w:rsidR="00A1020F" w:rsidRPr="28D940A9">
        <w:rPr>
          <w:lang w:val="en-GB"/>
        </w:rPr>
        <w:t xml:space="preserve"> so that they can </w:t>
      </w:r>
      <w:r w:rsidRPr="28D940A9">
        <w:rPr>
          <w:lang w:val="en-GB"/>
        </w:rPr>
        <w:t>compete for</w:t>
      </w:r>
      <w:r w:rsidR="00E1065F" w:rsidRPr="28D940A9">
        <w:rPr>
          <w:lang w:val="en-GB"/>
        </w:rPr>
        <w:t xml:space="preserve"> the</w:t>
      </w:r>
      <w:r w:rsidRPr="28D940A9">
        <w:rPr>
          <w:lang w:val="en-GB"/>
        </w:rPr>
        <w:t xml:space="preserve"> jobs. </w:t>
      </w:r>
    </w:p>
    <w:p w14:paraId="21440CAB" w14:textId="77777777" w:rsidR="003D697D" w:rsidRPr="000D65CE" w:rsidRDefault="003D697D" w:rsidP="003B280C">
      <w:pPr>
        <w:pStyle w:val="Paragraphs"/>
        <w:rPr>
          <w:b/>
          <w:bCs/>
          <w:lang w:val="en-GB"/>
        </w:rPr>
      </w:pPr>
      <w:r w:rsidRPr="28D940A9">
        <w:rPr>
          <w:lang w:val="en-GB"/>
        </w:rPr>
        <w:t>The Council will seek to ensure that jobs are provided for local people, both in the construction phase of development and</w:t>
      </w:r>
      <w:r w:rsidR="00286A11" w:rsidRPr="28D940A9">
        <w:rPr>
          <w:lang w:val="en-GB"/>
        </w:rPr>
        <w:t xml:space="preserve"> by the end users / tenants (in commercial developments). </w:t>
      </w:r>
      <w:r w:rsidRPr="28D940A9">
        <w:rPr>
          <w:lang w:val="en-GB"/>
        </w:rPr>
        <w:t>To enable local people to benefit from development growth the Council ha</w:t>
      </w:r>
      <w:r w:rsidR="001C4EE0" w:rsidRPr="28D940A9">
        <w:rPr>
          <w:lang w:val="en-GB"/>
        </w:rPr>
        <w:t>s</w:t>
      </w:r>
      <w:r w:rsidRPr="28D940A9">
        <w:rPr>
          <w:lang w:val="en-GB"/>
        </w:rPr>
        <w:t xml:space="preserve"> introduced a number of programmes</w:t>
      </w:r>
      <w:r w:rsidR="001C4EE0" w:rsidRPr="28D940A9">
        <w:rPr>
          <w:lang w:val="en-GB"/>
        </w:rPr>
        <w:t>,</w:t>
      </w:r>
      <w:r w:rsidR="0035256B" w:rsidRPr="28D940A9">
        <w:rPr>
          <w:lang w:val="en-GB"/>
        </w:rPr>
        <w:t xml:space="preserve"> working</w:t>
      </w:r>
      <w:r w:rsidRPr="28D940A9">
        <w:rPr>
          <w:lang w:val="en-GB"/>
        </w:rPr>
        <w:t xml:space="preserve"> </w:t>
      </w:r>
      <w:r w:rsidR="0035256B" w:rsidRPr="28D940A9">
        <w:rPr>
          <w:lang w:val="en-GB"/>
        </w:rPr>
        <w:t xml:space="preserve">with partners </w:t>
      </w:r>
      <w:r w:rsidRPr="28D940A9">
        <w:rPr>
          <w:lang w:val="en-GB"/>
        </w:rPr>
        <w:t>to support job brokerage, employer-led training, construction skill</w:t>
      </w:r>
      <w:r w:rsidR="000E43F8" w:rsidRPr="28D940A9">
        <w:rPr>
          <w:lang w:val="en-GB"/>
        </w:rPr>
        <w:t>s</w:t>
      </w:r>
      <w:r w:rsidRPr="28D940A9">
        <w:rPr>
          <w:lang w:val="en-GB"/>
        </w:rPr>
        <w:t xml:space="preserve"> training</w:t>
      </w:r>
      <w:r w:rsidR="00BC1936" w:rsidRPr="28D940A9">
        <w:rPr>
          <w:lang w:val="en-GB"/>
        </w:rPr>
        <w:t>,</w:t>
      </w:r>
      <w:r w:rsidRPr="28D940A9">
        <w:rPr>
          <w:lang w:val="en-GB"/>
        </w:rPr>
        <w:t xml:space="preserve"> apprenticeships, and </w:t>
      </w:r>
      <w:r w:rsidR="00401716" w:rsidRPr="28D940A9">
        <w:rPr>
          <w:lang w:val="en-GB"/>
        </w:rPr>
        <w:t>job opportunities</w:t>
      </w:r>
      <w:r w:rsidRPr="28D940A9">
        <w:rPr>
          <w:lang w:val="en-GB"/>
        </w:rPr>
        <w:t>.</w:t>
      </w:r>
      <w:r w:rsidR="00851A3E" w:rsidRPr="28D940A9">
        <w:rPr>
          <w:lang w:val="en-GB"/>
        </w:rPr>
        <w:t xml:space="preserve"> The Council will support and encourage London Living Wage to be paid where possible for employment, skills, training and enterprise obligations. </w:t>
      </w:r>
    </w:p>
    <w:p w14:paraId="4AA6C600" w14:textId="7046DAAA" w:rsidR="00610BF6" w:rsidRPr="000D65CE" w:rsidRDefault="00610BF6" w:rsidP="003B280C">
      <w:pPr>
        <w:spacing w:before="360" w:after="120"/>
        <w:jc w:val="both"/>
        <w:rPr>
          <w:rStyle w:val="Strong"/>
          <w:color w:val="00477E"/>
        </w:rPr>
      </w:pPr>
      <w:r w:rsidRPr="000D65CE">
        <w:rPr>
          <w:rStyle w:val="Strong"/>
          <w:color w:val="00477E"/>
        </w:rPr>
        <w:t xml:space="preserve">How the Council will </w:t>
      </w:r>
      <w:r w:rsidR="00B73EFF" w:rsidRPr="000D65CE">
        <w:rPr>
          <w:rStyle w:val="Strong"/>
          <w:color w:val="00477E"/>
        </w:rPr>
        <w:t>Secur</w:t>
      </w:r>
      <w:r w:rsidR="00B73EFF">
        <w:rPr>
          <w:rStyle w:val="Strong"/>
          <w:color w:val="00477E"/>
        </w:rPr>
        <w:t>e Employment, Skills, Training a</w:t>
      </w:r>
      <w:r w:rsidR="00B73EFF" w:rsidRPr="000D65CE">
        <w:rPr>
          <w:rStyle w:val="Strong"/>
          <w:color w:val="00477E"/>
        </w:rPr>
        <w:t xml:space="preserve">nd Enterprise Through </w:t>
      </w:r>
      <w:r w:rsidR="00724696">
        <w:rPr>
          <w:rStyle w:val="Strong"/>
          <w:color w:val="00477E"/>
        </w:rPr>
        <w:t>Planning Obligations</w:t>
      </w:r>
    </w:p>
    <w:p w14:paraId="7B06CB95" w14:textId="77777777" w:rsidR="008D3D0B" w:rsidRPr="000D65CE" w:rsidRDefault="008D3D0B" w:rsidP="003B280C">
      <w:pPr>
        <w:widowControl w:val="0"/>
        <w:autoSpaceDE w:val="0"/>
        <w:autoSpaceDN w:val="0"/>
        <w:adjustRightInd w:val="0"/>
        <w:spacing w:before="240" w:after="120"/>
        <w:ind w:firstLine="170"/>
        <w:jc w:val="both"/>
        <w:textAlignment w:val="center"/>
        <w:rPr>
          <w:rFonts w:cs="Arial"/>
          <w:b/>
          <w:bCs/>
        </w:rPr>
      </w:pPr>
      <w:r w:rsidRPr="000D65CE">
        <w:rPr>
          <w:rStyle w:val="Strong"/>
        </w:rPr>
        <w:t>Local Employment and Skills Training</w:t>
      </w:r>
    </w:p>
    <w:p w14:paraId="4EBD0E4F" w14:textId="77777777" w:rsidR="000E08D9" w:rsidRPr="0093406B" w:rsidRDefault="008D3D0B" w:rsidP="000E08D9">
      <w:pPr>
        <w:pStyle w:val="Paragraphs"/>
        <w:rPr>
          <w:lang w:val="en-GB"/>
        </w:rPr>
      </w:pPr>
      <w:r w:rsidRPr="28D940A9">
        <w:rPr>
          <w:lang w:val="en-GB"/>
        </w:rPr>
        <w:t>Local Plan Policy S.SG2 specifies that development is considered to contribute to the Local Plan vision and objectives where local training and employment opportunities in construction and/or end use are provided. All new development</w:t>
      </w:r>
      <w:r w:rsidR="000E43F8" w:rsidRPr="28D940A9">
        <w:rPr>
          <w:lang w:val="en-GB"/>
        </w:rPr>
        <w:t>s</w:t>
      </w:r>
      <w:r w:rsidRPr="28D940A9">
        <w:rPr>
          <w:lang w:val="en-GB"/>
        </w:rPr>
        <w:t xml:space="preserve"> must ensure that local residents are</w:t>
      </w:r>
      <w:r w:rsidR="000E43F8" w:rsidRPr="28D940A9">
        <w:rPr>
          <w:lang w:val="en-GB"/>
        </w:rPr>
        <w:t xml:space="preserve"> provided with the opportunity to access</w:t>
      </w:r>
      <w:r w:rsidRPr="28D940A9">
        <w:rPr>
          <w:lang w:val="en-GB"/>
        </w:rPr>
        <w:t xml:space="preserve"> job</w:t>
      </w:r>
      <w:r w:rsidR="000E43F8" w:rsidRPr="28D940A9">
        <w:rPr>
          <w:lang w:val="en-GB"/>
        </w:rPr>
        <w:t>s</w:t>
      </w:r>
      <w:r w:rsidRPr="28D940A9">
        <w:rPr>
          <w:lang w:val="en-GB"/>
        </w:rPr>
        <w:t xml:space="preserve"> resulting from the construction of the site or the end use. </w:t>
      </w:r>
    </w:p>
    <w:p w14:paraId="5AD5596B" w14:textId="77777777" w:rsidR="00742258" w:rsidRDefault="00742258">
      <w:pPr>
        <w:spacing w:after="0" w:line="240" w:lineRule="auto"/>
        <w:rPr>
          <w:b/>
        </w:rPr>
      </w:pPr>
      <w:r>
        <w:rPr>
          <w:b/>
        </w:rPr>
        <w:br w:type="page"/>
      </w:r>
    </w:p>
    <w:p w14:paraId="2B2696F7" w14:textId="77777777" w:rsidR="00742258" w:rsidRPr="003D2BA4" w:rsidRDefault="00742258" w:rsidP="00742258">
      <w:pPr>
        <w:spacing w:after="120"/>
        <w:rPr>
          <w:b/>
        </w:rPr>
      </w:pPr>
      <w:r w:rsidRPr="003D2BA4">
        <w:rPr>
          <w:b/>
        </w:rPr>
        <w:lastRenderedPageBreak/>
        <w:t xml:space="preserve">Text Box </w:t>
      </w:r>
      <w:r>
        <w:rPr>
          <w:b/>
        </w:rPr>
        <w:t>10</w:t>
      </w:r>
      <w:r w:rsidRPr="003D2BA4">
        <w:rPr>
          <w:b/>
        </w:rPr>
        <w:t xml:space="preserve">: </w:t>
      </w:r>
      <w:r>
        <w:rPr>
          <w:b/>
        </w:rPr>
        <w:t>Local Employment</w:t>
      </w:r>
    </w:p>
    <w:p w14:paraId="788BC4EF" w14:textId="77777777" w:rsidR="008D3D0B" w:rsidRPr="000D65CE" w:rsidRDefault="008D3D0B" w:rsidP="003B280C">
      <w:pPr>
        <w:pStyle w:val="Paragraphs"/>
        <w:numPr>
          <w:ilvl w:val="0"/>
          <w:numId w:val="0"/>
        </w:numPr>
        <w:ind w:left="720" w:hanging="720"/>
        <w:rPr>
          <w:lang w:val="en-GB"/>
        </w:rPr>
      </w:pPr>
      <w:r w:rsidRPr="000D65CE">
        <w:rPr>
          <w:noProof/>
          <w:lang w:val="en-GB" w:eastAsia="en-GB"/>
        </w:rPr>
        <mc:AlternateContent>
          <mc:Choice Requires="wps">
            <w:drawing>
              <wp:inline distT="0" distB="0" distL="0" distR="0" wp14:anchorId="53D47FA5" wp14:editId="1A31B788">
                <wp:extent cx="5734050" cy="4477109"/>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4477109"/>
                        </a:xfrm>
                        <a:prstGeom prst="rect">
                          <a:avLst/>
                        </a:prstGeom>
                        <a:solidFill>
                          <a:schemeClr val="accent1">
                            <a:lumMod val="20000"/>
                            <a:lumOff val="80000"/>
                          </a:schemeClr>
                        </a:solidFill>
                        <a:ln>
                          <a:noFill/>
                        </a:ln>
                        <a:effectLst/>
                      </wps:spPr>
                      <wps:txbx>
                        <w:txbxContent>
                          <w:p w14:paraId="4558ED3F" w14:textId="77777777" w:rsidR="00EB3B59" w:rsidRPr="001A2022" w:rsidRDefault="00EB3B59" w:rsidP="008D3D0B">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7F927687" w14:textId="77777777" w:rsidR="00EB3B59" w:rsidRPr="001A2022" w:rsidRDefault="00EB3B59" w:rsidP="008D3D0B">
                            <w:pPr>
                              <w:widowControl w:val="0"/>
                              <w:autoSpaceDE w:val="0"/>
                              <w:autoSpaceDN w:val="0"/>
                              <w:adjustRightInd w:val="0"/>
                              <w:jc w:val="both"/>
                              <w:textAlignment w:val="center"/>
                              <w:rPr>
                                <w:rFonts w:cs="Arial"/>
                                <w:szCs w:val="22"/>
                                <w:lang w:val="en-US"/>
                              </w:rPr>
                            </w:pPr>
                            <w:r w:rsidRPr="001A2022">
                              <w:rPr>
                                <w:rFonts w:cs="Arial"/>
                                <w:szCs w:val="22"/>
                                <w:lang w:val="en-US"/>
                              </w:rPr>
                              <w:t xml:space="preserve">Planning obligations relating to </w:t>
                            </w:r>
                            <w:r>
                              <w:rPr>
                                <w:rFonts w:cs="Arial"/>
                                <w:szCs w:val="22"/>
                                <w:lang w:val="en-US"/>
                              </w:rPr>
                              <w:t>e</w:t>
                            </w:r>
                            <w:r w:rsidRPr="001A2022">
                              <w:rPr>
                                <w:rFonts w:cs="Arial"/>
                                <w:szCs w:val="22"/>
                                <w:lang w:val="en-US"/>
                              </w:rPr>
                              <w:t>mployment and</w:t>
                            </w:r>
                            <w:r>
                              <w:rPr>
                                <w:rFonts w:cs="Arial"/>
                                <w:szCs w:val="22"/>
                                <w:lang w:val="en-US"/>
                              </w:rPr>
                              <w:t xml:space="preserve"> sk</w:t>
                            </w:r>
                            <w:r w:rsidRPr="001A2022">
                              <w:rPr>
                                <w:rFonts w:cs="Arial"/>
                                <w:szCs w:val="22"/>
                                <w:lang w:val="en-US"/>
                              </w:rPr>
                              <w:t xml:space="preserve">ills </w:t>
                            </w:r>
                            <w:r>
                              <w:rPr>
                                <w:rFonts w:cs="Arial"/>
                                <w:szCs w:val="22"/>
                                <w:lang w:val="en-US"/>
                              </w:rPr>
                              <w:t>t</w:t>
                            </w:r>
                            <w:r w:rsidRPr="001A2022">
                              <w:rPr>
                                <w:rFonts w:cs="Arial"/>
                                <w:szCs w:val="22"/>
                                <w:lang w:val="en-US"/>
                              </w:rPr>
                              <w:t>raining will be sought for:</w:t>
                            </w:r>
                          </w:p>
                          <w:p w14:paraId="30DA27C8" w14:textId="400F76A3" w:rsidR="00EB3B59" w:rsidRPr="0028378F" w:rsidRDefault="00EB3B59" w:rsidP="0055222C">
                            <w:pPr>
                              <w:pStyle w:val="ListParagraph"/>
                              <w:widowControl w:val="0"/>
                              <w:numPr>
                                <w:ilvl w:val="0"/>
                                <w:numId w:val="8"/>
                              </w:numPr>
                              <w:autoSpaceDE w:val="0"/>
                              <w:autoSpaceDN w:val="0"/>
                              <w:adjustRightInd w:val="0"/>
                              <w:jc w:val="both"/>
                              <w:textAlignment w:val="center"/>
                              <w:rPr>
                                <w:rFonts w:cs="Arial"/>
                                <w:b/>
                                <w:szCs w:val="22"/>
                                <w:lang w:val="en-US"/>
                              </w:rPr>
                            </w:pPr>
                            <w:r>
                              <w:rPr>
                                <w:rFonts w:cs="Arial"/>
                                <w:szCs w:val="22"/>
                                <w:lang w:val="en-US"/>
                              </w:rPr>
                              <w:t>R</w:t>
                            </w:r>
                            <w:r w:rsidRPr="003D697D">
                              <w:rPr>
                                <w:rFonts w:cs="Arial"/>
                                <w:szCs w:val="22"/>
                                <w:lang w:val="en-US"/>
                              </w:rPr>
                              <w:t>esidential developments of 10 units</w:t>
                            </w:r>
                            <w:r>
                              <w:rPr>
                                <w:rFonts w:cs="Arial"/>
                                <w:szCs w:val="22"/>
                                <w:lang w:val="en-US"/>
                              </w:rPr>
                              <w:t xml:space="preserve"> or more,</w:t>
                            </w:r>
                            <w:r w:rsidRPr="003D697D">
                              <w:rPr>
                                <w:rFonts w:cs="Arial"/>
                                <w:szCs w:val="22"/>
                                <w:lang w:val="en-US"/>
                              </w:rPr>
                              <w:t xml:space="preserve"> or with a combined gross </w:t>
                            </w:r>
                            <w:r w:rsidRPr="00DD1BF4">
                              <w:rPr>
                                <w:rFonts w:cs="Arial"/>
                                <w:szCs w:val="22"/>
                              </w:rPr>
                              <w:t>floorspace</w:t>
                            </w:r>
                            <w:r w:rsidRPr="003D697D">
                              <w:rPr>
                                <w:rFonts w:cs="Arial"/>
                                <w:szCs w:val="22"/>
                                <w:lang w:val="en-US"/>
                              </w:rPr>
                              <w:t xml:space="preserve"> of 1,000 s</w:t>
                            </w:r>
                            <w:r>
                              <w:rPr>
                                <w:rFonts w:cs="Arial"/>
                                <w:szCs w:val="22"/>
                                <w:lang w:val="en-US"/>
                              </w:rPr>
                              <w:t>qm (GIA) or more</w:t>
                            </w:r>
                          </w:p>
                          <w:p w14:paraId="3C34FE8B" w14:textId="77777777" w:rsidR="00EB3B59" w:rsidRPr="00CC0E9E" w:rsidRDefault="00EB3B59" w:rsidP="0055222C">
                            <w:pPr>
                              <w:pStyle w:val="ListParagraph"/>
                              <w:widowControl w:val="0"/>
                              <w:numPr>
                                <w:ilvl w:val="0"/>
                                <w:numId w:val="8"/>
                              </w:numPr>
                              <w:autoSpaceDE w:val="0"/>
                              <w:autoSpaceDN w:val="0"/>
                              <w:adjustRightInd w:val="0"/>
                              <w:jc w:val="both"/>
                              <w:textAlignment w:val="center"/>
                              <w:rPr>
                                <w:rFonts w:cs="Arial"/>
                                <w:b/>
                                <w:szCs w:val="22"/>
                                <w:lang w:val="en-US"/>
                              </w:rPr>
                            </w:pPr>
                            <w:r>
                              <w:rPr>
                                <w:rFonts w:cs="Arial"/>
                                <w:szCs w:val="22"/>
                                <w:lang w:val="en-US"/>
                              </w:rPr>
                              <w:t>All major commercial development</w:t>
                            </w:r>
                          </w:p>
                          <w:p w14:paraId="581600FF" w14:textId="77777777" w:rsidR="00EB3B59" w:rsidRPr="001A2022" w:rsidRDefault="00EB3B59" w:rsidP="008D3D0B">
                            <w:pPr>
                              <w:widowControl w:val="0"/>
                              <w:autoSpaceDE w:val="0"/>
                              <w:autoSpaceDN w:val="0"/>
                              <w:adjustRightInd w:val="0"/>
                              <w:jc w:val="both"/>
                              <w:textAlignment w:val="center"/>
                              <w:rPr>
                                <w:rFonts w:cs="Arial"/>
                                <w:b/>
                                <w:szCs w:val="22"/>
                                <w:lang w:val="en-US"/>
                              </w:rPr>
                            </w:pPr>
                            <w:r w:rsidRPr="001A2022">
                              <w:rPr>
                                <w:rFonts w:cs="Arial"/>
                                <w:b/>
                                <w:szCs w:val="22"/>
                                <w:lang w:val="en-US"/>
                              </w:rPr>
                              <w:t>Job Brokerage</w:t>
                            </w:r>
                          </w:p>
                          <w:p w14:paraId="5F31230E" w14:textId="6C9C343F" w:rsidR="00EB3B59" w:rsidRDefault="00EB3B59" w:rsidP="008D3D0B">
                            <w:pPr>
                              <w:jc w:val="both"/>
                              <w:rPr>
                                <w:rFonts w:cs="Arial"/>
                                <w:szCs w:val="22"/>
                                <w:lang w:val="en-US"/>
                              </w:rPr>
                            </w:pPr>
                            <w:r>
                              <w:rPr>
                                <w:rFonts w:cs="Arial"/>
                                <w:szCs w:val="22"/>
                                <w:lang w:val="en-US"/>
                              </w:rPr>
                              <w:t>We</w:t>
                            </w:r>
                            <w:r w:rsidRPr="00D31D71">
                              <w:rPr>
                                <w:rFonts w:cs="Arial"/>
                                <w:szCs w:val="22"/>
                                <w:lang w:val="en-US"/>
                              </w:rPr>
                              <w:t xml:space="preserve"> will </w:t>
                            </w:r>
                            <w:r>
                              <w:rPr>
                                <w:rFonts w:cs="Arial"/>
                                <w:szCs w:val="22"/>
                                <w:lang w:val="en-US"/>
                              </w:rPr>
                              <w:t>seek to secure a minimum of 20%*</w:t>
                            </w:r>
                            <w:r w:rsidRPr="00D31D71">
                              <w:rPr>
                                <w:rFonts w:cs="Arial"/>
                                <w:szCs w:val="22"/>
                                <w:lang w:val="en-US"/>
                              </w:rPr>
                              <w:t xml:space="preserve"> of the total jobs created by the</w:t>
                            </w:r>
                            <w:r>
                              <w:rPr>
                                <w:rFonts w:cs="Arial"/>
                                <w:szCs w:val="22"/>
                                <w:lang w:val="en-US"/>
                              </w:rPr>
                              <w:t xml:space="preserve"> </w:t>
                            </w:r>
                            <w:r w:rsidRPr="00D31D71">
                              <w:rPr>
                                <w:rFonts w:cs="Arial"/>
                                <w:szCs w:val="22"/>
                                <w:lang w:val="en-US"/>
                              </w:rPr>
                              <w:t>construction and end-user phases of new development</w:t>
                            </w:r>
                            <w:r>
                              <w:rPr>
                                <w:rFonts w:cs="Arial"/>
                                <w:szCs w:val="22"/>
                                <w:lang w:val="en-US"/>
                              </w:rPr>
                              <w:t xml:space="preserve">s </w:t>
                            </w:r>
                            <w:r w:rsidRPr="006E3462">
                              <w:rPr>
                                <w:rFonts w:cs="Arial"/>
                                <w:szCs w:val="22"/>
                                <w:lang w:val="en-US"/>
                              </w:rPr>
                              <w:t>for local residents.</w:t>
                            </w:r>
                            <w:r>
                              <w:rPr>
                                <w:rFonts w:cs="Arial"/>
                                <w:szCs w:val="22"/>
                                <w:lang w:val="en-US"/>
                              </w:rPr>
                              <w:t xml:space="preserve"> To support developers to meet this obligation, we require the opportunities </w:t>
                            </w:r>
                            <w:r w:rsidRPr="00D31D71">
                              <w:rPr>
                                <w:rFonts w:cs="Arial"/>
                                <w:szCs w:val="22"/>
                                <w:lang w:val="en-US"/>
                              </w:rPr>
                              <w:t>to be advertised</w:t>
                            </w:r>
                            <w:r>
                              <w:rPr>
                                <w:rFonts w:cs="Arial"/>
                                <w:szCs w:val="22"/>
                                <w:lang w:val="en-US"/>
                              </w:rPr>
                              <w:t xml:space="preserve"> to Tower Hamlets residents through the</w:t>
                            </w:r>
                            <w:r w:rsidRPr="00D31D71">
                              <w:rPr>
                                <w:rFonts w:cs="Arial"/>
                                <w:szCs w:val="22"/>
                                <w:lang w:val="en-US"/>
                              </w:rPr>
                              <w:t xml:space="preserve"> </w:t>
                            </w:r>
                            <w:r>
                              <w:rPr>
                                <w:rFonts w:cs="Arial"/>
                                <w:szCs w:val="22"/>
                                <w:lang w:val="en-US"/>
                              </w:rPr>
                              <w:t xml:space="preserve">Council’s job-brokerage service or local based </w:t>
                            </w:r>
                            <w:r w:rsidRPr="00F74116">
                              <w:rPr>
                                <w:rFonts w:cs="Arial"/>
                                <w:szCs w:val="22"/>
                              </w:rPr>
                              <w:t>organisations</w:t>
                            </w:r>
                            <w:r>
                              <w:rPr>
                                <w:rFonts w:cs="Arial"/>
                                <w:szCs w:val="22"/>
                                <w:lang w:val="en-US"/>
                              </w:rPr>
                              <w:t xml:space="preserve">. All opportunities are to be advertised for a </w:t>
                            </w:r>
                            <w:r w:rsidRPr="00D31D71">
                              <w:rPr>
                                <w:rFonts w:cs="Arial"/>
                                <w:szCs w:val="22"/>
                                <w:lang w:val="en-US"/>
                              </w:rPr>
                              <w:t>specified minimum period</w:t>
                            </w:r>
                            <w:r>
                              <w:rPr>
                                <w:rFonts w:cs="Arial"/>
                                <w:szCs w:val="22"/>
                                <w:lang w:val="en-US"/>
                              </w:rPr>
                              <w:t xml:space="preserve"> of two weeks</w:t>
                            </w:r>
                            <w:r w:rsidRPr="00D31D71">
                              <w:rPr>
                                <w:rFonts w:cs="Arial"/>
                                <w:szCs w:val="22"/>
                                <w:lang w:val="en-US"/>
                              </w:rPr>
                              <w:t>.</w:t>
                            </w:r>
                            <w:r>
                              <w:rPr>
                                <w:rFonts w:cs="Arial"/>
                                <w:szCs w:val="22"/>
                                <w:lang w:val="en-US"/>
                              </w:rPr>
                              <w:t xml:space="preserve"> </w:t>
                            </w:r>
                          </w:p>
                          <w:p w14:paraId="7B1AC9EB" w14:textId="77777777" w:rsidR="00EB3B59" w:rsidRDefault="00EB3B59" w:rsidP="008D3D0B">
                            <w:pPr>
                              <w:jc w:val="both"/>
                              <w:rPr>
                                <w:rFonts w:cs="Arial"/>
                                <w:szCs w:val="22"/>
                                <w:lang w:val="en-US"/>
                              </w:rPr>
                            </w:pPr>
                            <w:r>
                              <w:rPr>
                                <w:rFonts w:cs="Arial"/>
                                <w:szCs w:val="22"/>
                                <w:lang w:val="en-US"/>
                              </w:rPr>
                              <w:t xml:space="preserve">The developer is required to supply the </w:t>
                            </w:r>
                            <w:r w:rsidRPr="00DD1BF4">
                              <w:rPr>
                                <w:rFonts w:cs="Arial"/>
                                <w:szCs w:val="22"/>
                              </w:rPr>
                              <w:t>programme</w:t>
                            </w:r>
                            <w:r>
                              <w:rPr>
                                <w:rFonts w:cs="Arial"/>
                                <w:szCs w:val="22"/>
                                <w:lang w:val="en-US"/>
                              </w:rPr>
                              <w:t xml:space="preserve"> of works for the scheme prior to commencement. This provides the employment team with the opportunity to prepare residents for upcoming opportunities at the various construction phases.</w:t>
                            </w:r>
                            <w:r w:rsidRPr="00D31D71">
                              <w:rPr>
                                <w:rFonts w:cs="Arial"/>
                                <w:szCs w:val="22"/>
                                <w:lang w:val="en-US"/>
                              </w:rPr>
                              <w:t xml:space="preserve"> </w:t>
                            </w:r>
                          </w:p>
                          <w:p w14:paraId="4DC1238C" w14:textId="77777777" w:rsidR="00EB3B59" w:rsidRDefault="00EB3B59" w:rsidP="008D3D0B">
                            <w:pPr>
                              <w:jc w:val="both"/>
                            </w:pPr>
                            <w:r w:rsidRPr="007D735C">
                              <w:rPr>
                                <w:sz w:val="20"/>
                              </w:rPr>
                              <w:t>*</w:t>
                            </w:r>
                            <w:r w:rsidRPr="007D735C">
                              <w:rPr>
                                <w:rFonts w:cs="Arial"/>
                                <w:sz w:val="20"/>
                                <w:lang w:val="en-US"/>
                              </w:rPr>
                              <w:t xml:space="preserve"> </w:t>
                            </w:r>
                            <w:r w:rsidRPr="00146B51">
                              <w:rPr>
                                <w:rFonts w:cs="Arial"/>
                                <w:sz w:val="20"/>
                                <w:lang w:val="en-US"/>
                              </w:rPr>
                              <w:t>Tower Hamlets currently has an overall 68% employment rate from which 15% are working within the borough</w:t>
                            </w:r>
                            <w:r>
                              <w:rPr>
                                <w:rFonts w:cs="Arial"/>
                                <w:sz w:val="20"/>
                                <w:lang w:val="en-US"/>
                              </w:rPr>
                              <w:t>.</w:t>
                            </w:r>
                            <w:r w:rsidRPr="007D735C">
                              <w:rPr>
                                <w:rFonts w:cs="Arial"/>
                                <w:sz w:val="20"/>
                                <w:lang w:val="en-US"/>
                              </w:rPr>
                              <w:t xml:space="preserve"> An aspirational target of 20% local </w:t>
                            </w:r>
                            <w:r w:rsidRPr="00DD1BF4">
                              <w:rPr>
                                <w:rFonts w:cs="Arial"/>
                                <w:sz w:val="20"/>
                              </w:rPr>
                              <w:t>labour</w:t>
                            </w:r>
                            <w:r w:rsidRPr="007D735C">
                              <w:rPr>
                                <w:rFonts w:cs="Arial"/>
                                <w:sz w:val="20"/>
                                <w:lang w:val="en-US"/>
                              </w:rPr>
                              <w:t xml:space="preserve"> has been set in order to create an achievable uplift in these figures.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D47FA5" id="Text Box 8" o:spid="_x0000_s1036" type="#_x0000_t202" style="width:451.5pt;height:3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" fillcolor="#dbe5f1 [660]" stroked="f">
                <v:textbox>
                  <w:txbxContent>
                    <w:p w14:paraId="4558ED3F" w14:textId="77777777" w:rsidR="00EB3B59" w:rsidRPr="001A2022" w:rsidRDefault="00EB3B59" w:rsidP="008D3D0B">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7F927687" w14:textId="77777777" w:rsidR="00EB3B59" w:rsidRPr="001A2022" w:rsidRDefault="00EB3B59" w:rsidP="008D3D0B">
                      <w:pPr>
                        <w:widowControl w:val="0"/>
                        <w:autoSpaceDE w:val="0"/>
                        <w:autoSpaceDN w:val="0"/>
                        <w:adjustRightInd w:val="0"/>
                        <w:jc w:val="both"/>
                        <w:textAlignment w:val="center"/>
                        <w:rPr>
                          <w:rFonts w:cs="Arial"/>
                          <w:szCs w:val="22"/>
                          <w:lang w:val="en-US"/>
                        </w:rPr>
                      </w:pPr>
                      <w:r w:rsidRPr="001A2022">
                        <w:rPr>
                          <w:rFonts w:cs="Arial"/>
                          <w:szCs w:val="22"/>
                          <w:lang w:val="en-US"/>
                        </w:rPr>
                        <w:t xml:space="preserve">Planning obligations relating to </w:t>
                      </w:r>
                      <w:r>
                        <w:rPr>
                          <w:rFonts w:cs="Arial"/>
                          <w:szCs w:val="22"/>
                          <w:lang w:val="en-US"/>
                        </w:rPr>
                        <w:t>e</w:t>
                      </w:r>
                      <w:r w:rsidRPr="001A2022">
                        <w:rPr>
                          <w:rFonts w:cs="Arial"/>
                          <w:szCs w:val="22"/>
                          <w:lang w:val="en-US"/>
                        </w:rPr>
                        <w:t>mployment and</w:t>
                      </w:r>
                      <w:r>
                        <w:rPr>
                          <w:rFonts w:cs="Arial"/>
                          <w:szCs w:val="22"/>
                          <w:lang w:val="en-US"/>
                        </w:rPr>
                        <w:t xml:space="preserve"> sk</w:t>
                      </w:r>
                      <w:r w:rsidRPr="001A2022">
                        <w:rPr>
                          <w:rFonts w:cs="Arial"/>
                          <w:szCs w:val="22"/>
                          <w:lang w:val="en-US"/>
                        </w:rPr>
                        <w:t xml:space="preserve">ills </w:t>
                      </w:r>
                      <w:r>
                        <w:rPr>
                          <w:rFonts w:cs="Arial"/>
                          <w:szCs w:val="22"/>
                          <w:lang w:val="en-US"/>
                        </w:rPr>
                        <w:t>t</w:t>
                      </w:r>
                      <w:r w:rsidRPr="001A2022">
                        <w:rPr>
                          <w:rFonts w:cs="Arial"/>
                          <w:szCs w:val="22"/>
                          <w:lang w:val="en-US"/>
                        </w:rPr>
                        <w:t>raining will be sought for:</w:t>
                      </w:r>
                    </w:p>
                    <w:p w14:paraId="30DA27C8" w14:textId="400F76A3" w:rsidR="00EB3B59" w:rsidRPr="0028378F" w:rsidRDefault="00EB3B59" w:rsidP="0055222C">
                      <w:pPr>
                        <w:pStyle w:val="ListParagraph"/>
                        <w:widowControl w:val="0"/>
                        <w:numPr>
                          <w:ilvl w:val="0"/>
                          <w:numId w:val="8"/>
                        </w:numPr>
                        <w:autoSpaceDE w:val="0"/>
                        <w:autoSpaceDN w:val="0"/>
                        <w:adjustRightInd w:val="0"/>
                        <w:jc w:val="both"/>
                        <w:textAlignment w:val="center"/>
                        <w:rPr>
                          <w:rFonts w:cs="Arial"/>
                          <w:b/>
                          <w:szCs w:val="22"/>
                          <w:lang w:val="en-US"/>
                        </w:rPr>
                      </w:pPr>
                      <w:r>
                        <w:rPr>
                          <w:rFonts w:cs="Arial"/>
                          <w:szCs w:val="22"/>
                          <w:lang w:val="en-US"/>
                        </w:rPr>
                        <w:t>R</w:t>
                      </w:r>
                      <w:r w:rsidRPr="003D697D">
                        <w:rPr>
                          <w:rFonts w:cs="Arial"/>
                          <w:szCs w:val="22"/>
                          <w:lang w:val="en-US"/>
                        </w:rPr>
                        <w:t>esidential developments of 10 units</w:t>
                      </w:r>
                      <w:r>
                        <w:rPr>
                          <w:rFonts w:cs="Arial"/>
                          <w:szCs w:val="22"/>
                          <w:lang w:val="en-US"/>
                        </w:rPr>
                        <w:t xml:space="preserve"> or more,</w:t>
                      </w:r>
                      <w:r w:rsidRPr="003D697D">
                        <w:rPr>
                          <w:rFonts w:cs="Arial"/>
                          <w:szCs w:val="22"/>
                          <w:lang w:val="en-US"/>
                        </w:rPr>
                        <w:t xml:space="preserve"> or with a combined gross </w:t>
                      </w:r>
                      <w:r w:rsidRPr="00DD1BF4">
                        <w:rPr>
                          <w:rFonts w:cs="Arial"/>
                          <w:szCs w:val="22"/>
                        </w:rPr>
                        <w:t>floorspace</w:t>
                      </w:r>
                      <w:r w:rsidRPr="003D697D">
                        <w:rPr>
                          <w:rFonts w:cs="Arial"/>
                          <w:szCs w:val="22"/>
                          <w:lang w:val="en-US"/>
                        </w:rPr>
                        <w:t xml:space="preserve"> of 1,000 s</w:t>
                      </w:r>
                      <w:r>
                        <w:rPr>
                          <w:rFonts w:cs="Arial"/>
                          <w:szCs w:val="22"/>
                          <w:lang w:val="en-US"/>
                        </w:rPr>
                        <w:t>qm (GIA) or more</w:t>
                      </w:r>
                    </w:p>
                    <w:p w14:paraId="3C34FE8B" w14:textId="77777777" w:rsidR="00EB3B59" w:rsidRPr="00CC0E9E" w:rsidRDefault="00EB3B59" w:rsidP="0055222C">
                      <w:pPr>
                        <w:pStyle w:val="ListParagraph"/>
                        <w:widowControl w:val="0"/>
                        <w:numPr>
                          <w:ilvl w:val="0"/>
                          <w:numId w:val="8"/>
                        </w:numPr>
                        <w:autoSpaceDE w:val="0"/>
                        <w:autoSpaceDN w:val="0"/>
                        <w:adjustRightInd w:val="0"/>
                        <w:jc w:val="both"/>
                        <w:textAlignment w:val="center"/>
                        <w:rPr>
                          <w:rFonts w:cs="Arial"/>
                          <w:b/>
                          <w:szCs w:val="22"/>
                          <w:lang w:val="en-US"/>
                        </w:rPr>
                      </w:pPr>
                      <w:r>
                        <w:rPr>
                          <w:rFonts w:cs="Arial"/>
                          <w:szCs w:val="22"/>
                          <w:lang w:val="en-US"/>
                        </w:rPr>
                        <w:t>All major commercial development</w:t>
                      </w:r>
                    </w:p>
                    <w:p w14:paraId="581600FF" w14:textId="77777777" w:rsidR="00EB3B59" w:rsidRPr="001A2022" w:rsidRDefault="00EB3B59" w:rsidP="008D3D0B">
                      <w:pPr>
                        <w:widowControl w:val="0"/>
                        <w:autoSpaceDE w:val="0"/>
                        <w:autoSpaceDN w:val="0"/>
                        <w:adjustRightInd w:val="0"/>
                        <w:jc w:val="both"/>
                        <w:textAlignment w:val="center"/>
                        <w:rPr>
                          <w:rFonts w:cs="Arial"/>
                          <w:b/>
                          <w:szCs w:val="22"/>
                          <w:lang w:val="en-US"/>
                        </w:rPr>
                      </w:pPr>
                      <w:r w:rsidRPr="001A2022">
                        <w:rPr>
                          <w:rFonts w:cs="Arial"/>
                          <w:b/>
                          <w:szCs w:val="22"/>
                          <w:lang w:val="en-US"/>
                        </w:rPr>
                        <w:t>Job Brokerage</w:t>
                      </w:r>
                    </w:p>
                    <w:p w14:paraId="5F31230E" w14:textId="6C9C343F" w:rsidR="00EB3B59" w:rsidRDefault="00EB3B59" w:rsidP="008D3D0B">
                      <w:pPr>
                        <w:jc w:val="both"/>
                        <w:rPr>
                          <w:rFonts w:cs="Arial"/>
                          <w:szCs w:val="22"/>
                          <w:lang w:val="en-US"/>
                        </w:rPr>
                      </w:pPr>
                      <w:r>
                        <w:rPr>
                          <w:rFonts w:cs="Arial"/>
                          <w:szCs w:val="22"/>
                          <w:lang w:val="en-US"/>
                        </w:rPr>
                        <w:t>We</w:t>
                      </w:r>
                      <w:r w:rsidRPr="00D31D71">
                        <w:rPr>
                          <w:rFonts w:cs="Arial"/>
                          <w:szCs w:val="22"/>
                          <w:lang w:val="en-US"/>
                        </w:rPr>
                        <w:t xml:space="preserve"> will </w:t>
                      </w:r>
                      <w:r>
                        <w:rPr>
                          <w:rFonts w:cs="Arial"/>
                          <w:szCs w:val="22"/>
                          <w:lang w:val="en-US"/>
                        </w:rPr>
                        <w:t>seek to secure a minimum of 20%*</w:t>
                      </w:r>
                      <w:r w:rsidRPr="00D31D71">
                        <w:rPr>
                          <w:rFonts w:cs="Arial"/>
                          <w:szCs w:val="22"/>
                          <w:lang w:val="en-US"/>
                        </w:rPr>
                        <w:t xml:space="preserve"> of the total jobs created by the</w:t>
                      </w:r>
                      <w:r>
                        <w:rPr>
                          <w:rFonts w:cs="Arial"/>
                          <w:szCs w:val="22"/>
                          <w:lang w:val="en-US"/>
                        </w:rPr>
                        <w:t xml:space="preserve"> </w:t>
                      </w:r>
                      <w:r w:rsidRPr="00D31D71">
                        <w:rPr>
                          <w:rFonts w:cs="Arial"/>
                          <w:szCs w:val="22"/>
                          <w:lang w:val="en-US"/>
                        </w:rPr>
                        <w:t>construction and end-user phases of new development</w:t>
                      </w:r>
                      <w:r>
                        <w:rPr>
                          <w:rFonts w:cs="Arial"/>
                          <w:szCs w:val="22"/>
                          <w:lang w:val="en-US"/>
                        </w:rPr>
                        <w:t xml:space="preserve">s </w:t>
                      </w:r>
                      <w:r w:rsidRPr="006E3462">
                        <w:rPr>
                          <w:rFonts w:cs="Arial"/>
                          <w:szCs w:val="22"/>
                          <w:lang w:val="en-US"/>
                        </w:rPr>
                        <w:t>for local residents.</w:t>
                      </w:r>
                      <w:r>
                        <w:rPr>
                          <w:rFonts w:cs="Arial"/>
                          <w:szCs w:val="22"/>
                          <w:lang w:val="en-US"/>
                        </w:rPr>
                        <w:t xml:space="preserve"> To support developers to meet this obligation, we require the opportunities </w:t>
                      </w:r>
                      <w:r w:rsidRPr="00D31D71">
                        <w:rPr>
                          <w:rFonts w:cs="Arial"/>
                          <w:szCs w:val="22"/>
                          <w:lang w:val="en-US"/>
                        </w:rPr>
                        <w:t>to be advertised</w:t>
                      </w:r>
                      <w:r>
                        <w:rPr>
                          <w:rFonts w:cs="Arial"/>
                          <w:szCs w:val="22"/>
                          <w:lang w:val="en-US"/>
                        </w:rPr>
                        <w:t xml:space="preserve"> to Tower Hamlets residents through the</w:t>
                      </w:r>
                      <w:r w:rsidRPr="00D31D71">
                        <w:rPr>
                          <w:rFonts w:cs="Arial"/>
                          <w:szCs w:val="22"/>
                          <w:lang w:val="en-US"/>
                        </w:rPr>
                        <w:t xml:space="preserve"> </w:t>
                      </w:r>
                      <w:r>
                        <w:rPr>
                          <w:rFonts w:cs="Arial"/>
                          <w:szCs w:val="22"/>
                          <w:lang w:val="en-US"/>
                        </w:rPr>
                        <w:t xml:space="preserve">Council’s job-brokerage service or local based </w:t>
                      </w:r>
                      <w:r w:rsidRPr="00F74116">
                        <w:rPr>
                          <w:rFonts w:cs="Arial"/>
                          <w:szCs w:val="22"/>
                        </w:rPr>
                        <w:t>organisations</w:t>
                      </w:r>
                      <w:r>
                        <w:rPr>
                          <w:rFonts w:cs="Arial"/>
                          <w:szCs w:val="22"/>
                          <w:lang w:val="en-US"/>
                        </w:rPr>
                        <w:t xml:space="preserve">. All opportunities are to be advertised for a </w:t>
                      </w:r>
                      <w:r w:rsidRPr="00D31D71">
                        <w:rPr>
                          <w:rFonts w:cs="Arial"/>
                          <w:szCs w:val="22"/>
                          <w:lang w:val="en-US"/>
                        </w:rPr>
                        <w:t>specified minimum period</w:t>
                      </w:r>
                      <w:r>
                        <w:rPr>
                          <w:rFonts w:cs="Arial"/>
                          <w:szCs w:val="22"/>
                          <w:lang w:val="en-US"/>
                        </w:rPr>
                        <w:t xml:space="preserve"> of two weeks</w:t>
                      </w:r>
                      <w:r w:rsidRPr="00D31D71">
                        <w:rPr>
                          <w:rFonts w:cs="Arial"/>
                          <w:szCs w:val="22"/>
                          <w:lang w:val="en-US"/>
                        </w:rPr>
                        <w:t>.</w:t>
                      </w:r>
                      <w:r>
                        <w:rPr>
                          <w:rFonts w:cs="Arial"/>
                          <w:szCs w:val="22"/>
                          <w:lang w:val="en-US"/>
                        </w:rPr>
                        <w:t xml:space="preserve"> </w:t>
                      </w:r>
                    </w:p>
                    <w:p w14:paraId="7B1AC9EB" w14:textId="77777777" w:rsidR="00EB3B59" w:rsidRDefault="00EB3B59" w:rsidP="008D3D0B">
                      <w:pPr>
                        <w:jc w:val="both"/>
                        <w:rPr>
                          <w:rFonts w:cs="Arial"/>
                          <w:szCs w:val="22"/>
                          <w:lang w:val="en-US"/>
                        </w:rPr>
                      </w:pPr>
                      <w:r>
                        <w:rPr>
                          <w:rFonts w:cs="Arial"/>
                          <w:szCs w:val="22"/>
                          <w:lang w:val="en-US"/>
                        </w:rPr>
                        <w:t xml:space="preserve">The developer is required to supply the </w:t>
                      </w:r>
                      <w:r w:rsidRPr="00DD1BF4">
                        <w:rPr>
                          <w:rFonts w:cs="Arial"/>
                          <w:szCs w:val="22"/>
                        </w:rPr>
                        <w:t>programme</w:t>
                      </w:r>
                      <w:r>
                        <w:rPr>
                          <w:rFonts w:cs="Arial"/>
                          <w:szCs w:val="22"/>
                          <w:lang w:val="en-US"/>
                        </w:rPr>
                        <w:t xml:space="preserve"> of works for the scheme prior to commencement. This provides the employment team with the opportunity to prepare residents for upcoming opportunities at the various construction phases.</w:t>
                      </w:r>
                      <w:r w:rsidRPr="00D31D71">
                        <w:rPr>
                          <w:rFonts w:cs="Arial"/>
                          <w:szCs w:val="22"/>
                          <w:lang w:val="en-US"/>
                        </w:rPr>
                        <w:t xml:space="preserve"> </w:t>
                      </w:r>
                    </w:p>
                    <w:p w14:paraId="4DC1238C" w14:textId="77777777" w:rsidR="00EB3B59" w:rsidRDefault="00EB3B59" w:rsidP="008D3D0B">
                      <w:pPr>
                        <w:jc w:val="both"/>
                      </w:pPr>
                      <w:r w:rsidRPr="007D735C">
                        <w:rPr>
                          <w:sz w:val="20"/>
                        </w:rPr>
                        <w:t>*</w:t>
                      </w:r>
                      <w:r w:rsidRPr="007D735C">
                        <w:rPr>
                          <w:rFonts w:cs="Arial"/>
                          <w:sz w:val="20"/>
                          <w:lang w:val="en-US"/>
                        </w:rPr>
                        <w:t xml:space="preserve"> </w:t>
                      </w:r>
                      <w:r w:rsidRPr="00146B51">
                        <w:rPr>
                          <w:rFonts w:cs="Arial"/>
                          <w:sz w:val="20"/>
                          <w:lang w:val="en-US"/>
                        </w:rPr>
                        <w:t>Tower Hamlets currently has an overall 68% employment rate from which 15% are working within the borough</w:t>
                      </w:r>
                      <w:r>
                        <w:rPr>
                          <w:rFonts w:cs="Arial"/>
                          <w:sz w:val="20"/>
                          <w:lang w:val="en-US"/>
                        </w:rPr>
                        <w:t>.</w:t>
                      </w:r>
                      <w:r w:rsidRPr="007D735C">
                        <w:rPr>
                          <w:rFonts w:cs="Arial"/>
                          <w:sz w:val="20"/>
                          <w:lang w:val="en-US"/>
                        </w:rPr>
                        <w:t xml:space="preserve"> An aspirational target of 20% local </w:t>
                      </w:r>
                      <w:r w:rsidRPr="00DD1BF4">
                        <w:rPr>
                          <w:rFonts w:cs="Arial"/>
                          <w:sz w:val="20"/>
                        </w:rPr>
                        <w:t>labour</w:t>
                      </w:r>
                      <w:r w:rsidRPr="007D735C">
                        <w:rPr>
                          <w:rFonts w:cs="Arial"/>
                          <w:sz w:val="20"/>
                          <w:lang w:val="en-US"/>
                        </w:rPr>
                        <w:t xml:space="preserve"> has been set in order to create an achievable uplift in these figures.</w:t>
                      </w:r>
                    </w:p>
                  </w:txbxContent>
                </v:textbox>
                <w10:anchorlock/>
              </v:shape>
            </w:pict>
          </mc:Fallback>
        </mc:AlternateContent>
      </w:r>
    </w:p>
    <w:p w14:paraId="250F06AD" w14:textId="77777777" w:rsidR="00090D84" w:rsidRPr="000D65CE" w:rsidRDefault="00175386" w:rsidP="003B280C">
      <w:pPr>
        <w:widowControl w:val="0"/>
        <w:autoSpaceDE w:val="0"/>
        <w:autoSpaceDN w:val="0"/>
        <w:adjustRightInd w:val="0"/>
        <w:spacing w:before="360" w:after="120"/>
        <w:ind w:firstLine="170"/>
        <w:jc w:val="both"/>
        <w:textAlignment w:val="center"/>
        <w:rPr>
          <w:rFonts w:cs="Arial"/>
          <w:b/>
          <w:bCs/>
          <w:color w:val="FFFFFF" w:themeColor="background1"/>
        </w:rPr>
      </w:pPr>
      <w:r w:rsidRPr="000D65CE">
        <w:rPr>
          <w:rStyle w:val="Strong"/>
        </w:rPr>
        <w:t xml:space="preserve">Skills </w:t>
      </w:r>
      <w:r w:rsidR="00C569EE" w:rsidRPr="000D65CE">
        <w:rPr>
          <w:rStyle w:val="Strong"/>
        </w:rPr>
        <w:t xml:space="preserve">and </w:t>
      </w:r>
      <w:r w:rsidRPr="000D65CE">
        <w:rPr>
          <w:rStyle w:val="Strong"/>
        </w:rPr>
        <w:t>Training</w:t>
      </w:r>
      <w:r w:rsidR="00CC0E9E" w:rsidRPr="000D65CE">
        <w:rPr>
          <w:rStyle w:val="Strong"/>
        </w:rPr>
        <w:t xml:space="preserve"> </w:t>
      </w:r>
      <w:r w:rsidR="00C569EE" w:rsidRPr="000D65CE">
        <w:rPr>
          <w:rStyle w:val="Strong"/>
        </w:rPr>
        <w:t xml:space="preserve">Financial Contribution </w:t>
      </w:r>
    </w:p>
    <w:p w14:paraId="4C7FEC72" w14:textId="77954272" w:rsidR="00B10D2E" w:rsidRPr="000D65CE" w:rsidRDefault="00C569EE" w:rsidP="003B280C">
      <w:pPr>
        <w:pStyle w:val="Paragraphs"/>
        <w:rPr>
          <w:lang w:val="en-GB"/>
        </w:rPr>
      </w:pPr>
      <w:r w:rsidRPr="28D940A9">
        <w:rPr>
          <w:lang w:val="en-GB"/>
        </w:rPr>
        <w:t xml:space="preserve">For all </w:t>
      </w:r>
      <w:r w:rsidR="00A32741" w:rsidRPr="28D940A9">
        <w:rPr>
          <w:lang w:val="en-GB"/>
        </w:rPr>
        <w:t xml:space="preserve">applicable </w:t>
      </w:r>
      <w:r w:rsidRPr="28D940A9">
        <w:rPr>
          <w:lang w:val="en-GB"/>
        </w:rPr>
        <w:t>M</w:t>
      </w:r>
      <w:r w:rsidR="000B2596" w:rsidRPr="28D940A9">
        <w:rPr>
          <w:lang w:val="en-GB"/>
        </w:rPr>
        <w:t xml:space="preserve">ajor </w:t>
      </w:r>
      <w:r w:rsidRPr="28D940A9">
        <w:rPr>
          <w:lang w:val="en-GB"/>
        </w:rPr>
        <w:t>Developments</w:t>
      </w:r>
      <w:r w:rsidR="00B859CB" w:rsidRPr="28D940A9">
        <w:rPr>
          <w:lang w:val="en-GB"/>
        </w:rPr>
        <w:t>,</w:t>
      </w:r>
      <w:r w:rsidR="000E43F8" w:rsidRPr="28D940A9">
        <w:rPr>
          <w:lang w:val="en-GB"/>
        </w:rPr>
        <w:t xml:space="preserve"> the</w:t>
      </w:r>
      <w:r w:rsidRPr="28D940A9">
        <w:rPr>
          <w:lang w:val="en-GB"/>
        </w:rPr>
        <w:t xml:space="preserve"> </w:t>
      </w:r>
      <w:r w:rsidR="001F70DC" w:rsidRPr="28D940A9">
        <w:rPr>
          <w:lang w:val="en-GB"/>
        </w:rPr>
        <w:t>Council</w:t>
      </w:r>
      <w:r w:rsidRPr="28D940A9">
        <w:rPr>
          <w:lang w:val="en-GB"/>
        </w:rPr>
        <w:t xml:space="preserve"> will seek a financial contribution to support and provide the training and skills needs of local residents in accessing the new </w:t>
      </w:r>
      <w:r w:rsidR="00F75FE4" w:rsidRPr="28D940A9">
        <w:rPr>
          <w:lang w:val="en-GB"/>
        </w:rPr>
        <w:t>economic</w:t>
      </w:r>
      <w:r w:rsidRPr="28D940A9">
        <w:rPr>
          <w:lang w:val="en-GB"/>
        </w:rPr>
        <w:t xml:space="preserve"> opportunities. </w:t>
      </w:r>
    </w:p>
    <w:p w14:paraId="629EA3D5" w14:textId="77777777" w:rsidR="000E08D9" w:rsidRPr="0093406B" w:rsidRDefault="00B10D2E" w:rsidP="000E08D9">
      <w:pPr>
        <w:pStyle w:val="Paragraphs"/>
        <w:rPr>
          <w:lang w:val="en-GB"/>
        </w:rPr>
      </w:pPr>
      <w:r w:rsidRPr="28D940A9">
        <w:rPr>
          <w:lang w:val="en-GB"/>
        </w:rPr>
        <w:t>T</w:t>
      </w:r>
      <w:r w:rsidR="00C569EE" w:rsidRPr="28D940A9">
        <w:rPr>
          <w:lang w:val="en-GB"/>
        </w:rPr>
        <w:t>h</w:t>
      </w:r>
      <w:r w:rsidR="00642FE4" w:rsidRPr="28D940A9">
        <w:rPr>
          <w:lang w:val="en-GB"/>
        </w:rPr>
        <w:t>is</w:t>
      </w:r>
      <w:r w:rsidR="00C569EE" w:rsidRPr="28D940A9">
        <w:rPr>
          <w:lang w:val="en-GB"/>
        </w:rPr>
        <w:t xml:space="preserve"> contribution</w:t>
      </w:r>
      <w:r w:rsidRPr="28D940A9">
        <w:rPr>
          <w:lang w:val="en-GB"/>
        </w:rPr>
        <w:t xml:space="preserve"> will be used</w:t>
      </w:r>
      <w:r w:rsidR="00C569EE" w:rsidRPr="28D940A9">
        <w:rPr>
          <w:lang w:val="en-GB"/>
        </w:rPr>
        <w:t xml:space="preserve"> to provide and procure the support necessary for local people who have been out of employment and/or do not have the skill set required </w:t>
      </w:r>
      <w:r w:rsidR="007265D9" w:rsidRPr="28D940A9">
        <w:rPr>
          <w:lang w:val="en-GB"/>
        </w:rPr>
        <w:t>to access or progress in work</w:t>
      </w:r>
      <w:r w:rsidR="00C569EE" w:rsidRPr="28D940A9">
        <w:rPr>
          <w:lang w:val="en-GB"/>
        </w:rPr>
        <w:t>.</w:t>
      </w:r>
      <w:r w:rsidR="00356AE3" w:rsidRPr="28D940A9">
        <w:rPr>
          <w:lang w:val="en-GB"/>
        </w:rPr>
        <w:t xml:space="preserve"> </w:t>
      </w:r>
      <w:r w:rsidR="00421106" w:rsidRPr="28D940A9">
        <w:rPr>
          <w:lang w:val="en-GB"/>
        </w:rPr>
        <w:t>Th</w:t>
      </w:r>
      <w:r w:rsidR="004F2D5A" w:rsidRPr="28D940A9">
        <w:rPr>
          <w:lang w:val="en-GB"/>
        </w:rPr>
        <w:t xml:space="preserve">is includes </w:t>
      </w:r>
      <w:r w:rsidR="00421106" w:rsidRPr="28D940A9">
        <w:rPr>
          <w:lang w:val="en-GB"/>
        </w:rPr>
        <w:t>prepar</w:t>
      </w:r>
      <w:r w:rsidR="004F2D5A" w:rsidRPr="28D940A9">
        <w:rPr>
          <w:lang w:val="en-GB"/>
        </w:rPr>
        <w:t>ing</w:t>
      </w:r>
      <w:r w:rsidR="00421106" w:rsidRPr="28D940A9">
        <w:rPr>
          <w:lang w:val="en-GB"/>
        </w:rPr>
        <w:t xml:space="preserve"> people to apply for jobs advertised on forthcoming development sites,</w:t>
      </w:r>
      <w:r w:rsidR="004F2D5A" w:rsidRPr="28D940A9">
        <w:rPr>
          <w:lang w:val="en-GB"/>
        </w:rPr>
        <w:t xml:space="preserve"> thereby</w:t>
      </w:r>
      <w:r w:rsidR="00421106" w:rsidRPr="28D940A9">
        <w:rPr>
          <w:lang w:val="en-GB"/>
        </w:rPr>
        <w:t xml:space="preserve"> enabling </w:t>
      </w:r>
      <w:r w:rsidR="001E2301" w:rsidRPr="28D940A9">
        <w:rPr>
          <w:lang w:val="en-GB"/>
        </w:rPr>
        <w:t>more applicants to come forward</w:t>
      </w:r>
      <w:r w:rsidR="007265D9" w:rsidRPr="28D940A9">
        <w:rPr>
          <w:lang w:val="en-GB"/>
        </w:rPr>
        <w:t xml:space="preserve"> for</w:t>
      </w:r>
      <w:r w:rsidR="001E2301" w:rsidRPr="28D940A9">
        <w:rPr>
          <w:lang w:val="en-GB"/>
        </w:rPr>
        <w:t xml:space="preserve"> jobs that</w:t>
      </w:r>
      <w:r w:rsidR="00DA739A" w:rsidRPr="28D940A9">
        <w:rPr>
          <w:lang w:val="en-GB"/>
        </w:rPr>
        <w:t xml:space="preserve"> are required</w:t>
      </w:r>
      <w:r w:rsidR="001E2301" w:rsidRPr="28D940A9">
        <w:rPr>
          <w:lang w:val="en-GB"/>
        </w:rPr>
        <w:t xml:space="preserve"> to be advertised exclusively for local people</w:t>
      </w:r>
      <w:r w:rsidR="00421106" w:rsidRPr="28D940A9">
        <w:rPr>
          <w:lang w:val="en-GB"/>
        </w:rPr>
        <w:t xml:space="preserve">. </w:t>
      </w:r>
      <w:r w:rsidR="00356AE3" w:rsidRPr="28D940A9">
        <w:rPr>
          <w:lang w:val="en-GB"/>
        </w:rPr>
        <w:t>For the construction phase this include</w:t>
      </w:r>
      <w:r w:rsidR="001E2301" w:rsidRPr="28D940A9">
        <w:rPr>
          <w:lang w:val="en-GB"/>
        </w:rPr>
        <w:t>s</w:t>
      </w:r>
      <w:r w:rsidR="00356AE3" w:rsidRPr="28D940A9">
        <w:rPr>
          <w:lang w:val="en-GB"/>
        </w:rPr>
        <w:t xml:space="preserve"> all jobs that support the construction of </w:t>
      </w:r>
      <w:r w:rsidR="001E2301" w:rsidRPr="28D940A9">
        <w:rPr>
          <w:lang w:val="en-GB"/>
        </w:rPr>
        <w:t>the</w:t>
      </w:r>
      <w:r w:rsidR="00356AE3" w:rsidRPr="28D940A9">
        <w:rPr>
          <w:lang w:val="en-GB"/>
        </w:rPr>
        <w:t xml:space="preserve"> scheme, including back office and logistics jobs.</w:t>
      </w:r>
    </w:p>
    <w:p w14:paraId="79E8AA71" w14:textId="77777777" w:rsidR="00742258" w:rsidRDefault="00742258" w:rsidP="000E08D9">
      <w:pPr>
        <w:spacing w:after="120"/>
        <w:rPr>
          <w:b/>
        </w:rPr>
      </w:pPr>
    </w:p>
    <w:p w14:paraId="35C8C897" w14:textId="77777777" w:rsidR="00742258" w:rsidRDefault="00742258" w:rsidP="000E08D9">
      <w:pPr>
        <w:spacing w:after="120"/>
        <w:rPr>
          <w:b/>
        </w:rPr>
      </w:pPr>
    </w:p>
    <w:p w14:paraId="68EF9E48" w14:textId="77777777" w:rsidR="00742258" w:rsidRDefault="00742258" w:rsidP="000E08D9">
      <w:pPr>
        <w:spacing w:after="120"/>
        <w:rPr>
          <w:b/>
        </w:rPr>
      </w:pPr>
    </w:p>
    <w:p w14:paraId="281C8FC0" w14:textId="77777777" w:rsidR="00742258" w:rsidRDefault="00742258" w:rsidP="000E08D9">
      <w:pPr>
        <w:spacing w:after="120"/>
        <w:rPr>
          <w:b/>
        </w:rPr>
      </w:pPr>
    </w:p>
    <w:p w14:paraId="6B06C618" w14:textId="77777777" w:rsidR="00742258" w:rsidRDefault="00742258" w:rsidP="000E08D9">
      <w:pPr>
        <w:spacing w:after="120"/>
        <w:rPr>
          <w:b/>
        </w:rPr>
      </w:pPr>
    </w:p>
    <w:p w14:paraId="28EAE19F" w14:textId="77777777" w:rsidR="00742258" w:rsidRDefault="00742258" w:rsidP="000E08D9">
      <w:pPr>
        <w:spacing w:after="120"/>
        <w:rPr>
          <w:b/>
        </w:rPr>
      </w:pPr>
    </w:p>
    <w:p w14:paraId="7B001B16" w14:textId="19E8509B" w:rsidR="000E08D9" w:rsidRDefault="00742258" w:rsidP="000E08D9">
      <w:pPr>
        <w:spacing w:after="120"/>
        <w:rPr>
          <w:b/>
        </w:rPr>
      </w:pPr>
      <w:r w:rsidRPr="003D2BA4">
        <w:rPr>
          <w:b/>
        </w:rPr>
        <w:lastRenderedPageBreak/>
        <w:t xml:space="preserve">Text Box </w:t>
      </w:r>
      <w:r>
        <w:rPr>
          <w:b/>
        </w:rPr>
        <w:t>11</w:t>
      </w:r>
      <w:r w:rsidRPr="003D2BA4">
        <w:rPr>
          <w:b/>
        </w:rPr>
        <w:t xml:space="preserve">: </w:t>
      </w:r>
      <w:r>
        <w:rPr>
          <w:b/>
        </w:rPr>
        <w:t>Construction Phase Skills and Training</w:t>
      </w:r>
    </w:p>
    <w:p w14:paraId="136EF7AB" w14:textId="30AB2AAB" w:rsidR="00146B51" w:rsidRDefault="00146B51" w:rsidP="000E08D9">
      <w:pPr>
        <w:spacing w:after="120"/>
        <w:rPr>
          <w:b/>
        </w:rPr>
      </w:pPr>
      <w:r w:rsidRPr="000D65CE">
        <w:rPr>
          <w:rFonts w:cs="Arial"/>
          <w:noProof/>
          <w:lang w:eastAsia="en-GB"/>
        </w:rPr>
        <mc:AlternateContent>
          <mc:Choice Requires="wps">
            <w:drawing>
              <wp:inline distT="0" distB="0" distL="0" distR="0" wp14:anchorId="3190A290" wp14:editId="14B929E2">
                <wp:extent cx="5695950" cy="2721935"/>
                <wp:effectExtent l="0" t="0" r="0" b="254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2721935"/>
                        </a:xfrm>
                        <a:prstGeom prst="rect">
                          <a:avLst/>
                        </a:prstGeom>
                        <a:solidFill>
                          <a:schemeClr val="accent1">
                            <a:lumMod val="20000"/>
                            <a:lumOff val="80000"/>
                          </a:schemeClr>
                        </a:solidFill>
                        <a:ln>
                          <a:noFill/>
                        </a:ln>
                        <a:effectLst/>
                      </wps:spPr>
                      <wps:txbx>
                        <w:txbxContent>
                          <w:p w14:paraId="2027C76E" w14:textId="77777777" w:rsidR="00EB3B59" w:rsidRPr="00614AF9" w:rsidRDefault="00EB3B59" w:rsidP="00146B51">
                            <w:pPr>
                              <w:widowControl w:val="0"/>
                              <w:autoSpaceDE w:val="0"/>
                              <w:autoSpaceDN w:val="0"/>
                              <w:adjustRightInd w:val="0"/>
                              <w:jc w:val="both"/>
                              <w:textAlignment w:val="center"/>
                              <w:rPr>
                                <w:rFonts w:cs="Arial"/>
                                <w:b/>
                                <w:szCs w:val="22"/>
                                <w:lang w:val="en-US"/>
                              </w:rPr>
                            </w:pPr>
                            <w:r w:rsidRPr="006C1E26">
                              <w:rPr>
                                <w:rFonts w:cs="Arial"/>
                                <w:b/>
                                <w:iCs/>
                              </w:rPr>
                              <w:t xml:space="preserve">Formula – </w:t>
                            </w:r>
                            <w:r w:rsidRPr="00614AF9">
                              <w:rPr>
                                <w:rFonts w:cs="Arial"/>
                                <w:b/>
                                <w:szCs w:val="22"/>
                                <w:lang w:val="en-US"/>
                              </w:rPr>
                              <w:t xml:space="preserve">Construction Phase Skills and Training </w:t>
                            </w:r>
                          </w:p>
                          <w:p w14:paraId="311A9C28" w14:textId="77777777" w:rsidR="00EB3B59" w:rsidRPr="00614AF9" w:rsidRDefault="00EB3B59" w:rsidP="00146B51">
                            <w:pPr>
                              <w:widowControl w:val="0"/>
                              <w:autoSpaceDE w:val="0"/>
                              <w:autoSpaceDN w:val="0"/>
                              <w:adjustRightInd w:val="0"/>
                              <w:jc w:val="both"/>
                              <w:textAlignment w:val="center"/>
                              <w:rPr>
                                <w:rFonts w:cs="Arial"/>
                                <w:szCs w:val="22"/>
                                <w:lang w:val="en-US"/>
                              </w:rPr>
                            </w:pPr>
                            <w:r w:rsidRPr="00614AF9">
                              <w:rPr>
                                <w:rFonts w:cs="Arial"/>
                                <w:szCs w:val="22"/>
                                <w:lang w:val="en-US"/>
                              </w:rPr>
                              <w:t>For all applicable developments the Council will seek a financial contribution to support local people in accessing construction phase job opportunities.</w:t>
                            </w:r>
                          </w:p>
                          <w:p w14:paraId="64E57229" w14:textId="77777777" w:rsidR="00EB3B59" w:rsidRPr="000D47C2" w:rsidRDefault="00EB3B59" w:rsidP="00146B51">
                            <w:pPr>
                              <w:widowControl w:val="0"/>
                              <w:autoSpaceDE w:val="0"/>
                              <w:autoSpaceDN w:val="0"/>
                              <w:adjustRightInd w:val="0"/>
                              <w:jc w:val="both"/>
                              <w:textAlignment w:val="center"/>
                              <w:rPr>
                                <w:rFonts w:cs="Arial"/>
                                <w:szCs w:val="22"/>
                                <w:lang w:val="en-US"/>
                              </w:rPr>
                            </w:pPr>
                            <w:r>
                              <w:rPr>
                                <w:rFonts w:cs="Arial"/>
                                <w:szCs w:val="22"/>
                                <w:lang w:val="en-US"/>
                              </w:rPr>
                              <w:t>£4</w:t>
                            </w:r>
                            <w:r w:rsidRPr="007265D9">
                              <w:rPr>
                                <w:rFonts w:cs="Arial"/>
                                <w:szCs w:val="22"/>
                                <w:lang w:val="en-US"/>
                              </w:rPr>
                              <w:t xml:space="preserve"> x sqm of the total new development floorspace (GIA)</w:t>
                            </w:r>
                          </w:p>
                          <w:p w14:paraId="5159819C" w14:textId="77777777" w:rsidR="00EB3B59" w:rsidRPr="000D47C2" w:rsidRDefault="00EB3B59" w:rsidP="00146B51">
                            <w:pPr>
                              <w:widowControl w:val="0"/>
                              <w:autoSpaceDE w:val="0"/>
                              <w:autoSpaceDN w:val="0"/>
                              <w:adjustRightInd w:val="0"/>
                              <w:jc w:val="both"/>
                              <w:textAlignment w:val="center"/>
                              <w:rPr>
                                <w:rFonts w:cs="Arial"/>
                                <w:szCs w:val="22"/>
                                <w:lang w:val="en-US"/>
                              </w:rPr>
                            </w:pPr>
                            <w:r w:rsidRPr="000D47C2">
                              <w:rPr>
                                <w:rFonts w:cs="Arial"/>
                                <w:szCs w:val="22"/>
                                <w:lang w:val="en-US"/>
                              </w:rPr>
                              <w:t>___________________________________</w:t>
                            </w:r>
                          </w:p>
                          <w:p w14:paraId="71CE1B08" w14:textId="77777777" w:rsidR="00EB3B59" w:rsidRPr="00C259BC" w:rsidRDefault="00EB3B59" w:rsidP="00146B51">
                            <w:pPr>
                              <w:widowControl w:val="0"/>
                              <w:autoSpaceDE w:val="0"/>
                              <w:autoSpaceDN w:val="0"/>
                              <w:adjustRightInd w:val="0"/>
                              <w:jc w:val="both"/>
                              <w:textAlignment w:val="center"/>
                              <w:rPr>
                                <w:rFonts w:cs="Arial"/>
                                <w:b/>
                                <w:szCs w:val="22"/>
                                <w:lang w:val="en-US"/>
                              </w:rPr>
                            </w:pPr>
                            <w:r w:rsidRPr="00C259BC">
                              <w:rPr>
                                <w:rFonts w:cs="Arial"/>
                                <w:b/>
                                <w:szCs w:val="22"/>
                                <w:lang w:val="en-US"/>
                              </w:rPr>
                              <w:t xml:space="preserve">= </w:t>
                            </w:r>
                            <w:r>
                              <w:rPr>
                                <w:rFonts w:cs="Arial"/>
                                <w:b/>
                                <w:szCs w:val="22"/>
                                <w:lang w:val="en-US"/>
                              </w:rPr>
                              <w:t>C</w:t>
                            </w:r>
                            <w:r w:rsidRPr="00C259BC">
                              <w:rPr>
                                <w:rFonts w:cs="Arial"/>
                                <w:b/>
                                <w:szCs w:val="22"/>
                                <w:lang w:val="en-US"/>
                              </w:rPr>
                              <w:t>ontribution</w:t>
                            </w:r>
                            <w:r>
                              <w:rPr>
                                <w:rFonts w:cs="Arial"/>
                                <w:b/>
                                <w:szCs w:val="22"/>
                                <w:lang w:val="en-US"/>
                              </w:rPr>
                              <w:t xml:space="preserve"> required</w:t>
                            </w:r>
                          </w:p>
                          <w:p w14:paraId="0AEFE830" w14:textId="77777777" w:rsidR="00EB3B59" w:rsidRPr="002C3BD7" w:rsidRDefault="00EB3B59" w:rsidP="00146B51">
                            <w:pPr>
                              <w:widowControl w:val="0"/>
                              <w:autoSpaceDE w:val="0"/>
                              <w:autoSpaceDN w:val="0"/>
                              <w:adjustRightInd w:val="0"/>
                              <w:jc w:val="both"/>
                              <w:textAlignment w:val="center"/>
                              <w:rPr>
                                <w:rFonts w:cs="Arial"/>
                                <w:szCs w:val="22"/>
                                <w:lang w:val="en-US"/>
                              </w:rPr>
                            </w:pPr>
                            <w:r w:rsidRPr="000D47C2">
                              <w:rPr>
                                <w:rFonts w:cs="Arial"/>
                                <w:szCs w:val="22"/>
                                <w:lang w:val="en-US"/>
                              </w:rPr>
                              <w:t xml:space="preserve">For example: When applying the formula to a </w:t>
                            </w:r>
                            <w:r>
                              <w:rPr>
                                <w:rFonts w:cs="Arial"/>
                                <w:szCs w:val="22"/>
                                <w:lang w:val="en-US"/>
                              </w:rPr>
                              <w:t>d</w:t>
                            </w:r>
                            <w:r w:rsidRPr="000D47C2">
                              <w:rPr>
                                <w:rFonts w:cs="Arial"/>
                                <w:szCs w:val="22"/>
                                <w:lang w:val="en-US"/>
                              </w:rPr>
                              <w:t xml:space="preserve">evelopment consisting of total 7099.8 </w:t>
                            </w:r>
                            <w:r>
                              <w:rPr>
                                <w:rFonts w:cs="Arial"/>
                                <w:szCs w:val="22"/>
                                <w:lang w:val="en-US"/>
                              </w:rPr>
                              <w:t>s</w:t>
                            </w:r>
                            <w:r w:rsidRPr="000D47C2">
                              <w:rPr>
                                <w:rFonts w:cs="Arial"/>
                                <w:szCs w:val="22"/>
                                <w:lang w:val="en-US"/>
                              </w:rPr>
                              <w:t xml:space="preserve">qm </w:t>
                            </w:r>
                            <w:r>
                              <w:rPr>
                                <w:rFonts w:cs="Arial"/>
                                <w:szCs w:val="22"/>
                                <w:lang w:val="en-US"/>
                              </w:rPr>
                              <w:t xml:space="preserve">of new floor space </w:t>
                            </w:r>
                            <w:r w:rsidRPr="000D47C2">
                              <w:rPr>
                                <w:rFonts w:cs="Arial"/>
                                <w:szCs w:val="22"/>
                                <w:lang w:val="en-US"/>
                              </w:rPr>
                              <w:t>(GIA) - £4 x sqm (7</w:t>
                            </w:r>
                            <w:r>
                              <w:rPr>
                                <w:rFonts w:cs="Arial"/>
                                <w:szCs w:val="22"/>
                                <w:lang w:val="en-US"/>
                              </w:rPr>
                              <w:t>,</w:t>
                            </w:r>
                            <w:r w:rsidRPr="000D47C2">
                              <w:rPr>
                                <w:rFonts w:cs="Arial"/>
                                <w:szCs w:val="22"/>
                                <w:lang w:val="en-US"/>
                              </w:rPr>
                              <w:t>099.8) = £28,399.2 is obtained in contributions.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90A290" id="Text Box 34" o:spid="_x0000_s1037" type="#_x0000_t202" style="width:448.5pt;height:2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" fillcolor="#dbe5f1 [660]" stroked="f">
                <v:textbox>
                  <w:txbxContent>
                    <w:p w14:paraId="2027C76E" w14:textId="77777777" w:rsidR="00EB3B59" w:rsidRPr="00614AF9" w:rsidRDefault="00EB3B59" w:rsidP="00146B51">
                      <w:pPr>
                        <w:widowControl w:val="0"/>
                        <w:autoSpaceDE w:val="0"/>
                        <w:autoSpaceDN w:val="0"/>
                        <w:adjustRightInd w:val="0"/>
                        <w:jc w:val="both"/>
                        <w:textAlignment w:val="center"/>
                        <w:rPr>
                          <w:rFonts w:cs="Arial"/>
                          <w:b/>
                          <w:szCs w:val="22"/>
                          <w:lang w:val="en-US"/>
                        </w:rPr>
                      </w:pPr>
                      <w:r w:rsidRPr="006C1E26">
                        <w:rPr>
                          <w:rFonts w:cs="Arial"/>
                          <w:b/>
                          <w:iCs/>
                        </w:rPr>
                        <w:t xml:space="preserve">Formula – </w:t>
                      </w:r>
                      <w:r w:rsidRPr="00614AF9">
                        <w:rPr>
                          <w:rFonts w:cs="Arial"/>
                          <w:b/>
                          <w:szCs w:val="22"/>
                          <w:lang w:val="en-US"/>
                        </w:rPr>
                        <w:t xml:space="preserve">Construction Phase Skills and Training </w:t>
                      </w:r>
                    </w:p>
                    <w:p w14:paraId="311A9C28" w14:textId="77777777" w:rsidR="00EB3B59" w:rsidRPr="00614AF9" w:rsidRDefault="00EB3B59" w:rsidP="00146B51">
                      <w:pPr>
                        <w:widowControl w:val="0"/>
                        <w:autoSpaceDE w:val="0"/>
                        <w:autoSpaceDN w:val="0"/>
                        <w:adjustRightInd w:val="0"/>
                        <w:jc w:val="both"/>
                        <w:textAlignment w:val="center"/>
                        <w:rPr>
                          <w:rFonts w:cs="Arial"/>
                          <w:szCs w:val="22"/>
                          <w:lang w:val="en-US"/>
                        </w:rPr>
                      </w:pPr>
                      <w:r w:rsidRPr="00614AF9">
                        <w:rPr>
                          <w:rFonts w:cs="Arial"/>
                          <w:szCs w:val="22"/>
                          <w:lang w:val="en-US"/>
                        </w:rPr>
                        <w:t>For all applicable developments the Council will seek a financial contribution to support local people in accessing construction phase job opportunities.</w:t>
                      </w:r>
                    </w:p>
                    <w:p w14:paraId="64E57229" w14:textId="77777777" w:rsidR="00EB3B59" w:rsidRPr="000D47C2" w:rsidRDefault="00EB3B59" w:rsidP="00146B51">
                      <w:pPr>
                        <w:widowControl w:val="0"/>
                        <w:autoSpaceDE w:val="0"/>
                        <w:autoSpaceDN w:val="0"/>
                        <w:adjustRightInd w:val="0"/>
                        <w:jc w:val="both"/>
                        <w:textAlignment w:val="center"/>
                        <w:rPr>
                          <w:rFonts w:cs="Arial"/>
                          <w:szCs w:val="22"/>
                          <w:lang w:val="en-US"/>
                        </w:rPr>
                      </w:pPr>
                      <w:r>
                        <w:rPr>
                          <w:rFonts w:cs="Arial"/>
                          <w:szCs w:val="22"/>
                          <w:lang w:val="en-US"/>
                        </w:rPr>
                        <w:t>£4</w:t>
                      </w:r>
                      <w:r w:rsidRPr="007265D9">
                        <w:rPr>
                          <w:rFonts w:cs="Arial"/>
                          <w:szCs w:val="22"/>
                          <w:lang w:val="en-US"/>
                        </w:rPr>
                        <w:t xml:space="preserve"> x sqm of the total new development floorspace (GIA)</w:t>
                      </w:r>
                    </w:p>
                    <w:p w14:paraId="5159819C" w14:textId="77777777" w:rsidR="00EB3B59" w:rsidRPr="000D47C2" w:rsidRDefault="00EB3B59" w:rsidP="00146B51">
                      <w:pPr>
                        <w:widowControl w:val="0"/>
                        <w:autoSpaceDE w:val="0"/>
                        <w:autoSpaceDN w:val="0"/>
                        <w:adjustRightInd w:val="0"/>
                        <w:jc w:val="both"/>
                        <w:textAlignment w:val="center"/>
                        <w:rPr>
                          <w:rFonts w:cs="Arial"/>
                          <w:szCs w:val="22"/>
                          <w:lang w:val="en-US"/>
                        </w:rPr>
                      </w:pPr>
                      <w:r w:rsidRPr="000D47C2">
                        <w:rPr>
                          <w:rFonts w:cs="Arial"/>
                          <w:szCs w:val="22"/>
                          <w:lang w:val="en-US"/>
                        </w:rPr>
                        <w:t>___________________________________</w:t>
                      </w:r>
                    </w:p>
                    <w:p w14:paraId="71CE1B08" w14:textId="77777777" w:rsidR="00EB3B59" w:rsidRPr="00C259BC" w:rsidRDefault="00EB3B59" w:rsidP="00146B51">
                      <w:pPr>
                        <w:widowControl w:val="0"/>
                        <w:autoSpaceDE w:val="0"/>
                        <w:autoSpaceDN w:val="0"/>
                        <w:adjustRightInd w:val="0"/>
                        <w:jc w:val="both"/>
                        <w:textAlignment w:val="center"/>
                        <w:rPr>
                          <w:rFonts w:cs="Arial"/>
                          <w:b/>
                          <w:szCs w:val="22"/>
                          <w:lang w:val="en-US"/>
                        </w:rPr>
                      </w:pPr>
                      <w:r w:rsidRPr="00C259BC">
                        <w:rPr>
                          <w:rFonts w:cs="Arial"/>
                          <w:b/>
                          <w:szCs w:val="22"/>
                          <w:lang w:val="en-US"/>
                        </w:rPr>
                        <w:t xml:space="preserve">= </w:t>
                      </w:r>
                      <w:r>
                        <w:rPr>
                          <w:rFonts w:cs="Arial"/>
                          <w:b/>
                          <w:szCs w:val="22"/>
                          <w:lang w:val="en-US"/>
                        </w:rPr>
                        <w:t>C</w:t>
                      </w:r>
                      <w:r w:rsidRPr="00C259BC">
                        <w:rPr>
                          <w:rFonts w:cs="Arial"/>
                          <w:b/>
                          <w:szCs w:val="22"/>
                          <w:lang w:val="en-US"/>
                        </w:rPr>
                        <w:t>ontribution</w:t>
                      </w:r>
                      <w:r>
                        <w:rPr>
                          <w:rFonts w:cs="Arial"/>
                          <w:b/>
                          <w:szCs w:val="22"/>
                          <w:lang w:val="en-US"/>
                        </w:rPr>
                        <w:t xml:space="preserve"> required</w:t>
                      </w:r>
                    </w:p>
                    <w:p w14:paraId="0AEFE830" w14:textId="77777777" w:rsidR="00EB3B59" w:rsidRPr="002C3BD7" w:rsidRDefault="00EB3B59" w:rsidP="00146B51">
                      <w:pPr>
                        <w:widowControl w:val="0"/>
                        <w:autoSpaceDE w:val="0"/>
                        <w:autoSpaceDN w:val="0"/>
                        <w:adjustRightInd w:val="0"/>
                        <w:jc w:val="both"/>
                        <w:textAlignment w:val="center"/>
                        <w:rPr>
                          <w:rFonts w:cs="Arial"/>
                          <w:szCs w:val="22"/>
                          <w:lang w:val="en-US"/>
                        </w:rPr>
                      </w:pPr>
                      <w:r w:rsidRPr="000D47C2">
                        <w:rPr>
                          <w:rFonts w:cs="Arial"/>
                          <w:szCs w:val="22"/>
                          <w:lang w:val="en-US"/>
                        </w:rPr>
                        <w:t xml:space="preserve">For example: When applying the formula to a </w:t>
                      </w:r>
                      <w:r>
                        <w:rPr>
                          <w:rFonts w:cs="Arial"/>
                          <w:szCs w:val="22"/>
                          <w:lang w:val="en-US"/>
                        </w:rPr>
                        <w:t>d</w:t>
                      </w:r>
                      <w:r w:rsidRPr="000D47C2">
                        <w:rPr>
                          <w:rFonts w:cs="Arial"/>
                          <w:szCs w:val="22"/>
                          <w:lang w:val="en-US"/>
                        </w:rPr>
                        <w:t xml:space="preserve">evelopment consisting of total 7099.8 </w:t>
                      </w:r>
                      <w:r>
                        <w:rPr>
                          <w:rFonts w:cs="Arial"/>
                          <w:szCs w:val="22"/>
                          <w:lang w:val="en-US"/>
                        </w:rPr>
                        <w:t>s</w:t>
                      </w:r>
                      <w:r w:rsidRPr="000D47C2">
                        <w:rPr>
                          <w:rFonts w:cs="Arial"/>
                          <w:szCs w:val="22"/>
                          <w:lang w:val="en-US"/>
                        </w:rPr>
                        <w:t xml:space="preserve">qm </w:t>
                      </w:r>
                      <w:r>
                        <w:rPr>
                          <w:rFonts w:cs="Arial"/>
                          <w:szCs w:val="22"/>
                          <w:lang w:val="en-US"/>
                        </w:rPr>
                        <w:t xml:space="preserve">of new floor space </w:t>
                      </w:r>
                      <w:r w:rsidRPr="000D47C2">
                        <w:rPr>
                          <w:rFonts w:cs="Arial"/>
                          <w:szCs w:val="22"/>
                          <w:lang w:val="en-US"/>
                        </w:rPr>
                        <w:t>(GIA) - £4 x sqm (7</w:t>
                      </w:r>
                      <w:r>
                        <w:rPr>
                          <w:rFonts w:cs="Arial"/>
                          <w:szCs w:val="22"/>
                          <w:lang w:val="en-US"/>
                        </w:rPr>
                        <w:t>,</w:t>
                      </w:r>
                      <w:r w:rsidRPr="000D47C2">
                        <w:rPr>
                          <w:rFonts w:cs="Arial"/>
                          <w:szCs w:val="22"/>
                          <w:lang w:val="en-US"/>
                        </w:rPr>
                        <w:t>099.8) = £28,399.2 is obtained in contributions.</w:t>
                      </w:r>
                    </w:p>
                  </w:txbxContent>
                </v:textbox>
                <w10:anchorlock/>
              </v:shape>
            </w:pict>
          </mc:Fallback>
        </mc:AlternateContent>
      </w:r>
    </w:p>
    <w:p w14:paraId="4E1C0CBC" w14:textId="15E08A72" w:rsidR="001C625F" w:rsidRPr="000D65CE" w:rsidRDefault="001C625F" w:rsidP="003B280C">
      <w:pPr>
        <w:widowControl w:val="0"/>
        <w:autoSpaceDE w:val="0"/>
        <w:autoSpaceDN w:val="0"/>
        <w:adjustRightInd w:val="0"/>
        <w:jc w:val="both"/>
        <w:textAlignment w:val="center"/>
        <w:rPr>
          <w:rFonts w:cs="Arial"/>
          <w:color w:val="FFFFFF" w:themeColor="background1"/>
          <w:szCs w:val="22"/>
        </w:rPr>
      </w:pPr>
    </w:p>
    <w:p w14:paraId="252157F3" w14:textId="0396E2DB" w:rsidR="000E08D9" w:rsidRPr="003D2BA4" w:rsidRDefault="00742258" w:rsidP="000E08D9">
      <w:pPr>
        <w:spacing w:after="120"/>
        <w:rPr>
          <w:b/>
        </w:rPr>
      </w:pPr>
      <w:r w:rsidRPr="003D2BA4">
        <w:rPr>
          <w:b/>
        </w:rPr>
        <w:t xml:space="preserve">Text Box </w:t>
      </w:r>
      <w:r>
        <w:rPr>
          <w:b/>
        </w:rPr>
        <w:t>12</w:t>
      </w:r>
      <w:r w:rsidRPr="003D2BA4">
        <w:rPr>
          <w:b/>
        </w:rPr>
        <w:t xml:space="preserve">: </w:t>
      </w:r>
      <w:r>
        <w:rPr>
          <w:b/>
        </w:rPr>
        <w:t>End User Phase Skills and Training</w:t>
      </w:r>
    </w:p>
    <w:p w14:paraId="0B37BBFB" w14:textId="77777777" w:rsidR="000E08D9" w:rsidRPr="000D65CE" w:rsidRDefault="000E08D9" w:rsidP="003B280C">
      <w:pPr>
        <w:pStyle w:val="Paragraphs"/>
        <w:numPr>
          <w:ilvl w:val="0"/>
          <w:numId w:val="0"/>
        </w:numPr>
        <w:ind w:left="720" w:hanging="720"/>
        <w:rPr>
          <w:lang w:val="en-GB"/>
        </w:rPr>
      </w:pPr>
      <w:r w:rsidRPr="000D65CE">
        <w:rPr>
          <w:noProof/>
          <w:lang w:val="en-GB" w:eastAsia="en-GB"/>
        </w:rPr>
        <mc:AlternateContent>
          <mc:Choice Requires="wps">
            <w:drawing>
              <wp:inline distT="0" distB="0" distL="0" distR="0" wp14:anchorId="2B44CC0D" wp14:editId="61D0492B">
                <wp:extent cx="5695950" cy="3115339"/>
                <wp:effectExtent l="0" t="0" r="0" b="889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3115339"/>
                        </a:xfrm>
                        <a:prstGeom prst="rect">
                          <a:avLst/>
                        </a:prstGeom>
                        <a:solidFill>
                          <a:schemeClr val="accent1">
                            <a:lumMod val="20000"/>
                            <a:lumOff val="80000"/>
                          </a:schemeClr>
                        </a:solidFill>
                        <a:ln>
                          <a:noFill/>
                        </a:ln>
                        <a:effectLst/>
                      </wps:spPr>
                      <wps:txbx>
                        <w:txbxContent>
                          <w:p w14:paraId="17796C34" w14:textId="77777777" w:rsidR="00EB3B59" w:rsidRPr="0085231C" w:rsidRDefault="00EB3B59" w:rsidP="000E08D9">
                            <w:pPr>
                              <w:widowControl w:val="0"/>
                              <w:autoSpaceDE w:val="0"/>
                              <w:autoSpaceDN w:val="0"/>
                              <w:adjustRightInd w:val="0"/>
                              <w:jc w:val="both"/>
                              <w:textAlignment w:val="center"/>
                              <w:rPr>
                                <w:rFonts w:cs="Arial"/>
                                <w:b/>
                                <w:szCs w:val="22"/>
                                <w:lang w:val="en-US"/>
                              </w:rPr>
                            </w:pPr>
                            <w:r w:rsidRPr="0085231C">
                              <w:rPr>
                                <w:rFonts w:cs="Arial"/>
                                <w:b/>
                                <w:szCs w:val="22"/>
                                <w:lang w:val="en-US"/>
                              </w:rPr>
                              <w:t xml:space="preserve">Formula – End User Phase Skills and Training </w:t>
                            </w:r>
                          </w:p>
                          <w:p w14:paraId="2838C588" w14:textId="502DEAB1" w:rsidR="00EB3B59" w:rsidRDefault="00EB3B59" w:rsidP="000E08D9">
                            <w:pPr>
                              <w:widowControl w:val="0"/>
                              <w:autoSpaceDE w:val="0"/>
                              <w:autoSpaceDN w:val="0"/>
                              <w:adjustRightInd w:val="0"/>
                              <w:jc w:val="both"/>
                              <w:textAlignment w:val="center"/>
                              <w:rPr>
                                <w:rFonts w:cs="Arial"/>
                                <w:szCs w:val="22"/>
                                <w:lang w:val="en-US"/>
                              </w:rPr>
                            </w:pPr>
                            <w:r>
                              <w:rPr>
                                <w:rFonts w:cs="Arial"/>
                                <w:szCs w:val="22"/>
                                <w:lang w:val="en-US"/>
                              </w:rPr>
                              <w:t>The Council will seek a financial contribution</w:t>
                            </w:r>
                            <w:r w:rsidR="009F319E">
                              <w:rPr>
                                <w:rFonts w:cs="Arial"/>
                                <w:szCs w:val="22"/>
                                <w:lang w:val="en-US"/>
                              </w:rPr>
                              <w:t xml:space="preserve"> from commercial development</w:t>
                            </w:r>
                            <w:r>
                              <w:rPr>
                                <w:rFonts w:cs="Arial"/>
                                <w:szCs w:val="22"/>
                                <w:lang w:val="en-US"/>
                              </w:rPr>
                              <w:t xml:space="preserve"> to support the training and skills needs of local residents</w:t>
                            </w:r>
                            <w:r w:rsidR="009F319E">
                              <w:rPr>
                                <w:rFonts w:cs="Arial"/>
                                <w:szCs w:val="22"/>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992"/>
                              <w:gridCol w:w="1985"/>
                              <w:gridCol w:w="992"/>
                              <w:gridCol w:w="2126"/>
                            </w:tblGrid>
                            <w:tr w:rsidR="00EB3B59" w14:paraId="153CFE9C" w14:textId="77777777" w:rsidTr="001A7A8A">
                              <w:tc>
                                <w:tcPr>
                                  <w:tcW w:w="1951" w:type="dxa"/>
                                </w:tcPr>
                                <w:p w14:paraId="24FEC68D" w14:textId="77777777" w:rsidR="00EB3B59" w:rsidRPr="00614AF9" w:rsidRDefault="00EB3B59" w:rsidP="00642FE4">
                                  <w:pPr>
                                    <w:widowControl w:val="0"/>
                                    <w:autoSpaceDE w:val="0"/>
                                    <w:autoSpaceDN w:val="0"/>
                                    <w:adjustRightInd w:val="0"/>
                                    <w:spacing w:after="0" w:line="240" w:lineRule="auto"/>
                                    <w:contextualSpacing/>
                                    <w:textAlignment w:val="center"/>
                                    <w:rPr>
                                      <w:rFonts w:cs="Arial"/>
                                      <w:szCs w:val="22"/>
                                      <w:lang w:val="en-US"/>
                                    </w:rPr>
                                  </w:pPr>
                                  <w:r w:rsidRPr="00614AF9">
                                    <w:rPr>
                                      <w:rFonts w:cs="Arial"/>
                                      <w:szCs w:val="22"/>
                                      <w:lang w:val="en-US"/>
                                    </w:rPr>
                                    <w:t xml:space="preserve">Employee yield of the development </w:t>
                                  </w:r>
                                  <w:r w:rsidRPr="00336CC1">
                                    <w:rPr>
                                      <w:rFonts w:cs="Arial"/>
                                      <w:szCs w:val="22"/>
                                      <w:lang w:val="en-US"/>
                                    </w:rPr>
                                    <w:t>*</w:t>
                                  </w:r>
                                </w:p>
                              </w:tc>
                              <w:tc>
                                <w:tcPr>
                                  <w:tcW w:w="992" w:type="dxa"/>
                                  <w:vAlign w:val="center"/>
                                </w:tcPr>
                                <w:p w14:paraId="5D13E863" w14:textId="77777777" w:rsidR="00EB3B59" w:rsidRPr="00790FFC" w:rsidRDefault="00EB3B59" w:rsidP="00642FE4">
                                  <w:pPr>
                                    <w:widowControl w:val="0"/>
                                    <w:autoSpaceDE w:val="0"/>
                                    <w:autoSpaceDN w:val="0"/>
                                    <w:adjustRightInd w:val="0"/>
                                    <w:spacing w:after="0" w:line="240" w:lineRule="auto"/>
                                    <w:contextualSpacing/>
                                    <w:jc w:val="center"/>
                                    <w:textAlignment w:val="center"/>
                                    <w:rPr>
                                      <w:rFonts w:cs="Arial"/>
                                      <w:szCs w:val="22"/>
                                      <w:lang w:val="en-US"/>
                                    </w:rPr>
                                  </w:pPr>
                                  <w:r w:rsidRPr="00790FFC">
                                    <w:rPr>
                                      <w:rFonts w:cs="Arial"/>
                                      <w:szCs w:val="22"/>
                                      <w:lang w:val="en-US"/>
                                    </w:rPr>
                                    <w:t>x</w:t>
                                  </w:r>
                                </w:p>
                              </w:tc>
                              <w:tc>
                                <w:tcPr>
                                  <w:tcW w:w="1985" w:type="dxa"/>
                                </w:tcPr>
                                <w:p w14:paraId="5FC6FDA6" w14:textId="77777777" w:rsidR="00EB3B59" w:rsidRPr="00790FFC" w:rsidRDefault="00EB3B59" w:rsidP="00642FE4">
                                  <w:pPr>
                                    <w:widowControl w:val="0"/>
                                    <w:autoSpaceDE w:val="0"/>
                                    <w:autoSpaceDN w:val="0"/>
                                    <w:adjustRightInd w:val="0"/>
                                    <w:spacing w:after="0" w:line="240" w:lineRule="auto"/>
                                    <w:contextualSpacing/>
                                    <w:textAlignment w:val="center"/>
                                    <w:rPr>
                                      <w:rFonts w:cs="Arial"/>
                                      <w:szCs w:val="22"/>
                                      <w:lang w:val="en-US"/>
                                    </w:rPr>
                                  </w:pPr>
                                  <w:r w:rsidRPr="00790FFC">
                                    <w:rPr>
                                      <w:rFonts w:cs="Arial"/>
                                      <w:szCs w:val="22"/>
                                      <w:lang w:val="en-US"/>
                                    </w:rPr>
                                    <w:t xml:space="preserve">20% </w:t>
                                  </w:r>
                                </w:p>
                                <w:p w14:paraId="6FFDA16B" w14:textId="77777777" w:rsidR="00EB3B59" w:rsidRPr="00790FFC" w:rsidRDefault="00EB3B59" w:rsidP="00642FE4">
                                  <w:pPr>
                                    <w:widowControl w:val="0"/>
                                    <w:autoSpaceDE w:val="0"/>
                                    <w:autoSpaceDN w:val="0"/>
                                    <w:adjustRightInd w:val="0"/>
                                    <w:spacing w:after="0" w:line="240" w:lineRule="auto"/>
                                    <w:contextualSpacing/>
                                    <w:textAlignment w:val="center"/>
                                    <w:rPr>
                                      <w:rFonts w:cs="Arial"/>
                                      <w:szCs w:val="22"/>
                                      <w:lang w:val="en-US"/>
                                    </w:rPr>
                                  </w:pPr>
                                  <w:r w:rsidRPr="00790FFC">
                                    <w:rPr>
                                      <w:rFonts w:cs="Arial"/>
                                      <w:szCs w:val="22"/>
                                      <w:lang w:val="en-US"/>
                                    </w:rPr>
                                    <w:t xml:space="preserve">(Aspirational local </w:t>
                                  </w:r>
                                  <w:r w:rsidRPr="00B3694B">
                                    <w:rPr>
                                      <w:rFonts w:cs="Arial"/>
                                      <w:szCs w:val="22"/>
                                    </w:rPr>
                                    <w:t>labour</w:t>
                                  </w:r>
                                  <w:r w:rsidRPr="00790FFC">
                                    <w:rPr>
                                      <w:rFonts w:cs="Arial"/>
                                      <w:szCs w:val="22"/>
                                      <w:lang w:val="en-US"/>
                                    </w:rPr>
                                    <w:t xml:space="preserve"> target)</w:t>
                                  </w:r>
                                </w:p>
                              </w:tc>
                              <w:tc>
                                <w:tcPr>
                                  <w:tcW w:w="992" w:type="dxa"/>
                                  <w:vAlign w:val="center"/>
                                </w:tcPr>
                                <w:p w14:paraId="70267716" w14:textId="77777777" w:rsidR="00EB3B59" w:rsidRPr="00614AF9" w:rsidRDefault="00EB3B59" w:rsidP="00642FE4">
                                  <w:pPr>
                                    <w:widowControl w:val="0"/>
                                    <w:autoSpaceDE w:val="0"/>
                                    <w:autoSpaceDN w:val="0"/>
                                    <w:adjustRightInd w:val="0"/>
                                    <w:spacing w:after="0" w:line="240" w:lineRule="auto"/>
                                    <w:contextualSpacing/>
                                    <w:jc w:val="center"/>
                                    <w:textAlignment w:val="center"/>
                                    <w:rPr>
                                      <w:rFonts w:cs="Arial"/>
                                      <w:szCs w:val="22"/>
                                      <w:lang w:val="en-US"/>
                                    </w:rPr>
                                  </w:pPr>
                                  <w:r w:rsidRPr="00614AF9">
                                    <w:rPr>
                                      <w:rFonts w:cs="Arial"/>
                                      <w:szCs w:val="22"/>
                                      <w:lang w:val="en-US"/>
                                    </w:rPr>
                                    <w:t>x</w:t>
                                  </w:r>
                                </w:p>
                              </w:tc>
                              <w:tc>
                                <w:tcPr>
                                  <w:tcW w:w="2126" w:type="dxa"/>
                                </w:tcPr>
                                <w:p w14:paraId="0EB37285" w14:textId="3F1E7FE2" w:rsidR="00EB3B59" w:rsidRPr="00614AF9" w:rsidRDefault="00EB3B59" w:rsidP="00986E5A">
                                  <w:pPr>
                                    <w:widowControl w:val="0"/>
                                    <w:autoSpaceDE w:val="0"/>
                                    <w:autoSpaceDN w:val="0"/>
                                    <w:adjustRightInd w:val="0"/>
                                    <w:spacing w:after="0" w:line="240" w:lineRule="auto"/>
                                    <w:contextualSpacing/>
                                    <w:textAlignment w:val="center"/>
                                    <w:rPr>
                                      <w:rFonts w:cs="Arial"/>
                                      <w:szCs w:val="22"/>
                                      <w:lang w:val="en-US"/>
                                    </w:rPr>
                                  </w:pPr>
                                  <w:r>
                                    <w:rPr>
                                      <w:rFonts w:cs="Arial"/>
                                      <w:szCs w:val="22"/>
                                      <w:lang w:val="en-US"/>
                                    </w:rPr>
                                    <w:t>C</w:t>
                                  </w:r>
                                  <w:r w:rsidRPr="00614AF9">
                                    <w:rPr>
                                      <w:rFonts w:cs="Arial"/>
                                      <w:szCs w:val="22"/>
                                      <w:lang w:val="en-US"/>
                                    </w:rPr>
                                    <w:t xml:space="preserve">urrent cost of training and </w:t>
                                  </w:r>
                                  <w:r>
                                    <w:rPr>
                                      <w:rFonts w:cs="Arial"/>
                                      <w:szCs w:val="22"/>
                                      <w:lang w:val="en-US"/>
                                    </w:rPr>
                                    <w:t xml:space="preserve">support </w:t>
                                  </w:r>
                                  <w:r w:rsidRPr="00F86F23">
                                    <w:rPr>
                                      <w:rFonts w:cs="Arial"/>
                                      <w:szCs w:val="22"/>
                                      <w:lang w:val="en-US"/>
                                    </w:rPr>
                                    <w:t>(£</w:t>
                                  </w:r>
                                  <w:r>
                                    <w:rPr>
                                      <w:rFonts w:cs="Arial"/>
                                      <w:szCs w:val="22"/>
                                      <w:lang w:val="en-US"/>
                                    </w:rPr>
                                    <w:t>2,040</w:t>
                                  </w:r>
                                  <w:r w:rsidRPr="00336CC1">
                                    <w:rPr>
                                      <w:rFonts w:cs="Arial"/>
                                      <w:szCs w:val="22"/>
                                      <w:lang w:val="en-US"/>
                                    </w:rPr>
                                    <w:t xml:space="preserve"> per person)</w:t>
                                  </w:r>
                                  <w:r w:rsidRPr="00614AF9">
                                    <w:rPr>
                                      <w:rFonts w:cs="Arial"/>
                                      <w:szCs w:val="22"/>
                                      <w:vertAlign w:val="superscript"/>
                                      <w:lang w:val="en-US"/>
                                    </w:rPr>
                                    <w:t xml:space="preserve"> </w:t>
                                  </w:r>
                                  <w:r w:rsidRPr="00336CC1">
                                    <w:rPr>
                                      <w:rFonts w:cs="Arial"/>
                                      <w:szCs w:val="22"/>
                                      <w:lang w:val="en-US"/>
                                    </w:rPr>
                                    <w:t>**</w:t>
                                  </w:r>
                                </w:p>
                              </w:tc>
                            </w:tr>
                          </w:tbl>
                          <w:p w14:paraId="6000532D" w14:textId="77777777" w:rsidR="00EB3B59" w:rsidRPr="00A80644" w:rsidRDefault="00EB3B59" w:rsidP="000E08D9">
                            <w:pPr>
                              <w:jc w:val="both"/>
                              <w:rPr>
                                <w:rFonts w:cs="Arial"/>
                                <w:szCs w:val="22"/>
                                <w:u w:val="single"/>
                              </w:rPr>
                            </w:pPr>
                            <w:r>
                              <w:rPr>
                                <w:rFonts w:cs="Arial"/>
                                <w:szCs w:val="22"/>
                                <w:u w:val="single"/>
                              </w:rPr>
                              <w:t>_______________________________________</w:t>
                            </w:r>
                            <w:r w:rsidRPr="007B1194">
                              <w:rPr>
                                <w:rFonts w:cs="Arial"/>
                                <w:szCs w:val="22"/>
                                <w:u w:val="single"/>
                              </w:rPr>
                              <w:t xml:space="preserve"> </w:t>
                            </w:r>
                          </w:p>
                          <w:p w14:paraId="0783E182" w14:textId="77777777" w:rsidR="00EB3B59" w:rsidRPr="00D7280E" w:rsidRDefault="00EB3B59" w:rsidP="000E08D9">
                            <w:pPr>
                              <w:jc w:val="both"/>
                              <w:rPr>
                                <w:rFonts w:cs="Arial"/>
                                <w:b/>
                                <w:szCs w:val="22"/>
                                <w:lang w:val="en-US"/>
                              </w:rPr>
                            </w:pPr>
                            <w:r w:rsidRPr="00D7280E">
                              <w:rPr>
                                <w:rFonts w:cs="Arial"/>
                                <w:b/>
                                <w:szCs w:val="22"/>
                                <w:lang w:val="en-US"/>
                              </w:rPr>
                              <w:t>= Contribution required</w:t>
                            </w:r>
                          </w:p>
                          <w:p w14:paraId="5F358B7C" w14:textId="708CF1EA" w:rsidR="00FB694C" w:rsidRPr="000A086D" w:rsidRDefault="00EB3B59" w:rsidP="000E08D9">
                            <w:pPr>
                              <w:widowControl w:val="0"/>
                              <w:autoSpaceDE w:val="0"/>
                              <w:autoSpaceDN w:val="0"/>
                              <w:adjustRightInd w:val="0"/>
                              <w:contextualSpacing/>
                              <w:jc w:val="both"/>
                              <w:textAlignment w:val="center"/>
                              <w:rPr>
                                <w:rFonts w:cs="Arial"/>
                                <w:sz w:val="18"/>
                                <w:szCs w:val="22"/>
                                <w:lang w:val="en-US"/>
                              </w:rPr>
                            </w:pPr>
                            <w:r w:rsidRPr="002C3BD7">
                              <w:rPr>
                                <w:rFonts w:cs="Arial"/>
                                <w:sz w:val="18"/>
                                <w:szCs w:val="22"/>
                                <w:lang w:val="en-US"/>
                              </w:rPr>
                              <w:t>*</w:t>
                            </w:r>
                            <w:r>
                              <w:rPr>
                                <w:rFonts w:cs="Arial"/>
                                <w:sz w:val="18"/>
                                <w:szCs w:val="22"/>
                                <w:lang w:val="en-US"/>
                              </w:rPr>
                              <w:t xml:space="preserve"> </w:t>
                            </w:r>
                            <w:r w:rsidRPr="002C3BD7">
                              <w:rPr>
                                <w:rFonts w:cs="Arial"/>
                                <w:sz w:val="18"/>
                                <w:szCs w:val="22"/>
                                <w:lang w:val="en-US"/>
                              </w:rPr>
                              <w:t>Calculated using the HCA Employment Densities Guide, 2nd Edition 2010 or subsequent updated document.</w:t>
                            </w:r>
                            <w:r w:rsidRPr="002C3BD7">
                              <w:rPr>
                                <w:rFonts w:cs="Arial"/>
                                <w:sz w:val="18"/>
                                <w:szCs w:val="18"/>
                              </w:rPr>
                              <w:t xml:space="preserve"> </w:t>
                            </w:r>
                          </w:p>
                          <w:p w14:paraId="1DBBF5D3" w14:textId="05C1AC48" w:rsidR="00EB3B59" w:rsidRPr="002C3BD7" w:rsidRDefault="00EB3B59" w:rsidP="000E08D9">
                            <w:pPr>
                              <w:widowControl w:val="0"/>
                              <w:autoSpaceDE w:val="0"/>
                              <w:autoSpaceDN w:val="0"/>
                              <w:adjustRightInd w:val="0"/>
                              <w:contextualSpacing/>
                              <w:jc w:val="both"/>
                              <w:textAlignment w:val="center"/>
                              <w:rPr>
                                <w:rFonts w:cs="Arial"/>
                                <w:sz w:val="18"/>
                                <w:szCs w:val="18"/>
                              </w:rPr>
                            </w:pPr>
                            <w:r w:rsidRPr="00336CC1">
                              <w:rPr>
                                <w:rFonts w:cs="Arial"/>
                                <w:szCs w:val="22"/>
                                <w:lang w:val="en-US"/>
                              </w:rPr>
                              <w:t>**</w:t>
                            </w:r>
                            <w:r>
                              <w:rPr>
                                <w:rFonts w:cs="Arial"/>
                                <w:szCs w:val="22"/>
                                <w:vertAlign w:val="superscript"/>
                                <w:lang w:val="en-US"/>
                              </w:rPr>
                              <w:t xml:space="preserve"> </w:t>
                            </w:r>
                            <w:r w:rsidRPr="00EB3B59">
                              <w:rPr>
                                <w:rFonts w:cs="Arial"/>
                                <w:sz w:val="18"/>
                                <w:szCs w:val="18"/>
                                <w:lang w:val="en-US"/>
                              </w:rPr>
                              <w:t>Based on the average</w:t>
                            </w:r>
                            <w:r>
                              <w:rPr>
                                <w:rFonts w:cs="Arial"/>
                                <w:sz w:val="18"/>
                                <w:szCs w:val="18"/>
                                <w:lang w:val="en-US"/>
                              </w:rPr>
                              <w:t xml:space="preserve"> cost per unit of NVQ Level 2 Framework offered by the Council = £1,700 + 20% overheads. </w:t>
                            </w:r>
                            <w:r w:rsidR="009F319E">
                              <w:rPr>
                                <w:rFonts w:cs="Arial"/>
                                <w:sz w:val="18"/>
                                <w:szCs w:val="18"/>
                                <w:lang w:val="en-US"/>
                              </w:rPr>
                              <w:t xml:space="preserve">NVQ training is used as an </w:t>
                            </w:r>
                            <w:r w:rsidR="000814E4">
                              <w:rPr>
                                <w:rFonts w:cs="Arial"/>
                                <w:sz w:val="18"/>
                                <w:szCs w:val="18"/>
                                <w:lang w:val="en-US"/>
                              </w:rPr>
                              <w:t>indicator</w:t>
                            </w:r>
                            <w:r w:rsidR="009F319E">
                              <w:rPr>
                                <w:rFonts w:cs="Arial"/>
                                <w:sz w:val="18"/>
                                <w:szCs w:val="18"/>
                                <w:lang w:val="en-US"/>
                              </w:rPr>
                              <w:t xml:space="preserve"> of the level of training required, actual training provided may not be via NVQ depending on the jobs and skills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44CC0D" id="Text Box 31" o:spid="_x0000_s1038" type="#_x0000_t202" style="width:448.5pt;height:2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" fillcolor="#dbe5f1 [660]" stroked="f">
                <v:textbox>
                  <w:txbxContent>
                    <w:p w14:paraId="17796C34" w14:textId="77777777" w:rsidR="00EB3B59" w:rsidRPr="0085231C" w:rsidRDefault="00EB3B59" w:rsidP="000E08D9">
                      <w:pPr>
                        <w:widowControl w:val="0"/>
                        <w:autoSpaceDE w:val="0"/>
                        <w:autoSpaceDN w:val="0"/>
                        <w:adjustRightInd w:val="0"/>
                        <w:jc w:val="both"/>
                        <w:textAlignment w:val="center"/>
                        <w:rPr>
                          <w:rFonts w:cs="Arial"/>
                          <w:b/>
                          <w:szCs w:val="22"/>
                          <w:lang w:val="en-US"/>
                        </w:rPr>
                      </w:pPr>
                      <w:r w:rsidRPr="0085231C">
                        <w:rPr>
                          <w:rFonts w:cs="Arial"/>
                          <w:b/>
                          <w:szCs w:val="22"/>
                          <w:lang w:val="en-US"/>
                        </w:rPr>
                        <w:t xml:space="preserve">Formula – End User Phase Skills and Training </w:t>
                      </w:r>
                    </w:p>
                    <w:p w14:paraId="2838C588" w14:textId="502DEAB1" w:rsidR="00EB3B59" w:rsidRDefault="00EB3B59" w:rsidP="000E08D9">
                      <w:pPr>
                        <w:widowControl w:val="0"/>
                        <w:autoSpaceDE w:val="0"/>
                        <w:autoSpaceDN w:val="0"/>
                        <w:adjustRightInd w:val="0"/>
                        <w:jc w:val="both"/>
                        <w:textAlignment w:val="center"/>
                        <w:rPr>
                          <w:rFonts w:cs="Arial"/>
                          <w:szCs w:val="22"/>
                          <w:lang w:val="en-US"/>
                        </w:rPr>
                      </w:pPr>
                      <w:r>
                        <w:rPr>
                          <w:rFonts w:cs="Arial"/>
                          <w:szCs w:val="22"/>
                          <w:lang w:val="en-US"/>
                        </w:rPr>
                        <w:t>The Council will seek a financial contribution</w:t>
                      </w:r>
                      <w:r w:rsidR="009F319E">
                        <w:rPr>
                          <w:rFonts w:cs="Arial"/>
                          <w:szCs w:val="22"/>
                          <w:lang w:val="en-US"/>
                        </w:rPr>
                        <w:t xml:space="preserve"> from commercial development</w:t>
                      </w:r>
                      <w:r>
                        <w:rPr>
                          <w:rFonts w:cs="Arial"/>
                          <w:szCs w:val="22"/>
                          <w:lang w:val="en-US"/>
                        </w:rPr>
                        <w:t xml:space="preserve"> to support the training and skills needs of local residents</w:t>
                      </w:r>
                      <w:r w:rsidR="009F319E">
                        <w:rPr>
                          <w:rFonts w:cs="Arial"/>
                          <w:szCs w:val="22"/>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992"/>
                        <w:gridCol w:w="1985"/>
                        <w:gridCol w:w="992"/>
                        <w:gridCol w:w="2126"/>
                      </w:tblGrid>
                      <w:tr w:rsidR="00EB3B59" w14:paraId="153CFE9C" w14:textId="77777777" w:rsidTr="001A7A8A">
                        <w:tc>
                          <w:tcPr>
                            <w:tcW w:w="1951" w:type="dxa"/>
                          </w:tcPr>
                          <w:p w14:paraId="24FEC68D" w14:textId="77777777" w:rsidR="00EB3B59" w:rsidRPr="00614AF9" w:rsidRDefault="00EB3B59" w:rsidP="00642FE4">
                            <w:pPr>
                              <w:widowControl w:val="0"/>
                              <w:autoSpaceDE w:val="0"/>
                              <w:autoSpaceDN w:val="0"/>
                              <w:adjustRightInd w:val="0"/>
                              <w:spacing w:after="0" w:line="240" w:lineRule="auto"/>
                              <w:contextualSpacing/>
                              <w:textAlignment w:val="center"/>
                              <w:rPr>
                                <w:rFonts w:cs="Arial"/>
                                <w:szCs w:val="22"/>
                                <w:lang w:val="en-US"/>
                              </w:rPr>
                            </w:pPr>
                            <w:r w:rsidRPr="00614AF9">
                              <w:rPr>
                                <w:rFonts w:cs="Arial"/>
                                <w:szCs w:val="22"/>
                                <w:lang w:val="en-US"/>
                              </w:rPr>
                              <w:t xml:space="preserve">Employee yield of the development </w:t>
                            </w:r>
                            <w:r w:rsidRPr="00336CC1">
                              <w:rPr>
                                <w:rFonts w:cs="Arial"/>
                                <w:szCs w:val="22"/>
                                <w:lang w:val="en-US"/>
                              </w:rPr>
                              <w:t>*</w:t>
                            </w:r>
                          </w:p>
                        </w:tc>
                        <w:tc>
                          <w:tcPr>
                            <w:tcW w:w="992" w:type="dxa"/>
                            <w:vAlign w:val="center"/>
                          </w:tcPr>
                          <w:p w14:paraId="5D13E863" w14:textId="77777777" w:rsidR="00EB3B59" w:rsidRPr="00790FFC" w:rsidRDefault="00EB3B59" w:rsidP="00642FE4">
                            <w:pPr>
                              <w:widowControl w:val="0"/>
                              <w:autoSpaceDE w:val="0"/>
                              <w:autoSpaceDN w:val="0"/>
                              <w:adjustRightInd w:val="0"/>
                              <w:spacing w:after="0" w:line="240" w:lineRule="auto"/>
                              <w:contextualSpacing/>
                              <w:jc w:val="center"/>
                              <w:textAlignment w:val="center"/>
                              <w:rPr>
                                <w:rFonts w:cs="Arial"/>
                                <w:szCs w:val="22"/>
                                <w:lang w:val="en-US"/>
                              </w:rPr>
                            </w:pPr>
                            <w:r w:rsidRPr="00790FFC">
                              <w:rPr>
                                <w:rFonts w:cs="Arial"/>
                                <w:szCs w:val="22"/>
                                <w:lang w:val="en-US"/>
                              </w:rPr>
                              <w:t>x</w:t>
                            </w:r>
                          </w:p>
                        </w:tc>
                        <w:tc>
                          <w:tcPr>
                            <w:tcW w:w="1985" w:type="dxa"/>
                          </w:tcPr>
                          <w:p w14:paraId="5FC6FDA6" w14:textId="77777777" w:rsidR="00EB3B59" w:rsidRPr="00790FFC" w:rsidRDefault="00EB3B59" w:rsidP="00642FE4">
                            <w:pPr>
                              <w:widowControl w:val="0"/>
                              <w:autoSpaceDE w:val="0"/>
                              <w:autoSpaceDN w:val="0"/>
                              <w:adjustRightInd w:val="0"/>
                              <w:spacing w:after="0" w:line="240" w:lineRule="auto"/>
                              <w:contextualSpacing/>
                              <w:textAlignment w:val="center"/>
                              <w:rPr>
                                <w:rFonts w:cs="Arial"/>
                                <w:szCs w:val="22"/>
                                <w:lang w:val="en-US"/>
                              </w:rPr>
                            </w:pPr>
                            <w:r w:rsidRPr="00790FFC">
                              <w:rPr>
                                <w:rFonts w:cs="Arial"/>
                                <w:szCs w:val="22"/>
                                <w:lang w:val="en-US"/>
                              </w:rPr>
                              <w:t xml:space="preserve">20% </w:t>
                            </w:r>
                          </w:p>
                          <w:p w14:paraId="6FFDA16B" w14:textId="77777777" w:rsidR="00EB3B59" w:rsidRPr="00790FFC" w:rsidRDefault="00EB3B59" w:rsidP="00642FE4">
                            <w:pPr>
                              <w:widowControl w:val="0"/>
                              <w:autoSpaceDE w:val="0"/>
                              <w:autoSpaceDN w:val="0"/>
                              <w:adjustRightInd w:val="0"/>
                              <w:spacing w:after="0" w:line="240" w:lineRule="auto"/>
                              <w:contextualSpacing/>
                              <w:textAlignment w:val="center"/>
                              <w:rPr>
                                <w:rFonts w:cs="Arial"/>
                                <w:szCs w:val="22"/>
                                <w:lang w:val="en-US"/>
                              </w:rPr>
                            </w:pPr>
                            <w:r w:rsidRPr="00790FFC">
                              <w:rPr>
                                <w:rFonts w:cs="Arial"/>
                                <w:szCs w:val="22"/>
                                <w:lang w:val="en-US"/>
                              </w:rPr>
                              <w:t xml:space="preserve">(Aspirational local </w:t>
                            </w:r>
                            <w:r w:rsidRPr="00B3694B">
                              <w:rPr>
                                <w:rFonts w:cs="Arial"/>
                                <w:szCs w:val="22"/>
                              </w:rPr>
                              <w:t>labour</w:t>
                            </w:r>
                            <w:r w:rsidRPr="00790FFC">
                              <w:rPr>
                                <w:rFonts w:cs="Arial"/>
                                <w:szCs w:val="22"/>
                                <w:lang w:val="en-US"/>
                              </w:rPr>
                              <w:t xml:space="preserve"> target)</w:t>
                            </w:r>
                          </w:p>
                        </w:tc>
                        <w:tc>
                          <w:tcPr>
                            <w:tcW w:w="992" w:type="dxa"/>
                            <w:vAlign w:val="center"/>
                          </w:tcPr>
                          <w:p w14:paraId="70267716" w14:textId="77777777" w:rsidR="00EB3B59" w:rsidRPr="00614AF9" w:rsidRDefault="00EB3B59" w:rsidP="00642FE4">
                            <w:pPr>
                              <w:widowControl w:val="0"/>
                              <w:autoSpaceDE w:val="0"/>
                              <w:autoSpaceDN w:val="0"/>
                              <w:adjustRightInd w:val="0"/>
                              <w:spacing w:after="0" w:line="240" w:lineRule="auto"/>
                              <w:contextualSpacing/>
                              <w:jc w:val="center"/>
                              <w:textAlignment w:val="center"/>
                              <w:rPr>
                                <w:rFonts w:cs="Arial"/>
                                <w:szCs w:val="22"/>
                                <w:lang w:val="en-US"/>
                              </w:rPr>
                            </w:pPr>
                            <w:r w:rsidRPr="00614AF9">
                              <w:rPr>
                                <w:rFonts w:cs="Arial"/>
                                <w:szCs w:val="22"/>
                                <w:lang w:val="en-US"/>
                              </w:rPr>
                              <w:t>x</w:t>
                            </w:r>
                          </w:p>
                        </w:tc>
                        <w:tc>
                          <w:tcPr>
                            <w:tcW w:w="2126" w:type="dxa"/>
                          </w:tcPr>
                          <w:p w14:paraId="0EB37285" w14:textId="3F1E7FE2" w:rsidR="00EB3B59" w:rsidRPr="00614AF9" w:rsidRDefault="00EB3B59" w:rsidP="00986E5A">
                            <w:pPr>
                              <w:widowControl w:val="0"/>
                              <w:autoSpaceDE w:val="0"/>
                              <w:autoSpaceDN w:val="0"/>
                              <w:adjustRightInd w:val="0"/>
                              <w:spacing w:after="0" w:line="240" w:lineRule="auto"/>
                              <w:contextualSpacing/>
                              <w:textAlignment w:val="center"/>
                              <w:rPr>
                                <w:rFonts w:cs="Arial"/>
                                <w:szCs w:val="22"/>
                                <w:lang w:val="en-US"/>
                              </w:rPr>
                            </w:pPr>
                            <w:r>
                              <w:rPr>
                                <w:rFonts w:cs="Arial"/>
                                <w:szCs w:val="22"/>
                                <w:lang w:val="en-US"/>
                              </w:rPr>
                              <w:t>C</w:t>
                            </w:r>
                            <w:r w:rsidRPr="00614AF9">
                              <w:rPr>
                                <w:rFonts w:cs="Arial"/>
                                <w:szCs w:val="22"/>
                                <w:lang w:val="en-US"/>
                              </w:rPr>
                              <w:t xml:space="preserve">urrent cost of training and </w:t>
                            </w:r>
                            <w:r>
                              <w:rPr>
                                <w:rFonts w:cs="Arial"/>
                                <w:szCs w:val="22"/>
                                <w:lang w:val="en-US"/>
                              </w:rPr>
                              <w:t xml:space="preserve">support </w:t>
                            </w:r>
                            <w:r w:rsidRPr="00F86F23">
                              <w:rPr>
                                <w:rFonts w:cs="Arial"/>
                                <w:szCs w:val="22"/>
                                <w:lang w:val="en-US"/>
                              </w:rPr>
                              <w:t>(£</w:t>
                            </w:r>
                            <w:r>
                              <w:rPr>
                                <w:rFonts w:cs="Arial"/>
                                <w:szCs w:val="22"/>
                                <w:lang w:val="en-US"/>
                              </w:rPr>
                              <w:t>2,040</w:t>
                            </w:r>
                            <w:r w:rsidRPr="00336CC1">
                              <w:rPr>
                                <w:rFonts w:cs="Arial"/>
                                <w:szCs w:val="22"/>
                                <w:lang w:val="en-US"/>
                              </w:rPr>
                              <w:t xml:space="preserve"> per person)</w:t>
                            </w:r>
                            <w:r w:rsidRPr="00614AF9">
                              <w:rPr>
                                <w:rFonts w:cs="Arial"/>
                                <w:szCs w:val="22"/>
                                <w:vertAlign w:val="superscript"/>
                                <w:lang w:val="en-US"/>
                              </w:rPr>
                              <w:t xml:space="preserve"> </w:t>
                            </w:r>
                            <w:r w:rsidRPr="00336CC1">
                              <w:rPr>
                                <w:rFonts w:cs="Arial"/>
                                <w:szCs w:val="22"/>
                                <w:lang w:val="en-US"/>
                              </w:rPr>
                              <w:t>**</w:t>
                            </w:r>
                          </w:p>
                        </w:tc>
                      </w:tr>
                    </w:tbl>
                    <w:p w14:paraId="6000532D" w14:textId="77777777" w:rsidR="00EB3B59" w:rsidRPr="00A80644" w:rsidRDefault="00EB3B59" w:rsidP="000E08D9">
                      <w:pPr>
                        <w:jc w:val="both"/>
                        <w:rPr>
                          <w:rFonts w:cs="Arial"/>
                          <w:szCs w:val="22"/>
                          <w:u w:val="single"/>
                        </w:rPr>
                      </w:pPr>
                      <w:r>
                        <w:rPr>
                          <w:rFonts w:cs="Arial"/>
                          <w:szCs w:val="22"/>
                          <w:u w:val="single"/>
                        </w:rPr>
                        <w:t>_______________________________________</w:t>
                      </w:r>
                      <w:r w:rsidRPr="007B1194">
                        <w:rPr>
                          <w:rFonts w:cs="Arial"/>
                          <w:szCs w:val="22"/>
                          <w:u w:val="single"/>
                        </w:rPr>
                        <w:t xml:space="preserve"> </w:t>
                      </w:r>
                    </w:p>
                    <w:p w14:paraId="0783E182" w14:textId="77777777" w:rsidR="00EB3B59" w:rsidRPr="00D7280E" w:rsidRDefault="00EB3B59" w:rsidP="000E08D9">
                      <w:pPr>
                        <w:jc w:val="both"/>
                        <w:rPr>
                          <w:rFonts w:cs="Arial"/>
                          <w:b/>
                          <w:szCs w:val="22"/>
                          <w:lang w:val="en-US"/>
                        </w:rPr>
                      </w:pPr>
                      <w:r w:rsidRPr="00D7280E">
                        <w:rPr>
                          <w:rFonts w:cs="Arial"/>
                          <w:b/>
                          <w:szCs w:val="22"/>
                          <w:lang w:val="en-US"/>
                        </w:rPr>
                        <w:t>= Contribution required</w:t>
                      </w:r>
                    </w:p>
                    <w:p w14:paraId="5F358B7C" w14:textId="708CF1EA" w:rsidR="00FB694C" w:rsidRPr="000A086D" w:rsidRDefault="00EB3B59" w:rsidP="000E08D9">
                      <w:pPr>
                        <w:widowControl w:val="0"/>
                        <w:autoSpaceDE w:val="0"/>
                        <w:autoSpaceDN w:val="0"/>
                        <w:adjustRightInd w:val="0"/>
                        <w:contextualSpacing/>
                        <w:jc w:val="both"/>
                        <w:textAlignment w:val="center"/>
                        <w:rPr>
                          <w:rFonts w:cs="Arial"/>
                          <w:sz w:val="18"/>
                          <w:szCs w:val="22"/>
                          <w:lang w:val="en-US"/>
                        </w:rPr>
                      </w:pPr>
                      <w:r w:rsidRPr="002C3BD7">
                        <w:rPr>
                          <w:rFonts w:cs="Arial"/>
                          <w:sz w:val="18"/>
                          <w:szCs w:val="22"/>
                          <w:lang w:val="en-US"/>
                        </w:rPr>
                        <w:t>*</w:t>
                      </w:r>
                      <w:r>
                        <w:rPr>
                          <w:rFonts w:cs="Arial"/>
                          <w:sz w:val="18"/>
                          <w:szCs w:val="22"/>
                          <w:lang w:val="en-US"/>
                        </w:rPr>
                        <w:t xml:space="preserve"> </w:t>
                      </w:r>
                      <w:r w:rsidRPr="002C3BD7">
                        <w:rPr>
                          <w:rFonts w:cs="Arial"/>
                          <w:sz w:val="18"/>
                          <w:szCs w:val="22"/>
                          <w:lang w:val="en-US"/>
                        </w:rPr>
                        <w:t>Calculated using the HCA Employment Densities Guide, 2nd Edition 2010 or subsequent updated document.</w:t>
                      </w:r>
                      <w:r w:rsidRPr="002C3BD7">
                        <w:rPr>
                          <w:rFonts w:cs="Arial"/>
                          <w:sz w:val="18"/>
                          <w:szCs w:val="18"/>
                        </w:rPr>
                        <w:t xml:space="preserve"> </w:t>
                      </w:r>
                    </w:p>
                    <w:p w14:paraId="1DBBF5D3" w14:textId="05C1AC48" w:rsidR="00EB3B59" w:rsidRPr="002C3BD7" w:rsidRDefault="00EB3B59" w:rsidP="000E08D9">
                      <w:pPr>
                        <w:widowControl w:val="0"/>
                        <w:autoSpaceDE w:val="0"/>
                        <w:autoSpaceDN w:val="0"/>
                        <w:adjustRightInd w:val="0"/>
                        <w:contextualSpacing/>
                        <w:jc w:val="both"/>
                        <w:textAlignment w:val="center"/>
                        <w:rPr>
                          <w:rFonts w:cs="Arial"/>
                          <w:sz w:val="18"/>
                          <w:szCs w:val="18"/>
                        </w:rPr>
                      </w:pPr>
                      <w:r w:rsidRPr="00336CC1">
                        <w:rPr>
                          <w:rFonts w:cs="Arial"/>
                          <w:szCs w:val="22"/>
                          <w:lang w:val="en-US"/>
                        </w:rPr>
                        <w:t>**</w:t>
                      </w:r>
                      <w:r>
                        <w:rPr>
                          <w:rFonts w:cs="Arial"/>
                          <w:szCs w:val="22"/>
                          <w:vertAlign w:val="superscript"/>
                          <w:lang w:val="en-US"/>
                        </w:rPr>
                        <w:t xml:space="preserve"> </w:t>
                      </w:r>
                      <w:r w:rsidRPr="00EB3B59">
                        <w:rPr>
                          <w:rFonts w:cs="Arial"/>
                          <w:sz w:val="18"/>
                          <w:szCs w:val="18"/>
                          <w:lang w:val="en-US"/>
                        </w:rPr>
                        <w:t>Based on the average</w:t>
                      </w:r>
                      <w:r>
                        <w:rPr>
                          <w:rFonts w:cs="Arial"/>
                          <w:sz w:val="18"/>
                          <w:szCs w:val="18"/>
                          <w:lang w:val="en-US"/>
                        </w:rPr>
                        <w:t xml:space="preserve"> cost per unit of NVQ Level 2 Framework offered by the Council = £1,700 + 20% overheads. </w:t>
                      </w:r>
                      <w:r w:rsidR="009F319E">
                        <w:rPr>
                          <w:rFonts w:cs="Arial"/>
                          <w:sz w:val="18"/>
                          <w:szCs w:val="18"/>
                          <w:lang w:val="en-US"/>
                        </w:rPr>
                        <w:t xml:space="preserve">NVQ training is used as an </w:t>
                      </w:r>
                      <w:r w:rsidR="000814E4">
                        <w:rPr>
                          <w:rFonts w:cs="Arial"/>
                          <w:sz w:val="18"/>
                          <w:szCs w:val="18"/>
                          <w:lang w:val="en-US"/>
                        </w:rPr>
                        <w:t>indicator</w:t>
                      </w:r>
                      <w:r w:rsidR="009F319E">
                        <w:rPr>
                          <w:rFonts w:cs="Arial"/>
                          <w:sz w:val="18"/>
                          <w:szCs w:val="18"/>
                          <w:lang w:val="en-US"/>
                        </w:rPr>
                        <w:t xml:space="preserve"> of the level of training required, actual training provided may not be via NVQ depending on the jobs and skills required. </w:t>
                      </w:r>
                    </w:p>
                  </w:txbxContent>
                </v:textbox>
                <w10:anchorlock/>
              </v:shape>
            </w:pict>
          </mc:Fallback>
        </mc:AlternateContent>
      </w:r>
    </w:p>
    <w:p w14:paraId="74333039" w14:textId="77777777" w:rsidR="002C3BD7" w:rsidRPr="000D65CE" w:rsidRDefault="002C3BD7" w:rsidP="003B280C">
      <w:pPr>
        <w:pStyle w:val="Paragraphs"/>
        <w:numPr>
          <w:ilvl w:val="0"/>
          <w:numId w:val="0"/>
        </w:numPr>
        <w:spacing w:before="360" w:after="120"/>
        <w:ind w:left="720" w:hanging="550"/>
        <w:rPr>
          <w:rStyle w:val="Strong"/>
          <w:lang w:val="en-GB"/>
        </w:rPr>
      </w:pPr>
      <w:r w:rsidRPr="000D65CE">
        <w:rPr>
          <w:rStyle w:val="Strong"/>
          <w:lang w:val="en-GB"/>
        </w:rPr>
        <w:t>Apprenticeships</w:t>
      </w:r>
    </w:p>
    <w:p w14:paraId="6ACDE2B5" w14:textId="77777777" w:rsidR="007C4529" w:rsidRPr="000D65CE" w:rsidRDefault="007C4529" w:rsidP="003B280C">
      <w:pPr>
        <w:pStyle w:val="Paragraphs"/>
        <w:rPr>
          <w:lang w:val="en-GB"/>
        </w:rPr>
      </w:pPr>
      <w:r w:rsidRPr="28D940A9">
        <w:rPr>
          <w:lang w:val="en-GB"/>
        </w:rPr>
        <w:t>In order to support local people in the development of their skills</w:t>
      </w:r>
      <w:r w:rsidR="00810B4E" w:rsidRPr="28D940A9">
        <w:rPr>
          <w:lang w:val="en-GB"/>
        </w:rPr>
        <w:t>, we will seek to ensure that a proportion of the jobs secured for local residents provide apprenticeships where appropriate.</w:t>
      </w:r>
      <w:r w:rsidRPr="28D940A9">
        <w:rPr>
          <w:lang w:val="en-GB"/>
        </w:rPr>
        <w:t xml:space="preserve"> </w:t>
      </w:r>
      <w:r w:rsidR="00810B4E" w:rsidRPr="28D940A9">
        <w:rPr>
          <w:lang w:val="en-GB"/>
        </w:rPr>
        <w:t xml:space="preserve">This will include </w:t>
      </w:r>
      <w:r w:rsidRPr="28D940A9">
        <w:rPr>
          <w:lang w:val="en-GB"/>
        </w:rPr>
        <w:t xml:space="preserve">the construction phase of all new development and the end-user phase of commercial development, </w:t>
      </w:r>
    </w:p>
    <w:p w14:paraId="777F1816" w14:textId="77777777" w:rsidR="00291BBE" w:rsidRDefault="00BF0053" w:rsidP="003B280C">
      <w:pPr>
        <w:pStyle w:val="Paragraphs"/>
        <w:rPr>
          <w:lang w:val="en-GB"/>
        </w:rPr>
      </w:pPr>
      <w:r w:rsidRPr="28D940A9">
        <w:rPr>
          <w:lang w:val="en-GB"/>
        </w:rPr>
        <w:t>Apprenticeships are jobs with</w:t>
      </w:r>
      <w:r w:rsidR="0044023A" w:rsidRPr="28D940A9">
        <w:rPr>
          <w:lang w:val="en-GB"/>
        </w:rPr>
        <w:t xml:space="preserve"> a</w:t>
      </w:r>
      <w:r w:rsidRPr="28D940A9">
        <w:rPr>
          <w:lang w:val="en-GB"/>
        </w:rPr>
        <w:t xml:space="preserve"> skills development</w:t>
      </w:r>
      <w:r w:rsidR="0044023A" w:rsidRPr="28D940A9">
        <w:rPr>
          <w:lang w:val="en-GB"/>
        </w:rPr>
        <w:t xml:space="preserve"> component</w:t>
      </w:r>
      <w:r w:rsidRPr="28D940A9">
        <w:rPr>
          <w:lang w:val="en-GB"/>
        </w:rPr>
        <w:t xml:space="preserve"> </w:t>
      </w:r>
      <w:r w:rsidR="0044023A" w:rsidRPr="28D940A9">
        <w:rPr>
          <w:lang w:val="en-GB"/>
        </w:rPr>
        <w:t xml:space="preserve">which </w:t>
      </w:r>
      <w:r w:rsidRPr="28D940A9">
        <w:rPr>
          <w:lang w:val="en-GB"/>
        </w:rPr>
        <w:t>allow</w:t>
      </w:r>
      <w:r w:rsidR="0044023A" w:rsidRPr="28D940A9">
        <w:rPr>
          <w:lang w:val="en-GB"/>
        </w:rPr>
        <w:t>s an</w:t>
      </w:r>
      <w:r w:rsidRPr="28D940A9">
        <w:rPr>
          <w:lang w:val="en-GB"/>
        </w:rPr>
        <w:t xml:space="preserve"> apprentice to gain technical knowledge and practical experience</w:t>
      </w:r>
      <w:r w:rsidR="0044023A" w:rsidRPr="28D940A9">
        <w:rPr>
          <w:lang w:val="en-GB"/>
        </w:rPr>
        <w:t>.</w:t>
      </w:r>
      <w:r w:rsidRPr="28D940A9">
        <w:rPr>
          <w:lang w:val="en-GB"/>
        </w:rPr>
        <w:t xml:space="preserve"> Skills are acquired through a mix of learning in the workplace and formal offsite training. </w:t>
      </w:r>
      <w:r w:rsidR="0044023A" w:rsidRPr="28D940A9">
        <w:rPr>
          <w:lang w:val="en-GB"/>
        </w:rPr>
        <w:t xml:space="preserve">Apprenticeships need to align with a recognised apprenticeship standard. </w:t>
      </w:r>
    </w:p>
    <w:p w14:paraId="41665FBC" w14:textId="77777777" w:rsidR="006578C2" w:rsidRDefault="007117BF" w:rsidP="006578C2">
      <w:pPr>
        <w:widowControl w:val="0"/>
        <w:autoSpaceDE w:val="0"/>
        <w:autoSpaceDN w:val="0"/>
        <w:adjustRightInd w:val="0"/>
        <w:spacing w:after="120"/>
        <w:jc w:val="both"/>
        <w:textAlignment w:val="center"/>
        <w:rPr>
          <w:b/>
        </w:rPr>
      </w:pPr>
      <w:r w:rsidRPr="003D2BA4">
        <w:rPr>
          <w:b/>
        </w:rPr>
        <w:lastRenderedPageBreak/>
        <w:t xml:space="preserve">Text Box </w:t>
      </w:r>
      <w:r>
        <w:rPr>
          <w:b/>
        </w:rPr>
        <w:t>13</w:t>
      </w:r>
      <w:r w:rsidRPr="003D2BA4">
        <w:rPr>
          <w:b/>
        </w:rPr>
        <w:t xml:space="preserve">: </w:t>
      </w:r>
      <w:r>
        <w:rPr>
          <w:b/>
        </w:rPr>
        <w:t>Apprenticeships</w:t>
      </w:r>
    </w:p>
    <w:p w14:paraId="6D6B737E" w14:textId="7FF3A74E" w:rsidR="00EB796E" w:rsidRPr="000D65CE" w:rsidRDefault="00CF312A" w:rsidP="003B280C">
      <w:pPr>
        <w:widowControl w:val="0"/>
        <w:autoSpaceDE w:val="0"/>
        <w:autoSpaceDN w:val="0"/>
        <w:adjustRightInd w:val="0"/>
        <w:jc w:val="both"/>
        <w:textAlignment w:val="center"/>
        <w:rPr>
          <w:rFonts w:cs="Arial"/>
          <w:b/>
          <w:bCs/>
          <w:sz w:val="28"/>
          <w:szCs w:val="28"/>
        </w:rPr>
      </w:pPr>
      <w:r w:rsidRPr="000D65CE">
        <w:rPr>
          <w:rFonts w:cs="Arial"/>
          <w:noProof/>
          <w:lang w:eastAsia="en-GB"/>
        </w:rPr>
        <mc:AlternateContent>
          <mc:Choice Requires="wps">
            <w:drawing>
              <wp:inline distT="0" distB="0" distL="0" distR="0" wp14:anchorId="1714C8E3" wp14:editId="48DFE525">
                <wp:extent cx="5724525" cy="4401879"/>
                <wp:effectExtent l="0" t="0" r="9525" b="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4401879"/>
                        </a:xfrm>
                        <a:prstGeom prst="rect">
                          <a:avLst/>
                        </a:prstGeom>
                        <a:solidFill>
                          <a:schemeClr val="accent1">
                            <a:lumMod val="20000"/>
                            <a:lumOff val="80000"/>
                          </a:schemeClr>
                        </a:solidFill>
                        <a:ln>
                          <a:noFill/>
                        </a:ln>
                        <a:effectLst/>
                      </wps:spPr>
                      <wps:txbx>
                        <w:txbxContent>
                          <w:p w14:paraId="1E9103E3" w14:textId="77777777" w:rsidR="00EB3B59" w:rsidRPr="001A2022" w:rsidRDefault="00EB3B59" w:rsidP="00291BBE">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3C4EE798" w14:textId="77777777" w:rsidR="00EB3B59" w:rsidRPr="001A2022" w:rsidRDefault="00EB3B59" w:rsidP="00291BBE">
                            <w:pPr>
                              <w:widowControl w:val="0"/>
                              <w:autoSpaceDE w:val="0"/>
                              <w:autoSpaceDN w:val="0"/>
                              <w:adjustRightInd w:val="0"/>
                              <w:jc w:val="both"/>
                              <w:textAlignment w:val="center"/>
                              <w:rPr>
                                <w:rFonts w:cs="Arial"/>
                                <w:color w:val="000000"/>
                                <w:szCs w:val="22"/>
                              </w:rPr>
                            </w:pPr>
                            <w:r w:rsidRPr="001A2022">
                              <w:rPr>
                                <w:rFonts w:cs="Arial"/>
                                <w:color w:val="000000"/>
                                <w:szCs w:val="22"/>
                              </w:rPr>
                              <w:t xml:space="preserve">Planning obligations relating to </w:t>
                            </w:r>
                            <w:r>
                              <w:rPr>
                                <w:rFonts w:cs="Arial"/>
                                <w:color w:val="000000"/>
                                <w:szCs w:val="22"/>
                              </w:rPr>
                              <w:t>apprenticeships</w:t>
                            </w:r>
                            <w:r w:rsidRPr="001A2022">
                              <w:rPr>
                                <w:rFonts w:cs="Arial"/>
                                <w:color w:val="000000"/>
                                <w:szCs w:val="22"/>
                              </w:rPr>
                              <w:t xml:space="preserve"> will be sought for:</w:t>
                            </w:r>
                          </w:p>
                          <w:p w14:paraId="3A177AAD" w14:textId="488459D1" w:rsidR="00EB3B59" w:rsidRDefault="00EB3B59" w:rsidP="0055222C">
                            <w:pPr>
                              <w:pStyle w:val="ListParagraph"/>
                              <w:widowControl w:val="0"/>
                              <w:numPr>
                                <w:ilvl w:val="0"/>
                                <w:numId w:val="9"/>
                              </w:numPr>
                              <w:autoSpaceDE w:val="0"/>
                              <w:autoSpaceDN w:val="0"/>
                              <w:adjustRightInd w:val="0"/>
                              <w:jc w:val="both"/>
                              <w:textAlignment w:val="center"/>
                              <w:rPr>
                                <w:rFonts w:cs="Arial"/>
                                <w:color w:val="000000"/>
                                <w:szCs w:val="22"/>
                              </w:rPr>
                            </w:pPr>
                            <w:r>
                              <w:rPr>
                                <w:rFonts w:cs="Arial"/>
                                <w:color w:val="000000"/>
                                <w:szCs w:val="22"/>
                              </w:rPr>
                              <w:t>R</w:t>
                            </w:r>
                            <w:r w:rsidRPr="002A5280">
                              <w:rPr>
                                <w:rFonts w:cs="Arial"/>
                                <w:color w:val="000000"/>
                                <w:szCs w:val="22"/>
                              </w:rPr>
                              <w:t xml:space="preserve">esidential developments of 10 units </w:t>
                            </w:r>
                            <w:r>
                              <w:rPr>
                                <w:rFonts w:cs="Arial"/>
                                <w:color w:val="000000"/>
                                <w:szCs w:val="22"/>
                              </w:rPr>
                              <w:t xml:space="preserve">or more, </w:t>
                            </w:r>
                            <w:r w:rsidRPr="002A5280">
                              <w:rPr>
                                <w:rFonts w:cs="Arial"/>
                                <w:color w:val="000000"/>
                                <w:szCs w:val="22"/>
                              </w:rPr>
                              <w:t>or with a combined gross floorspace of 1,000 sqm (</w:t>
                            </w:r>
                            <w:r>
                              <w:rPr>
                                <w:rFonts w:cs="Arial"/>
                                <w:color w:val="000000"/>
                                <w:szCs w:val="22"/>
                              </w:rPr>
                              <w:t>GIA</w:t>
                            </w:r>
                            <w:r w:rsidRPr="002A5280">
                              <w:rPr>
                                <w:rFonts w:cs="Arial"/>
                                <w:color w:val="000000"/>
                                <w:szCs w:val="22"/>
                              </w:rPr>
                              <w:t>) or more</w:t>
                            </w:r>
                          </w:p>
                          <w:p w14:paraId="31CA0B20" w14:textId="77777777" w:rsidR="00EB3B59" w:rsidRPr="00CC0E9E" w:rsidRDefault="00EB3B59" w:rsidP="0055222C">
                            <w:pPr>
                              <w:pStyle w:val="ListParagraph"/>
                              <w:numPr>
                                <w:ilvl w:val="0"/>
                                <w:numId w:val="9"/>
                              </w:numPr>
                              <w:jc w:val="both"/>
                              <w:rPr>
                                <w:rFonts w:cs="Arial"/>
                                <w:b/>
                                <w:szCs w:val="22"/>
                                <w:lang w:val="en-US"/>
                              </w:rPr>
                            </w:pPr>
                            <w:r>
                              <w:rPr>
                                <w:rFonts w:cs="Arial"/>
                                <w:color w:val="000000"/>
                                <w:szCs w:val="22"/>
                              </w:rPr>
                              <w:t>A</w:t>
                            </w:r>
                            <w:r w:rsidRPr="008138A9">
                              <w:rPr>
                                <w:rFonts w:cs="Arial"/>
                                <w:color w:val="000000"/>
                                <w:szCs w:val="22"/>
                              </w:rPr>
                              <w:t>ll major commercial development</w:t>
                            </w:r>
                          </w:p>
                          <w:p w14:paraId="2F19A105" w14:textId="77777777" w:rsidR="00EB3B59" w:rsidRDefault="00EB3B59" w:rsidP="00BF0053">
                            <w:pPr>
                              <w:widowControl w:val="0"/>
                              <w:autoSpaceDE w:val="0"/>
                              <w:autoSpaceDN w:val="0"/>
                              <w:adjustRightInd w:val="0"/>
                              <w:jc w:val="both"/>
                              <w:textAlignment w:val="center"/>
                              <w:rPr>
                                <w:rFonts w:cs="Arial"/>
                                <w:szCs w:val="22"/>
                                <w:lang w:val="en-US"/>
                              </w:rPr>
                            </w:pPr>
                            <w:r>
                              <w:rPr>
                                <w:rFonts w:cs="Arial"/>
                                <w:b/>
                                <w:szCs w:val="22"/>
                                <w:lang w:val="en-US"/>
                              </w:rPr>
                              <w:t>Planning Obligations</w:t>
                            </w:r>
                            <w:r w:rsidRPr="002A5280">
                              <w:rPr>
                                <w:rFonts w:cs="Arial"/>
                                <w:b/>
                                <w:szCs w:val="22"/>
                                <w:lang w:val="en-US"/>
                              </w:rPr>
                              <w:t xml:space="preserve"> </w:t>
                            </w:r>
                          </w:p>
                          <w:p w14:paraId="054300DB" w14:textId="3EABD50A" w:rsidR="00EB3B59" w:rsidRDefault="00EB3B59" w:rsidP="008112E5">
                            <w:pPr>
                              <w:widowControl w:val="0"/>
                              <w:autoSpaceDE w:val="0"/>
                              <w:autoSpaceDN w:val="0"/>
                              <w:adjustRightInd w:val="0"/>
                              <w:jc w:val="both"/>
                              <w:textAlignment w:val="center"/>
                              <w:rPr>
                                <w:rFonts w:cs="Arial"/>
                                <w:szCs w:val="22"/>
                                <w:highlight w:val="yellow"/>
                                <w:lang w:val="en-US"/>
                              </w:rPr>
                            </w:pPr>
                            <w:r>
                              <w:rPr>
                                <w:rFonts w:cs="Arial"/>
                                <w:szCs w:val="22"/>
                                <w:lang w:val="en-US"/>
                              </w:rPr>
                              <w:t>For the construction phase, one</w:t>
                            </w:r>
                            <w:r w:rsidRPr="007D735C">
                              <w:rPr>
                                <w:rFonts w:cs="Arial"/>
                                <w:szCs w:val="22"/>
                                <w:lang w:val="en-US"/>
                              </w:rPr>
                              <w:t xml:space="preserve"> apprenticeship</w:t>
                            </w:r>
                            <w:r>
                              <w:rPr>
                                <w:rFonts w:cs="Arial"/>
                                <w:szCs w:val="22"/>
                                <w:lang w:val="en-US"/>
                              </w:rPr>
                              <w:t xml:space="preserve"> should be secured for a minimum of the equivalent of one year (52 weeks) (minimum Level 2) or until completion of their apprenticeship standard qualification,</w:t>
                            </w:r>
                            <w:r w:rsidRPr="007D735C">
                              <w:rPr>
                                <w:rFonts w:cs="Arial"/>
                                <w:szCs w:val="22"/>
                                <w:lang w:val="en-US"/>
                              </w:rPr>
                              <w:t xml:space="preserve"> per £5 million of buil</w:t>
                            </w:r>
                            <w:r>
                              <w:rPr>
                                <w:rFonts w:cs="Arial"/>
                                <w:szCs w:val="22"/>
                                <w:lang w:val="en-US"/>
                              </w:rPr>
                              <w:t>t</w:t>
                            </w:r>
                            <w:r w:rsidRPr="007D735C">
                              <w:rPr>
                                <w:rFonts w:cs="Arial"/>
                                <w:szCs w:val="22"/>
                                <w:lang w:val="en-US"/>
                              </w:rPr>
                              <w:t xml:space="preserve"> cost</w:t>
                            </w:r>
                            <w:r>
                              <w:rPr>
                                <w:rFonts w:cs="Arial"/>
                                <w:szCs w:val="22"/>
                                <w:lang w:val="en-US"/>
                              </w:rPr>
                              <w:t>. Developers will be required to suggest an alternative solution should the construction phase be shorter than one year.</w:t>
                            </w:r>
                            <w:r w:rsidRPr="007D735C" w:rsidDel="0044023A">
                              <w:rPr>
                                <w:rFonts w:cs="Arial"/>
                                <w:szCs w:val="22"/>
                                <w:lang w:val="en-US"/>
                              </w:rPr>
                              <w:t xml:space="preserve"> </w:t>
                            </w:r>
                            <w:r w:rsidRPr="007D735C">
                              <w:rPr>
                                <w:rFonts w:cs="Arial"/>
                                <w:szCs w:val="22"/>
                                <w:lang w:val="en-US"/>
                              </w:rPr>
                              <w:t xml:space="preserve">Apprenticeship requirements for the end-user phase are based on the employee yield and will be secured through </w:t>
                            </w:r>
                            <w:r>
                              <w:rPr>
                                <w:rFonts w:cs="Arial"/>
                                <w:szCs w:val="22"/>
                                <w:lang w:val="en-US"/>
                              </w:rPr>
                              <w:t>the legal</w:t>
                            </w:r>
                            <w:r w:rsidRPr="007D735C">
                              <w:rPr>
                                <w:rFonts w:cs="Arial"/>
                                <w:szCs w:val="22"/>
                                <w:lang w:val="en-US"/>
                              </w:rPr>
                              <w:t xml:space="preserve"> agreement. End</w:t>
                            </w:r>
                            <w:r>
                              <w:rPr>
                                <w:rFonts w:cs="Arial"/>
                                <w:szCs w:val="22"/>
                                <w:lang w:val="en-US"/>
                              </w:rPr>
                              <w:t xml:space="preserve">-user apprenticeships should take place within the first five years of occupation. </w:t>
                            </w:r>
                            <w:r>
                              <w:rPr>
                                <w:rFonts w:cs="Arial"/>
                                <w:szCs w:val="22"/>
                                <w:highlight w:val="yellow"/>
                                <w:lang w:val="en-US"/>
                              </w:rPr>
                              <w:t xml:space="preserve">   </w:t>
                            </w:r>
                          </w:p>
                          <w:p w14:paraId="76848255" w14:textId="77777777" w:rsidR="00EB3B59" w:rsidRDefault="00EB3B59" w:rsidP="00BF0053">
                            <w:pPr>
                              <w:widowControl w:val="0"/>
                              <w:autoSpaceDE w:val="0"/>
                              <w:autoSpaceDN w:val="0"/>
                              <w:adjustRightInd w:val="0"/>
                              <w:jc w:val="both"/>
                              <w:textAlignment w:val="center"/>
                              <w:rPr>
                                <w:rFonts w:cs="Arial"/>
                                <w:szCs w:val="22"/>
                                <w:lang w:val="en-US"/>
                              </w:rPr>
                            </w:pPr>
                            <w:r>
                              <w:rPr>
                                <w:rFonts w:cs="Arial"/>
                                <w:szCs w:val="22"/>
                                <w:lang w:val="en-US"/>
                              </w:rPr>
                              <w:t xml:space="preserve">All apprenticeship vacancies and opportunities are to be submitted to </w:t>
                            </w:r>
                            <w:r w:rsidRPr="007D735C">
                              <w:rPr>
                                <w:rFonts w:cs="Arial"/>
                                <w:szCs w:val="22"/>
                                <w:lang w:val="en-US"/>
                              </w:rPr>
                              <w:t>the Council</w:t>
                            </w:r>
                            <w:r>
                              <w:rPr>
                                <w:rFonts w:cs="Arial"/>
                                <w:szCs w:val="22"/>
                                <w:lang w:val="en-US"/>
                              </w:rPr>
                              <w:t>’</w:t>
                            </w:r>
                            <w:r w:rsidRPr="007D735C">
                              <w:rPr>
                                <w:rFonts w:cs="Arial"/>
                                <w:szCs w:val="22"/>
                                <w:lang w:val="en-US"/>
                              </w:rPr>
                              <w:t>s job-brokerage team so they</w:t>
                            </w:r>
                            <w:r>
                              <w:rPr>
                                <w:rFonts w:cs="Arial"/>
                                <w:szCs w:val="22"/>
                                <w:lang w:val="en-US"/>
                              </w:rPr>
                              <w:t xml:space="preserve"> can be recorded on the system.</w:t>
                            </w:r>
                            <w:r w:rsidRPr="007D735C">
                              <w:rPr>
                                <w:rFonts w:cs="Arial"/>
                                <w:szCs w:val="22"/>
                                <w:lang w:val="en-US"/>
                              </w:rPr>
                              <w:t xml:space="preserve"> This information should be submitted</w:t>
                            </w:r>
                            <w:r>
                              <w:rPr>
                                <w:rFonts w:cs="Arial"/>
                                <w:szCs w:val="22"/>
                                <w:lang w:val="en-US"/>
                              </w:rPr>
                              <w:t xml:space="preserve"> as and when an opportunity becomes available before</w:t>
                            </w:r>
                            <w:r w:rsidRPr="007D735C">
                              <w:rPr>
                                <w:rFonts w:cs="Arial"/>
                                <w:szCs w:val="22"/>
                                <w:lang w:val="en-US"/>
                              </w:rPr>
                              <w:t xml:space="preserve"> occupation for non-commercial developments, and </w:t>
                            </w:r>
                            <w:r>
                              <w:rPr>
                                <w:rFonts w:cs="Arial"/>
                                <w:szCs w:val="22"/>
                                <w:lang w:val="en-US"/>
                              </w:rPr>
                              <w:t xml:space="preserve">regularly for the first </w:t>
                            </w:r>
                            <w:r w:rsidRPr="007D735C">
                              <w:rPr>
                                <w:rFonts w:cs="Arial"/>
                                <w:szCs w:val="22"/>
                                <w:lang w:val="en-US"/>
                              </w:rPr>
                              <w:t>5 years of occupation for commercial developments.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14C8E3" id="Text Box 35" o:spid="_x0000_s1039" type="#_x0000_t202" style="width:450.75pt;height:3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" fillcolor="#dbe5f1 [660]" stroked="f">
                <v:textbox>
                  <w:txbxContent>
                    <w:p w14:paraId="1E9103E3" w14:textId="77777777" w:rsidR="00EB3B59" w:rsidRPr="001A2022" w:rsidRDefault="00EB3B59" w:rsidP="00291BBE">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3C4EE798" w14:textId="77777777" w:rsidR="00EB3B59" w:rsidRPr="001A2022" w:rsidRDefault="00EB3B59" w:rsidP="00291BBE">
                      <w:pPr>
                        <w:widowControl w:val="0"/>
                        <w:autoSpaceDE w:val="0"/>
                        <w:autoSpaceDN w:val="0"/>
                        <w:adjustRightInd w:val="0"/>
                        <w:jc w:val="both"/>
                        <w:textAlignment w:val="center"/>
                        <w:rPr>
                          <w:rFonts w:cs="Arial"/>
                          <w:color w:val="000000"/>
                          <w:szCs w:val="22"/>
                        </w:rPr>
                      </w:pPr>
                      <w:r w:rsidRPr="001A2022">
                        <w:rPr>
                          <w:rFonts w:cs="Arial"/>
                          <w:color w:val="000000"/>
                          <w:szCs w:val="22"/>
                        </w:rPr>
                        <w:t xml:space="preserve">Planning obligations relating to </w:t>
                      </w:r>
                      <w:r>
                        <w:rPr>
                          <w:rFonts w:cs="Arial"/>
                          <w:color w:val="000000"/>
                          <w:szCs w:val="22"/>
                        </w:rPr>
                        <w:t>apprenticeships</w:t>
                      </w:r>
                      <w:r w:rsidRPr="001A2022">
                        <w:rPr>
                          <w:rFonts w:cs="Arial"/>
                          <w:color w:val="000000"/>
                          <w:szCs w:val="22"/>
                        </w:rPr>
                        <w:t xml:space="preserve"> will be sought for:</w:t>
                      </w:r>
                    </w:p>
                    <w:p w14:paraId="3A177AAD" w14:textId="488459D1" w:rsidR="00EB3B59" w:rsidRDefault="00EB3B59" w:rsidP="0055222C">
                      <w:pPr>
                        <w:pStyle w:val="ListParagraph"/>
                        <w:widowControl w:val="0"/>
                        <w:numPr>
                          <w:ilvl w:val="0"/>
                          <w:numId w:val="9"/>
                        </w:numPr>
                        <w:autoSpaceDE w:val="0"/>
                        <w:autoSpaceDN w:val="0"/>
                        <w:adjustRightInd w:val="0"/>
                        <w:jc w:val="both"/>
                        <w:textAlignment w:val="center"/>
                        <w:rPr>
                          <w:rFonts w:cs="Arial"/>
                          <w:color w:val="000000"/>
                          <w:szCs w:val="22"/>
                        </w:rPr>
                      </w:pPr>
                      <w:r>
                        <w:rPr>
                          <w:rFonts w:cs="Arial"/>
                          <w:color w:val="000000"/>
                          <w:szCs w:val="22"/>
                        </w:rPr>
                        <w:t>R</w:t>
                      </w:r>
                      <w:r w:rsidRPr="002A5280">
                        <w:rPr>
                          <w:rFonts w:cs="Arial"/>
                          <w:color w:val="000000"/>
                          <w:szCs w:val="22"/>
                        </w:rPr>
                        <w:t xml:space="preserve">esidential developments of 10 units </w:t>
                      </w:r>
                      <w:r>
                        <w:rPr>
                          <w:rFonts w:cs="Arial"/>
                          <w:color w:val="000000"/>
                          <w:szCs w:val="22"/>
                        </w:rPr>
                        <w:t xml:space="preserve">or more, </w:t>
                      </w:r>
                      <w:r w:rsidRPr="002A5280">
                        <w:rPr>
                          <w:rFonts w:cs="Arial"/>
                          <w:color w:val="000000"/>
                          <w:szCs w:val="22"/>
                        </w:rPr>
                        <w:t>or with a combined gross floorspace of 1,000 sqm (</w:t>
                      </w:r>
                      <w:r>
                        <w:rPr>
                          <w:rFonts w:cs="Arial"/>
                          <w:color w:val="000000"/>
                          <w:szCs w:val="22"/>
                        </w:rPr>
                        <w:t>GIA</w:t>
                      </w:r>
                      <w:r w:rsidRPr="002A5280">
                        <w:rPr>
                          <w:rFonts w:cs="Arial"/>
                          <w:color w:val="000000"/>
                          <w:szCs w:val="22"/>
                        </w:rPr>
                        <w:t>) or more</w:t>
                      </w:r>
                    </w:p>
                    <w:p w14:paraId="31CA0B20" w14:textId="77777777" w:rsidR="00EB3B59" w:rsidRPr="00CC0E9E" w:rsidRDefault="00EB3B59" w:rsidP="0055222C">
                      <w:pPr>
                        <w:pStyle w:val="ListParagraph"/>
                        <w:numPr>
                          <w:ilvl w:val="0"/>
                          <w:numId w:val="9"/>
                        </w:numPr>
                        <w:jc w:val="both"/>
                        <w:rPr>
                          <w:rFonts w:cs="Arial"/>
                          <w:b/>
                          <w:szCs w:val="22"/>
                          <w:lang w:val="en-US"/>
                        </w:rPr>
                      </w:pPr>
                      <w:r>
                        <w:rPr>
                          <w:rFonts w:cs="Arial"/>
                          <w:color w:val="000000"/>
                          <w:szCs w:val="22"/>
                        </w:rPr>
                        <w:t>A</w:t>
                      </w:r>
                      <w:r w:rsidRPr="008138A9">
                        <w:rPr>
                          <w:rFonts w:cs="Arial"/>
                          <w:color w:val="000000"/>
                          <w:szCs w:val="22"/>
                        </w:rPr>
                        <w:t>ll major commercial development</w:t>
                      </w:r>
                    </w:p>
                    <w:p w14:paraId="2F19A105" w14:textId="77777777" w:rsidR="00EB3B59" w:rsidRDefault="00EB3B59" w:rsidP="00BF0053">
                      <w:pPr>
                        <w:widowControl w:val="0"/>
                        <w:autoSpaceDE w:val="0"/>
                        <w:autoSpaceDN w:val="0"/>
                        <w:adjustRightInd w:val="0"/>
                        <w:jc w:val="both"/>
                        <w:textAlignment w:val="center"/>
                        <w:rPr>
                          <w:rFonts w:cs="Arial"/>
                          <w:szCs w:val="22"/>
                          <w:lang w:val="en-US"/>
                        </w:rPr>
                      </w:pPr>
                      <w:r>
                        <w:rPr>
                          <w:rFonts w:cs="Arial"/>
                          <w:b/>
                          <w:szCs w:val="22"/>
                          <w:lang w:val="en-US"/>
                        </w:rPr>
                        <w:t>Planning Obligations</w:t>
                      </w:r>
                      <w:r w:rsidRPr="002A5280">
                        <w:rPr>
                          <w:rFonts w:cs="Arial"/>
                          <w:b/>
                          <w:szCs w:val="22"/>
                          <w:lang w:val="en-US"/>
                        </w:rPr>
                        <w:t xml:space="preserve"> </w:t>
                      </w:r>
                    </w:p>
                    <w:p w14:paraId="054300DB" w14:textId="3EABD50A" w:rsidR="00EB3B59" w:rsidRDefault="00EB3B59" w:rsidP="008112E5">
                      <w:pPr>
                        <w:widowControl w:val="0"/>
                        <w:autoSpaceDE w:val="0"/>
                        <w:autoSpaceDN w:val="0"/>
                        <w:adjustRightInd w:val="0"/>
                        <w:jc w:val="both"/>
                        <w:textAlignment w:val="center"/>
                        <w:rPr>
                          <w:rFonts w:cs="Arial"/>
                          <w:szCs w:val="22"/>
                          <w:highlight w:val="yellow"/>
                          <w:lang w:val="en-US"/>
                        </w:rPr>
                      </w:pPr>
                      <w:r>
                        <w:rPr>
                          <w:rFonts w:cs="Arial"/>
                          <w:szCs w:val="22"/>
                          <w:lang w:val="en-US"/>
                        </w:rPr>
                        <w:t>For the construction phase, one</w:t>
                      </w:r>
                      <w:r w:rsidRPr="007D735C">
                        <w:rPr>
                          <w:rFonts w:cs="Arial"/>
                          <w:szCs w:val="22"/>
                          <w:lang w:val="en-US"/>
                        </w:rPr>
                        <w:t xml:space="preserve"> apprenticeship</w:t>
                      </w:r>
                      <w:r>
                        <w:rPr>
                          <w:rFonts w:cs="Arial"/>
                          <w:szCs w:val="22"/>
                          <w:lang w:val="en-US"/>
                        </w:rPr>
                        <w:t xml:space="preserve"> should be secured for a minimum of the equivalent of one year (52 weeks) (minimum Level 2) or until completion of their apprenticeship standard qualification,</w:t>
                      </w:r>
                      <w:r w:rsidRPr="007D735C">
                        <w:rPr>
                          <w:rFonts w:cs="Arial"/>
                          <w:szCs w:val="22"/>
                          <w:lang w:val="en-US"/>
                        </w:rPr>
                        <w:t xml:space="preserve"> per £5 million of buil</w:t>
                      </w:r>
                      <w:r>
                        <w:rPr>
                          <w:rFonts w:cs="Arial"/>
                          <w:szCs w:val="22"/>
                          <w:lang w:val="en-US"/>
                        </w:rPr>
                        <w:t>t</w:t>
                      </w:r>
                      <w:r w:rsidRPr="007D735C">
                        <w:rPr>
                          <w:rFonts w:cs="Arial"/>
                          <w:szCs w:val="22"/>
                          <w:lang w:val="en-US"/>
                        </w:rPr>
                        <w:t xml:space="preserve"> cost</w:t>
                      </w:r>
                      <w:r>
                        <w:rPr>
                          <w:rFonts w:cs="Arial"/>
                          <w:szCs w:val="22"/>
                          <w:lang w:val="en-US"/>
                        </w:rPr>
                        <w:t>. Developers will be required to suggest an alternative solution should the construction phase be shorter than one year.</w:t>
                      </w:r>
                      <w:r w:rsidRPr="007D735C" w:rsidDel="0044023A">
                        <w:rPr>
                          <w:rFonts w:cs="Arial"/>
                          <w:szCs w:val="22"/>
                          <w:lang w:val="en-US"/>
                        </w:rPr>
                        <w:t xml:space="preserve"> </w:t>
                      </w:r>
                      <w:r w:rsidRPr="007D735C">
                        <w:rPr>
                          <w:rFonts w:cs="Arial"/>
                          <w:szCs w:val="22"/>
                          <w:lang w:val="en-US"/>
                        </w:rPr>
                        <w:t xml:space="preserve">Apprenticeship requirements for the end-user phase are based on the employee yield and will be secured through </w:t>
                      </w:r>
                      <w:r>
                        <w:rPr>
                          <w:rFonts w:cs="Arial"/>
                          <w:szCs w:val="22"/>
                          <w:lang w:val="en-US"/>
                        </w:rPr>
                        <w:t>the legal</w:t>
                      </w:r>
                      <w:r w:rsidRPr="007D735C">
                        <w:rPr>
                          <w:rFonts w:cs="Arial"/>
                          <w:szCs w:val="22"/>
                          <w:lang w:val="en-US"/>
                        </w:rPr>
                        <w:t xml:space="preserve"> agreement. End</w:t>
                      </w:r>
                      <w:r>
                        <w:rPr>
                          <w:rFonts w:cs="Arial"/>
                          <w:szCs w:val="22"/>
                          <w:lang w:val="en-US"/>
                        </w:rPr>
                        <w:t xml:space="preserve">-user apprenticeships should take place within the first five years of occupation. </w:t>
                      </w:r>
                      <w:r>
                        <w:rPr>
                          <w:rFonts w:cs="Arial"/>
                          <w:szCs w:val="22"/>
                          <w:highlight w:val="yellow"/>
                          <w:lang w:val="en-US"/>
                        </w:rPr>
                        <w:t xml:space="preserve">   </w:t>
                      </w:r>
                    </w:p>
                    <w:p w14:paraId="76848255" w14:textId="77777777" w:rsidR="00EB3B59" w:rsidRDefault="00EB3B59" w:rsidP="00BF0053">
                      <w:pPr>
                        <w:widowControl w:val="0"/>
                        <w:autoSpaceDE w:val="0"/>
                        <w:autoSpaceDN w:val="0"/>
                        <w:adjustRightInd w:val="0"/>
                        <w:jc w:val="both"/>
                        <w:textAlignment w:val="center"/>
                        <w:rPr>
                          <w:rFonts w:cs="Arial"/>
                          <w:szCs w:val="22"/>
                          <w:lang w:val="en-US"/>
                        </w:rPr>
                      </w:pPr>
                      <w:r>
                        <w:rPr>
                          <w:rFonts w:cs="Arial"/>
                          <w:szCs w:val="22"/>
                          <w:lang w:val="en-US"/>
                        </w:rPr>
                        <w:t xml:space="preserve">All apprenticeship vacancies and opportunities are to be submitted to </w:t>
                      </w:r>
                      <w:r w:rsidRPr="007D735C">
                        <w:rPr>
                          <w:rFonts w:cs="Arial"/>
                          <w:szCs w:val="22"/>
                          <w:lang w:val="en-US"/>
                        </w:rPr>
                        <w:t>the Council</w:t>
                      </w:r>
                      <w:r>
                        <w:rPr>
                          <w:rFonts w:cs="Arial"/>
                          <w:szCs w:val="22"/>
                          <w:lang w:val="en-US"/>
                        </w:rPr>
                        <w:t>’</w:t>
                      </w:r>
                      <w:r w:rsidRPr="007D735C">
                        <w:rPr>
                          <w:rFonts w:cs="Arial"/>
                          <w:szCs w:val="22"/>
                          <w:lang w:val="en-US"/>
                        </w:rPr>
                        <w:t>s job-brokerage team so they</w:t>
                      </w:r>
                      <w:r>
                        <w:rPr>
                          <w:rFonts w:cs="Arial"/>
                          <w:szCs w:val="22"/>
                          <w:lang w:val="en-US"/>
                        </w:rPr>
                        <w:t xml:space="preserve"> can be recorded on the system.</w:t>
                      </w:r>
                      <w:r w:rsidRPr="007D735C">
                        <w:rPr>
                          <w:rFonts w:cs="Arial"/>
                          <w:szCs w:val="22"/>
                          <w:lang w:val="en-US"/>
                        </w:rPr>
                        <w:t xml:space="preserve"> This information should be submitted</w:t>
                      </w:r>
                      <w:r>
                        <w:rPr>
                          <w:rFonts w:cs="Arial"/>
                          <w:szCs w:val="22"/>
                          <w:lang w:val="en-US"/>
                        </w:rPr>
                        <w:t xml:space="preserve"> as and when an opportunity becomes available before</w:t>
                      </w:r>
                      <w:r w:rsidRPr="007D735C">
                        <w:rPr>
                          <w:rFonts w:cs="Arial"/>
                          <w:szCs w:val="22"/>
                          <w:lang w:val="en-US"/>
                        </w:rPr>
                        <w:t xml:space="preserve"> occupation for non-commercial developments, and </w:t>
                      </w:r>
                      <w:r>
                        <w:rPr>
                          <w:rFonts w:cs="Arial"/>
                          <w:szCs w:val="22"/>
                          <w:lang w:val="en-US"/>
                        </w:rPr>
                        <w:t xml:space="preserve">regularly for the first </w:t>
                      </w:r>
                      <w:r w:rsidRPr="007D735C">
                        <w:rPr>
                          <w:rFonts w:cs="Arial"/>
                          <w:szCs w:val="22"/>
                          <w:lang w:val="en-US"/>
                        </w:rPr>
                        <w:t>5 years of occupation for commercial developments.</w:t>
                      </w:r>
                    </w:p>
                  </w:txbxContent>
                </v:textbox>
                <w10:anchorlock/>
              </v:shape>
            </w:pict>
          </mc:Fallback>
        </mc:AlternateContent>
      </w:r>
    </w:p>
    <w:p w14:paraId="4E3AAA06" w14:textId="77777777" w:rsidR="00442DA9" w:rsidRPr="000D65CE" w:rsidRDefault="00DF5146" w:rsidP="003B280C">
      <w:pPr>
        <w:widowControl w:val="0"/>
        <w:autoSpaceDE w:val="0"/>
        <w:autoSpaceDN w:val="0"/>
        <w:adjustRightInd w:val="0"/>
        <w:spacing w:before="360" w:after="120"/>
        <w:ind w:firstLine="170"/>
        <w:jc w:val="both"/>
        <w:textAlignment w:val="center"/>
        <w:rPr>
          <w:b/>
          <w:bCs/>
        </w:rPr>
      </w:pPr>
      <w:r w:rsidRPr="000D65CE">
        <w:rPr>
          <w:rStyle w:val="Strong"/>
        </w:rPr>
        <w:t>Local Enterprise</w:t>
      </w:r>
    </w:p>
    <w:p w14:paraId="3B998EC2" w14:textId="0809E5D5" w:rsidR="002A5280" w:rsidRPr="000D65CE" w:rsidRDefault="002A5280" w:rsidP="003B280C">
      <w:pPr>
        <w:pStyle w:val="Paragraphs"/>
        <w:rPr>
          <w:lang w:val="en-GB"/>
        </w:rPr>
      </w:pPr>
      <w:r w:rsidRPr="28D940A9">
        <w:rPr>
          <w:lang w:val="en-GB"/>
        </w:rPr>
        <w:t xml:space="preserve">In order to support local businesses to benefit from new development within the </w:t>
      </w:r>
      <w:r w:rsidR="00F447A2" w:rsidRPr="28D940A9">
        <w:rPr>
          <w:lang w:val="en-GB"/>
        </w:rPr>
        <w:t>b</w:t>
      </w:r>
      <w:r w:rsidR="00747592" w:rsidRPr="28D940A9">
        <w:rPr>
          <w:lang w:val="en-GB"/>
        </w:rPr>
        <w:t>orough</w:t>
      </w:r>
      <w:r w:rsidRPr="28D940A9">
        <w:rPr>
          <w:lang w:val="en-GB"/>
        </w:rPr>
        <w:t>, the Council will require a commitment from develop</w:t>
      </w:r>
      <w:r w:rsidR="0044023A" w:rsidRPr="28D940A9">
        <w:rPr>
          <w:lang w:val="en-GB"/>
        </w:rPr>
        <w:t>ers</w:t>
      </w:r>
      <w:r w:rsidRPr="28D940A9">
        <w:rPr>
          <w:lang w:val="en-GB"/>
        </w:rPr>
        <w:t xml:space="preserve"> to engage local businesses through the supply chain. This will allow local businesses to compete in the local market and also encourage sustainable supply systems. </w:t>
      </w:r>
    </w:p>
    <w:p w14:paraId="0D067582" w14:textId="77777777" w:rsidR="002A5280" w:rsidRPr="000D65CE" w:rsidRDefault="002A5280" w:rsidP="003B280C">
      <w:pPr>
        <w:pStyle w:val="Paragraphs"/>
        <w:rPr>
          <w:lang w:val="en-GB"/>
        </w:rPr>
      </w:pPr>
      <w:r w:rsidRPr="28D940A9">
        <w:rPr>
          <w:lang w:val="en-GB"/>
        </w:rPr>
        <w:t xml:space="preserve">The </w:t>
      </w:r>
      <w:r w:rsidR="0035256B" w:rsidRPr="28D940A9">
        <w:rPr>
          <w:lang w:val="en-GB"/>
        </w:rPr>
        <w:t>d</w:t>
      </w:r>
      <w:r w:rsidRPr="28D940A9">
        <w:rPr>
          <w:lang w:val="en-GB"/>
        </w:rPr>
        <w:t xml:space="preserve">eveloper is required to submit </w:t>
      </w:r>
      <w:r w:rsidR="0044023A" w:rsidRPr="28D940A9">
        <w:rPr>
          <w:lang w:val="en-GB"/>
        </w:rPr>
        <w:t xml:space="preserve">a </w:t>
      </w:r>
      <w:r w:rsidRPr="28D940A9">
        <w:rPr>
          <w:lang w:val="en-GB"/>
        </w:rPr>
        <w:t xml:space="preserve">Tender Event Schedule (T.E.S) </w:t>
      </w:r>
      <w:r w:rsidR="007C1AEE" w:rsidRPr="28D940A9">
        <w:rPr>
          <w:lang w:val="en-GB"/>
        </w:rPr>
        <w:t xml:space="preserve">at the start and end of the construction period </w:t>
      </w:r>
      <w:r w:rsidRPr="28D940A9">
        <w:rPr>
          <w:lang w:val="en-GB"/>
        </w:rPr>
        <w:t>detailing the list of packages being offered for competitive tender including time frames, values of packages and framework agreements in the supply chain.</w:t>
      </w:r>
      <w:r w:rsidR="007C1AEE" w:rsidRPr="28D940A9">
        <w:rPr>
          <w:lang w:val="en-GB"/>
        </w:rPr>
        <w:t xml:space="preserve"> </w:t>
      </w:r>
      <w:r w:rsidRPr="28D940A9">
        <w:rPr>
          <w:lang w:val="en-GB"/>
        </w:rPr>
        <w:t>Any additional health &amp; safety requirements are to be detailed in the T.E.S.</w:t>
      </w:r>
    </w:p>
    <w:p w14:paraId="4BD6A536" w14:textId="77777777" w:rsidR="002A5280" w:rsidRPr="000D65CE" w:rsidRDefault="002A5280" w:rsidP="003B280C">
      <w:pPr>
        <w:pStyle w:val="Paragraphs"/>
        <w:rPr>
          <w:lang w:val="en-GB"/>
        </w:rPr>
      </w:pPr>
      <w:r w:rsidRPr="28D940A9">
        <w:rPr>
          <w:lang w:val="en-GB"/>
        </w:rPr>
        <w:t>Enterprise monitoring information will be required to be submitted each time a package is awarded, detailing the list of tenderers per package, identifying the successful tenderer with values of packages secured and postcodes. The developer will be required to submit</w:t>
      </w:r>
      <w:r w:rsidR="0044023A" w:rsidRPr="28D940A9">
        <w:rPr>
          <w:lang w:val="en-GB"/>
        </w:rPr>
        <w:t xml:space="preserve"> robust evidence</w:t>
      </w:r>
      <w:r w:rsidRPr="28D940A9">
        <w:rPr>
          <w:lang w:val="en-GB"/>
        </w:rPr>
        <w:t xml:space="preserve"> of any package secured locally which can be quantified by value and quantity.</w:t>
      </w:r>
    </w:p>
    <w:p w14:paraId="048CF02C" w14:textId="77777777" w:rsidR="002A5280" w:rsidRPr="000D65CE" w:rsidRDefault="002A5280" w:rsidP="003B280C">
      <w:pPr>
        <w:pStyle w:val="Paragraphs"/>
        <w:rPr>
          <w:lang w:val="en-GB"/>
        </w:rPr>
      </w:pPr>
      <w:r w:rsidRPr="28D940A9">
        <w:rPr>
          <w:lang w:val="en-GB"/>
        </w:rPr>
        <w:t>The monitoring will allow the principal contractor to track their performance against the enterprise commitment and gauge performance against any targets, as well as capturing the</w:t>
      </w:r>
      <w:r w:rsidR="0021485E" w:rsidRPr="28D940A9">
        <w:rPr>
          <w:lang w:val="en-GB"/>
        </w:rPr>
        <w:t xml:space="preserve"> actions taken by the</w:t>
      </w:r>
      <w:r w:rsidRPr="28D940A9">
        <w:rPr>
          <w:lang w:val="en-GB"/>
        </w:rPr>
        <w:t xml:space="preserve"> developer to engage with local suppliers.   </w:t>
      </w:r>
    </w:p>
    <w:p w14:paraId="2DE67C83" w14:textId="77777777" w:rsidR="00DF5146" w:rsidRDefault="002A5280" w:rsidP="003B280C">
      <w:pPr>
        <w:pStyle w:val="Paragraphs"/>
        <w:rPr>
          <w:lang w:val="en-GB"/>
        </w:rPr>
      </w:pPr>
      <w:r w:rsidRPr="28D940A9">
        <w:rPr>
          <w:lang w:val="en-GB"/>
        </w:rPr>
        <w:lastRenderedPageBreak/>
        <w:t>All information</w:t>
      </w:r>
      <w:r w:rsidR="00044F29" w:rsidRPr="28D940A9">
        <w:rPr>
          <w:lang w:val="en-GB"/>
        </w:rPr>
        <w:t xml:space="preserve"> supplied to the C</w:t>
      </w:r>
      <w:r w:rsidRPr="28D940A9">
        <w:rPr>
          <w:lang w:val="en-GB"/>
        </w:rPr>
        <w:t xml:space="preserve">ouncil’s Economic Development Team will be treated as private </w:t>
      </w:r>
      <w:r w:rsidR="0035256B" w:rsidRPr="28D940A9">
        <w:rPr>
          <w:lang w:val="en-GB"/>
        </w:rPr>
        <w:t>and</w:t>
      </w:r>
      <w:r w:rsidRPr="28D940A9">
        <w:rPr>
          <w:lang w:val="en-GB"/>
        </w:rPr>
        <w:t xml:space="preserve"> confidential and not passed to any third parties.</w:t>
      </w:r>
    </w:p>
    <w:p w14:paraId="7E436DBA" w14:textId="77777777" w:rsidR="007117BF" w:rsidRPr="003D2BA4" w:rsidRDefault="007117BF" w:rsidP="007117BF">
      <w:pPr>
        <w:spacing w:after="120"/>
        <w:rPr>
          <w:b/>
        </w:rPr>
      </w:pPr>
      <w:r w:rsidRPr="003D2BA4">
        <w:rPr>
          <w:b/>
        </w:rPr>
        <w:t xml:space="preserve">Text Box </w:t>
      </w:r>
      <w:r>
        <w:rPr>
          <w:b/>
        </w:rPr>
        <w:t>14</w:t>
      </w:r>
      <w:r w:rsidRPr="003D2BA4">
        <w:rPr>
          <w:b/>
        </w:rPr>
        <w:t xml:space="preserve">: </w:t>
      </w:r>
      <w:r>
        <w:rPr>
          <w:b/>
        </w:rPr>
        <w:t>Local Enterprise</w:t>
      </w:r>
    </w:p>
    <w:p w14:paraId="7BD564FD" w14:textId="77777777" w:rsidR="002A5280" w:rsidRPr="000D65CE" w:rsidRDefault="00AD53D2" w:rsidP="003B280C">
      <w:pPr>
        <w:widowControl w:val="0"/>
        <w:autoSpaceDE w:val="0"/>
        <w:autoSpaceDN w:val="0"/>
        <w:adjustRightInd w:val="0"/>
        <w:ind w:left="720" w:hanging="720"/>
        <w:jc w:val="both"/>
        <w:textAlignment w:val="center"/>
        <w:rPr>
          <w:rFonts w:cs="Arial"/>
          <w:szCs w:val="22"/>
        </w:rPr>
      </w:pPr>
      <w:r w:rsidRPr="000D65CE">
        <w:rPr>
          <w:rFonts w:cs="Arial"/>
          <w:noProof/>
          <w:color w:val="FFFFFF" w:themeColor="background1"/>
          <w:lang w:eastAsia="en-GB"/>
        </w:rPr>
        <mc:AlternateContent>
          <mc:Choice Requires="wps">
            <w:drawing>
              <wp:inline distT="0" distB="0" distL="0" distR="0" wp14:anchorId="1B351C3D" wp14:editId="5F891F82">
                <wp:extent cx="5731510" cy="2933205"/>
                <wp:effectExtent l="0" t="0" r="2540" b="63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2933205"/>
                        </a:xfrm>
                        <a:prstGeom prst="rect">
                          <a:avLst/>
                        </a:prstGeom>
                        <a:solidFill>
                          <a:schemeClr val="accent1">
                            <a:lumMod val="20000"/>
                            <a:lumOff val="80000"/>
                          </a:schemeClr>
                        </a:solidFill>
                        <a:ln>
                          <a:noFill/>
                        </a:ln>
                        <a:effectLst/>
                      </wps:spPr>
                      <wps:txbx>
                        <w:txbxContent>
                          <w:p w14:paraId="26E8C207" w14:textId="77777777" w:rsidR="00EB3B59" w:rsidRPr="001A2022" w:rsidRDefault="00EB3B59" w:rsidP="002E451A">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4A685538" w14:textId="77777777" w:rsidR="00EB3B59" w:rsidRPr="001A2022" w:rsidRDefault="00EB3B59" w:rsidP="002E451A">
                            <w:pPr>
                              <w:widowControl w:val="0"/>
                              <w:autoSpaceDE w:val="0"/>
                              <w:autoSpaceDN w:val="0"/>
                              <w:adjustRightInd w:val="0"/>
                              <w:jc w:val="both"/>
                              <w:textAlignment w:val="center"/>
                              <w:rPr>
                                <w:rFonts w:cs="Arial"/>
                                <w:color w:val="000000"/>
                                <w:szCs w:val="22"/>
                              </w:rPr>
                            </w:pPr>
                            <w:r w:rsidRPr="001A2022">
                              <w:rPr>
                                <w:rFonts w:cs="Arial"/>
                                <w:color w:val="000000"/>
                                <w:szCs w:val="22"/>
                              </w:rPr>
                              <w:t xml:space="preserve">Planning obligations relating to </w:t>
                            </w:r>
                            <w:r>
                              <w:rPr>
                                <w:rFonts w:cs="Arial"/>
                                <w:color w:val="000000"/>
                                <w:szCs w:val="22"/>
                              </w:rPr>
                              <w:t>l</w:t>
                            </w:r>
                            <w:r w:rsidRPr="001A2022">
                              <w:rPr>
                                <w:rFonts w:cs="Arial"/>
                                <w:color w:val="000000"/>
                                <w:szCs w:val="22"/>
                              </w:rPr>
                              <w:t xml:space="preserve">ocal </w:t>
                            </w:r>
                            <w:r>
                              <w:rPr>
                                <w:rFonts w:cs="Arial"/>
                                <w:color w:val="000000"/>
                                <w:szCs w:val="22"/>
                              </w:rPr>
                              <w:t>e</w:t>
                            </w:r>
                            <w:r w:rsidRPr="001A2022">
                              <w:rPr>
                                <w:rFonts w:cs="Arial"/>
                                <w:color w:val="000000"/>
                                <w:szCs w:val="22"/>
                              </w:rPr>
                              <w:t>nterprise will be sought for:</w:t>
                            </w:r>
                          </w:p>
                          <w:p w14:paraId="1F9A148C" w14:textId="17759703" w:rsidR="00EB3B59" w:rsidRDefault="00EB3B59" w:rsidP="002E451A">
                            <w:pPr>
                              <w:pStyle w:val="ListParagraph"/>
                              <w:widowControl w:val="0"/>
                              <w:numPr>
                                <w:ilvl w:val="0"/>
                                <w:numId w:val="9"/>
                              </w:numPr>
                              <w:autoSpaceDE w:val="0"/>
                              <w:autoSpaceDN w:val="0"/>
                              <w:adjustRightInd w:val="0"/>
                              <w:jc w:val="both"/>
                              <w:textAlignment w:val="center"/>
                              <w:rPr>
                                <w:rFonts w:cs="Arial"/>
                                <w:color w:val="000000"/>
                                <w:szCs w:val="22"/>
                              </w:rPr>
                            </w:pPr>
                            <w:r>
                              <w:rPr>
                                <w:rFonts w:cs="Arial"/>
                                <w:color w:val="000000"/>
                                <w:szCs w:val="22"/>
                              </w:rPr>
                              <w:t>R</w:t>
                            </w:r>
                            <w:r w:rsidRPr="002A5280">
                              <w:rPr>
                                <w:rFonts w:cs="Arial"/>
                                <w:color w:val="000000"/>
                                <w:szCs w:val="22"/>
                              </w:rPr>
                              <w:t xml:space="preserve">esidential developments of 10 units </w:t>
                            </w:r>
                            <w:r>
                              <w:rPr>
                                <w:rFonts w:cs="Arial"/>
                                <w:color w:val="000000"/>
                                <w:szCs w:val="22"/>
                              </w:rPr>
                              <w:t xml:space="preserve">or more, </w:t>
                            </w:r>
                            <w:r w:rsidRPr="002A5280">
                              <w:rPr>
                                <w:rFonts w:cs="Arial"/>
                                <w:color w:val="000000"/>
                                <w:szCs w:val="22"/>
                              </w:rPr>
                              <w:t>or with a combined gross floorspace of 1,000 sqm (</w:t>
                            </w:r>
                            <w:r>
                              <w:rPr>
                                <w:rFonts w:cs="Arial"/>
                                <w:color w:val="000000"/>
                                <w:szCs w:val="22"/>
                              </w:rPr>
                              <w:t>GIA</w:t>
                            </w:r>
                            <w:r w:rsidRPr="002A5280">
                              <w:rPr>
                                <w:rFonts w:cs="Arial"/>
                                <w:color w:val="000000"/>
                                <w:szCs w:val="22"/>
                              </w:rPr>
                              <w:t>) or more</w:t>
                            </w:r>
                          </w:p>
                          <w:p w14:paraId="7512F21B" w14:textId="77777777" w:rsidR="00EB3B59" w:rsidRPr="00CC0E9E" w:rsidRDefault="00EB3B59" w:rsidP="002E451A">
                            <w:pPr>
                              <w:pStyle w:val="ListParagraph"/>
                              <w:numPr>
                                <w:ilvl w:val="0"/>
                                <w:numId w:val="9"/>
                              </w:numPr>
                              <w:jc w:val="both"/>
                              <w:rPr>
                                <w:rFonts w:cs="Arial"/>
                                <w:color w:val="000000"/>
                                <w:szCs w:val="22"/>
                              </w:rPr>
                            </w:pPr>
                            <w:r>
                              <w:rPr>
                                <w:rFonts w:cs="Arial"/>
                                <w:color w:val="000000"/>
                                <w:szCs w:val="22"/>
                              </w:rPr>
                              <w:t>A</w:t>
                            </w:r>
                            <w:r w:rsidRPr="008138A9">
                              <w:rPr>
                                <w:rFonts w:cs="Arial"/>
                                <w:color w:val="000000"/>
                                <w:szCs w:val="22"/>
                              </w:rPr>
                              <w:t xml:space="preserve">ll major commercial development </w:t>
                            </w:r>
                          </w:p>
                          <w:p w14:paraId="72DEFF4D" w14:textId="77777777" w:rsidR="00EB3B59" w:rsidRDefault="00EB3B59" w:rsidP="002E451A">
                            <w:pPr>
                              <w:jc w:val="both"/>
                            </w:pPr>
                            <w:r w:rsidRPr="002A5280">
                              <w:t xml:space="preserve">The Council will seek to secure a minimum 20% of the total value of contracts, which procure goods and services during the construction phase of the development, to be </w:t>
                            </w:r>
                            <w:r>
                              <w:t xml:space="preserve">fulfilled </w:t>
                            </w:r>
                            <w:r w:rsidRPr="002A5280">
                              <w:t xml:space="preserve">using firms located within the borough. This will be subject to competition rules. </w:t>
                            </w:r>
                          </w:p>
                          <w:p w14:paraId="6FF512CC" w14:textId="77777777" w:rsidR="00EB3B59" w:rsidRPr="00C663C7" w:rsidRDefault="00EB3B59" w:rsidP="002E451A">
                            <w:pPr>
                              <w:jc w:val="both"/>
                              <w:rPr>
                                <w:bCs/>
                                <w:sz w:val="20"/>
                                <w:szCs w:val="20"/>
                                <w:highlight w:val="yellow"/>
                                <w:lang w:val="en-US"/>
                              </w:rPr>
                            </w:pPr>
                            <w:r w:rsidRPr="002A5280">
                              <w:t>The developer will be expected to work with the Council and</w:t>
                            </w:r>
                            <w:r>
                              <w:t xml:space="preserve"> other</w:t>
                            </w:r>
                            <w:r w:rsidRPr="002A5280">
                              <w:t xml:space="preserve"> organisations it may choose to nominate, in order to maximise the opportunities for local firms to win contracts through established procurement procedures.</w:t>
                            </w:r>
                            <w:r w:rsidRPr="00E454D8">
                              <w:rPr>
                                <w:bCs/>
                                <w:sz w:val="20"/>
                                <w:szCs w:val="20"/>
                                <w:highlight w:val="yellow"/>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351C3D" id="Text Box 39" o:spid="_x0000_s1040" type="#_x0000_t202" style="width:451.3pt;height:2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" fillcolor="#dbe5f1 [660]" stroked="f">
                <v:textbox>
                  <w:txbxContent>
                    <w:p w14:paraId="26E8C207" w14:textId="77777777" w:rsidR="00EB3B59" w:rsidRPr="001A2022" w:rsidRDefault="00EB3B59" w:rsidP="002E451A">
                      <w:pPr>
                        <w:widowControl w:val="0"/>
                        <w:autoSpaceDE w:val="0"/>
                        <w:autoSpaceDN w:val="0"/>
                        <w:adjustRightInd w:val="0"/>
                        <w:jc w:val="both"/>
                        <w:textAlignment w:val="center"/>
                        <w:rPr>
                          <w:rFonts w:cs="Arial"/>
                          <w:b/>
                          <w:szCs w:val="22"/>
                          <w:lang w:val="en-US"/>
                        </w:rPr>
                      </w:pPr>
                      <w:r w:rsidRPr="001A2022">
                        <w:rPr>
                          <w:rFonts w:cs="Arial"/>
                          <w:b/>
                          <w:szCs w:val="22"/>
                          <w:lang w:val="en-US"/>
                        </w:rPr>
                        <w:t>Threshold and Contribution Requirements</w:t>
                      </w:r>
                    </w:p>
                    <w:p w14:paraId="4A685538" w14:textId="77777777" w:rsidR="00EB3B59" w:rsidRPr="001A2022" w:rsidRDefault="00EB3B59" w:rsidP="002E451A">
                      <w:pPr>
                        <w:widowControl w:val="0"/>
                        <w:autoSpaceDE w:val="0"/>
                        <w:autoSpaceDN w:val="0"/>
                        <w:adjustRightInd w:val="0"/>
                        <w:jc w:val="both"/>
                        <w:textAlignment w:val="center"/>
                        <w:rPr>
                          <w:rFonts w:cs="Arial"/>
                          <w:color w:val="000000"/>
                          <w:szCs w:val="22"/>
                        </w:rPr>
                      </w:pPr>
                      <w:r w:rsidRPr="001A2022">
                        <w:rPr>
                          <w:rFonts w:cs="Arial"/>
                          <w:color w:val="000000"/>
                          <w:szCs w:val="22"/>
                        </w:rPr>
                        <w:t xml:space="preserve">Planning obligations relating to </w:t>
                      </w:r>
                      <w:r>
                        <w:rPr>
                          <w:rFonts w:cs="Arial"/>
                          <w:color w:val="000000"/>
                          <w:szCs w:val="22"/>
                        </w:rPr>
                        <w:t>l</w:t>
                      </w:r>
                      <w:r w:rsidRPr="001A2022">
                        <w:rPr>
                          <w:rFonts w:cs="Arial"/>
                          <w:color w:val="000000"/>
                          <w:szCs w:val="22"/>
                        </w:rPr>
                        <w:t xml:space="preserve">ocal </w:t>
                      </w:r>
                      <w:r>
                        <w:rPr>
                          <w:rFonts w:cs="Arial"/>
                          <w:color w:val="000000"/>
                          <w:szCs w:val="22"/>
                        </w:rPr>
                        <w:t>e</w:t>
                      </w:r>
                      <w:r w:rsidRPr="001A2022">
                        <w:rPr>
                          <w:rFonts w:cs="Arial"/>
                          <w:color w:val="000000"/>
                          <w:szCs w:val="22"/>
                        </w:rPr>
                        <w:t>nterprise will be sought for:</w:t>
                      </w:r>
                    </w:p>
                    <w:p w14:paraId="1F9A148C" w14:textId="17759703" w:rsidR="00EB3B59" w:rsidRDefault="00EB3B59" w:rsidP="002E451A">
                      <w:pPr>
                        <w:pStyle w:val="ListParagraph"/>
                        <w:widowControl w:val="0"/>
                        <w:numPr>
                          <w:ilvl w:val="0"/>
                          <w:numId w:val="9"/>
                        </w:numPr>
                        <w:autoSpaceDE w:val="0"/>
                        <w:autoSpaceDN w:val="0"/>
                        <w:adjustRightInd w:val="0"/>
                        <w:jc w:val="both"/>
                        <w:textAlignment w:val="center"/>
                        <w:rPr>
                          <w:rFonts w:cs="Arial"/>
                          <w:color w:val="000000"/>
                          <w:szCs w:val="22"/>
                        </w:rPr>
                      </w:pPr>
                      <w:r>
                        <w:rPr>
                          <w:rFonts w:cs="Arial"/>
                          <w:color w:val="000000"/>
                          <w:szCs w:val="22"/>
                        </w:rPr>
                        <w:t>R</w:t>
                      </w:r>
                      <w:r w:rsidRPr="002A5280">
                        <w:rPr>
                          <w:rFonts w:cs="Arial"/>
                          <w:color w:val="000000"/>
                          <w:szCs w:val="22"/>
                        </w:rPr>
                        <w:t xml:space="preserve">esidential developments of 10 units </w:t>
                      </w:r>
                      <w:r>
                        <w:rPr>
                          <w:rFonts w:cs="Arial"/>
                          <w:color w:val="000000"/>
                          <w:szCs w:val="22"/>
                        </w:rPr>
                        <w:t xml:space="preserve">or more, </w:t>
                      </w:r>
                      <w:r w:rsidRPr="002A5280">
                        <w:rPr>
                          <w:rFonts w:cs="Arial"/>
                          <w:color w:val="000000"/>
                          <w:szCs w:val="22"/>
                        </w:rPr>
                        <w:t>or with a combined gross floorspace of 1,000 sqm (</w:t>
                      </w:r>
                      <w:r>
                        <w:rPr>
                          <w:rFonts w:cs="Arial"/>
                          <w:color w:val="000000"/>
                          <w:szCs w:val="22"/>
                        </w:rPr>
                        <w:t>GIA</w:t>
                      </w:r>
                      <w:r w:rsidRPr="002A5280">
                        <w:rPr>
                          <w:rFonts w:cs="Arial"/>
                          <w:color w:val="000000"/>
                          <w:szCs w:val="22"/>
                        </w:rPr>
                        <w:t>) or more</w:t>
                      </w:r>
                    </w:p>
                    <w:p w14:paraId="7512F21B" w14:textId="77777777" w:rsidR="00EB3B59" w:rsidRPr="00CC0E9E" w:rsidRDefault="00EB3B59" w:rsidP="002E451A">
                      <w:pPr>
                        <w:pStyle w:val="ListParagraph"/>
                        <w:numPr>
                          <w:ilvl w:val="0"/>
                          <w:numId w:val="9"/>
                        </w:numPr>
                        <w:jc w:val="both"/>
                        <w:rPr>
                          <w:rFonts w:cs="Arial"/>
                          <w:color w:val="000000"/>
                          <w:szCs w:val="22"/>
                        </w:rPr>
                      </w:pPr>
                      <w:r>
                        <w:rPr>
                          <w:rFonts w:cs="Arial"/>
                          <w:color w:val="000000"/>
                          <w:szCs w:val="22"/>
                        </w:rPr>
                        <w:t>A</w:t>
                      </w:r>
                      <w:r w:rsidRPr="008138A9">
                        <w:rPr>
                          <w:rFonts w:cs="Arial"/>
                          <w:color w:val="000000"/>
                          <w:szCs w:val="22"/>
                        </w:rPr>
                        <w:t xml:space="preserve">ll major commercial development </w:t>
                      </w:r>
                    </w:p>
                    <w:p w14:paraId="72DEFF4D" w14:textId="77777777" w:rsidR="00EB3B59" w:rsidRDefault="00EB3B59" w:rsidP="002E451A">
                      <w:pPr>
                        <w:jc w:val="both"/>
                      </w:pPr>
                      <w:r w:rsidRPr="002A5280">
                        <w:t xml:space="preserve">The Council will seek to secure a minimum 20% of the total value of contracts, which procure goods and services during the construction phase of the development, to be </w:t>
                      </w:r>
                      <w:r>
                        <w:t xml:space="preserve">fulfilled </w:t>
                      </w:r>
                      <w:r w:rsidRPr="002A5280">
                        <w:t xml:space="preserve">using firms located within the borough. This will be subject to competition rules. </w:t>
                      </w:r>
                    </w:p>
                    <w:p w14:paraId="6FF512CC" w14:textId="77777777" w:rsidR="00EB3B59" w:rsidRPr="00C663C7" w:rsidRDefault="00EB3B59" w:rsidP="002E451A">
                      <w:pPr>
                        <w:jc w:val="both"/>
                        <w:rPr>
                          <w:bCs/>
                          <w:sz w:val="20"/>
                          <w:szCs w:val="20"/>
                          <w:highlight w:val="yellow"/>
                          <w:lang w:val="en-US"/>
                        </w:rPr>
                      </w:pPr>
                      <w:r w:rsidRPr="002A5280">
                        <w:t>The developer will be expected to work with the Council and</w:t>
                      </w:r>
                      <w:r>
                        <w:t xml:space="preserve"> other</w:t>
                      </w:r>
                      <w:r w:rsidRPr="002A5280">
                        <w:t xml:space="preserve"> organisations it may choose to nominate, in order to maximise the opportunities for local firms to win contracts through established procurement procedures.</w:t>
                      </w:r>
                      <w:r w:rsidRPr="00E454D8">
                        <w:rPr>
                          <w:bCs/>
                          <w:sz w:val="20"/>
                          <w:szCs w:val="20"/>
                          <w:highlight w:val="yellow"/>
                          <w:lang w:val="en-US"/>
                        </w:rPr>
                        <w:t xml:space="preserve"> </w:t>
                      </w:r>
                    </w:p>
                  </w:txbxContent>
                </v:textbox>
                <w10:anchorlock/>
              </v:shape>
            </w:pict>
          </mc:Fallback>
        </mc:AlternateContent>
      </w:r>
    </w:p>
    <w:p w14:paraId="449037D2" w14:textId="77777777" w:rsidR="00DD1BF4" w:rsidRPr="000D65CE" w:rsidRDefault="00DD1BF4" w:rsidP="003B280C">
      <w:pPr>
        <w:pStyle w:val="Paragraphs"/>
        <w:numPr>
          <w:ilvl w:val="0"/>
          <w:numId w:val="0"/>
        </w:numPr>
        <w:spacing w:before="360" w:after="120"/>
        <w:ind w:firstLine="170"/>
        <w:rPr>
          <w:rStyle w:val="Strong"/>
          <w:lang w:val="en-GB"/>
        </w:rPr>
      </w:pPr>
      <w:r w:rsidRPr="000D65CE">
        <w:rPr>
          <w:rStyle w:val="Strong"/>
          <w:lang w:val="en-GB"/>
        </w:rPr>
        <w:t xml:space="preserve">Recommended </w:t>
      </w:r>
      <w:r w:rsidR="00C663C7" w:rsidRPr="000D65CE">
        <w:rPr>
          <w:rStyle w:val="Strong"/>
          <w:lang w:val="en-GB"/>
        </w:rPr>
        <w:t xml:space="preserve">points for inclusion in Heads of Terms </w:t>
      </w:r>
    </w:p>
    <w:p w14:paraId="6BBA3B25" w14:textId="77777777" w:rsidR="00DD1BF4" w:rsidRPr="000D65CE" w:rsidRDefault="00C663C7" w:rsidP="003B280C">
      <w:pPr>
        <w:pStyle w:val="Paragraphs"/>
        <w:rPr>
          <w:rStyle w:val="Strong"/>
          <w:b w:val="0"/>
          <w:bCs w:val="0"/>
          <w:sz w:val="22"/>
          <w:lang w:val="en-GB"/>
        </w:rPr>
      </w:pPr>
      <w:r w:rsidRPr="28D940A9">
        <w:rPr>
          <w:rStyle w:val="Strong"/>
          <w:b w:val="0"/>
          <w:bCs w:val="0"/>
          <w:sz w:val="22"/>
          <w:lang w:val="en-GB"/>
        </w:rPr>
        <w:t>The following points should be addressed in the agreement of draft planning obligation Heads of Terms:</w:t>
      </w:r>
    </w:p>
    <w:p w14:paraId="627BDBB2" w14:textId="77777777" w:rsidR="00C663C7" w:rsidRPr="000D65CE" w:rsidRDefault="00C663C7" w:rsidP="003B280C">
      <w:pPr>
        <w:pStyle w:val="ListBullet4"/>
        <w:jc w:val="both"/>
      </w:pPr>
      <w:r>
        <w:t>Should the obligation include a prior to occupation clause, discharge should be requested at lea</w:t>
      </w:r>
      <w:r w:rsidR="002B0BF7">
        <w:t>st 3 months prior to occupation</w:t>
      </w:r>
      <w:r>
        <w:t xml:space="preserve"> </w:t>
      </w:r>
    </w:p>
    <w:p w14:paraId="44A8332D" w14:textId="0B57B912" w:rsidR="0044023A" w:rsidRPr="000D65CE" w:rsidRDefault="0044023A" w:rsidP="003B280C">
      <w:pPr>
        <w:pStyle w:val="ListBullet4"/>
        <w:jc w:val="both"/>
      </w:pPr>
      <w:r>
        <w:t xml:space="preserve">Discharge for </w:t>
      </w:r>
      <w:r w:rsidR="00724696">
        <w:t>c</w:t>
      </w:r>
      <w:r>
        <w:t>onstruction phase employment and enterprise obligations should be requested upon completion of the development and no later than 3 months from the end of construction</w:t>
      </w:r>
    </w:p>
    <w:p w14:paraId="7AD878DC" w14:textId="77777777" w:rsidR="00C663C7" w:rsidRPr="000D65CE" w:rsidRDefault="00C663C7" w:rsidP="003B280C">
      <w:pPr>
        <w:pStyle w:val="ListBullet4"/>
        <w:jc w:val="both"/>
      </w:pPr>
      <w:r>
        <w:t>Spot checks will be carried out to ensure th</w:t>
      </w:r>
      <w:r w:rsidR="002B0BF7">
        <w:t>at</w:t>
      </w:r>
      <w:r>
        <w:t xml:space="preserve"> o</w:t>
      </w:r>
      <w:r w:rsidR="002B0BF7">
        <w:t>bligations have been adhered to</w:t>
      </w:r>
      <w:r>
        <w:t xml:space="preserve"> </w:t>
      </w:r>
    </w:p>
    <w:p w14:paraId="17A1EA24" w14:textId="77777777" w:rsidR="00C663C7" w:rsidRPr="000D65CE" w:rsidRDefault="00C663C7" w:rsidP="003B280C">
      <w:pPr>
        <w:pStyle w:val="ListBullet4"/>
        <w:jc w:val="both"/>
      </w:pPr>
      <w:r>
        <w:t xml:space="preserve">Prior or existing supplier agreements will be considered </w:t>
      </w:r>
      <w:r w:rsidR="002B0BF7">
        <w:t>as part of the calculated value</w:t>
      </w:r>
      <w:r>
        <w:t xml:space="preserve">  </w:t>
      </w:r>
    </w:p>
    <w:p w14:paraId="39A01862" w14:textId="77777777" w:rsidR="0044023A" w:rsidRPr="000D65CE" w:rsidRDefault="0044023A" w:rsidP="003B280C">
      <w:pPr>
        <w:pStyle w:val="ListBullet4"/>
        <w:jc w:val="both"/>
        <w:rPr>
          <w:rStyle w:val="Strong"/>
          <w:b w:val="0"/>
          <w:bCs w:val="0"/>
        </w:rPr>
      </w:pPr>
      <w:r>
        <w:t>Tower Hamlets businesses who apply for supply chain contracts must be given feedback in the event they are not sele</w:t>
      </w:r>
      <w:r w:rsidR="00044F29">
        <w:t>cted for contract opportunities</w:t>
      </w:r>
    </w:p>
    <w:p w14:paraId="007D964A" w14:textId="633DCAED" w:rsidR="001A1F50" w:rsidRPr="000D65CE" w:rsidRDefault="001A1F50" w:rsidP="00721B10">
      <w:pPr>
        <w:pStyle w:val="Heading2"/>
        <w:rPr>
          <w:rStyle w:val="Strong"/>
          <w:b/>
          <w:bCs/>
          <w:sz w:val="28"/>
        </w:rPr>
      </w:pPr>
      <w:bookmarkStart w:id="13" w:name="_Toc69374674"/>
      <w:r w:rsidRPr="000D65CE">
        <w:rPr>
          <w:rStyle w:val="Strong"/>
          <w:b/>
          <w:bCs/>
          <w:sz w:val="28"/>
        </w:rPr>
        <w:t>Affordable Workspace</w:t>
      </w:r>
      <w:bookmarkEnd w:id="13"/>
    </w:p>
    <w:tbl>
      <w:tblPr>
        <w:tblStyle w:val="TableGrid"/>
        <w:tblW w:w="0" w:type="auto"/>
        <w:tblInd w:w="780"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4E01EF84" w14:textId="77777777" w:rsidTr="00921BA6">
        <w:tc>
          <w:tcPr>
            <w:tcW w:w="3119" w:type="dxa"/>
            <w:tcBorders>
              <w:bottom w:val="single" w:sz="8" w:space="0" w:color="006BB6"/>
            </w:tcBorders>
            <w:shd w:val="clear" w:color="auto" w:fill="F2F2F2" w:themeFill="background1" w:themeFillShade="F2"/>
          </w:tcPr>
          <w:p w14:paraId="6CFB3F97"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7DC37239"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D.EMP1, D.EMP2</w:t>
            </w:r>
          </w:p>
        </w:tc>
      </w:tr>
    </w:tbl>
    <w:p w14:paraId="3B4E69B4" w14:textId="77777777" w:rsidR="00575071" w:rsidRPr="000D65CE" w:rsidRDefault="00575071" w:rsidP="003B280C">
      <w:pPr>
        <w:jc w:val="both"/>
      </w:pPr>
    </w:p>
    <w:p w14:paraId="4A39F48F" w14:textId="6F865864" w:rsidR="00AD7A78" w:rsidRPr="000D65CE" w:rsidRDefault="00AD7A78" w:rsidP="003B280C">
      <w:pPr>
        <w:pStyle w:val="Paragraphs"/>
        <w:rPr>
          <w:lang w:val="en-GB"/>
        </w:rPr>
      </w:pPr>
      <w:r w:rsidRPr="000D65CE">
        <w:rPr>
          <w:lang w:val="en-GB"/>
        </w:rPr>
        <w:t xml:space="preserve">Between 2006 and 2015, the number of enterprises that employ fewer than 10 </w:t>
      </w:r>
      <w:r w:rsidRPr="000D65CE">
        <w:rPr>
          <w:lang w:val="en-GB"/>
        </w:rPr>
        <w:lastRenderedPageBreak/>
        <w:t>workers grew from 9,219 to 13,000</w:t>
      </w:r>
      <w:r w:rsidRPr="000D65CE">
        <w:rPr>
          <w:rStyle w:val="FootnoteReference"/>
          <w:lang w:val="en-GB"/>
        </w:rPr>
        <w:footnoteReference w:id="9"/>
      </w:r>
      <w:r w:rsidRPr="000D65CE">
        <w:rPr>
          <w:lang w:val="en-GB"/>
        </w:rPr>
        <w:t xml:space="preserve"> in the </w:t>
      </w:r>
      <w:r w:rsidR="00F447A2" w:rsidRPr="000D65CE">
        <w:rPr>
          <w:lang w:val="en-GB"/>
        </w:rPr>
        <w:t>b</w:t>
      </w:r>
      <w:r w:rsidR="00747592" w:rsidRPr="000D65CE">
        <w:rPr>
          <w:lang w:val="en-GB"/>
        </w:rPr>
        <w:t>orough</w:t>
      </w:r>
      <w:r w:rsidRPr="000D65CE">
        <w:rPr>
          <w:lang w:val="en-GB"/>
        </w:rPr>
        <w:t>. The number of SME</w:t>
      </w:r>
      <w:r w:rsidR="0072082B">
        <w:rPr>
          <w:lang w:val="en-GB"/>
        </w:rPr>
        <w:t>s</w:t>
      </w:r>
      <w:r w:rsidRPr="000D65CE">
        <w:rPr>
          <w:lang w:val="en-GB"/>
        </w:rPr>
        <w:t xml:space="preserve"> that employ fewer than 250 employees has also grown to 80,000 people at 16,000 firms. Whilst the average size of an office has increased from 500 sqm in 2000</w:t>
      </w:r>
      <w:r w:rsidR="00044F29" w:rsidRPr="000D65CE">
        <w:rPr>
          <w:lang w:val="en-GB"/>
        </w:rPr>
        <w:t>,</w:t>
      </w:r>
      <w:r w:rsidRPr="000D65CE">
        <w:rPr>
          <w:lang w:val="en-GB"/>
        </w:rPr>
        <w:t xml:space="preserve"> to 617 sqm in 2016, the demand for small office space is also growing, with very little real estate transactions, resulting in unsatisfied demand. Also influencing this situation is the broader trend of increasing rents and </w:t>
      </w:r>
      <w:r w:rsidR="00F447A2" w:rsidRPr="000D65CE">
        <w:rPr>
          <w:lang w:val="en-GB"/>
        </w:rPr>
        <w:t>loss of employment land in the b</w:t>
      </w:r>
      <w:r w:rsidRPr="000D65CE">
        <w:rPr>
          <w:lang w:val="en-GB"/>
        </w:rPr>
        <w:t xml:space="preserve">orough. </w:t>
      </w:r>
    </w:p>
    <w:p w14:paraId="2C67E772" w14:textId="426C6390" w:rsidR="00AD7A78" w:rsidRPr="000D65CE" w:rsidRDefault="00AD7A78" w:rsidP="003B280C">
      <w:pPr>
        <w:pStyle w:val="Paragraphs"/>
        <w:rPr>
          <w:lang w:val="en-GB"/>
        </w:rPr>
      </w:pPr>
      <w:r w:rsidRPr="7A52AF77">
        <w:rPr>
          <w:lang w:val="en-GB"/>
        </w:rPr>
        <w:t xml:space="preserve">In order to address this, Local Plan Policy D.EMP2 requires at least 10% of new employment floorspace is flexibly designed to provide </w:t>
      </w:r>
      <w:r w:rsidR="00892A5D" w:rsidRPr="7A52AF77">
        <w:rPr>
          <w:lang w:val="en-GB"/>
        </w:rPr>
        <w:t>Affordable Workspace</w:t>
      </w:r>
      <w:r w:rsidR="000B2596" w:rsidRPr="7A52AF77">
        <w:rPr>
          <w:lang w:val="en-GB"/>
        </w:rPr>
        <w:t xml:space="preserve"> in all </w:t>
      </w:r>
      <w:r w:rsidRPr="7A52AF77">
        <w:rPr>
          <w:lang w:val="en-GB"/>
        </w:rPr>
        <w:t>M</w:t>
      </w:r>
      <w:r w:rsidR="000B2596" w:rsidRPr="7A52AF77">
        <w:rPr>
          <w:lang w:val="en-GB"/>
        </w:rPr>
        <w:t xml:space="preserve">ajor </w:t>
      </w:r>
      <w:r w:rsidRPr="7A52AF77">
        <w:rPr>
          <w:lang w:val="en-GB"/>
        </w:rPr>
        <w:t>Developments of at least 1,000 sqm gross.</w:t>
      </w:r>
      <w:r w:rsidR="00952392">
        <w:rPr>
          <w:lang w:val="en-GB"/>
        </w:rPr>
        <w:t xml:space="preserve"> This includes use class changes which do not meet permitted development </w:t>
      </w:r>
      <w:r w:rsidR="005A7CB1">
        <w:rPr>
          <w:lang w:val="en-GB"/>
        </w:rPr>
        <w:t>requirements</w:t>
      </w:r>
      <w:r w:rsidR="00952392">
        <w:rPr>
          <w:lang w:val="en-GB"/>
        </w:rPr>
        <w:t xml:space="preserve">. </w:t>
      </w:r>
      <w:r w:rsidRPr="7A52AF77">
        <w:rPr>
          <w:lang w:val="en-GB"/>
        </w:rPr>
        <w:t>Th</w:t>
      </w:r>
      <w:r w:rsidR="00952392">
        <w:rPr>
          <w:lang w:val="en-GB"/>
        </w:rPr>
        <w:t>e</w:t>
      </w:r>
      <w:r w:rsidRPr="7A52AF77">
        <w:rPr>
          <w:lang w:val="en-GB"/>
        </w:rPr>
        <w:t xml:space="preserve"> 10% should be based on the </w:t>
      </w:r>
      <w:r w:rsidR="00724696" w:rsidRPr="7A52AF77">
        <w:rPr>
          <w:lang w:val="en-GB"/>
        </w:rPr>
        <w:t>g</w:t>
      </w:r>
      <w:r w:rsidRPr="7A52AF77">
        <w:rPr>
          <w:lang w:val="en-GB"/>
        </w:rPr>
        <w:t xml:space="preserve">ross </w:t>
      </w:r>
      <w:r w:rsidR="00724696" w:rsidRPr="7A52AF77">
        <w:rPr>
          <w:lang w:val="en-GB"/>
        </w:rPr>
        <w:t>I</w:t>
      </w:r>
      <w:r w:rsidRPr="7A52AF77">
        <w:rPr>
          <w:lang w:val="en-GB"/>
        </w:rPr>
        <w:t xml:space="preserve">nternal </w:t>
      </w:r>
      <w:r w:rsidR="00724696" w:rsidRPr="7A52AF77">
        <w:rPr>
          <w:lang w:val="en-GB"/>
        </w:rPr>
        <w:t>a</w:t>
      </w:r>
      <w:r w:rsidRPr="7A52AF77">
        <w:rPr>
          <w:lang w:val="en-GB"/>
        </w:rPr>
        <w:t>rea (GIA) of the commercial floorspace</w:t>
      </w:r>
      <w:r w:rsidR="00E21190" w:rsidRPr="28D940A9">
        <w:rPr>
          <w:lang w:val="en-GB"/>
        </w:rPr>
        <w:t xml:space="preserve"> that falls under Use Classes E(g), B2 and B8</w:t>
      </w:r>
      <w:r w:rsidR="00E21190">
        <w:rPr>
          <w:rStyle w:val="FootnoteReference"/>
          <w:lang w:val="en-GB"/>
        </w:rPr>
        <w:footnoteReference w:id="10"/>
      </w:r>
      <w:r w:rsidRPr="7A52AF77">
        <w:rPr>
          <w:lang w:val="en-GB"/>
        </w:rPr>
        <w:t xml:space="preserve"> whether this is a commercial or </w:t>
      </w:r>
      <w:r w:rsidR="00B64F1D" w:rsidRPr="7A52AF77">
        <w:rPr>
          <w:lang w:val="en-GB"/>
        </w:rPr>
        <w:t>mixed-use</w:t>
      </w:r>
      <w:r w:rsidRPr="7A52AF77">
        <w:rPr>
          <w:lang w:val="en-GB"/>
        </w:rPr>
        <w:t xml:space="preserve"> development.</w:t>
      </w:r>
    </w:p>
    <w:p w14:paraId="2926BD8F" w14:textId="082BA2B1" w:rsidR="00610BF6" w:rsidRPr="000D65CE" w:rsidRDefault="00610BF6" w:rsidP="003B280C">
      <w:pPr>
        <w:spacing w:before="360" w:after="120"/>
        <w:jc w:val="both"/>
        <w:rPr>
          <w:b/>
          <w:color w:val="00477E"/>
          <w:sz w:val="24"/>
        </w:rPr>
      </w:pPr>
      <w:r w:rsidRPr="000D65CE">
        <w:rPr>
          <w:b/>
          <w:color w:val="00477E"/>
          <w:sz w:val="24"/>
        </w:rPr>
        <w:t xml:space="preserve">How the Council will </w:t>
      </w:r>
      <w:r w:rsidR="003A1BFE" w:rsidRPr="000D65CE">
        <w:rPr>
          <w:b/>
          <w:color w:val="00477E"/>
          <w:sz w:val="24"/>
        </w:rPr>
        <w:t xml:space="preserve">Secure </w:t>
      </w:r>
      <w:r w:rsidR="00892A5D" w:rsidRPr="000D65CE">
        <w:rPr>
          <w:b/>
          <w:color w:val="00477E"/>
          <w:sz w:val="24"/>
        </w:rPr>
        <w:t>Affordable Workspace</w:t>
      </w:r>
      <w:r w:rsidRPr="000D65CE">
        <w:rPr>
          <w:b/>
          <w:color w:val="00477E"/>
          <w:sz w:val="24"/>
        </w:rPr>
        <w:t xml:space="preserve"> </w:t>
      </w:r>
      <w:r w:rsidR="003A1BFE" w:rsidRPr="000D65CE">
        <w:rPr>
          <w:b/>
          <w:color w:val="00477E"/>
          <w:sz w:val="24"/>
        </w:rPr>
        <w:t xml:space="preserve">Through </w:t>
      </w:r>
      <w:r w:rsidR="00724696">
        <w:rPr>
          <w:b/>
          <w:color w:val="00477E"/>
          <w:sz w:val="24"/>
        </w:rPr>
        <w:t>Planning Obligations</w:t>
      </w:r>
    </w:p>
    <w:p w14:paraId="4E42D2D1" w14:textId="77777777" w:rsidR="00F94953" w:rsidRPr="000D65CE" w:rsidRDefault="00F94953" w:rsidP="003B280C">
      <w:pPr>
        <w:ind w:firstLine="170"/>
        <w:jc w:val="both"/>
        <w:rPr>
          <w:b/>
        </w:rPr>
      </w:pPr>
      <w:r w:rsidRPr="000D65CE">
        <w:rPr>
          <w:b/>
        </w:rPr>
        <w:t xml:space="preserve">What is </w:t>
      </w:r>
      <w:r w:rsidR="00892A5D" w:rsidRPr="000D65CE">
        <w:rPr>
          <w:b/>
        </w:rPr>
        <w:t>Affordable Workspace</w:t>
      </w:r>
      <w:r w:rsidRPr="000D65CE">
        <w:rPr>
          <w:b/>
        </w:rPr>
        <w:t>?</w:t>
      </w:r>
    </w:p>
    <w:p w14:paraId="749E7AC8" w14:textId="0D0D1E0C" w:rsidR="00AD7A78" w:rsidRPr="000D65CE" w:rsidRDefault="00892A5D" w:rsidP="003B280C">
      <w:pPr>
        <w:pStyle w:val="Paragraphs"/>
        <w:rPr>
          <w:lang w:val="en-GB"/>
        </w:rPr>
      </w:pPr>
      <w:r w:rsidRPr="28D940A9">
        <w:rPr>
          <w:lang w:val="en-GB"/>
        </w:rPr>
        <w:t>Affordable Workspace</w:t>
      </w:r>
      <w:r w:rsidR="00AD7A78" w:rsidRPr="28D940A9">
        <w:rPr>
          <w:lang w:val="en-GB"/>
        </w:rPr>
        <w:t xml:space="preserve"> covers all commercial premises where</w:t>
      </w:r>
      <w:r w:rsidR="00E845B6" w:rsidRPr="28D940A9">
        <w:rPr>
          <w:lang w:val="en-GB"/>
        </w:rPr>
        <w:t xml:space="preserve"> at least 10% of the gross internal</w:t>
      </w:r>
      <w:r w:rsidR="00AD7A78" w:rsidRPr="28D940A9">
        <w:rPr>
          <w:lang w:val="en-GB"/>
        </w:rPr>
        <w:t xml:space="preserve"> floorspace is offered </w:t>
      </w:r>
      <w:r w:rsidR="001A6148" w:rsidRPr="28D940A9">
        <w:rPr>
          <w:lang w:val="en-GB"/>
        </w:rPr>
        <w:t>at a reduced rate</w:t>
      </w:r>
      <w:r w:rsidR="00AD7A78" w:rsidRPr="28D940A9">
        <w:rPr>
          <w:lang w:val="en-GB"/>
        </w:rPr>
        <w:t>. It is</w:t>
      </w:r>
      <w:r w:rsidR="001A3E35" w:rsidRPr="28D940A9">
        <w:rPr>
          <w:lang w:val="en-GB"/>
        </w:rPr>
        <w:t xml:space="preserve"> work</w:t>
      </w:r>
      <w:r w:rsidR="00AD7A78" w:rsidRPr="28D940A9">
        <w:rPr>
          <w:lang w:val="en-GB"/>
        </w:rPr>
        <w:t>space</w:t>
      </w:r>
      <w:r w:rsidR="00E845B6" w:rsidRPr="28D940A9">
        <w:rPr>
          <w:lang w:val="en-GB"/>
        </w:rPr>
        <w:t xml:space="preserve"> let out at below market rates</w:t>
      </w:r>
      <w:r w:rsidR="00AD7A78" w:rsidRPr="28D940A9">
        <w:rPr>
          <w:lang w:val="en-GB"/>
        </w:rPr>
        <w:t xml:space="preserve">, either in perpetuity or for a fixed period (i.e. </w:t>
      </w:r>
      <w:r w:rsidR="00E845B6" w:rsidRPr="28D940A9">
        <w:rPr>
          <w:lang w:val="en-GB"/>
        </w:rPr>
        <w:t xml:space="preserve">for a minimum period of </w:t>
      </w:r>
      <w:r w:rsidR="00AD7A78" w:rsidRPr="28D940A9">
        <w:rPr>
          <w:lang w:val="en-GB"/>
        </w:rPr>
        <w:t>10 years or more) with the purpose of encouraging access by local entrepreneurs, particularly those from disadvantaged backgrounds.</w:t>
      </w:r>
    </w:p>
    <w:p w14:paraId="7ED94935" w14:textId="0ED0379B" w:rsidR="00807C38" w:rsidRPr="000D65CE" w:rsidRDefault="00E845B6" w:rsidP="003B280C">
      <w:pPr>
        <w:pStyle w:val="Paragraphs"/>
        <w:rPr>
          <w:lang w:val="en-GB"/>
        </w:rPr>
      </w:pPr>
      <w:r w:rsidRPr="28D940A9">
        <w:rPr>
          <w:lang w:val="en-GB"/>
        </w:rPr>
        <w:t>W</w:t>
      </w:r>
      <w:r w:rsidR="00AD7A78" w:rsidRPr="28D940A9">
        <w:rPr>
          <w:lang w:val="en-GB"/>
        </w:rPr>
        <w:t xml:space="preserve">orkspace can take </w:t>
      </w:r>
      <w:r w:rsidR="00F23F11" w:rsidRPr="28D940A9">
        <w:rPr>
          <w:lang w:val="en-GB"/>
        </w:rPr>
        <w:t xml:space="preserve">a range of </w:t>
      </w:r>
      <w:r w:rsidR="00AD7A78" w:rsidRPr="28D940A9">
        <w:rPr>
          <w:lang w:val="en-GB"/>
        </w:rPr>
        <w:t xml:space="preserve">forms, such as flexible or shared workspace where </w:t>
      </w:r>
      <w:r w:rsidR="001A3E35" w:rsidRPr="28D940A9">
        <w:rPr>
          <w:lang w:val="en-GB"/>
        </w:rPr>
        <w:t>tenants have a flexible</w:t>
      </w:r>
      <w:r w:rsidR="00AD7A78" w:rsidRPr="28D940A9">
        <w:rPr>
          <w:lang w:val="en-GB"/>
        </w:rPr>
        <w:t xml:space="preserve"> agreement through a workspace provider. It can also include discounted floorspace for one or more SMEs, or shared industrial workspace for businesses or artists. The Council’s preference is for developers to deliver</w:t>
      </w:r>
      <w:r w:rsidR="00F23F11" w:rsidRPr="28D940A9">
        <w:rPr>
          <w:lang w:val="en-GB"/>
        </w:rPr>
        <w:t xml:space="preserve"> </w:t>
      </w:r>
      <w:r w:rsidR="00AD7A78" w:rsidRPr="28D940A9">
        <w:rPr>
          <w:lang w:val="en-GB"/>
        </w:rPr>
        <w:t xml:space="preserve">the </w:t>
      </w:r>
      <w:r w:rsidR="00892A5D" w:rsidRPr="28D940A9">
        <w:rPr>
          <w:lang w:val="en-GB"/>
        </w:rPr>
        <w:t>Affordable Workspace</w:t>
      </w:r>
      <w:r w:rsidR="00F23F11" w:rsidRPr="28D940A9">
        <w:rPr>
          <w:lang w:val="en-GB"/>
        </w:rPr>
        <w:t>, via a specialist</w:t>
      </w:r>
      <w:r w:rsidR="006120C3" w:rsidRPr="28D940A9">
        <w:rPr>
          <w:lang w:val="en-GB"/>
        </w:rPr>
        <w:t xml:space="preserve"> workplace</w:t>
      </w:r>
      <w:r w:rsidR="00F23F11" w:rsidRPr="28D940A9">
        <w:rPr>
          <w:lang w:val="en-GB"/>
        </w:rPr>
        <w:t xml:space="preserve"> provider,</w:t>
      </w:r>
      <w:r w:rsidR="00AD7A78" w:rsidRPr="28D940A9">
        <w:rPr>
          <w:lang w:val="en-GB"/>
        </w:rPr>
        <w:t xml:space="preserve"> as flexible workspace</w:t>
      </w:r>
      <w:r w:rsidRPr="28D940A9">
        <w:rPr>
          <w:lang w:val="en-GB"/>
        </w:rPr>
        <w:t xml:space="preserve"> such as (but not limited to)</w:t>
      </w:r>
      <w:r w:rsidR="00AD7A78" w:rsidRPr="28D940A9">
        <w:rPr>
          <w:lang w:val="en-GB"/>
        </w:rPr>
        <w:t xml:space="preserve"> offices</w:t>
      </w:r>
      <w:r w:rsidR="0056403E" w:rsidRPr="28D940A9">
        <w:rPr>
          <w:lang w:val="en-GB"/>
        </w:rPr>
        <w:t xml:space="preserve">, </w:t>
      </w:r>
      <w:r w:rsidR="0082725D" w:rsidRPr="28D940A9">
        <w:rPr>
          <w:lang w:val="en-GB"/>
        </w:rPr>
        <w:t>artists’</w:t>
      </w:r>
      <w:r w:rsidR="0056403E" w:rsidRPr="28D940A9">
        <w:rPr>
          <w:lang w:val="en-GB"/>
        </w:rPr>
        <w:t xml:space="preserve"> studios</w:t>
      </w:r>
      <w:r w:rsidR="00A06D4F" w:rsidRPr="28D940A9">
        <w:rPr>
          <w:lang w:val="en-GB"/>
        </w:rPr>
        <w:t xml:space="preserve"> and</w:t>
      </w:r>
      <w:r w:rsidR="00AD7A78" w:rsidRPr="28D940A9">
        <w:rPr>
          <w:lang w:val="en-GB"/>
        </w:rPr>
        <w:t xml:space="preserve"> industrial uses</w:t>
      </w:r>
      <w:r w:rsidR="001A3E35" w:rsidRPr="28D940A9">
        <w:rPr>
          <w:lang w:val="en-GB"/>
        </w:rPr>
        <w:t xml:space="preserve"> </w:t>
      </w:r>
      <w:r w:rsidR="00704234" w:rsidRPr="28D940A9">
        <w:rPr>
          <w:lang w:val="en-GB"/>
        </w:rPr>
        <w:t>(</w:t>
      </w:r>
      <w:r w:rsidR="001A3E35" w:rsidRPr="28D940A9">
        <w:rPr>
          <w:lang w:val="en-GB"/>
        </w:rPr>
        <w:t>subject to the circums</w:t>
      </w:r>
      <w:r w:rsidR="00704234" w:rsidRPr="28D940A9">
        <w:rPr>
          <w:lang w:val="en-GB"/>
        </w:rPr>
        <w:t>tances set out in paragraph 5.53)</w:t>
      </w:r>
      <w:r w:rsidR="006D546F" w:rsidRPr="28D940A9">
        <w:rPr>
          <w:lang w:val="en-GB"/>
        </w:rPr>
        <w:t>.</w:t>
      </w:r>
      <w:r w:rsidR="00BF7870" w:rsidRPr="28D940A9">
        <w:rPr>
          <w:lang w:val="en-GB"/>
        </w:rPr>
        <w:t xml:space="preserve"> </w:t>
      </w:r>
      <w:r w:rsidR="006120C3" w:rsidRPr="28D940A9">
        <w:rPr>
          <w:lang w:val="en-GB"/>
        </w:rPr>
        <w:t xml:space="preserve">The Council will also support </w:t>
      </w:r>
      <w:r w:rsidR="00DE08F8" w:rsidRPr="28D940A9">
        <w:rPr>
          <w:lang w:val="en-GB"/>
        </w:rPr>
        <w:t xml:space="preserve">the inclusion of community spaces and businesses paying employees London Living Wage. </w:t>
      </w:r>
    </w:p>
    <w:p w14:paraId="70DA6E83" w14:textId="4B46593F" w:rsidR="005F3002" w:rsidRPr="000D65CE" w:rsidRDefault="005F3002" w:rsidP="003B280C">
      <w:pPr>
        <w:pStyle w:val="Paragraphs"/>
        <w:rPr>
          <w:lang w:val="en-GB"/>
        </w:rPr>
      </w:pPr>
      <w:r w:rsidRPr="28D940A9">
        <w:rPr>
          <w:lang w:val="en-GB"/>
        </w:rPr>
        <w:t xml:space="preserve">In instances where the amount of committed affordable floorspace is under 300 sqm, </w:t>
      </w:r>
      <w:r w:rsidR="00092A99" w:rsidRPr="28D940A9">
        <w:rPr>
          <w:lang w:val="en-GB"/>
        </w:rPr>
        <w:t xml:space="preserve">the Council will support </w:t>
      </w:r>
      <w:r w:rsidRPr="28D940A9">
        <w:rPr>
          <w:lang w:val="en-GB"/>
        </w:rPr>
        <w:t xml:space="preserve">the relevant floor area </w:t>
      </w:r>
      <w:r w:rsidR="00092A99" w:rsidRPr="28D940A9">
        <w:rPr>
          <w:lang w:val="en-GB"/>
        </w:rPr>
        <w:t>being</w:t>
      </w:r>
      <w:r w:rsidRPr="28D940A9">
        <w:rPr>
          <w:lang w:val="en-GB"/>
        </w:rPr>
        <w:t xml:space="preserve"> let out directly to start up and SME businesses within Tower Hamlets rather than through a workspace provider. This is to help alleviate the pressure on SMEs to find suitable small office space. </w:t>
      </w:r>
    </w:p>
    <w:p w14:paraId="06CE85F7" w14:textId="64DAAA24" w:rsidR="005F3002" w:rsidRPr="000D65CE" w:rsidRDefault="005F3002" w:rsidP="003B280C">
      <w:pPr>
        <w:pStyle w:val="Paragraphs"/>
        <w:rPr>
          <w:lang w:val="en-GB"/>
        </w:rPr>
      </w:pPr>
      <w:r w:rsidRPr="28D940A9">
        <w:rPr>
          <w:lang w:val="en-GB"/>
        </w:rPr>
        <w:t>Where an existing commercial development is being redeveloped,</w:t>
      </w:r>
      <w:r w:rsidR="00197F0E" w:rsidRPr="28D940A9">
        <w:rPr>
          <w:lang w:val="en-GB"/>
        </w:rPr>
        <w:t xml:space="preserve"> the Council will support</w:t>
      </w:r>
      <w:r w:rsidRPr="28D940A9">
        <w:rPr>
          <w:lang w:val="en-GB"/>
        </w:rPr>
        <w:t xml:space="preserve"> priority be</w:t>
      </w:r>
      <w:r w:rsidR="00197F0E" w:rsidRPr="28D940A9">
        <w:rPr>
          <w:lang w:val="en-GB"/>
        </w:rPr>
        <w:t>ing</w:t>
      </w:r>
      <w:r w:rsidRPr="28D940A9">
        <w:rPr>
          <w:lang w:val="en-GB"/>
        </w:rPr>
        <w:t xml:space="preserve"> given to re-accommodating existing l</w:t>
      </w:r>
      <w:r w:rsidR="00F447A2" w:rsidRPr="28D940A9">
        <w:rPr>
          <w:lang w:val="en-GB"/>
        </w:rPr>
        <w:t xml:space="preserve">ocal SME businesses </w:t>
      </w:r>
      <w:r w:rsidR="00F447A2" w:rsidRPr="28D940A9">
        <w:rPr>
          <w:lang w:val="en-GB"/>
        </w:rPr>
        <w:lastRenderedPageBreak/>
        <w:t>within the b</w:t>
      </w:r>
      <w:r w:rsidRPr="28D940A9">
        <w:rPr>
          <w:lang w:val="en-GB"/>
        </w:rPr>
        <w:t xml:space="preserve">orough. </w:t>
      </w:r>
    </w:p>
    <w:p w14:paraId="3BF5F746" w14:textId="1B69C6B8" w:rsidR="00F94953" w:rsidRPr="000D65CE" w:rsidRDefault="00F94953" w:rsidP="003B280C">
      <w:pPr>
        <w:ind w:firstLine="170"/>
        <w:jc w:val="both"/>
        <w:rPr>
          <w:b/>
        </w:rPr>
      </w:pPr>
      <w:r w:rsidRPr="000D65CE">
        <w:rPr>
          <w:b/>
        </w:rPr>
        <w:t xml:space="preserve">Pre-application and </w:t>
      </w:r>
      <w:r w:rsidR="00032BFE">
        <w:rPr>
          <w:b/>
        </w:rPr>
        <w:t>legal</w:t>
      </w:r>
      <w:r w:rsidR="00032BFE" w:rsidRPr="000D65CE">
        <w:rPr>
          <w:b/>
        </w:rPr>
        <w:t xml:space="preserve"> </w:t>
      </w:r>
      <w:r w:rsidRPr="000D65CE">
        <w:rPr>
          <w:b/>
        </w:rPr>
        <w:t>agreements</w:t>
      </w:r>
    </w:p>
    <w:p w14:paraId="661C0827" w14:textId="77777777" w:rsidR="009B36D2" w:rsidRPr="000D65CE" w:rsidRDefault="009B36D2" w:rsidP="003B280C">
      <w:pPr>
        <w:pStyle w:val="Paragraphs"/>
        <w:rPr>
          <w:lang w:val="en-GB"/>
        </w:rPr>
      </w:pPr>
      <w:r w:rsidRPr="28D940A9">
        <w:rPr>
          <w:lang w:val="en-GB"/>
        </w:rPr>
        <w:t>Developers are encouraged to engage as early as possible at the pre-application stage (and before a planning application decision is issued) with the Council’s New Business Growth Team and agree the following:</w:t>
      </w:r>
    </w:p>
    <w:p w14:paraId="5C71A432" w14:textId="6300C032" w:rsidR="009B36D2" w:rsidRPr="000D65CE" w:rsidRDefault="009B36D2" w:rsidP="003B280C">
      <w:pPr>
        <w:pStyle w:val="ListBullet4"/>
        <w:jc w:val="both"/>
      </w:pPr>
      <w:r>
        <w:t>The affordability discount</w:t>
      </w:r>
      <w:r w:rsidR="6575EF32">
        <w:t>,</w:t>
      </w:r>
      <w:r>
        <w:t xml:space="preserve"> rent level</w:t>
      </w:r>
      <w:r w:rsidR="31DABFC3">
        <w:t xml:space="preserve"> and </w:t>
      </w:r>
      <w:r w:rsidR="30241C66">
        <w:t xml:space="preserve">associated </w:t>
      </w:r>
      <w:r w:rsidR="31DABFC3">
        <w:t>service charge level</w:t>
      </w:r>
    </w:p>
    <w:p w14:paraId="0EB4FED0" w14:textId="77777777" w:rsidR="009B36D2" w:rsidRPr="000D65CE" w:rsidRDefault="009B36D2" w:rsidP="003B280C">
      <w:pPr>
        <w:pStyle w:val="ListBullet4"/>
        <w:jc w:val="both"/>
      </w:pPr>
      <w:r>
        <w:t>Length of time to secure the affordability</w:t>
      </w:r>
    </w:p>
    <w:p w14:paraId="50A03393" w14:textId="77777777" w:rsidR="009B36D2" w:rsidRPr="000D65CE" w:rsidRDefault="009B36D2" w:rsidP="003B280C">
      <w:pPr>
        <w:pStyle w:val="ListBullet4"/>
        <w:jc w:val="both"/>
      </w:pPr>
      <w:r>
        <w:t>Amount of affordable floorspace</w:t>
      </w:r>
    </w:p>
    <w:p w14:paraId="2CE76938" w14:textId="77777777" w:rsidR="009B36D2" w:rsidRPr="000D65CE" w:rsidRDefault="009B36D2" w:rsidP="003B280C">
      <w:pPr>
        <w:pStyle w:val="ListBullet4"/>
        <w:jc w:val="both"/>
      </w:pPr>
      <w:r>
        <w:t>Relationship between the developer, workspace provider and the type of enterprises envisaged as end occupants</w:t>
      </w:r>
    </w:p>
    <w:p w14:paraId="44BC4284" w14:textId="468AC8BA" w:rsidR="00AD7A78" w:rsidRPr="000D65CE" w:rsidRDefault="00AD7A78" w:rsidP="003B280C">
      <w:pPr>
        <w:pStyle w:val="Paragraphs"/>
        <w:rPr>
          <w:lang w:val="en-GB"/>
        </w:rPr>
      </w:pPr>
      <w:r w:rsidRPr="28D940A9">
        <w:rPr>
          <w:lang w:val="en-GB"/>
        </w:rPr>
        <w:t xml:space="preserve">In cases where the </w:t>
      </w:r>
      <w:r w:rsidR="00892A5D" w:rsidRPr="28D940A9">
        <w:rPr>
          <w:lang w:val="en-GB"/>
        </w:rPr>
        <w:t>Affordable Workspace</w:t>
      </w:r>
      <w:r w:rsidRPr="28D940A9">
        <w:rPr>
          <w:lang w:val="en-GB"/>
        </w:rPr>
        <w:t xml:space="preserve"> involves a commercial tenant and an end-user tenant</w:t>
      </w:r>
      <w:r w:rsidR="00203B3A" w:rsidRPr="28D940A9">
        <w:rPr>
          <w:lang w:val="en-GB"/>
        </w:rPr>
        <w:t xml:space="preserve"> (the end user of the space)</w:t>
      </w:r>
      <w:r w:rsidRPr="28D940A9">
        <w:rPr>
          <w:lang w:val="en-GB"/>
        </w:rPr>
        <w:t xml:space="preserve">, the affordability criteria approved in the planning application should be provided for each party. </w:t>
      </w:r>
    </w:p>
    <w:p w14:paraId="05508C23" w14:textId="5F74435B" w:rsidR="00561619" w:rsidRPr="000D65CE" w:rsidRDefault="00AD7A78" w:rsidP="003B280C">
      <w:pPr>
        <w:pStyle w:val="Paragraphs"/>
        <w:rPr>
          <w:lang w:val="en-GB"/>
        </w:rPr>
      </w:pPr>
      <w:r w:rsidRPr="28D940A9">
        <w:rPr>
          <w:lang w:val="en-GB"/>
        </w:rPr>
        <w:t xml:space="preserve">The obligation to provide </w:t>
      </w:r>
      <w:r w:rsidR="00892A5D" w:rsidRPr="28D940A9">
        <w:rPr>
          <w:lang w:val="en-GB"/>
        </w:rPr>
        <w:t>Affordable Workspace</w:t>
      </w:r>
      <w:r w:rsidRPr="28D940A9">
        <w:rPr>
          <w:lang w:val="en-GB"/>
        </w:rPr>
        <w:t xml:space="preserve"> will be secured in the </w:t>
      </w:r>
      <w:r w:rsidR="00032BFE" w:rsidRPr="28D940A9">
        <w:rPr>
          <w:lang w:val="en-GB"/>
        </w:rPr>
        <w:t xml:space="preserve">legal </w:t>
      </w:r>
      <w:r w:rsidRPr="28D940A9">
        <w:rPr>
          <w:lang w:val="en-GB"/>
        </w:rPr>
        <w:t xml:space="preserve">agreement. </w:t>
      </w:r>
      <w:r w:rsidR="00561619" w:rsidRPr="28D940A9">
        <w:rPr>
          <w:lang w:val="en-GB"/>
        </w:rPr>
        <w:t>The</w:t>
      </w:r>
      <w:r w:rsidR="00F23F11" w:rsidRPr="28D940A9">
        <w:rPr>
          <w:lang w:val="en-GB"/>
        </w:rPr>
        <w:t xml:space="preserve"> affordability criteria approved in the planning application should be provided to the commercial and end-user tenant.</w:t>
      </w:r>
      <w:r w:rsidR="00561619" w:rsidRPr="28D940A9">
        <w:rPr>
          <w:lang w:val="en-GB"/>
        </w:rPr>
        <w:t xml:space="preserve"> The discount level will be secured in </w:t>
      </w:r>
      <w:r w:rsidR="007954F3" w:rsidRPr="28D940A9">
        <w:rPr>
          <w:lang w:val="en-GB"/>
        </w:rPr>
        <w:t xml:space="preserve">the </w:t>
      </w:r>
      <w:r w:rsidR="00032BFE" w:rsidRPr="28D940A9">
        <w:rPr>
          <w:lang w:val="en-GB"/>
        </w:rPr>
        <w:t xml:space="preserve">legal </w:t>
      </w:r>
      <w:r w:rsidR="00561619" w:rsidRPr="28D940A9">
        <w:rPr>
          <w:lang w:val="en-GB"/>
        </w:rPr>
        <w:t>agreement</w:t>
      </w:r>
      <w:r w:rsidR="00307858" w:rsidRPr="28D940A9">
        <w:rPr>
          <w:lang w:val="en-GB"/>
        </w:rPr>
        <w:t xml:space="preserve">. </w:t>
      </w:r>
      <w:r w:rsidR="00561619" w:rsidRPr="28D940A9">
        <w:rPr>
          <w:lang w:val="en-GB"/>
        </w:rPr>
        <w:t xml:space="preserve"> </w:t>
      </w:r>
    </w:p>
    <w:p w14:paraId="7E1CC772" w14:textId="047DDF28" w:rsidR="006C6CB6" w:rsidRDefault="00617C83" w:rsidP="003B280C">
      <w:pPr>
        <w:pStyle w:val="Paragraphs"/>
        <w:rPr>
          <w:lang w:val="en-GB"/>
        </w:rPr>
      </w:pPr>
      <w:r w:rsidRPr="28D940A9">
        <w:rPr>
          <w:lang w:val="en-GB"/>
        </w:rPr>
        <w:t>The obligation will require a</w:t>
      </w:r>
      <w:r w:rsidR="00AD7A78" w:rsidRPr="28D940A9">
        <w:rPr>
          <w:lang w:val="en-GB"/>
        </w:rPr>
        <w:t xml:space="preserve"> strategy for the </w:t>
      </w:r>
      <w:r w:rsidR="00892A5D" w:rsidRPr="28D940A9">
        <w:rPr>
          <w:lang w:val="en-GB"/>
        </w:rPr>
        <w:t>Affordable Workspace</w:t>
      </w:r>
      <w:r w:rsidR="00AD7A78" w:rsidRPr="28D940A9">
        <w:rPr>
          <w:lang w:val="en-GB"/>
        </w:rPr>
        <w:t xml:space="preserve"> </w:t>
      </w:r>
      <w:r w:rsidRPr="28D940A9">
        <w:rPr>
          <w:lang w:val="en-GB"/>
        </w:rPr>
        <w:t xml:space="preserve">to </w:t>
      </w:r>
      <w:r w:rsidR="00AD7A78" w:rsidRPr="28D940A9">
        <w:rPr>
          <w:lang w:val="en-GB"/>
        </w:rPr>
        <w:t>be submitted</w:t>
      </w:r>
      <w:r w:rsidRPr="28D940A9">
        <w:rPr>
          <w:lang w:val="en-GB"/>
        </w:rPr>
        <w:t xml:space="preserve"> for review and approval</w:t>
      </w:r>
      <w:r w:rsidR="00AD7A78" w:rsidRPr="28D940A9">
        <w:rPr>
          <w:lang w:val="en-GB"/>
        </w:rPr>
        <w:t xml:space="preserve"> </w:t>
      </w:r>
      <w:r w:rsidR="00F23F11" w:rsidRPr="28D940A9">
        <w:rPr>
          <w:lang w:val="en-GB"/>
        </w:rPr>
        <w:t>at least 1</w:t>
      </w:r>
      <w:r w:rsidR="006B7879" w:rsidRPr="28D940A9">
        <w:rPr>
          <w:lang w:val="en-GB"/>
        </w:rPr>
        <w:t>2</w:t>
      </w:r>
      <w:r w:rsidR="00F23F11" w:rsidRPr="28D940A9">
        <w:rPr>
          <w:lang w:val="en-GB"/>
        </w:rPr>
        <w:t xml:space="preserve"> months</w:t>
      </w:r>
      <w:r w:rsidR="00AD7A78" w:rsidRPr="28D940A9">
        <w:rPr>
          <w:lang w:val="en-GB"/>
        </w:rPr>
        <w:t xml:space="preserve"> prior to occupation of development</w:t>
      </w:r>
      <w:r w:rsidR="00B43EE7" w:rsidRPr="28D940A9">
        <w:rPr>
          <w:lang w:val="en-GB"/>
        </w:rPr>
        <w:t>.</w:t>
      </w:r>
      <w:r w:rsidRPr="28D940A9">
        <w:rPr>
          <w:lang w:val="en-GB"/>
        </w:rPr>
        <w:t xml:space="preserve"> </w:t>
      </w:r>
      <w:r w:rsidR="00786364" w:rsidRPr="28D940A9">
        <w:rPr>
          <w:lang w:val="en-GB"/>
        </w:rPr>
        <w:t>In</w:t>
      </w:r>
      <w:r w:rsidR="00B5056E" w:rsidRPr="28D940A9">
        <w:rPr>
          <w:lang w:val="en-GB"/>
        </w:rPr>
        <w:t xml:space="preserve"> the case of</w:t>
      </w:r>
      <w:r w:rsidR="00786364" w:rsidRPr="28D940A9">
        <w:rPr>
          <w:lang w:val="en-GB"/>
        </w:rPr>
        <w:t xml:space="preserve"> </w:t>
      </w:r>
      <w:r w:rsidR="006B7879" w:rsidRPr="28D940A9">
        <w:rPr>
          <w:lang w:val="en-GB"/>
        </w:rPr>
        <w:t>phased development</w:t>
      </w:r>
      <w:r w:rsidR="00B5056E" w:rsidRPr="28D940A9">
        <w:rPr>
          <w:lang w:val="en-GB"/>
        </w:rPr>
        <w:t xml:space="preserve"> or </w:t>
      </w:r>
      <w:r w:rsidR="00B4557E" w:rsidRPr="28D940A9">
        <w:rPr>
          <w:lang w:val="en-GB"/>
        </w:rPr>
        <w:t>r</w:t>
      </w:r>
      <w:r w:rsidR="00B5056E" w:rsidRPr="28D940A9">
        <w:rPr>
          <w:lang w:val="en-GB"/>
        </w:rPr>
        <w:t xml:space="preserve">eserved </w:t>
      </w:r>
      <w:r w:rsidR="00B4557E" w:rsidRPr="28D940A9">
        <w:rPr>
          <w:lang w:val="en-GB"/>
        </w:rPr>
        <w:t>m</w:t>
      </w:r>
      <w:r w:rsidR="00B5056E" w:rsidRPr="28D940A9">
        <w:rPr>
          <w:lang w:val="en-GB"/>
        </w:rPr>
        <w:t xml:space="preserve">atters </w:t>
      </w:r>
      <w:r w:rsidR="00B4557E" w:rsidRPr="28D940A9">
        <w:rPr>
          <w:lang w:val="en-GB"/>
        </w:rPr>
        <w:t>a</w:t>
      </w:r>
      <w:r w:rsidR="00B5056E" w:rsidRPr="28D940A9">
        <w:rPr>
          <w:lang w:val="en-GB"/>
        </w:rPr>
        <w:t>pplications</w:t>
      </w:r>
      <w:r w:rsidR="006B7879" w:rsidRPr="28D940A9">
        <w:rPr>
          <w:lang w:val="en-GB"/>
        </w:rPr>
        <w:t>,</w:t>
      </w:r>
      <w:r w:rsidRPr="28D940A9">
        <w:rPr>
          <w:lang w:val="en-GB"/>
        </w:rPr>
        <w:t xml:space="preserve"> the submission of the Affordable Workspace strategy will be linked to the occupation </w:t>
      </w:r>
      <w:r w:rsidR="00786364" w:rsidRPr="28D940A9">
        <w:rPr>
          <w:lang w:val="en-GB"/>
        </w:rPr>
        <w:t>of the phase which the Affordable Workspace is located in.  A minimum of 12 months</w:t>
      </w:r>
      <w:r w:rsidR="006B7879" w:rsidRPr="28D940A9">
        <w:rPr>
          <w:lang w:val="en-GB"/>
        </w:rPr>
        <w:t xml:space="preserve"> is required to ensure that a</w:t>
      </w:r>
      <w:r w:rsidR="006C6CB6" w:rsidRPr="28D940A9">
        <w:rPr>
          <w:lang w:val="en-GB"/>
        </w:rPr>
        <w:t>n</w:t>
      </w:r>
      <w:r w:rsidR="006B7879" w:rsidRPr="28D940A9">
        <w:rPr>
          <w:lang w:val="en-GB"/>
        </w:rPr>
        <w:t xml:space="preserve"> </w:t>
      </w:r>
      <w:r w:rsidR="006C6CB6" w:rsidRPr="28D940A9">
        <w:rPr>
          <w:lang w:val="en-GB"/>
        </w:rPr>
        <w:t xml:space="preserve">adequate </w:t>
      </w:r>
      <w:r w:rsidR="006B7879" w:rsidRPr="28D940A9">
        <w:rPr>
          <w:lang w:val="en-GB"/>
        </w:rPr>
        <w:t>period of marketing</w:t>
      </w:r>
      <w:r w:rsidR="00786364" w:rsidRPr="28D940A9">
        <w:rPr>
          <w:lang w:val="en-GB"/>
        </w:rPr>
        <w:t xml:space="preserve"> to attract a</w:t>
      </w:r>
      <w:r w:rsidR="006C6CB6" w:rsidRPr="28D940A9">
        <w:rPr>
          <w:lang w:val="en-GB"/>
        </w:rPr>
        <w:t xml:space="preserve">n Affordable </w:t>
      </w:r>
      <w:r w:rsidR="00786364" w:rsidRPr="28D940A9">
        <w:rPr>
          <w:lang w:val="en-GB"/>
        </w:rPr>
        <w:t xml:space="preserve">Workspace </w:t>
      </w:r>
      <w:r w:rsidR="006C6CB6" w:rsidRPr="28D940A9">
        <w:rPr>
          <w:lang w:val="en-GB"/>
        </w:rPr>
        <w:t xml:space="preserve">provider is undertaken prior to occupation. The Council will respond to the Affordable Workspace strategy within 2 months of its receipt.  </w:t>
      </w:r>
    </w:p>
    <w:p w14:paraId="311C4B1D" w14:textId="77777777" w:rsidR="00AD7A78" w:rsidRPr="00786364" w:rsidRDefault="00AD7A78" w:rsidP="003B280C">
      <w:pPr>
        <w:pStyle w:val="Paragraphs"/>
        <w:rPr>
          <w:lang w:val="en-GB"/>
        </w:rPr>
      </w:pPr>
      <w:r w:rsidRPr="28D940A9">
        <w:rPr>
          <w:lang w:val="en-GB"/>
        </w:rPr>
        <w:t xml:space="preserve"> </w:t>
      </w:r>
      <w:r w:rsidR="00F23F11" w:rsidRPr="28D940A9">
        <w:rPr>
          <w:lang w:val="en-GB"/>
        </w:rPr>
        <w:t xml:space="preserve">The strategy should be prepared in accordance with the template provided in </w:t>
      </w:r>
      <w:r w:rsidR="000D4590" w:rsidRPr="28D940A9">
        <w:rPr>
          <w:lang w:val="en-GB"/>
        </w:rPr>
        <w:t>Appendix A</w:t>
      </w:r>
      <w:r w:rsidR="00F23F11" w:rsidRPr="28D940A9">
        <w:rPr>
          <w:lang w:val="en-GB"/>
        </w:rPr>
        <w:t xml:space="preserve"> and should confirm </w:t>
      </w:r>
      <w:r w:rsidRPr="28D940A9">
        <w:rPr>
          <w:lang w:val="en-GB"/>
        </w:rPr>
        <w:t>the proposed type of occupier, rent level and discount. If the space will be let out to a workspace provider</w:t>
      </w:r>
      <w:r w:rsidR="007954F3" w:rsidRPr="28D940A9">
        <w:rPr>
          <w:lang w:val="en-GB"/>
        </w:rPr>
        <w:t>, details of the workspace provider and where applicable what costs</w:t>
      </w:r>
      <w:r w:rsidRPr="28D940A9">
        <w:rPr>
          <w:lang w:val="en-GB"/>
        </w:rPr>
        <w:t xml:space="preserve"> would fall on the provider and their tenants, such as fit out and service charge. If the space will be let out directly to small local businesses, a strategy should be proposed on how to target local businesses and how long the proposed leases will be. The legal agreement will include the obligation to secure further SME tenants if the first tenant outgrows the premises within the initial term.</w:t>
      </w:r>
    </w:p>
    <w:p w14:paraId="257A6430" w14:textId="77777777" w:rsidR="00F94953" w:rsidRPr="000D65CE" w:rsidRDefault="001A6148" w:rsidP="003B280C">
      <w:pPr>
        <w:ind w:firstLine="170"/>
        <w:jc w:val="both"/>
        <w:rPr>
          <w:b/>
        </w:rPr>
      </w:pPr>
      <w:r w:rsidRPr="000D65CE">
        <w:rPr>
          <w:b/>
        </w:rPr>
        <w:t xml:space="preserve">Hierarchy of </w:t>
      </w:r>
      <w:r w:rsidR="00892A5D" w:rsidRPr="000D65CE">
        <w:rPr>
          <w:b/>
        </w:rPr>
        <w:t>Affordable Workspace</w:t>
      </w:r>
      <w:r w:rsidRPr="000D65CE">
        <w:rPr>
          <w:b/>
        </w:rPr>
        <w:t xml:space="preserve"> provision</w:t>
      </w:r>
    </w:p>
    <w:p w14:paraId="6362584E" w14:textId="77777777" w:rsidR="00AD7A78" w:rsidRPr="000D65CE" w:rsidRDefault="00AD7A78" w:rsidP="003B280C">
      <w:pPr>
        <w:pStyle w:val="Paragraphs"/>
        <w:rPr>
          <w:lang w:val="en-GB"/>
        </w:rPr>
      </w:pPr>
      <w:r w:rsidRPr="28D940A9">
        <w:rPr>
          <w:lang w:val="en-GB"/>
        </w:rPr>
        <w:t xml:space="preserve">It is expected that </w:t>
      </w:r>
      <w:r w:rsidR="00892A5D" w:rsidRPr="28D940A9">
        <w:rPr>
          <w:lang w:val="en-GB"/>
        </w:rPr>
        <w:t>Affordable Workspace</w:t>
      </w:r>
      <w:r w:rsidRPr="28D940A9">
        <w:rPr>
          <w:lang w:val="en-GB"/>
        </w:rPr>
        <w:t xml:space="preserve"> will be provided within the same building in the first instance. Where this is not possible</w:t>
      </w:r>
      <w:r w:rsidR="00E845B6" w:rsidRPr="28D940A9">
        <w:rPr>
          <w:lang w:val="en-GB"/>
        </w:rPr>
        <w:t xml:space="preserve"> (in prescribed circumstances as set out in the</w:t>
      </w:r>
      <w:r w:rsidR="00D47268" w:rsidRPr="28D940A9">
        <w:rPr>
          <w:lang w:val="en-GB"/>
        </w:rPr>
        <w:t xml:space="preserve"> explanation to Policy D.EMP2 of the</w:t>
      </w:r>
      <w:r w:rsidR="00E845B6" w:rsidRPr="28D940A9">
        <w:rPr>
          <w:lang w:val="en-GB"/>
        </w:rPr>
        <w:t xml:space="preserve"> Local Plan)</w:t>
      </w:r>
      <w:r w:rsidRPr="28D940A9">
        <w:rPr>
          <w:lang w:val="en-GB"/>
        </w:rPr>
        <w:t xml:space="preserve">, the hierarchy of </w:t>
      </w:r>
      <w:r w:rsidR="00892A5D" w:rsidRPr="28D940A9">
        <w:rPr>
          <w:lang w:val="en-GB"/>
        </w:rPr>
        <w:t>Affordable Workspace</w:t>
      </w:r>
      <w:r w:rsidRPr="28D940A9">
        <w:rPr>
          <w:lang w:val="en-GB"/>
        </w:rPr>
        <w:t xml:space="preserve"> provision below should be followed: </w:t>
      </w:r>
    </w:p>
    <w:p w14:paraId="4EE2A47E" w14:textId="77777777" w:rsidR="00AD7A78" w:rsidRPr="000D65CE" w:rsidRDefault="00AD7A78" w:rsidP="003B280C">
      <w:pPr>
        <w:pStyle w:val="ListBullet4"/>
        <w:jc w:val="both"/>
      </w:pPr>
      <w:r>
        <w:lastRenderedPageBreak/>
        <w:t>Commercial floorspace apportioned to include the affordable floorspace within the same building</w:t>
      </w:r>
    </w:p>
    <w:p w14:paraId="67CD4EC9" w14:textId="77777777" w:rsidR="00AD7A78" w:rsidRPr="000D65CE" w:rsidRDefault="00882802" w:rsidP="003B280C">
      <w:pPr>
        <w:pStyle w:val="ListBullet4"/>
        <w:jc w:val="both"/>
      </w:pPr>
      <w:r>
        <w:t>P</w:t>
      </w:r>
      <w:r w:rsidR="00AD7A78">
        <w:t>rovided within the development scheme</w:t>
      </w:r>
    </w:p>
    <w:p w14:paraId="4A546D21" w14:textId="77777777" w:rsidR="00AD7A78" w:rsidRPr="000D65CE" w:rsidRDefault="00882802" w:rsidP="003B280C">
      <w:pPr>
        <w:pStyle w:val="ListBullet4"/>
        <w:jc w:val="both"/>
      </w:pPr>
      <w:r>
        <w:t>Provided w</w:t>
      </w:r>
      <w:r w:rsidR="00AD7A78">
        <w:t>ithin the same sub area (as defined in Policy S.SG1)</w:t>
      </w:r>
    </w:p>
    <w:p w14:paraId="23EB6B59" w14:textId="77777777" w:rsidR="00AD7A78" w:rsidRPr="000D65CE" w:rsidRDefault="00AD7A78" w:rsidP="003B280C">
      <w:pPr>
        <w:pStyle w:val="ListBullet4"/>
        <w:jc w:val="both"/>
      </w:pPr>
      <w:r>
        <w:t xml:space="preserve">If the above locations are not possible or found desirable by officers, provision elsewhere in the </w:t>
      </w:r>
      <w:r w:rsidR="00F447A2">
        <w:t>b</w:t>
      </w:r>
      <w:r w:rsidR="00747592">
        <w:t>orough</w:t>
      </w:r>
      <w:r>
        <w:t xml:space="preserve"> may be considered</w:t>
      </w:r>
    </w:p>
    <w:p w14:paraId="1981FF70" w14:textId="3767628B" w:rsidR="001A1F50" w:rsidRDefault="00F23F11" w:rsidP="003B280C">
      <w:pPr>
        <w:pStyle w:val="Paragraphs"/>
        <w:rPr>
          <w:lang w:val="en-GB"/>
        </w:rPr>
      </w:pPr>
      <w:r w:rsidRPr="28D940A9">
        <w:rPr>
          <w:lang w:val="en-GB"/>
        </w:rPr>
        <w:t xml:space="preserve">If </w:t>
      </w:r>
      <w:r w:rsidR="00892A5D" w:rsidRPr="28D940A9">
        <w:rPr>
          <w:lang w:val="en-GB"/>
        </w:rPr>
        <w:t>Affordable Workspace</w:t>
      </w:r>
      <w:r w:rsidRPr="28D940A9">
        <w:rPr>
          <w:lang w:val="en-GB"/>
        </w:rPr>
        <w:t xml:space="preserve"> is provided off-site, the responsibility lies with the developer to find a suitable site in line with the hierarchy above </w:t>
      </w:r>
      <w:r w:rsidR="00FD6FCF" w:rsidRPr="28D940A9">
        <w:rPr>
          <w:lang w:val="en-GB"/>
        </w:rPr>
        <w:t xml:space="preserve">and demonstrate additionality (i.e. that more </w:t>
      </w:r>
      <w:r w:rsidR="00892A5D" w:rsidRPr="28D940A9">
        <w:rPr>
          <w:lang w:val="en-GB"/>
        </w:rPr>
        <w:t>Affordable Workspace</w:t>
      </w:r>
      <w:r w:rsidR="00FD6FCF" w:rsidRPr="28D940A9">
        <w:rPr>
          <w:lang w:val="en-GB"/>
        </w:rPr>
        <w:t xml:space="preserve"> will be delivered than policy requirements alone)</w:t>
      </w:r>
      <w:r w:rsidRPr="28D940A9">
        <w:rPr>
          <w:lang w:val="en-GB"/>
        </w:rPr>
        <w:t>.</w:t>
      </w:r>
      <w:r w:rsidR="00342F82" w:rsidRPr="28D940A9">
        <w:rPr>
          <w:lang w:val="en-GB"/>
        </w:rPr>
        <w:t xml:space="preserve"> </w:t>
      </w:r>
      <w:r w:rsidRPr="28D940A9">
        <w:rPr>
          <w:lang w:val="en-GB"/>
        </w:rPr>
        <w:t>An obligation to deliver the workspace off-site will be secured through the legal agreement.</w:t>
      </w:r>
    </w:p>
    <w:p w14:paraId="50B0A31B" w14:textId="77777777" w:rsidR="0093406B" w:rsidRDefault="0093406B" w:rsidP="0093406B">
      <w:pPr>
        <w:spacing w:after="120"/>
        <w:rPr>
          <w:b/>
        </w:rPr>
      </w:pPr>
      <w:r w:rsidRPr="003D2BA4">
        <w:rPr>
          <w:b/>
        </w:rPr>
        <w:t xml:space="preserve">Text Box </w:t>
      </w:r>
      <w:r>
        <w:rPr>
          <w:b/>
        </w:rPr>
        <w:t>15</w:t>
      </w:r>
      <w:r w:rsidRPr="003D2BA4">
        <w:rPr>
          <w:b/>
        </w:rPr>
        <w:t xml:space="preserve">: </w:t>
      </w:r>
      <w:r>
        <w:rPr>
          <w:b/>
        </w:rPr>
        <w:t>Affordable Workspace</w:t>
      </w:r>
    </w:p>
    <w:p w14:paraId="236E262A" w14:textId="32812195" w:rsidR="008B293E" w:rsidRPr="000D65CE" w:rsidRDefault="00AD7A78" w:rsidP="003B280C">
      <w:pPr>
        <w:jc w:val="both"/>
        <w:rPr>
          <w:rFonts w:cs="Arial"/>
          <w:bCs/>
          <w:sz w:val="20"/>
          <w:szCs w:val="20"/>
        </w:rPr>
      </w:pPr>
      <w:r w:rsidRPr="000D65CE">
        <w:rPr>
          <w:noProof/>
          <w:lang w:eastAsia="en-GB"/>
        </w:rPr>
        <mc:AlternateContent>
          <mc:Choice Requires="wps">
            <w:drawing>
              <wp:inline distT="0" distB="0" distL="0" distR="0" wp14:anchorId="2A8AA5C7" wp14:editId="7A3CF1CE">
                <wp:extent cx="5731510" cy="6188148"/>
                <wp:effectExtent l="0" t="0" r="2540" b="317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6188148"/>
                        </a:xfrm>
                        <a:prstGeom prst="rect">
                          <a:avLst/>
                        </a:prstGeom>
                        <a:solidFill>
                          <a:schemeClr val="accent1">
                            <a:lumMod val="20000"/>
                            <a:lumOff val="80000"/>
                          </a:schemeClr>
                        </a:solidFill>
                        <a:ln>
                          <a:noFill/>
                        </a:ln>
                        <a:effectLst/>
                      </wps:spPr>
                      <wps:txbx>
                        <w:txbxContent>
                          <w:p w14:paraId="347384A4" w14:textId="77777777" w:rsidR="00EB3B59" w:rsidRDefault="00EB3B59" w:rsidP="00AD7A78">
                            <w:pPr>
                              <w:widowControl w:val="0"/>
                              <w:autoSpaceDE w:val="0"/>
                              <w:autoSpaceDN w:val="0"/>
                              <w:adjustRightInd w:val="0"/>
                              <w:jc w:val="both"/>
                              <w:textAlignment w:val="center"/>
                              <w:rPr>
                                <w:rFonts w:cs="Arial"/>
                                <w:b/>
                                <w:lang w:val="en-US"/>
                              </w:rPr>
                            </w:pPr>
                            <w:r w:rsidRPr="001A2022">
                              <w:rPr>
                                <w:rFonts w:cs="Arial"/>
                                <w:b/>
                                <w:lang w:val="en-US"/>
                              </w:rPr>
                              <w:t>Threshold and Contribution Requirements</w:t>
                            </w:r>
                          </w:p>
                          <w:p w14:paraId="4EB447DE" w14:textId="77777777" w:rsidR="00EB3B59" w:rsidRDefault="00EB3B59" w:rsidP="00AD7A78">
                            <w:pPr>
                              <w:jc w:val="both"/>
                            </w:pPr>
                            <w:r>
                              <w:t>Planning obligations relating to Affordable Workspace will be secured for:</w:t>
                            </w:r>
                          </w:p>
                          <w:p w14:paraId="7535E3A4" w14:textId="152F14E6" w:rsidR="00EB3B59" w:rsidRDefault="00EB3B59" w:rsidP="002D2199">
                            <w:pPr>
                              <w:pStyle w:val="ListParagraph"/>
                              <w:widowControl w:val="0"/>
                              <w:numPr>
                                <w:ilvl w:val="0"/>
                                <w:numId w:val="26"/>
                              </w:numPr>
                              <w:autoSpaceDE w:val="0"/>
                              <w:autoSpaceDN w:val="0"/>
                              <w:adjustRightInd w:val="0"/>
                              <w:ind w:left="714" w:hanging="357"/>
                              <w:jc w:val="both"/>
                              <w:textAlignment w:val="center"/>
                              <w:rPr>
                                <w:rFonts w:cs="Arial"/>
                                <w:color w:val="000000"/>
                              </w:rPr>
                            </w:pPr>
                            <w:r>
                              <w:rPr>
                                <w:rFonts w:cs="Arial"/>
                                <w:color w:val="000000"/>
                              </w:rPr>
                              <w:t>Commercial developments of 1,000 sqm (GIA) or more</w:t>
                            </w:r>
                          </w:p>
                          <w:p w14:paraId="2F6AFC2C" w14:textId="4A4187FB" w:rsidR="00EB3B59" w:rsidRPr="002D2199" w:rsidRDefault="00EB3B59" w:rsidP="00AD7A78">
                            <w:pPr>
                              <w:pStyle w:val="ListParagraph"/>
                              <w:widowControl w:val="0"/>
                              <w:numPr>
                                <w:ilvl w:val="0"/>
                                <w:numId w:val="26"/>
                              </w:numPr>
                              <w:autoSpaceDE w:val="0"/>
                              <w:autoSpaceDN w:val="0"/>
                              <w:adjustRightInd w:val="0"/>
                              <w:ind w:left="714" w:hanging="357"/>
                              <w:jc w:val="both"/>
                              <w:textAlignment w:val="center"/>
                              <w:rPr>
                                <w:rFonts w:cs="Arial"/>
                                <w:color w:val="000000"/>
                              </w:rPr>
                            </w:pPr>
                            <w:r>
                              <w:rPr>
                                <w:rFonts w:cs="Arial"/>
                                <w:color w:val="000000"/>
                              </w:rPr>
                              <w:t>Mixed-use developments of 1,000 sqm (GIA) or more of commercial space</w:t>
                            </w:r>
                          </w:p>
                          <w:p w14:paraId="3658E58C" w14:textId="77777777" w:rsidR="00EB3B59" w:rsidRPr="00B96E0D" w:rsidRDefault="00EB3B59" w:rsidP="00AD7A78">
                            <w:pPr>
                              <w:widowControl w:val="0"/>
                              <w:autoSpaceDE w:val="0"/>
                              <w:autoSpaceDN w:val="0"/>
                              <w:adjustRightInd w:val="0"/>
                              <w:jc w:val="both"/>
                              <w:textAlignment w:val="center"/>
                              <w:rPr>
                                <w:rFonts w:cs="Arial"/>
                                <w:b/>
                                <w:color w:val="000000"/>
                              </w:rPr>
                            </w:pPr>
                            <w:r>
                              <w:rPr>
                                <w:rFonts w:cs="Arial"/>
                                <w:b/>
                                <w:color w:val="000000"/>
                              </w:rPr>
                              <w:t>On-site Provision</w:t>
                            </w:r>
                          </w:p>
                          <w:p w14:paraId="0B6B033B" w14:textId="62153133" w:rsidR="00EB3B59" w:rsidRDefault="00EB3B59" w:rsidP="00124788">
                            <w:pPr>
                              <w:jc w:val="both"/>
                            </w:pPr>
                            <w:r>
                              <w:t>In accordance with Local Plan Policy D.EMP2, the Council requires the provision of at least 10% of new employment floorspace</w:t>
                            </w:r>
                            <w:r w:rsidR="000C60FD">
                              <w:t xml:space="preserve"> that falls under Use Classes E(g), B2 and B8</w:t>
                            </w:r>
                            <w:r>
                              <w:t xml:space="preserve"> to be provided as affordable workspace. The workspace should be let at an affordable tenancy rate at least 10% below the indicative market rate for the relevant location. It is expected that this will be provided onsite in the first instance. </w:t>
                            </w:r>
                          </w:p>
                          <w:p w14:paraId="236799F8" w14:textId="62BD5FBE" w:rsidR="00EB3B59" w:rsidRDefault="00EB3B59" w:rsidP="00AD7A78">
                            <w:pPr>
                              <w:widowControl w:val="0"/>
                              <w:autoSpaceDE w:val="0"/>
                              <w:autoSpaceDN w:val="0"/>
                              <w:adjustRightInd w:val="0"/>
                              <w:jc w:val="both"/>
                              <w:textAlignment w:val="center"/>
                              <w:rPr>
                                <w:rFonts w:cs="Arial"/>
                                <w:color w:val="000000"/>
                              </w:rPr>
                            </w:pPr>
                            <w:r>
                              <w:rPr>
                                <w:rFonts w:cs="Arial"/>
                                <w:color w:val="000000"/>
                              </w:rPr>
                              <w:t>Within the legal agreement, the following will also be secured subject to viability and consideration of the site-specifics:</w:t>
                            </w:r>
                          </w:p>
                          <w:p w14:paraId="588A8706" w14:textId="77777777" w:rsidR="00EB3B59" w:rsidRDefault="00EB3B59" w:rsidP="0055222C">
                            <w:pPr>
                              <w:pStyle w:val="ListParagraph"/>
                              <w:widowControl w:val="0"/>
                              <w:numPr>
                                <w:ilvl w:val="0"/>
                                <w:numId w:val="14"/>
                              </w:numPr>
                              <w:autoSpaceDE w:val="0"/>
                              <w:autoSpaceDN w:val="0"/>
                              <w:adjustRightInd w:val="0"/>
                              <w:jc w:val="both"/>
                              <w:textAlignment w:val="center"/>
                              <w:rPr>
                                <w:rFonts w:cs="Arial"/>
                                <w:color w:val="000000"/>
                              </w:rPr>
                            </w:pPr>
                            <w:r>
                              <w:rPr>
                                <w:rFonts w:cs="Arial"/>
                                <w:color w:val="000000"/>
                              </w:rPr>
                              <w:t>The discount in the rent level to be passed on to the tenants / occupiers</w:t>
                            </w:r>
                          </w:p>
                          <w:p w14:paraId="405040F8" w14:textId="167B0C81" w:rsidR="00EB3B59" w:rsidRPr="00307858" w:rsidRDefault="00EB3B59" w:rsidP="00103140">
                            <w:pPr>
                              <w:pStyle w:val="ListParagraph"/>
                              <w:widowControl w:val="0"/>
                              <w:numPr>
                                <w:ilvl w:val="0"/>
                                <w:numId w:val="14"/>
                              </w:numPr>
                              <w:autoSpaceDE w:val="0"/>
                              <w:autoSpaceDN w:val="0"/>
                              <w:adjustRightInd w:val="0"/>
                              <w:jc w:val="both"/>
                              <w:textAlignment w:val="center"/>
                              <w:rPr>
                                <w:rFonts w:cs="Arial"/>
                                <w:color w:val="000000"/>
                              </w:rPr>
                            </w:pPr>
                            <w:r w:rsidRPr="00307858">
                              <w:rPr>
                                <w:rFonts w:cs="Arial"/>
                                <w:color w:val="000000"/>
                              </w:rPr>
                              <w:t xml:space="preserve">The length of time the discount level will be secured for. This </w:t>
                            </w:r>
                            <w:r>
                              <w:rPr>
                                <w:rFonts w:cs="Arial"/>
                                <w:color w:val="000000"/>
                              </w:rPr>
                              <w:t>will</w:t>
                            </w:r>
                            <w:r w:rsidRPr="00307858">
                              <w:rPr>
                                <w:rFonts w:cs="Arial"/>
                                <w:color w:val="000000"/>
                              </w:rPr>
                              <w:t xml:space="preserve"> be</w:t>
                            </w:r>
                            <w:r>
                              <w:rPr>
                                <w:rFonts w:cs="Arial"/>
                                <w:color w:val="000000"/>
                              </w:rPr>
                              <w:t xml:space="preserve"> for</w:t>
                            </w:r>
                            <w:r w:rsidRPr="00307858">
                              <w:rPr>
                                <w:rFonts w:cs="Arial"/>
                                <w:color w:val="000000"/>
                              </w:rPr>
                              <w:t xml:space="preserve"> a</w:t>
                            </w:r>
                            <w:r>
                              <w:rPr>
                                <w:rFonts w:cs="Arial"/>
                                <w:color w:val="000000"/>
                              </w:rPr>
                              <w:t xml:space="preserve"> minimum</w:t>
                            </w:r>
                            <w:r w:rsidRPr="00307858">
                              <w:rPr>
                                <w:rFonts w:cs="Arial"/>
                                <w:color w:val="000000"/>
                              </w:rPr>
                              <w:t xml:space="preserve"> period of 10 years; however,</w:t>
                            </w:r>
                            <w:r>
                              <w:rPr>
                                <w:rFonts w:cs="Arial"/>
                                <w:color w:val="000000"/>
                              </w:rPr>
                              <w:t xml:space="preserve"> </w:t>
                            </w:r>
                            <w:r w:rsidR="00C33088">
                              <w:rPr>
                                <w:rFonts w:cs="Arial"/>
                                <w:color w:val="000000"/>
                              </w:rPr>
                              <w:t xml:space="preserve">where appropriate, </w:t>
                            </w:r>
                            <w:r w:rsidRPr="00307858">
                              <w:rPr>
                                <w:rFonts w:cs="Arial"/>
                                <w:color w:val="000000"/>
                              </w:rPr>
                              <w:t>the Council</w:t>
                            </w:r>
                            <w:r>
                              <w:rPr>
                                <w:rFonts w:cs="Arial"/>
                                <w:color w:val="000000"/>
                              </w:rPr>
                              <w:t xml:space="preserve"> will secure discount levels for longer periods, including in perpetuity.  </w:t>
                            </w:r>
                            <w:r w:rsidRPr="00307858">
                              <w:rPr>
                                <w:rFonts w:cs="Arial"/>
                                <w:color w:val="000000"/>
                              </w:rPr>
                              <w:t xml:space="preserve"> </w:t>
                            </w:r>
                          </w:p>
                          <w:p w14:paraId="7F2337A7" w14:textId="77777777" w:rsidR="00EB3B59" w:rsidRDefault="00EB3B59" w:rsidP="00AD7A78">
                            <w:pPr>
                              <w:widowControl w:val="0"/>
                              <w:autoSpaceDE w:val="0"/>
                              <w:autoSpaceDN w:val="0"/>
                              <w:adjustRightInd w:val="0"/>
                              <w:jc w:val="both"/>
                              <w:textAlignment w:val="center"/>
                              <w:rPr>
                                <w:rFonts w:cs="Arial"/>
                                <w:b/>
                                <w:color w:val="000000"/>
                              </w:rPr>
                            </w:pPr>
                            <w:r>
                              <w:rPr>
                                <w:rFonts w:cs="Arial"/>
                                <w:b/>
                                <w:color w:val="000000"/>
                              </w:rPr>
                              <w:t>Circumstances for Off-Site Provision or Financial Contributions</w:t>
                            </w:r>
                          </w:p>
                          <w:p w14:paraId="051B0FD0" w14:textId="77777777" w:rsidR="00EB3B59" w:rsidRPr="002D2199" w:rsidRDefault="00EB3B59" w:rsidP="00AD7A78">
                            <w:pPr>
                              <w:widowControl w:val="0"/>
                              <w:autoSpaceDE w:val="0"/>
                              <w:autoSpaceDN w:val="0"/>
                              <w:adjustRightInd w:val="0"/>
                              <w:jc w:val="both"/>
                              <w:textAlignment w:val="center"/>
                              <w:rPr>
                                <w:rFonts w:cs="Arial"/>
                                <w:lang w:val="en-US"/>
                              </w:rPr>
                            </w:pPr>
                            <w:r>
                              <w:rPr>
                                <w:rFonts w:cs="Arial"/>
                                <w:color w:val="000000"/>
                              </w:rPr>
                              <w:t xml:space="preserve">Only where exceptional circumstances exist as set out in the Local Plan (refer to </w:t>
                            </w:r>
                            <w:r w:rsidRPr="005D6F02">
                              <w:t>the</w:t>
                            </w:r>
                            <w:r>
                              <w:t xml:space="preserve"> explanation to Policy D.EMP2</w:t>
                            </w:r>
                            <w:r>
                              <w:rPr>
                                <w:rFonts w:cs="Arial"/>
                                <w:color w:val="000000"/>
                              </w:rPr>
                              <w:t xml:space="preserve">) and where the Council is satisfied that it would deliver a better outcome, will off-site provision be accepted. In instances </w:t>
                            </w:r>
                            <w:r>
                              <w:rPr>
                                <w:rFonts w:cs="Arial"/>
                                <w:lang w:val="en-US"/>
                              </w:rPr>
                              <w:t>w</w:t>
                            </w:r>
                            <w:r w:rsidRPr="006B71BD">
                              <w:rPr>
                                <w:rFonts w:cs="Arial"/>
                                <w:lang w:val="en-US"/>
                              </w:rPr>
                              <w:t xml:space="preserve">here </w:t>
                            </w:r>
                            <w:r>
                              <w:rPr>
                                <w:rFonts w:cs="Arial"/>
                                <w:lang w:val="en-US"/>
                              </w:rPr>
                              <w:t>Affordable Workspace</w:t>
                            </w:r>
                            <w:r w:rsidRPr="006B71BD">
                              <w:rPr>
                                <w:rFonts w:cs="Arial"/>
                                <w:lang w:val="en-US"/>
                              </w:rPr>
                              <w:t xml:space="preserve"> cannot be provided on</w:t>
                            </w:r>
                            <w:r>
                              <w:rPr>
                                <w:rFonts w:cs="Arial"/>
                                <w:lang w:val="en-US"/>
                              </w:rPr>
                              <w:t>-site</w:t>
                            </w:r>
                            <w:r w:rsidRPr="006B71BD">
                              <w:rPr>
                                <w:rFonts w:cs="Arial"/>
                                <w:lang w:val="en-US"/>
                              </w:rPr>
                              <w:t xml:space="preserve"> or off-site, a commuted sum will be required.</w:t>
                            </w:r>
                            <w:r>
                              <w:rPr>
                                <w:rFonts w:cs="Arial"/>
                                <w:lang w:val="en-US"/>
                              </w:rPr>
                              <w:t xml:space="preserve"> </w:t>
                            </w:r>
                            <w:r>
                              <w:rPr>
                                <w:rFonts w:cs="Arial"/>
                                <w:szCs w:val="22"/>
                                <w:lang w:val="en-US"/>
                              </w:rPr>
                              <w:t>The commuted sum will be used to provide Affordable Workspace within the borough.</w:t>
                            </w:r>
                            <w:r w:rsidRPr="006B71BD">
                              <w:rPr>
                                <w:rFonts w:cs="Arial"/>
                                <w:lang w:val="en-US"/>
                              </w:rPr>
                              <w:t xml:space="preserve"> The acceptability of off-site provision and/or </w:t>
                            </w:r>
                            <w:r>
                              <w:rPr>
                                <w:rFonts w:cs="Arial"/>
                                <w:lang w:val="en-US"/>
                              </w:rPr>
                              <w:t>a commuted sum</w:t>
                            </w:r>
                            <w:r w:rsidRPr="006B71BD">
                              <w:rPr>
                                <w:rFonts w:cs="Arial"/>
                                <w:lang w:val="en-US"/>
                              </w:rPr>
                              <w:t xml:space="preserve"> </w:t>
                            </w:r>
                            <w:r>
                              <w:rPr>
                                <w:rFonts w:cs="Arial"/>
                                <w:lang w:val="en-US"/>
                              </w:rPr>
                              <w:t>is</w:t>
                            </w:r>
                            <w:r w:rsidRPr="006B71BD">
                              <w:rPr>
                                <w:rFonts w:cs="Arial"/>
                                <w:lang w:val="en-US"/>
                              </w:rPr>
                              <w:t xml:space="preserve"> entirely at </w:t>
                            </w:r>
                            <w:r>
                              <w:rPr>
                                <w:rFonts w:cs="Arial"/>
                                <w:lang w:val="en-US"/>
                              </w:rPr>
                              <w:t xml:space="preserve">the discretion of the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8AA5C7" id="Text Box 16" o:spid="_x0000_s1041" type="#_x0000_t202" style="width:451.3pt;height:4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" fillcolor="#dbe5f1 [660]" stroked="f">
                <v:textbox>
                  <w:txbxContent>
                    <w:p w14:paraId="347384A4" w14:textId="77777777" w:rsidR="00EB3B59" w:rsidRDefault="00EB3B59" w:rsidP="00AD7A78">
                      <w:pPr>
                        <w:widowControl w:val="0"/>
                        <w:autoSpaceDE w:val="0"/>
                        <w:autoSpaceDN w:val="0"/>
                        <w:adjustRightInd w:val="0"/>
                        <w:jc w:val="both"/>
                        <w:textAlignment w:val="center"/>
                        <w:rPr>
                          <w:rFonts w:cs="Arial"/>
                          <w:b/>
                          <w:lang w:val="en-US"/>
                        </w:rPr>
                      </w:pPr>
                      <w:r w:rsidRPr="001A2022">
                        <w:rPr>
                          <w:rFonts w:cs="Arial"/>
                          <w:b/>
                          <w:lang w:val="en-US"/>
                        </w:rPr>
                        <w:t>Threshold and Contribution Requirements</w:t>
                      </w:r>
                    </w:p>
                    <w:p w14:paraId="4EB447DE" w14:textId="77777777" w:rsidR="00EB3B59" w:rsidRDefault="00EB3B59" w:rsidP="00AD7A78">
                      <w:pPr>
                        <w:jc w:val="both"/>
                      </w:pPr>
                      <w:r>
                        <w:t>Planning obligations relating to Affordable Workspace will be secured for:</w:t>
                      </w:r>
                    </w:p>
                    <w:p w14:paraId="7535E3A4" w14:textId="152F14E6" w:rsidR="00EB3B59" w:rsidRDefault="00EB3B59" w:rsidP="002D2199">
                      <w:pPr>
                        <w:pStyle w:val="ListParagraph"/>
                        <w:widowControl w:val="0"/>
                        <w:numPr>
                          <w:ilvl w:val="0"/>
                          <w:numId w:val="26"/>
                        </w:numPr>
                        <w:autoSpaceDE w:val="0"/>
                        <w:autoSpaceDN w:val="0"/>
                        <w:adjustRightInd w:val="0"/>
                        <w:ind w:left="714" w:hanging="357"/>
                        <w:jc w:val="both"/>
                        <w:textAlignment w:val="center"/>
                        <w:rPr>
                          <w:rFonts w:cs="Arial"/>
                          <w:color w:val="000000"/>
                        </w:rPr>
                      </w:pPr>
                      <w:r>
                        <w:rPr>
                          <w:rFonts w:cs="Arial"/>
                          <w:color w:val="000000"/>
                        </w:rPr>
                        <w:t>Commercial developments of 1,000 sqm (GIA) or more</w:t>
                      </w:r>
                    </w:p>
                    <w:p w14:paraId="2F6AFC2C" w14:textId="4A4187FB" w:rsidR="00EB3B59" w:rsidRPr="002D2199" w:rsidRDefault="00EB3B59" w:rsidP="00AD7A78">
                      <w:pPr>
                        <w:pStyle w:val="ListParagraph"/>
                        <w:widowControl w:val="0"/>
                        <w:numPr>
                          <w:ilvl w:val="0"/>
                          <w:numId w:val="26"/>
                        </w:numPr>
                        <w:autoSpaceDE w:val="0"/>
                        <w:autoSpaceDN w:val="0"/>
                        <w:adjustRightInd w:val="0"/>
                        <w:ind w:left="714" w:hanging="357"/>
                        <w:jc w:val="both"/>
                        <w:textAlignment w:val="center"/>
                        <w:rPr>
                          <w:rFonts w:cs="Arial"/>
                          <w:color w:val="000000"/>
                        </w:rPr>
                      </w:pPr>
                      <w:r>
                        <w:rPr>
                          <w:rFonts w:cs="Arial"/>
                          <w:color w:val="000000"/>
                        </w:rPr>
                        <w:t>Mixed-use developments of 1,000 sqm (GIA) or more of commercial space</w:t>
                      </w:r>
                    </w:p>
                    <w:p w14:paraId="3658E58C" w14:textId="77777777" w:rsidR="00EB3B59" w:rsidRPr="00B96E0D" w:rsidRDefault="00EB3B59" w:rsidP="00AD7A78">
                      <w:pPr>
                        <w:widowControl w:val="0"/>
                        <w:autoSpaceDE w:val="0"/>
                        <w:autoSpaceDN w:val="0"/>
                        <w:adjustRightInd w:val="0"/>
                        <w:jc w:val="both"/>
                        <w:textAlignment w:val="center"/>
                        <w:rPr>
                          <w:rFonts w:cs="Arial"/>
                          <w:b/>
                          <w:color w:val="000000"/>
                        </w:rPr>
                      </w:pPr>
                      <w:r>
                        <w:rPr>
                          <w:rFonts w:cs="Arial"/>
                          <w:b/>
                          <w:color w:val="000000"/>
                        </w:rPr>
                        <w:t>On-site Provision</w:t>
                      </w:r>
                    </w:p>
                    <w:p w14:paraId="0B6B033B" w14:textId="62153133" w:rsidR="00EB3B59" w:rsidRDefault="00EB3B59" w:rsidP="00124788">
                      <w:pPr>
                        <w:jc w:val="both"/>
                      </w:pPr>
                      <w:r>
                        <w:t>In accordance with Local Plan Policy D.EMP2, the Council requires the provision of at least 10% of new employment floorspace</w:t>
                      </w:r>
                      <w:r w:rsidR="000C60FD">
                        <w:t xml:space="preserve"> that falls under Use Classes E(g), B2 and B8</w:t>
                      </w:r>
                      <w:r>
                        <w:t xml:space="preserve"> to be provided as affordable workspace. The workspace should be let at an affordable tenancy rate at least 10% below the indicative market rate for the relevant location. It is expected that this will be provided onsite in the first instance. </w:t>
                      </w:r>
                    </w:p>
                    <w:p w14:paraId="236799F8" w14:textId="62BD5FBE" w:rsidR="00EB3B59" w:rsidRDefault="00EB3B59" w:rsidP="00AD7A78">
                      <w:pPr>
                        <w:widowControl w:val="0"/>
                        <w:autoSpaceDE w:val="0"/>
                        <w:autoSpaceDN w:val="0"/>
                        <w:adjustRightInd w:val="0"/>
                        <w:jc w:val="both"/>
                        <w:textAlignment w:val="center"/>
                        <w:rPr>
                          <w:rFonts w:cs="Arial"/>
                          <w:color w:val="000000"/>
                        </w:rPr>
                      </w:pPr>
                      <w:r>
                        <w:rPr>
                          <w:rFonts w:cs="Arial"/>
                          <w:color w:val="000000"/>
                        </w:rPr>
                        <w:t>Within the legal agreement, the following will also be secured subject to viability and consideration of the site-specifics:</w:t>
                      </w:r>
                    </w:p>
                    <w:p w14:paraId="588A8706" w14:textId="77777777" w:rsidR="00EB3B59" w:rsidRDefault="00EB3B59" w:rsidP="0055222C">
                      <w:pPr>
                        <w:pStyle w:val="ListParagraph"/>
                        <w:widowControl w:val="0"/>
                        <w:numPr>
                          <w:ilvl w:val="0"/>
                          <w:numId w:val="14"/>
                        </w:numPr>
                        <w:autoSpaceDE w:val="0"/>
                        <w:autoSpaceDN w:val="0"/>
                        <w:adjustRightInd w:val="0"/>
                        <w:jc w:val="both"/>
                        <w:textAlignment w:val="center"/>
                        <w:rPr>
                          <w:rFonts w:cs="Arial"/>
                          <w:color w:val="000000"/>
                        </w:rPr>
                      </w:pPr>
                      <w:r>
                        <w:rPr>
                          <w:rFonts w:cs="Arial"/>
                          <w:color w:val="000000"/>
                        </w:rPr>
                        <w:t>The discount in the rent level to be passed on to the tenants / occupiers</w:t>
                      </w:r>
                    </w:p>
                    <w:p w14:paraId="405040F8" w14:textId="167B0C81" w:rsidR="00EB3B59" w:rsidRPr="00307858" w:rsidRDefault="00EB3B59" w:rsidP="00103140">
                      <w:pPr>
                        <w:pStyle w:val="ListParagraph"/>
                        <w:widowControl w:val="0"/>
                        <w:numPr>
                          <w:ilvl w:val="0"/>
                          <w:numId w:val="14"/>
                        </w:numPr>
                        <w:autoSpaceDE w:val="0"/>
                        <w:autoSpaceDN w:val="0"/>
                        <w:adjustRightInd w:val="0"/>
                        <w:jc w:val="both"/>
                        <w:textAlignment w:val="center"/>
                        <w:rPr>
                          <w:rFonts w:cs="Arial"/>
                          <w:color w:val="000000"/>
                        </w:rPr>
                      </w:pPr>
                      <w:r w:rsidRPr="00307858">
                        <w:rPr>
                          <w:rFonts w:cs="Arial"/>
                          <w:color w:val="000000"/>
                        </w:rPr>
                        <w:t xml:space="preserve">The length of time the discount level will be secured for. This </w:t>
                      </w:r>
                      <w:r>
                        <w:rPr>
                          <w:rFonts w:cs="Arial"/>
                          <w:color w:val="000000"/>
                        </w:rPr>
                        <w:t>will</w:t>
                      </w:r>
                      <w:r w:rsidRPr="00307858">
                        <w:rPr>
                          <w:rFonts w:cs="Arial"/>
                          <w:color w:val="000000"/>
                        </w:rPr>
                        <w:t xml:space="preserve"> be</w:t>
                      </w:r>
                      <w:r>
                        <w:rPr>
                          <w:rFonts w:cs="Arial"/>
                          <w:color w:val="000000"/>
                        </w:rPr>
                        <w:t xml:space="preserve"> for</w:t>
                      </w:r>
                      <w:r w:rsidRPr="00307858">
                        <w:rPr>
                          <w:rFonts w:cs="Arial"/>
                          <w:color w:val="000000"/>
                        </w:rPr>
                        <w:t xml:space="preserve"> a</w:t>
                      </w:r>
                      <w:r>
                        <w:rPr>
                          <w:rFonts w:cs="Arial"/>
                          <w:color w:val="000000"/>
                        </w:rPr>
                        <w:t xml:space="preserve"> minimum</w:t>
                      </w:r>
                      <w:r w:rsidRPr="00307858">
                        <w:rPr>
                          <w:rFonts w:cs="Arial"/>
                          <w:color w:val="000000"/>
                        </w:rPr>
                        <w:t xml:space="preserve"> period of 10 years; however,</w:t>
                      </w:r>
                      <w:r>
                        <w:rPr>
                          <w:rFonts w:cs="Arial"/>
                          <w:color w:val="000000"/>
                        </w:rPr>
                        <w:t xml:space="preserve"> </w:t>
                      </w:r>
                      <w:r w:rsidR="00C33088">
                        <w:rPr>
                          <w:rFonts w:cs="Arial"/>
                          <w:color w:val="000000"/>
                        </w:rPr>
                        <w:t xml:space="preserve">where appropriate, </w:t>
                      </w:r>
                      <w:r w:rsidRPr="00307858">
                        <w:rPr>
                          <w:rFonts w:cs="Arial"/>
                          <w:color w:val="000000"/>
                        </w:rPr>
                        <w:t>the Council</w:t>
                      </w:r>
                      <w:r>
                        <w:rPr>
                          <w:rFonts w:cs="Arial"/>
                          <w:color w:val="000000"/>
                        </w:rPr>
                        <w:t xml:space="preserve"> will secure discount levels for longer periods, including in perpetuity.  </w:t>
                      </w:r>
                      <w:r w:rsidRPr="00307858">
                        <w:rPr>
                          <w:rFonts w:cs="Arial"/>
                          <w:color w:val="000000"/>
                        </w:rPr>
                        <w:t xml:space="preserve"> </w:t>
                      </w:r>
                    </w:p>
                    <w:p w14:paraId="7F2337A7" w14:textId="77777777" w:rsidR="00EB3B59" w:rsidRDefault="00EB3B59" w:rsidP="00AD7A78">
                      <w:pPr>
                        <w:widowControl w:val="0"/>
                        <w:autoSpaceDE w:val="0"/>
                        <w:autoSpaceDN w:val="0"/>
                        <w:adjustRightInd w:val="0"/>
                        <w:jc w:val="both"/>
                        <w:textAlignment w:val="center"/>
                        <w:rPr>
                          <w:rFonts w:cs="Arial"/>
                          <w:b/>
                          <w:color w:val="000000"/>
                        </w:rPr>
                      </w:pPr>
                      <w:r>
                        <w:rPr>
                          <w:rFonts w:cs="Arial"/>
                          <w:b/>
                          <w:color w:val="000000"/>
                        </w:rPr>
                        <w:t>Circumstances for Off-Site Provision or Financial Contributions</w:t>
                      </w:r>
                    </w:p>
                    <w:p w14:paraId="051B0FD0" w14:textId="77777777" w:rsidR="00EB3B59" w:rsidRPr="002D2199" w:rsidRDefault="00EB3B59" w:rsidP="00AD7A78">
                      <w:pPr>
                        <w:widowControl w:val="0"/>
                        <w:autoSpaceDE w:val="0"/>
                        <w:autoSpaceDN w:val="0"/>
                        <w:adjustRightInd w:val="0"/>
                        <w:jc w:val="both"/>
                        <w:textAlignment w:val="center"/>
                        <w:rPr>
                          <w:rFonts w:cs="Arial"/>
                          <w:lang w:val="en-US"/>
                        </w:rPr>
                      </w:pPr>
                      <w:r>
                        <w:rPr>
                          <w:rFonts w:cs="Arial"/>
                          <w:color w:val="000000"/>
                        </w:rPr>
                        <w:t xml:space="preserve">Only where exceptional circumstances exist as set out in the Local Plan (refer to </w:t>
                      </w:r>
                      <w:r w:rsidRPr="005D6F02">
                        <w:t>the</w:t>
                      </w:r>
                      <w:r>
                        <w:t xml:space="preserve"> explanation to Policy D.EMP2</w:t>
                      </w:r>
                      <w:r>
                        <w:rPr>
                          <w:rFonts w:cs="Arial"/>
                          <w:color w:val="000000"/>
                        </w:rPr>
                        <w:t xml:space="preserve">) and where the Council is satisfied that it would deliver a better outcome, will off-site provision be accepted. In instances </w:t>
                      </w:r>
                      <w:r>
                        <w:rPr>
                          <w:rFonts w:cs="Arial"/>
                          <w:lang w:val="en-US"/>
                        </w:rPr>
                        <w:t>w</w:t>
                      </w:r>
                      <w:r w:rsidRPr="006B71BD">
                        <w:rPr>
                          <w:rFonts w:cs="Arial"/>
                          <w:lang w:val="en-US"/>
                        </w:rPr>
                        <w:t xml:space="preserve">here </w:t>
                      </w:r>
                      <w:r>
                        <w:rPr>
                          <w:rFonts w:cs="Arial"/>
                          <w:lang w:val="en-US"/>
                        </w:rPr>
                        <w:t>Affordable Workspace</w:t>
                      </w:r>
                      <w:r w:rsidRPr="006B71BD">
                        <w:rPr>
                          <w:rFonts w:cs="Arial"/>
                          <w:lang w:val="en-US"/>
                        </w:rPr>
                        <w:t xml:space="preserve"> cannot be provided on</w:t>
                      </w:r>
                      <w:r>
                        <w:rPr>
                          <w:rFonts w:cs="Arial"/>
                          <w:lang w:val="en-US"/>
                        </w:rPr>
                        <w:t>-site</w:t>
                      </w:r>
                      <w:r w:rsidRPr="006B71BD">
                        <w:rPr>
                          <w:rFonts w:cs="Arial"/>
                          <w:lang w:val="en-US"/>
                        </w:rPr>
                        <w:t xml:space="preserve"> or off-site, a commuted sum will be required.</w:t>
                      </w:r>
                      <w:r>
                        <w:rPr>
                          <w:rFonts w:cs="Arial"/>
                          <w:lang w:val="en-US"/>
                        </w:rPr>
                        <w:t xml:space="preserve"> </w:t>
                      </w:r>
                      <w:r>
                        <w:rPr>
                          <w:rFonts w:cs="Arial"/>
                          <w:szCs w:val="22"/>
                          <w:lang w:val="en-US"/>
                        </w:rPr>
                        <w:t>The commuted sum will be used to provide Affordable Workspace within the borough.</w:t>
                      </w:r>
                      <w:r w:rsidRPr="006B71BD">
                        <w:rPr>
                          <w:rFonts w:cs="Arial"/>
                          <w:lang w:val="en-US"/>
                        </w:rPr>
                        <w:t xml:space="preserve"> The acceptability of off-site provision and/or </w:t>
                      </w:r>
                      <w:r>
                        <w:rPr>
                          <w:rFonts w:cs="Arial"/>
                          <w:lang w:val="en-US"/>
                        </w:rPr>
                        <w:t>a commuted sum</w:t>
                      </w:r>
                      <w:r w:rsidRPr="006B71BD">
                        <w:rPr>
                          <w:rFonts w:cs="Arial"/>
                          <w:lang w:val="en-US"/>
                        </w:rPr>
                        <w:t xml:space="preserve"> </w:t>
                      </w:r>
                      <w:r>
                        <w:rPr>
                          <w:rFonts w:cs="Arial"/>
                          <w:lang w:val="en-US"/>
                        </w:rPr>
                        <w:t>is</w:t>
                      </w:r>
                      <w:r w:rsidRPr="006B71BD">
                        <w:rPr>
                          <w:rFonts w:cs="Arial"/>
                          <w:lang w:val="en-US"/>
                        </w:rPr>
                        <w:t xml:space="preserve"> entirely at </w:t>
                      </w:r>
                      <w:r>
                        <w:rPr>
                          <w:rFonts w:cs="Arial"/>
                          <w:lang w:val="en-US"/>
                        </w:rPr>
                        <w:t xml:space="preserve">the discretion of the Council. </w:t>
                      </w:r>
                    </w:p>
                  </w:txbxContent>
                </v:textbox>
                <w10:anchorlock/>
              </v:shape>
            </w:pict>
          </mc:Fallback>
        </mc:AlternateContent>
      </w:r>
    </w:p>
    <w:p w14:paraId="53BAED8D" w14:textId="77777777" w:rsidR="009310EC" w:rsidRDefault="009310EC" w:rsidP="009310EC">
      <w:r w:rsidRPr="000D65CE">
        <w:rPr>
          <w:noProof/>
          <w:lang w:eastAsia="en-GB"/>
        </w:rPr>
        <w:lastRenderedPageBreak/>
        <mc:AlternateContent>
          <mc:Choice Requires="wps">
            <w:drawing>
              <wp:inline distT="0" distB="0" distL="0" distR="0" wp14:anchorId="2CEF3137" wp14:editId="22B08383">
                <wp:extent cx="5731510" cy="6187044"/>
                <wp:effectExtent l="0" t="0" r="2540" b="444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6187044"/>
                        </a:xfrm>
                        <a:prstGeom prst="rect">
                          <a:avLst/>
                        </a:prstGeom>
                        <a:solidFill>
                          <a:schemeClr val="accent1">
                            <a:lumMod val="20000"/>
                            <a:lumOff val="80000"/>
                          </a:schemeClr>
                        </a:solidFill>
                        <a:ln>
                          <a:noFill/>
                        </a:ln>
                        <a:effectLst/>
                      </wps:spPr>
                      <wps:txbx>
                        <w:txbxContent>
                          <w:p w14:paraId="27F77780" w14:textId="77777777" w:rsidR="00EB3B59" w:rsidRDefault="00EB3B59" w:rsidP="009310EC">
                            <w:pPr>
                              <w:widowControl w:val="0"/>
                              <w:autoSpaceDE w:val="0"/>
                              <w:autoSpaceDN w:val="0"/>
                              <w:adjustRightInd w:val="0"/>
                              <w:jc w:val="both"/>
                              <w:textAlignment w:val="center"/>
                              <w:rPr>
                                <w:rFonts w:cs="Arial"/>
                                <w:b/>
                                <w:color w:val="000000"/>
                              </w:rPr>
                            </w:pPr>
                            <w:r>
                              <w:rPr>
                                <w:rFonts w:cs="Arial"/>
                                <w:b/>
                                <w:color w:val="000000"/>
                              </w:rPr>
                              <w:t>Commuted Sum</w:t>
                            </w:r>
                          </w:p>
                          <w:p w14:paraId="5BB02C8F" w14:textId="77777777" w:rsidR="00EB3B59" w:rsidRDefault="00EB3B59" w:rsidP="009310EC">
                            <w:pPr>
                              <w:widowControl w:val="0"/>
                              <w:autoSpaceDE w:val="0"/>
                              <w:autoSpaceDN w:val="0"/>
                              <w:adjustRightInd w:val="0"/>
                              <w:jc w:val="both"/>
                              <w:textAlignment w:val="center"/>
                              <w:rPr>
                                <w:rFonts w:cs="Arial"/>
                                <w:lang w:val="en-US"/>
                              </w:rPr>
                            </w:pPr>
                            <w:r>
                              <w:rPr>
                                <w:rFonts w:cs="Arial"/>
                                <w:lang w:val="en-US"/>
                              </w:rPr>
                              <w:t xml:space="preserve">The commuted sum will be used by the Council to provide affordable workspace in the Borough. As such, the calculation accounts for the costs the Council will incur when delivering these spaces.   </w:t>
                            </w:r>
                          </w:p>
                          <w:p w14:paraId="10AA5998" w14:textId="77777777" w:rsidR="00EB3B59" w:rsidRPr="009F7163" w:rsidRDefault="00EB3B59" w:rsidP="009310EC">
                            <w:pPr>
                              <w:widowControl w:val="0"/>
                              <w:autoSpaceDE w:val="0"/>
                              <w:autoSpaceDN w:val="0"/>
                              <w:adjustRightInd w:val="0"/>
                              <w:spacing w:after="120" w:line="240" w:lineRule="atLeast"/>
                              <w:jc w:val="both"/>
                              <w:textAlignment w:val="center"/>
                              <w:rPr>
                                <w:rFonts w:cs="Arial"/>
                                <w:color w:val="000000"/>
                              </w:rPr>
                            </w:pPr>
                            <w:r>
                              <w:rPr>
                                <w:rFonts w:cs="Arial"/>
                                <w:color w:val="000000"/>
                              </w:rPr>
                              <w:tab/>
                              <w:t>Step 1:</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564"/>
                              <w:gridCol w:w="2392"/>
                              <w:gridCol w:w="565"/>
                              <w:gridCol w:w="1865"/>
                            </w:tblGrid>
                            <w:tr w:rsidR="00EB3B59" w14:paraId="2A569DD0" w14:textId="77777777" w:rsidTr="006B4172">
                              <w:tc>
                                <w:tcPr>
                                  <w:tcW w:w="2552" w:type="dxa"/>
                                  <w:vAlign w:val="center"/>
                                </w:tcPr>
                                <w:p w14:paraId="723BE86B" w14:textId="55EEA741" w:rsidR="00EB3B59" w:rsidRPr="006C4D19" w:rsidRDefault="00EB3B59" w:rsidP="003B45DD">
                                  <w:pPr>
                                    <w:spacing w:after="0"/>
                                    <w:contextualSpacing/>
                                    <w:rPr>
                                      <w:rFonts w:cs="Arial"/>
                                      <w:szCs w:val="22"/>
                                    </w:rPr>
                                  </w:pPr>
                                  <w:r>
                                    <w:rPr>
                                      <w:rFonts w:cs="Arial"/>
                                      <w:szCs w:val="22"/>
                                    </w:rPr>
                                    <w:t>10% of Gross  Internal Area (sqm)</w:t>
                                  </w:r>
                                </w:p>
                              </w:tc>
                              <w:tc>
                                <w:tcPr>
                                  <w:tcW w:w="567" w:type="dxa"/>
                                  <w:vAlign w:val="center"/>
                                </w:tcPr>
                                <w:p w14:paraId="7F5046A8" w14:textId="77777777" w:rsidR="00EB3B59" w:rsidRPr="006C4D19" w:rsidRDefault="00EB3B59" w:rsidP="006B4172">
                                  <w:pPr>
                                    <w:spacing w:after="0"/>
                                    <w:contextualSpacing/>
                                    <w:jc w:val="center"/>
                                    <w:rPr>
                                      <w:rFonts w:cs="Arial"/>
                                      <w:szCs w:val="22"/>
                                    </w:rPr>
                                  </w:pPr>
                                  <w:r>
                                    <w:rPr>
                                      <w:rFonts w:cs="Arial"/>
                                      <w:szCs w:val="22"/>
                                    </w:rPr>
                                    <w:t>x</w:t>
                                  </w:r>
                                </w:p>
                              </w:tc>
                              <w:tc>
                                <w:tcPr>
                                  <w:tcW w:w="2409" w:type="dxa"/>
                                  <w:vAlign w:val="center"/>
                                </w:tcPr>
                                <w:p w14:paraId="45B3898D" w14:textId="77777777" w:rsidR="00EB3B59" w:rsidRPr="006C4D19" w:rsidRDefault="00EB3B59" w:rsidP="006B4172">
                                  <w:pPr>
                                    <w:spacing w:after="0"/>
                                    <w:contextualSpacing/>
                                    <w:rPr>
                                      <w:rFonts w:cs="Arial"/>
                                      <w:szCs w:val="22"/>
                                    </w:rPr>
                                  </w:pPr>
                                  <w:r>
                                    <w:rPr>
                                      <w:rFonts w:cs="Arial"/>
                                      <w:szCs w:val="22"/>
                                      <w:lang w:val="en-US"/>
                                    </w:rPr>
                                    <w:t>Rental value per sqm</w:t>
                                  </w:r>
                                  <w:r w:rsidRPr="003E4845">
                                    <w:rPr>
                                      <w:rFonts w:cs="Arial"/>
                                      <w:b/>
                                      <w:sz w:val="24"/>
                                      <w:szCs w:val="22"/>
                                      <w:vertAlign w:val="superscript"/>
                                      <w:lang w:val="en-US"/>
                                    </w:rPr>
                                    <w:t>1</w:t>
                                  </w:r>
                                </w:p>
                              </w:tc>
                              <w:tc>
                                <w:tcPr>
                                  <w:tcW w:w="567" w:type="dxa"/>
                                  <w:vAlign w:val="center"/>
                                </w:tcPr>
                                <w:p w14:paraId="13B0BD11" w14:textId="77777777" w:rsidR="00EB3B59" w:rsidRPr="009F7163" w:rsidRDefault="00EB3B59" w:rsidP="006B4172">
                                  <w:pPr>
                                    <w:spacing w:after="0"/>
                                    <w:contextualSpacing/>
                                    <w:jc w:val="center"/>
                                    <w:rPr>
                                      <w:rFonts w:cs="Arial"/>
                                      <w:szCs w:val="22"/>
                                    </w:rPr>
                                  </w:pPr>
                                  <w:r w:rsidRPr="009F7163">
                                    <w:rPr>
                                      <w:rFonts w:cs="Arial"/>
                                      <w:szCs w:val="22"/>
                                    </w:rPr>
                                    <w:t>=</w:t>
                                  </w:r>
                                </w:p>
                              </w:tc>
                              <w:tc>
                                <w:tcPr>
                                  <w:tcW w:w="1876" w:type="dxa"/>
                                  <w:vAlign w:val="center"/>
                                </w:tcPr>
                                <w:p w14:paraId="7E51FCA7" w14:textId="77777777" w:rsidR="00EB3B59" w:rsidRPr="006C4D19" w:rsidRDefault="00EB3B59" w:rsidP="006B4172">
                                  <w:pPr>
                                    <w:spacing w:after="0"/>
                                    <w:contextualSpacing/>
                                    <w:rPr>
                                      <w:rFonts w:cs="Arial"/>
                                      <w:sz w:val="32"/>
                                      <w:szCs w:val="32"/>
                                    </w:rPr>
                                  </w:pPr>
                                  <w:r>
                                    <w:rPr>
                                      <w:rFonts w:cs="Arial"/>
                                      <w:szCs w:val="22"/>
                                    </w:rPr>
                                    <w:t>Rent per annum</w:t>
                                  </w:r>
                                </w:p>
                              </w:tc>
                            </w:tr>
                          </w:tbl>
                          <w:p w14:paraId="57F0F3E0" w14:textId="77777777" w:rsidR="00EB3B59" w:rsidRPr="009F7163" w:rsidRDefault="00EB3B59" w:rsidP="009310EC">
                            <w:pPr>
                              <w:spacing w:before="120" w:after="120" w:line="240" w:lineRule="atLeast"/>
                              <w:ind w:firstLine="720"/>
                              <w:jc w:val="both"/>
                              <w:rPr>
                                <w:rFonts w:cs="Arial"/>
                                <w:szCs w:val="22"/>
                              </w:rPr>
                            </w:pPr>
                            <w:r w:rsidRPr="009F7163">
                              <w:rPr>
                                <w:rFonts w:cs="Arial"/>
                                <w:szCs w:val="22"/>
                              </w:rPr>
                              <w:t>Step 2:</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567"/>
                              <w:gridCol w:w="2977"/>
                              <w:gridCol w:w="709"/>
                            </w:tblGrid>
                            <w:tr w:rsidR="00EB3B59" w14:paraId="7AE269A0" w14:textId="77777777" w:rsidTr="00EE005B">
                              <w:tc>
                                <w:tcPr>
                                  <w:tcW w:w="1843" w:type="dxa"/>
                                  <w:vAlign w:val="center"/>
                                </w:tcPr>
                                <w:p w14:paraId="51C8C4DF" w14:textId="77777777" w:rsidR="00EB3B59" w:rsidRPr="006C4D19" w:rsidRDefault="00EB3B59" w:rsidP="006B4172">
                                  <w:pPr>
                                    <w:spacing w:after="0"/>
                                    <w:contextualSpacing/>
                                    <w:rPr>
                                      <w:rFonts w:cs="Arial"/>
                                      <w:szCs w:val="22"/>
                                    </w:rPr>
                                  </w:pPr>
                                  <w:r>
                                    <w:rPr>
                                      <w:rFonts w:cs="Arial"/>
                                      <w:szCs w:val="22"/>
                                    </w:rPr>
                                    <w:t>Rent per annum</w:t>
                                  </w:r>
                                </w:p>
                              </w:tc>
                              <w:tc>
                                <w:tcPr>
                                  <w:tcW w:w="992" w:type="dxa"/>
                                  <w:vAlign w:val="center"/>
                                </w:tcPr>
                                <w:p w14:paraId="1E357974" w14:textId="77777777" w:rsidR="00EB3B59" w:rsidRPr="006C4D19" w:rsidRDefault="00EB3B59" w:rsidP="006B4172">
                                  <w:pPr>
                                    <w:spacing w:after="0"/>
                                    <w:contextualSpacing/>
                                    <w:jc w:val="center"/>
                                    <w:rPr>
                                      <w:rFonts w:cs="Arial"/>
                                      <w:szCs w:val="22"/>
                                    </w:rPr>
                                  </w:pPr>
                                  <w:r>
                                    <w:rPr>
                                      <w:rFonts w:cs="Arial"/>
                                      <w:szCs w:val="22"/>
                                    </w:rPr>
                                    <w:t>x</w:t>
                                  </w:r>
                                </w:p>
                              </w:tc>
                              <w:tc>
                                <w:tcPr>
                                  <w:tcW w:w="567" w:type="dxa"/>
                                  <w:vAlign w:val="center"/>
                                </w:tcPr>
                                <w:p w14:paraId="048113D6" w14:textId="77777777" w:rsidR="00EB3B59" w:rsidRPr="006C4D19" w:rsidRDefault="00EB3B59" w:rsidP="006B4172">
                                  <w:pPr>
                                    <w:spacing w:after="0"/>
                                    <w:contextualSpacing/>
                                    <w:rPr>
                                      <w:rFonts w:cs="Arial"/>
                                      <w:szCs w:val="22"/>
                                    </w:rPr>
                                  </w:pPr>
                                  <w:r w:rsidRPr="006C4D19">
                                    <w:rPr>
                                      <w:rFonts w:cs="Arial"/>
                                      <w:sz w:val="32"/>
                                      <w:szCs w:val="22"/>
                                    </w:rPr>
                                    <w:t>(</w:t>
                                  </w:r>
                                </w:p>
                              </w:tc>
                              <w:tc>
                                <w:tcPr>
                                  <w:tcW w:w="2977" w:type="dxa"/>
                                  <w:vAlign w:val="center"/>
                                </w:tcPr>
                                <w:p w14:paraId="66E2B129" w14:textId="3F935376" w:rsidR="00EB3B59" w:rsidRPr="006C4D19" w:rsidRDefault="00EB3B59" w:rsidP="006B4172">
                                  <w:pPr>
                                    <w:spacing w:after="0"/>
                                    <w:contextualSpacing/>
                                    <w:rPr>
                                      <w:rFonts w:cs="Arial"/>
                                      <w:szCs w:val="22"/>
                                    </w:rPr>
                                  </w:pPr>
                                  <w:r>
                                    <w:rPr>
                                      <w:rFonts w:cs="Arial"/>
                                      <w:szCs w:val="22"/>
                                    </w:rPr>
                                    <w:t>((( 1</w:t>
                                  </w:r>
                                  <w:r w:rsidRPr="00EE005B">
                                    <w:rPr>
                                      <w:rFonts w:cs="Arial"/>
                                      <w:szCs w:val="22"/>
                                    </w:rPr>
                                    <w:t>+</w:t>
                                  </w:r>
                                  <w:r w:rsidRPr="003B45DD">
                                    <w:rPr>
                                      <w:rFonts w:cs="Arial"/>
                                      <w:szCs w:val="22"/>
                                    </w:rPr>
                                    <w:t>i ) n) -1) / (i ( 1+i ) n)</w:t>
                                  </w:r>
                                </w:p>
                              </w:tc>
                              <w:tc>
                                <w:tcPr>
                                  <w:tcW w:w="709" w:type="dxa"/>
                                  <w:vAlign w:val="center"/>
                                </w:tcPr>
                                <w:p w14:paraId="21B3697B" w14:textId="77777777" w:rsidR="00EB3B59" w:rsidRPr="006C4D19" w:rsidRDefault="00EB3B59" w:rsidP="006B4172">
                                  <w:pPr>
                                    <w:spacing w:after="0"/>
                                    <w:contextualSpacing/>
                                    <w:rPr>
                                      <w:rFonts w:cs="Arial"/>
                                      <w:sz w:val="32"/>
                                      <w:szCs w:val="32"/>
                                    </w:rPr>
                                  </w:pPr>
                                  <w:r w:rsidRPr="006C4D19">
                                    <w:rPr>
                                      <w:rFonts w:cs="Arial"/>
                                      <w:sz w:val="32"/>
                                      <w:szCs w:val="32"/>
                                    </w:rPr>
                                    <w:t>)</w:t>
                                  </w:r>
                                </w:p>
                              </w:tc>
                            </w:tr>
                          </w:tbl>
                          <w:p w14:paraId="5AFB0613" w14:textId="77777777" w:rsidR="00EB3B59" w:rsidRPr="00A80644" w:rsidRDefault="00EB3B59" w:rsidP="009310EC">
                            <w:pPr>
                              <w:ind w:firstLine="720"/>
                              <w:jc w:val="both"/>
                              <w:rPr>
                                <w:rFonts w:cs="Arial"/>
                                <w:szCs w:val="22"/>
                                <w:u w:val="single"/>
                              </w:rPr>
                            </w:pPr>
                            <w:r>
                              <w:rPr>
                                <w:rFonts w:cs="Arial"/>
                                <w:szCs w:val="22"/>
                                <w:u w:val="single"/>
                              </w:rPr>
                              <w:t>_____________________________________</w:t>
                            </w:r>
                            <w:r w:rsidRPr="007B1194">
                              <w:rPr>
                                <w:rFonts w:cs="Arial"/>
                                <w:szCs w:val="22"/>
                                <w:u w:val="single"/>
                              </w:rPr>
                              <w:t xml:space="preserve"> </w:t>
                            </w:r>
                          </w:p>
                          <w:p w14:paraId="6B24F6EB" w14:textId="77777777" w:rsidR="00EB3B59" w:rsidRPr="00275810" w:rsidRDefault="00EB3B59" w:rsidP="009310EC">
                            <w:pPr>
                              <w:ind w:firstLine="720"/>
                              <w:jc w:val="both"/>
                              <w:rPr>
                                <w:rFonts w:cs="Arial"/>
                                <w:b/>
                                <w:szCs w:val="22"/>
                              </w:rPr>
                            </w:pPr>
                            <w:r w:rsidRPr="006471C4">
                              <w:rPr>
                                <w:rFonts w:cs="Arial"/>
                                <w:b/>
                                <w:szCs w:val="22"/>
                                <w:lang w:val="en-US"/>
                              </w:rPr>
                              <w:t>= Contribution required</w:t>
                            </w:r>
                          </w:p>
                          <w:p w14:paraId="0421846B" w14:textId="11F5B075" w:rsidR="00EB3B59" w:rsidRDefault="00EB3B59" w:rsidP="009310EC">
                            <w:pPr>
                              <w:jc w:val="both"/>
                              <w:rPr>
                                <w:rFonts w:cs="Arial"/>
                                <w:szCs w:val="22"/>
                                <w:lang w:val="en-US"/>
                              </w:rPr>
                            </w:pPr>
                            <w:r w:rsidRPr="003E4845">
                              <w:rPr>
                                <w:rFonts w:cs="Arial"/>
                                <w:b/>
                                <w:sz w:val="24"/>
                                <w:szCs w:val="22"/>
                                <w:vertAlign w:val="superscript"/>
                                <w:lang w:val="en-US"/>
                              </w:rPr>
                              <w:t>1</w:t>
                            </w:r>
                            <w:r>
                              <w:rPr>
                                <w:rFonts w:cs="Arial"/>
                                <w:b/>
                                <w:sz w:val="24"/>
                                <w:szCs w:val="22"/>
                                <w:vertAlign w:val="superscript"/>
                                <w:lang w:val="en-US"/>
                              </w:rPr>
                              <w:t xml:space="preserve"> </w:t>
                            </w:r>
                            <w:r w:rsidRPr="003E4845">
                              <w:rPr>
                                <w:rFonts w:cs="Arial"/>
                                <w:szCs w:val="22"/>
                                <w:lang w:val="en-US"/>
                              </w:rPr>
                              <w:t>Project</w:t>
                            </w:r>
                            <w:r>
                              <w:rPr>
                                <w:rFonts w:cs="Arial"/>
                                <w:szCs w:val="22"/>
                                <w:lang w:val="en-US"/>
                              </w:rPr>
                              <w:t>ed rental values from subject property or comparable (on a per sqm per annum basis)</w:t>
                            </w:r>
                          </w:p>
                          <w:p w14:paraId="14E1B7D8" w14:textId="77777777" w:rsidR="00EB3B59" w:rsidRDefault="00EB3B59" w:rsidP="009310EC">
                            <w:pPr>
                              <w:spacing w:after="120" w:line="240" w:lineRule="atLeast"/>
                              <w:jc w:val="both"/>
                              <w:rPr>
                                <w:rFonts w:cs="Arial"/>
                                <w:szCs w:val="22"/>
                              </w:rPr>
                            </w:pPr>
                            <w:r w:rsidRPr="003E4845">
                              <w:rPr>
                                <w:rFonts w:cs="Arial"/>
                                <w:b/>
                                <w:sz w:val="24"/>
                                <w:szCs w:val="22"/>
                                <w:vertAlign w:val="superscript"/>
                              </w:rPr>
                              <w:t>2</w:t>
                            </w:r>
                            <w:r>
                              <w:rPr>
                                <w:rFonts w:cs="Arial"/>
                                <w:b/>
                                <w:sz w:val="24"/>
                                <w:szCs w:val="22"/>
                                <w:vertAlign w:val="superscript"/>
                              </w:rPr>
                              <w:t xml:space="preserve"> </w:t>
                            </w:r>
                            <w:r>
                              <w:rPr>
                                <w:rFonts w:cs="Arial"/>
                                <w:szCs w:val="22"/>
                              </w:rPr>
                              <w:t>Multiplier calculation inputs:</w:t>
                            </w:r>
                          </w:p>
                          <w:p w14:paraId="32568B13" w14:textId="197F4323" w:rsidR="00EB3B59" w:rsidRDefault="00EB3B59" w:rsidP="009310EC">
                            <w:pPr>
                              <w:spacing w:after="120" w:line="240" w:lineRule="atLeast"/>
                              <w:ind w:firstLine="720"/>
                              <w:jc w:val="both"/>
                              <w:rPr>
                                <w:rFonts w:cs="Arial"/>
                                <w:szCs w:val="22"/>
                              </w:rPr>
                            </w:pPr>
                            <w:r>
                              <w:rPr>
                                <w:rFonts w:cs="Arial"/>
                                <w:szCs w:val="22"/>
                              </w:rPr>
                              <w:t>n = discount period (minimum 10 years)</w:t>
                            </w:r>
                          </w:p>
                          <w:p w14:paraId="3D2214D2" w14:textId="423F45E5" w:rsidR="00EB3B59" w:rsidRDefault="00EB3B59" w:rsidP="009310EC">
                            <w:pPr>
                              <w:spacing w:after="120" w:line="240" w:lineRule="atLeast"/>
                              <w:ind w:firstLine="720"/>
                              <w:jc w:val="both"/>
                              <w:rPr>
                                <w:rFonts w:cs="Arial"/>
                                <w:szCs w:val="22"/>
                              </w:rPr>
                            </w:pPr>
                            <w:r>
                              <w:rPr>
                                <w:rFonts w:cs="Arial"/>
                                <w:szCs w:val="22"/>
                              </w:rPr>
                              <w:t>i = All risks yield (calculated as subject property commercial yields /100)</w:t>
                            </w:r>
                          </w:p>
                          <w:p w14:paraId="5F85899D" w14:textId="77777777" w:rsidR="00EB3B59" w:rsidRDefault="00EB3B59" w:rsidP="008771E7">
                            <w:pPr>
                              <w:spacing w:after="120" w:line="240" w:lineRule="atLeast"/>
                              <w:jc w:val="both"/>
                              <w:rPr>
                                <w:rFonts w:cs="Arial"/>
                                <w:szCs w:val="22"/>
                              </w:rPr>
                            </w:pPr>
                          </w:p>
                          <w:p w14:paraId="20FD3742" w14:textId="77777777" w:rsidR="00EB3B59" w:rsidRDefault="00EB3B59" w:rsidP="008771E7">
                            <w:pPr>
                              <w:spacing w:after="120" w:line="240" w:lineRule="atLeast"/>
                              <w:jc w:val="both"/>
                              <w:rPr>
                                <w:rFonts w:cs="Arial"/>
                                <w:szCs w:val="22"/>
                              </w:rPr>
                            </w:pPr>
                            <w:r>
                              <w:rPr>
                                <w:rFonts w:cs="Arial"/>
                                <w:b/>
                                <w:szCs w:val="22"/>
                              </w:rPr>
                              <w:t>Commuted Sum – Worked Example</w:t>
                            </w:r>
                          </w:p>
                          <w:p w14:paraId="2D3DB60B" w14:textId="77777777" w:rsidR="00EB3B59" w:rsidRPr="00F109C4" w:rsidRDefault="00EB3B59" w:rsidP="0091434F">
                            <w:r w:rsidRPr="00F109C4">
                              <w:t xml:space="preserve">n = 10 years, i = 0.055 (5.5 / 100) </w:t>
                            </w:r>
                          </w:p>
                          <w:p w14:paraId="337DA062" w14:textId="77777777" w:rsidR="00EB3B59" w:rsidRPr="00F109C4" w:rsidRDefault="00EB3B59" w:rsidP="0091434F">
                            <w:r w:rsidRPr="00F109C4">
                              <w:t xml:space="preserve">Step 1: 500sqm x £500/sqm = £250,000 (rent per annum) </w:t>
                            </w:r>
                          </w:p>
                          <w:p w14:paraId="757EA804" w14:textId="77777777" w:rsidR="00EB3B59" w:rsidRPr="00F109C4" w:rsidRDefault="00EB3B59" w:rsidP="0091434F">
                            <w:r w:rsidRPr="00F109C4">
                              <w:t xml:space="preserve">Step 2a (multiplier calculation): (((1+0.055) 10) -1) / (0.055 (1+0.055) 10) = 9.55 / 0.58025 </w:t>
                            </w:r>
                          </w:p>
                          <w:p w14:paraId="0A7527C1" w14:textId="7F5C0F13" w:rsidR="00EB3B59" w:rsidRPr="00B44B5C" w:rsidRDefault="00EB3B59" w:rsidP="00B44B5C">
                            <w:r w:rsidRPr="00F109C4">
                              <w:t>Step 2b: £250,000 x 16.4584231 = £4,114,605.77</w:t>
                            </w:r>
                            <w:r>
                              <w:t xml:space="preserve"> (affordable workspace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EF3137" id="Text Box 18" o:spid="_x0000_s1042" type="#_x0000_t202" style="width:451.3pt;height:4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" fillcolor="#dbe5f1 [660]" stroked="f">
                <v:textbox>
                  <w:txbxContent>
                    <w:p w14:paraId="27F77780" w14:textId="77777777" w:rsidR="00EB3B59" w:rsidRDefault="00EB3B59" w:rsidP="009310EC">
                      <w:pPr>
                        <w:widowControl w:val="0"/>
                        <w:autoSpaceDE w:val="0"/>
                        <w:autoSpaceDN w:val="0"/>
                        <w:adjustRightInd w:val="0"/>
                        <w:jc w:val="both"/>
                        <w:textAlignment w:val="center"/>
                        <w:rPr>
                          <w:rFonts w:cs="Arial"/>
                          <w:b/>
                          <w:color w:val="000000"/>
                        </w:rPr>
                      </w:pPr>
                      <w:r>
                        <w:rPr>
                          <w:rFonts w:cs="Arial"/>
                          <w:b/>
                          <w:color w:val="000000"/>
                        </w:rPr>
                        <w:t>Commuted Sum</w:t>
                      </w:r>
                    </w:p>
                    <w:p w14:paraId="5BB02C8F" w14:textId="77777777" w:rsidR="00EB3B59" w:rsidRDefault="00EB3B59" w:rsidP="009310EC">
                      <w:pPr>
                        <w:widowControl w:val="0"/>
                        <w:autoSpaceDE w:val="0"/>
                        <w:autoSpaceDN w:val="0"/>
                        <w:adjustRightInd w:val="0"/>
                        <w:jc w:val="both"/>
                        <w:textAlignment w:val="center"/>
                        <w:rPr>
                          <w:rFonts w:cs="Arial"/>
                          <w:lang w:val="en-US"/>
                        </w:rPr>
                      </w:pPr>
                      <w:r>
                        <w:rPr>
                          <w:rFonts w:cs="Arial"/>
                          <w:lang w:val="en-US"/>
                        </w:rPr>
                        <w:t xml:space="preserve">The commuted sum will be used by the Council to provide affordable workspace in the Borough. As such, the calculation accounts for the costs the Council will incur when delivering these spaces.   </w:t>
                      </w:r>
                    </w:p>
                    <w:p w14:paraId="10AA5998" w14:textId="77777777" w:rsidR="00EB3B59" w:rsidRPr="009F7163" w:rsidRDefault="00EB3B59" w:rsidP="009310EC">
                      <w:pPr>
                        <w:widowControl w:val="0"/>
                        <w:autoSpaceDE w:val="0"/>
                        <w:autoSpaceDN w:val="0"/>
                        <w:adjustRightInd w:val="0"/>
                        <w:spacing w:after="120" w:line="240" w:lineRule="atLeast"/>
                        <w:jc w:val="both"/>
                        <w:textAlignment w:val="center"/>
                        <w:rPr>
                          <w:rFonts w:cs="Arial"/>
                          <w:color w:val="000000"/>
                        </w:rPr>
                      </w:pPr>
                      <w:r>
                        <w:rPr>
                          <w:rFonts w:cs="Arial"/>
                          <w:color w:val="000000"/>
                        </w:rPr>
                        <w:tab/>
                        <w:t>Step 1:</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564"/>
                        <w:gridCol w:w="2392"/>
                        <w:gridCol w:w="565"/>
                        <w:gridCol w:w="1865"/>
                      </w:tblGrid>
                      <w:tr w:rsidR="00EB3B59" w14:paraId="2A569DD0" w14:textId="77777777" w:rsidTr="006B4172">
                        <w:tc>
                          <w:tcPr>
                            <w:tcW w:w="2552" w:type="dxa"/>
                            <w:vAlign w:val="center"/>
                          </w:tcPr>
                          <w:p w14:paraId="723BE86B" w14:textId="55EEA741" w:rsidR="00EB3B59" w:rsidRPr="006C4D19" w:rsidRDefault="00EB3B59" w:rsidP="003B45DD">
                            <w:pPr>
                              <w:spacing w:after="0"/>
                              <w:contextualSpacing/>
                              <w:rPr>
                                <w:rFonts w:cs="Arial"/>
                                <w:szCs w:val="22"/>
                              </w:rPr>
                            </w:pPr>
                            <w:r>
                              <w:rPr>
                                <w:rFonts w:cs="Arial"/>
                                <w:szCs w:val="22"/>
                              </w:rPr>
                              <w:t>10% of Gross  Internal Area (sqm)</w:t>
                            </w:r>
                          </w:p>
                        </w:tc>
                        <w:tc>
                          <w:tcPr>
                            <w:tcW w:w="567" w:type="dxa"/>
                            <w:vAlign w:val="center"/>
                          </w:tcPr>
                          <w:p w14:paraId="7F5046A8" w14:textId="77777777" w:rsidR="00EB3B59" w:rsidRPr="006C4D19" w:rsidRDefault="00EB3B59" w:rsidP="006B4172">
                            <w:pPr>
                              <w:spacing w:after="0"/>
                              <w:contextualSpacing/>
                              <w:jc w:val="center"/>
                              <w:rPr>
                                <w:rFonts w:cs="Arial"/>
                                <w:szCs w:val="22"/>
                              </w:rPr>
                            </w:pPr>
                            <w:r>
                              <w:rPr>
                                <w:rFonts w:cs="Arial"/>
                                <w:szCs w:val="22"/>
                              </w:rPr>
                              <w:t>x</w:t>
                            </w:r>
                          </w:p>
                        </w:tc>
                        <w:tc>
                          <w:tcPr>
                            <w:tcW w:w="2409" w:type="dxa"/>
                            <w:vAlign w:val="center"/>
                          </w:tcPr>
                          <w:p w14:paraId="45B3898D" w14:textId="77777777" w:rsidR="00EB3B59" w:rsidRPr="006C4D19" w:rsidRDefault="00EB3B59" w:rsidP="006B4172">
                            <w:pPr>
                              <w:spacing w:after="0"/>
                              <w:contextualSpacing/>
                              <w:rPr>
                                <w:rFonts w:cs="Arial"/>
                                <w:szCs w:val="22"/>
                              </w:rPr>
                            </w:pPr>
                            <w:r>
                              <w:rPr>
                                <w:rFonts w:cs="Arial"/>
                                <w:szCs w:val="22"/>
                                <w:lang w:val="en-US"/>
                              </w:rPr>
                              <w:t>Rental value per sqm</w:t>
                            </w:r>
                            <w:r w:rsidRPr="003E4845">
                              <w:rPr>
                                <w:rFonts w:cs="Arial"/>
                                <w:b/>
                                <w:sz w:val="24"/>
                                <w:szCs w:val="22"/>
                                <w:vertAlign w:val="superscript"/>
                                <w:lang w:val="en-US"/>
                              </w:rPr>
                              <w:t>1</w:t>
                            </w:r>
                          </w:p>
                        </w:tc>
                        <w:tc>
                          <w:tcPr>
                            <w:tcW w:w="567" w:type="dxa"/>
                            <w:vAlign w:val="center"/>
                          </w:tcPr>
                          <w:p w14:paraId="13B0BD11" w14:textId="77777777" w:rsidR="00EB3B59" w:rsidRPr="009F7163" w:rsidRDefault="00EB3B59" w:rsidP="006B4172">
                            <w:pPr>
                              <w:spacing w:after="0"/>
                              <w:contextualSpacing/>
                              <w:jc w:val="center"/>
                              <w:rPr>
                                <w:rFonts w:cs="Arial"/>
                                <w:szCs w:val="22"/>
                              </w:rPr>
                            </w:pPr>
                            <w:r w:rsidRPr="009F7163">
                              <w:rPr>
                                <w:rFonts w:cs="Arial"/>
                                <w:szCs w:val="22"/>
                              </w:rPr>
                              <w:t>=</w:t>
                            </w:r>
                          </w:p>
                        </w:tc>
                        <w:tc>
                          <w:tcPr>
                            <w:tcW w:w="1876" w:type="dxa"/>
                            <w:vAlign w:val="center"/>
                          </w:tcPr>
                          <w:p w14:paraId="7E51FCA7" w14:textId="77777777" w:rsidR="00EB3B59" w:rsidRPr="006C4D19" w:rsidRDefault="00EB3B59" w:rsidP="006B4172">
                            <w:pPr>
                              <w:spacing w:after="0"/>
                              <w:contextualSpacing/>
                              <w:rPr>
                                <w:rFonts w:cs="Arial"/>
                                <w:sz w:val="32"/>
                                <w:szCs w:val="32"/>
                              </w:rPr>
                            </w:pPr>
                            <w:r>
                              <w:rPr>
                                <w:rFonts w:cs="Arial"/>
                                <w:szCs w:val="22"/>
                              </w:rPr>
                              <w:t>Rent per annum</w:t>
                            </w:r>
                          </w:p>
                        </w:tc>
                      </w:tr>
                    </w:tbl>
                    <w:p w14:paraId="57F0F3E0" w14:textId="77777777" w:rsidR="00EB3B59" w:rsidRPr="009F7163" w:rsidRDefault="00EB3B59" w:rsidP="009310EC">
                      <w:pPr>
                        <w:spacing w:before="120" w:after="120" w:line="240" w:lineRule="atLeast"/>
                        <w:ind w:firstLine="720"/>
                        <w:jc w:val="both"/>
                        <w:rPr>
                          <w:rFonts w:cs="Arial"/>
                          <w:szCs w:val="22"/>
                        </w:rPr>
                      </w:pPr>
                      <w:r w:rsidRPr="009F7163">
                        <w:rPr>
                          <w:rFonts w:cs="Arial"/>
                          <w:szCs w:val="22"/>
                        </w:rPr>
                        <w:t>Step 2:</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567"/>
                        <w:gridCol w:w="2977"/>
                        <w:gridCol w:w="709"/>
                      </w:tblGrid>
                      <w:tr w:rsidR="00EB3B59" w14:paraId="7AE269A0" w14:textId="77777777" w:rsidTr="00EE005B">
                        <w:tc>
                          <w:tcPr>
                            <w:tcW w:w="1843" w:type="dxa"/>
                            <w:vAlign w:val="center"/>
                          </w:tcPr>
                          <w:p w14:paraId="51C8C4DF" w14:textId="77777777" w:rsidR="00EB3B59" w:rsidRPr="006C4D19" w:rsidRDefault="00EB3B59" w:rsidP="006B4172">
                            <w:pPr>
                              <w:spacing w:after="0"/>
                              <w:contextualSpacing/>
                              <w:rPr>
                                <w:rFonts w:cs="Arial"/>
                                <w:szCs w:val="22"/>
                              </w:rPr>
                            </w:pPr>
                            <w:r>
                              <w:rPr>
                                <w:rFonts w:cs="Arial"/>
                                <w:szCs w:val="22"/>
                              </w:rPr>
                              <w:t>Rent per annum</w:t>
                            </w:r>
                          </w:p>
                        </w:tc>
                        <w:tc>
                          <w:tcPr>
                            <w:tcW w:w="992" w:type="dxa"/>
                            <w:vAlign w:val="center"/>
                          </w:tcPr>
                          <w:p w14:paraId="1E357974" w14:textId="77777777" w:rsidR="00EB3B59" w:rsidRPr="006C4D19" w:rsidRDefault="00EB3B59" w:rsidP="006B4172">
                            <w:pPr>
                              <w:spacing w:after="0"/>
                              <w:contextualSpacing/>
                              <w:jc w:val="center"/>
                              <w:rPr>
                                <w:rFonts w:cs="Arial"/>
                                <w:szCs w:val="22"/>
                              </w:rPr>
                            </w:pPr>
                            <w:r>
                              <w:rPr>
                                <w:rFonts w:cs="Arial"/>
                                <w:szCs w:val="22"/>
                              </w:rPr>
                              <w:t>x</w:t>
                            </w:r>
                          </w:p>
                        </w:tc>
                        <w:tc>
                          <w:tcPr>
                            <w:tcW w:w="567" w:type="dxa"/>
                            <w:vAlign w:val="center"/>
                          </w:tcPr>
                          <w:p w14:paraId="048113D6" w14:textId="77777777" w:rsidR="00EB3B59" w:rsidRPr="006C4D19" w:rsidRDefault="00EB3B59" w:rsidP="006B4172">
                            <w:pPr>
                              <w:spacing w:after="0"/>
                              <w:contextualSpacing/>
                              <w:rPr>
                                <w:rFonts w:cs="Arial"/>
                                <w:szCs w:val="22"/>
                              </w:rPr>
                            </w:pPr>
                            <w:r w:rsidRPr="006C4D19">
                              <w:rPr>
                                <w:rFonts w:cs="Arial"/>
                                <w:sz w:val="32"/>
                                <w:szCs w:val="22"/>
                              </w:rPr>
                              <w:t>(</w:t>
                            </w:r>
                          </w:p>
                        </w:tc>
                        <w:tc>
                          <w:tcPr>
                            <w:tcW w:w="2977" w:type="dxa"/>
                            <w:vAlign w:val="center"/>
                          </w:tcPr>
                          <w:p w14:paraId="66E2B129" w14:textId="3F935376" w:rsidR="00EB3B59" w:rsidRPr="006C4D19" w:rsidRDefault="00EB3B59" w:rsidP="006B4172">
                            <w:pPr>
                              <w:spacing w:after="0"/>
                              <w:contextualSpacing/>
                              <w:rPr>
                                <w:rFonts w:cs="Arial"/>
                                <w:szCs w:val="22"/>
                              </w:rPr>
                            </w:pPr>
                            <w:r>
                              <w:rPr>
                                <w:rFonts w:cs="Arial"/>
                                <w:szCs w:val="22"/>
                              </w:rPr>
                              <w:t>((( 1</w:t>
                            </w:r>
                            <w:r w:rsidRPr="00EE005B">
                              <w:rPr>
                                <w:rFonts w:cs="Arial"/>
                                <w:szCs w:val="22"/>
                              </w:rPr>
                              <w:t>+</w:t>
                            </w:r>
                            <w:r w:rsidRPr="003B45DD">
                              <w:rPr>
                                <w:rFonts w:cs="Arial"/>
                                <w:szCs w:val="22"/>
                              </w:rPr>
                              <w:t>i ) n) -1) / (i ( 1+i ) n)</w:t>
                            </w:r>
                          </w:p>
                        </w:tc>
                        <w:tc>
                          <w:tcPr>
                            <w:tcW w:w="709" w:type="dxa"/>
                            <w:vAlign w:val="center"/>
                          </w:tcPr>
                          <w:p w14:paraId="21B3697B" w14:textId="77777777" w:rsidR="00EB3B59" w:rsidRPr="006C4D19" w:rsidRDefault="00EB3B59" w:rsidP="006B4172">
                            <w:pPr>
                              <w:spacing w:after="0"/>
                              <w:contextualSpacing/>
                              <w:rPr>
                                <w:rFonts w:cs="Arial"/>
                                <w:sz w:val="32"/>
                                <w:szCs w:val="32"/>
                              </w:rPr>
                            </w:pPr>
                            <w:r w:rsidRPr="006C4D19">
                              <w:rPr>
                                <w:rFonts w:cs="Arial"/>
                                <w:sz w:val="32"/>
                                <w:szCs w:val="32"/>
                              </w:rPr>
                              <w:t>)</w:t>
                            </w:r>
                          </w:p>
                        </w:tc>
                      </w:tr>
                    </w:tbl>
                    <w:p w14:paraId="5AFB0613" w14:textId="77777777" w:rsidR="00EB3B59" w:rsidRPr="00A80644" w:rsidRDefault="00EB3B59" w:rsidP="009310EC">
                      <w:pPr>
                        <w:ind w:firstLine="720"/>
                        <w:jc w:val="both"/>
                        <w:rPr>
                          <w:rFonts w:cs="Arial"/>
                          <w:szCs w:val="22"/>
                          <w:u w:val="single"/>
                        </w:rPr>
                      </w:pPr>
                      <w:r>
                        <w:rPr>
                          <w:rFonts w:cs="Arial"/>
                          <w:szCs w:val="22"/>
                          <w:u w:val="single"/>
                        </w:rPr>
                        <w:t>_____________________________________</w:t>
                      </w:r>
                      <w:r w:rsidRPr="007B1194">
                        <w:rPr>
                          <w:rFonts w:cs="Arial"/>
                          <w:szCs w:val="22"/>
                          <w:u w:val="single"/>
                        </w:rPr>
                        <w:t xml:space="preserve"> </w:t>
                      </w:r>
                    </w:p>
                    <w:p w14:paraId="6B24F6EB" w14:textId="77777777" w:rsidR="00EB3B59" w:rsidRPr="00275810" w:rsidRDefault="00EB3B59" w:rsidP="009310EC">
                      <w:pPr>
                        <w:ind w:firstLine="720"/>
                        <w:jc w:val="both"/>
                        <w:rPr>
                          <w:rFonts w:cs="Arial"/>
                          <w:b/>
                          <w:szCs w:val="22"/>
                        </w:rPr>
                      </w:pPr>
                      <w:r w:rsidRPr="006471C4">
                        <w:rPr>
                          <w:rFonts w:cs="Arial"/>
                          <w:b/>
                          <w:szCs w:val="22"/>
                          <w:lang w:val="en-US"/>
                        </w:rPr>
                        <w:t>= Contribution required</w:t>
                      </w:r>
                    </w:p>
                    <w:p w14:paraId="0421846B" w14:textId="11F5B075" w:rsidR="00EB3B59" w:rsidRDefault="00EB3B59" w:rsidP="009310EC">
                      <w:pPr>
                        <w:jc w:val="both"/>
                        <w:rPr>
                          <w:rFonts w:cs="Arial"/>
                          <w:szCs w:val="22"/>
                          <w:lang w:val="en-US"/>
                        </w:rPr>
                      </w:pPr>
                      <w:r w:rsidRPr="003E4845">
                        <w:rPr>
                          <w:rFonts w:cs="Arial"/>
                          <w:b/>
                          <w:sz w:val="24"/>
                          <w:szCs w:val="22"/>
                          <w:vertAlign w:val="superscript"/>
                          <w:lang w:val="en-US"/>
                        </w:rPr>
                        <w:t>1</w:t>
                      </w:r>
                      <w:r>
                        <w:rPr>
                          <w:rFonts w:cs="Arial"/>
                          <w:b/>
                          <w:sz w:val="24"/>
                          <w:szCs w:val="22"/>
                          <w:vertAlign w:val="superscript"/>
                          <w:lang w:val="en-US"/>
                        </w:rPr>
                        <w:t xml:space="preserve"> </w:t>
                      </w:r>
                      <w:r w:rsidRPr="003E4845">
                        <w:rPr>
                          <w:rFonts w:cs="Arial"/>
                          <w:szCs w:val="22"/>
                          <w:lang w:val="en-US"/>
                        </w:rPr>
                        <w:t>Project</w:t>
                      </w:r>
                      <w:r>
                        <w:rPr>
                          <w:rFonts w:cs="Arial"/>
                          <w:szCs w:val="22"/>
                          <w:lang w:val="en-US"/>
                        </w:rPr>
                        <w:t>ed rental values from subject property or comparable (on a per sqm per annum basis)</w:t>
                      </w:r>
                    </w:p>
                    <w:p w14:paraId="14E1B7D8" w14:textId="77777777" w:rsidR="00EB3B59" w:rsidRDefault="00EB3B59" w:rsidP="009310EC">
                      <w:pPr>
                        <w:spacing w:after="120" w:line="240" w:lineRule="atLeast"/>
                        <w:jc w:val="both"/>
                        <w:rPr>
                          <w:rFonts w:cs="Arial"/>
                          <w:szCs w:val="22"/>
                        </w:rPr>
                      </w:pPr>
                      <w:r w:rsidRPr="003E4845">
                        <w:rPr>
                          <w:rFonts w:cs="Arial"/>
                          <w:b/>
                          <w:sz w:val="24"/>
                          <w:szCs w:val="22"/>
                          <w:vertAlign w:val="superscript"/>
                        </w:rPr>
                        <w:t>2</w:t>
                      </w:r>
                      <w:r>
                        <w:rPr>
                          <w:rFonts w:cs="Arial"/>
                          <w:b/>
                          <w:sz w:val="24"/>
                          <w:szCs w:val="22"/>
                          <w:vertAlign w:val="superscript"/>
                        </w:rPr>
                        <w:t xml:space="preserve"> </w:t>
                      </w:r>
                      <w:r>
                        <w:rPr>
                          <w:rFonts w:cs="Arial"/>
                          <w:szCs w:val="22"/>
                        </w:rPr>
                        <w:t>Multiplier calculation inputs:</w:t>
                      </w:r>
                    </w:p>
                    <w:p w14:paraId="32568B13" w14:textId="197F4323" w:rsidR="00EB3B59" w:rsidRDefault="00EB3B59" w:rsidP="009310EC">
                      <w:pPr>
                        <w:spacing w:after="120" w:line="240" w:lineRule="atLeast"/>
                        <w:ind w:firstLine="720"/>
                        <w:jc w:val="both"/>
                        <w:rPr>
                          <w:rFonts w:cs="Arial"/>
                          <w:szCs w:val="22"/>
                        </w:rPr>
                      </w:pPr>
                      <w:r>
                        <w:rPr>
                          <w:rFonts w:cs="Arial"/>
                          <w:szCs w:val="22"/>
                        </w:rPr>
                        <w:t>n = discount period (minimum 10 years)</w:t>
                      </w:r>
                    </w:p>
                    <w:p w14:paraId="3D2214D2" w14:textId="423F45E5" w:rsidR="00EB3B59" w:rsidRDefault="00EB3B59" w:rsidP="009310EC">
                      <w:pPr>
                        <w:spacing w:after="120" w:line="240" w:lineRule="atLeast"/>
                        <w:ind w:firstLine="720"/>
                        <w:jc w:val="both"/>
                        <w:rPr>
                          <w:rFonts w:cs="Arial"/>
                          <w:szCs w:val="22"/>
                        </w:rPr>
                      </w:pPr>
                      <w:r>
                        <w:rPr>
                          <w:rFonts w:cs="Arial"/>
                          <w:szCs w:val="22"/>
                        </w:rPr>
                        <w:t>i = All risks yield (calculated as subject property commercial yields /100)</w:t>
                      </w:r>
                    </w:p>
                    <w:p w14:paraId="5F85899D" w14:textId="77777777" w:rsidR="00EB3B59" w:rsidRDefault="00EB3B59" w:rsidP="008771E7">
                      <w:pPr>
                        <w:spacing w:after="120" w:line="240" w:lineRule="atLeast"/>
                        <w:jc w:val="both"/>
                        <w:rPr>
                          <w:rFonts w:cs="Arial"/>
                          <w:szCs w:val="22"/>
                        </w:rPr>
                      </w:pPr>
                    </w:p>
                    <w:p w14:paraId="20FD3742" w14:textId="77777777" w:rsidR="00EB3B59" w:rsidRDefault="00EB3B59" w:rsidP="008771E7">
                      <w:pPr>
                        <w:spacing w:after="120" w:line="240" w:lineRule="atLeast"/>
                        <w:jc w:val="both"/>
                        <w:rPr>
                          <w:rFonts w:cs="Arial"/>
                          <w:szCs w:val="22"/>
                        </w:rPr>
                      </w:pPr>
                      <w:r>
                        <w:rPr>
                          <w:rFonts w:cs="Arial"/>
                          <w:b/>
                          <w:szCs w:val="22"/>
                        </w:rPr>
                        <w:t>Commuted Sum – Worked Example</w:t>
                      </w:r>
                    </w:p>
                    <w:p w14:paraId="2D3DB60B" w14:textId="77777777" w:rsidR="00EB3B59" w:rsidRPr="00F109C4" w:rsidRDefault="00EB3B59" w:rsidP="0091434F">
                      <w:r w:rsidRPr="00F109C4">
                        <w:t xml:space="preserve">n = 10 years, i = 0.055 (5.5 / 100) </w:t>
                      </w:r>
                    </w:p>
                    <w:p w14:paraId="337DA062" w14:textId="77777777" w:rsidR="00EB3B59" w:rsidRPr="00F109C4" w:rsidRDefault="00EB3B59" w:rsidP="0091434F">
                      <w:r w:rsidRPr="00F109C4">
                        <w:t xml:space="preserve">Step 1: 500sqm x £500/sqm = £250,000 (rent per annum) </w:t>
                      </w:r>
                    </w:p>
                    <w:p w14:paraId="757EA804" w14:textId="77777777" w:rsidR="00EB3B59" w:rsidRPr="00F109C4" w:rsidRDefault="00EB3B59" w:rsidP="0091434F">
                      <w:r w:rsidRPr="00F109C4">
                        <w:t xml:space="preserve">Step 2a (multiplier calculation): (((1+0.055) 10) -1) / (0.055 (1+0.055) 10) = 9.55 / 0.58025 </w:t>
                      </w:r>
                    </w:p>
                    <w:p w14:paraId="0A7527C1" w14:textId="7F5C0F13" w:rsidR="00EB3B59" w:rsidRPr="00B44B5C" w:rsidRDefault="00EB3B59" w:rsidP="00B44B5C">
                      <w:r w:rsidRPr="00F109C4">
                        <w:t>Step 2b: £250,000 x 16.4584231 = £4,114,605.77</w:t>
                      </w:r>
                      <w:r>
                        <w:t xml:space="preserve"> (affordable workspace contribution)</w:t>
                      </w:r>
                    </w:p>
                  </w:txbxContent>
                </v:textbox>
                <w10:anchorlock/>
              </v:shape>
            </w:pict>
          </mc:Fallback>
        </mc:AlternateContent>
      </w:r>
    </w:p>
    <w:p w14:paraId="45382153" w14:textId="77777777" w:rsidR="00B44B5C" w:rsidRDefault="00B44B5C" w:rsidP="00B44B5C"/>
    <w:p w14:paraId="15634499" w14:textId="66C36F48" w:rsidR="002E68E9" w:rsidRPr="000D65CE" w:rsidRDefault="00757757" w:rsidP="00721B10">
      <w:pPr>
        <w:pStyle w:val="Heading2"/>
      </w:pPr>
      <w:bookmarkStart w:id="14" w:name="_Toc69374675"/>
      <w:r w:rsidRPr="000D65CE">
        <w:t>Early</w:t>
      </w:r>
      <w:r w:rsidR="00CA19C9" w:rsidRPr="000D65CE">
        <w:t xml:space="preserve"> Years</w:t>
      </w:r>
      <w:r w:rsidRPr="000D65CE">
        <w:t xml:space="preserve"> Education and Care</w:t>
      </w:r>
      <w:r w:rsidR="002E68E9" w:rsidRPr="000D65CE">
        <w:t xml:space="preserve"> Facilities</w:t>
      </w:r>
      <w:bookmarkEnd w:id="14"/>
    </w:p>
    <w:tbl>
      <w:tblPr>
        <w:tblStyle w:val="TableGrid"/>
        <w:tblW w:w="0" w:type="auto"/>
        <w:tblInd w:w="82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2E68E9" w:rsidRPr="000D65CE" w14:paraId="52640812" w14:textId="77777777" w:rsidTr="00921BA6">
        <w:tc>
          <w:tcPr>
            <w:tcW w:w="3119" w:type="dxa"/>
            <w:tcBorders>
              <w:bottom w:val="single" w:sz="8" w:space="0" w:color="006BB6"/>
            </w:tcBorders>
            <w:shd w:val="clear" w:color="auto" w:fill="F2F2F2" w:themeFill="background1" w:themeFillShade="F2"/>
          </w:tcPr>
          <w:p w14:paraId="1C4B5416" w14:textId="77777777" w:rsidR="002E68E9" w:rsidRPr="000D65CE" w:rsidRDefault="002E68E9"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10E593CE" w14:textId="77777777" w:rsidR="002E68E9" w:rsidRPr="000D65CE" w:rsidRDefault="002E68E9" w:rsidP="003B280C">
            <w:pPr>
              <w:autoSpaceDE w:val="0"/>
              <w:autoSpaceDN w:val="0"/>
              <w:adjustRightInd w:val="0"/>
              <w:spacing w:before="180" w:after="180"/>
              <w:jc w:val="both"/>
              <w:rPr>
                <w:rFonts w:cs="Arial"/>
                <w:szCs w:val="22"/>
              </w:rPr>
            </w:pPr>
            <w:r w:rsidRPr="000D65CE">
              <w:rPr>
                <w:rFonts w:cs="Arial"/>
                <w:szCs w:val="22"/>
              </w:rPr>
              <w:t xml:space="preserve">D.EMP2, </w:t>
            </w:r>
            <w:r w:rsidR="00757757" w:rsidRPr="000D65CE">
              <w:rPr>
                <w:rFonts w:cs="Arial"/>
                <w:szCs w:val="22"/>
              </w:rPr>
              <w:t>S.CF1, D.CF3</w:t>
            </w:r>
          </w:p>
        </w:tc>
      </w:tr>
    </w:tbl>
    <w:p w14:paraId="62968A41" w14:textId="77777777" w:rsidR="00790608" w:rsidRPr="000D65CE" w:rsidRDefault="00790608" w:rsidP="003B280C">
      <w:pPr>
        <w:spacing w:after="0" w:line="240" w:lineRule="auto"/>
        <w:jc w:val="both"/>
      </w:pPr>
    </w:p>
    <w:p w14:paraId="4442D926" w14:textId="77777777" w:rsidR="000954C2" w:rsidRPr="000D65CE" w:rsidRDefault="00757757" w:rsidP="003B280C">
      <w:pPr>
        <w:pStyle w:val="Paragraphs"/>
        <w:rPr>
          <w:lang w:val="en-GB"/>
        </w:rPr>
      </w:pPr>
      <w:r w:rsidRPr="28D940A9">
        <w:rPr>
          <w:lang w:val="en-GB"/>
        </w:rPr>
        <w:t>Local Plan Policy D.CF3</w:t>
      </w:r>
      <w:r w:rsidR="001F4A8C" w:rsidRPr="28D940A9">
        <w:rPr>
          <w:lang w:val="en-GB"/>
        </w:rPr>
        <w:t xml:space="preserve"> outlines the situations in which the development of new early</w:t>
      </w:r>
      <w:r w:rsidR="00231485" w:rsidRPr="28D940A9">
        <w:rPr>
          <w:lang w:val="en-GB"/>
        </w:rPr>
        <w:t xml:space="preserve"> years</w:t>
      </w:r>
      <w:r w:rsidR="001F4A8C" w:rsidRPr="28D940A9">
        <w:rPr>
          <w:lang w:val="en-GB"/>
        </w:rPr>
        <w:t xml:space="preserve"> education and care facilities will be supported and the guidance they need to meet. The supporting explanation</w:t>
      </w:r>
      <w:r w:rsidRPr="28D940A9">
        <w:rPr>
          <w:lang w:val="en-GB"/>
        </w:rPr>
        <w:t xml:space="preserve"> recognises that demand for early </w:t>
      </w:r>
      <w:r w:rsidR="00231485" w:rsidRPr="28D940A9">
        <w:rPr>
          <w:lang w:val="en-GB"/>
        </w:rPr>
        <w:t xml:space="preserve">years </w:t>
      </w:r>
      <w:r w:rsidRPr="28D940A9">
        <w:rPr>
          <w:lang w:val="en-GB"/>
        </w:rPr>
        <w:t xml:space="preserve">education and care facilities </w:t>
      </w:r>
      <w:r w:rsidR="00617338" w:rsidRPr="28D940A9">
        <w:rPr>
          <w:lang w:val="en-GB"/>
        </w:rPr>
        <w:t>is expected to increase in the b</w:t>
      </w:r>
      <w:r w:rsidRPr="28D940A9">
        <w:rPr>
          <w:lang w:val="en-GB"/>
        </w:rPr>
        <w:t xml:space="preserve">orough. The provision of these facilities will </w:t>
      </w:r>
      <w:r w:rsidR="000954C2" w:rsidRPr="28D940A9">
        <w:rPr>
          <w:lang w:val="en-GB"/>
        </w:rPr>
        <w:t>require innovative delivery, including co-location with compatible uses</w:t>
      </w:r>
      <w:r w:rsidR="004F465A" w:rsidRPr="28D940A9">
        <w:rPr>
          <w:lang w:val="en-GB"/>
        </w:rPr>
        <w:t xml:space="preserve"> such as office space and schools</w:t>
      </w:r>
      <w:r w:rsidR="000954C2" w:rsidRPr="28D940A9">
        <w:rPr>
          <w:lang w:val="en-GB"/>
        </w:rPr>
        <w:t xml:space="preserve">. </w:t>
      </w:r>
    </w:p>
    <w:p w14:paraId="5391521B" w14:textId="77777777" w:rsidR="001A3542" w:rsidRPr="000D65CE" w:rsidRDefault="001A3542" w:rsidP="003B280C">
      <w:pPr>
        <w:pStyle w:val="Paragraphs"/>
        <w:rPr>
          <w:lang w:val="en-GB"/>
        </w:rPr>
      </w:pPr>
      <w:r w:rsidRPr="28D940A9">
        <w:rPr>
          <w:lang w:val="en-GB"/>
        </w:rPr>
        <w:lastRenderedPageBreak/>
        <w:t>The Childcare Act 2006 (as amended) requires local authorities</w:t>
      </w:r>
      <w:r w:rsidR="004F465A" w:rsidRPr="28D940A9">
        <w:rPr>
          <w:lang w:val="en-GB"/>
        </w:rPr>
        <w:t xml:space="preserve"> to support the provision of</w:t>
      </w:r>
      <w:r w:rsidRPr="28D940A9">
        <w:rPr>
          <w:lang w:val="en-GB"/>
        </w:rPr>
        <w:t xml:space="preserve"> </w:t>
      </w:r>
      <w:r w:rsidR="004F465A" w:rsidRPr="28D940A9">
        <w:rPr>
          <w:lang w:val="en-GB"/>
        </w:rPr>
        <w:t>sufficient, sustainable and flexible childcare. Sufficient childcare meet</w:t>
      </w:r>
      <w:r w:rsidR="00231485" w:rsidRPr="28D940A9">
        <w:rPr>
          <w:lang w:val="en-GB"/>
        </w:rPr>
        <w:t>s</w:t>
      </w:r>
      <w:r w:rsidR="004F465A" w:rsidRPr="28D940A9">
        <w:rPr>
          <w:lang w:val="en-GB"/>
        </w:rPr>
        <w:t xml:space="preserve"> children’s </w:t>
      </w:r>
      <w:r w:rsidR="00231485" w:rsidRPr="28D940A9">
        <w:rPr>
          <w:lang w:val="en-GB"/>
        </w:rPr>
        <w:t xml:space="preserve">learning needs as well as </w:t>
      </w:r>
      <w:r w:rsidR="009C79F7" w:rsidRPr="28D940A9">
        <w:rPr>
          <w:lang w:val="en-GB"/>
        </w:rPr>
        <w:t>providing</w:t>
      </w:r>
      <w:r w:rsidR="004F465A" w:rsidRPr="28D940A9">
        <w:rPr>
          <w:lang w:val="en-GB"/>
        </w:rPr>
        <w:t xml:space="preserve"> parents</w:t>
      </w:r>
      <w:r w:rsidR="009C79F7" w:rsidRPr="28D940A9">
        <w:rPr>
          <w:lang w:val="en-GB"/>
        </w:rPr>
        <w:t xml:space="preserve"> with</w:t>
      </w:r>
      <w:r w:rsidR="004F465A" w:rsidRPr="28D940A9">
        <w:rPr>
          <w:lang w:val="en-GB"/>
        </w:rPr>
        <w:t xml:space="preserve"> real choices about work and training. </w:t>
      </w:r>
    </w:p>
    <w:p w14:paraId="0907C4B5" w14:textId="77777777" w:rsidR="00C92680" w:rsidRPr="000D65CE" w:rsidRDefault="00C92680" w:rsidP="003B280C">
      <w:pPr>
        <w:pStyle w:val="Paragraphs"/>
        <w:rPr>
          <w:lang w:val="en-GB"/>
        </w:rPr>
      </w:pPr>
      <w:r w:rsidRPr="000D65CE">
        <w:rPr>
          <w:lang w:val="en-GB"/>
        </w:rPr>
        <w:t>The Childcare Sufficiency Assessment</w:t>
      </w:r>
      <w:r w:rsidRPr="000D65CE">
        <w:rPr>
          <w:rStyle w:val="FootnoteReference"/>
          <w:lang w:val="en-GB"/>
        </w:rPr>
        <w:footnoteReference w:id="11"/>
      </w:r>
      <w:r w:rsidRPr="000D65CE">
        <w:rPr>
          <w:lang w:val="en-GB"/>
        </w:rPr>
        <w:t xml:space="preserve"> (referred to during Hearings for the Local Plan) identifies</w:t>
      </w:r>
      <w:r w:rsidR="00B3503B" w:rsidRPr="000D65CE">
        <w:rPr>
          <w:lang w:val="en-GB"/>
        </w:rPr>
        <w:t xml:space="preserve"> the areas in </w:t>
      </w:r>
      <w:r w:rsidR="00C44288" w:rsidRPr="000D65CE">
        <w:rPr>
          <w:lang w:val="en-GB"/>
        </w:rPr>
        <w:t>the b</w:t>
      </w:r>
      <w:r w:rsidRPr="000D65CE">
        <w:rPr>
          <w:lang w:val="en-GB"/>
        </w:rPr>
        <w:t>orough</w:t>
      </w:r>
      <w:r w:rsidR="00B3503B" w:rsidRPr="000D65CE">
        <w:rPr>
          <w:lang w:val="en-GB"/>
        </w:rPr>
        <w:t xml:space="preserve"> that have</w:t>
      </w:r>
      <w:r w:rsidR="00A314E3" w:rsidRPr="000D65CE">
        <w:rPr>
          <w:lang w:val="en-GB"/>
        </w:rPr>
        <w:t xml:space="preserve"> an</w:t>
      </w:r>
      <w:r w:rsidRPr="000D65CE">
        <w:rPr>
          <w:lang w:val="en-GB"/>
        </w:rPr>
        <w:t xml:space="preserve"> insufficient</w:t>
      </w:r>
      <w:r w:rsidR="00A314E3" w:rsidRPr="000D65CE">
        <w:rPr>
          <w:lang w:val="en-GB"/>
        </w:rPr>
        <w:t xml:space="preserve"> supply of</w:t>
      </w:r>
      <w:r w:rsidRPr="000D65CE">
        <w:rPr>
          <w:lang w:val="en-GB"/>
        </w:rPr>
        <w:t xml:space="preserve"> early</w:t>
      </w:r>
      <w:r w:rsidR="00231485" w:rsidRPr="000D65CE">
        <w:rPr>
          <w:lang w:val="en-GB"/>
        </w:rPr>
        <w:t xml:space="preserve"> years</w:t>
      </w:r>
      <w:r w:rsidRPr="000D65CE">
        <w:rPr>
          <w:lang w:val="en-GB"/>
        </w:rPr>
        <w:t xml:space="preserve"> education and care facilities. </w:t>
      </w:r>
    </w:p>
    <w:p w14:paraId="0A1200A4" w14:textId="177CF666" w:rsidR="00C92680" w:rsidRPr="000D65CE" w:rsidRDefault="00C92680" w:rsidP="003B280C">
      <w:pPr>
        <w:spacing w:before="360" w:after="120"/>
        <w:jc w:val="both"/>
        <w:rPr>
          <w:b/>
          <w:color w:val="00477E"/>
          <w:sz w:val="24"/>
        </w:rPr>
      </w:pPr>
      <w:r w:rsidRPr="000D65CE">
        <w:rPr>
          <w:b/>
          <w:color w:val="00477E"/>
          <w:sz w:val="24"/>
        </w:rPr>
        <w:t xml:space="preserve">How the Council will </w:t>
      </w:r>
      <w:r w:rsidR="003A1BFE">
        <w:rPr>
          <w:b/>
          <w:color w:val="00477E"/>
          <w:sz w:val="24"/>
        </w:rPr>
        <w:t>Address Early Years Education a</w:t>
      </w:r>
      <w:r w:rsidR="003A1BFE" w:rsidRPr="000D65CE">
        <w:rPr>
          <w:b/>
          <w:color w:val="00477E"/>
          <w:sz w:val="24"/>
        </w:rPr>
        <w:t xml:space="preserve">nd Childcare Through </w:t>
      </w:r>
      <w:r w:rsidR="00103140">
        <w:rPr>
          <w:b/>
          <w:color w:val="00477E"/>
          <w:sz w:val="24"/>
        </w:rPr>
        <w:t>Planning Obligations</w:t>
      </w:r>
    </w:p>
    <w:p w14:paraId="6FAF3F7C" w14:textId="77777777" w:rsidR="003E6656" w:rsidRPr="000D65CE" w:rsidRDefault="003E6656" w:rsidP="003B280C">
      <w:pPr>
        <w:pStyle w:val="Paragraphs"/>
        <w:rPr>
          <w:lang w:val="en-GB"/>
        </w:rPr>
      </w:pPr>
      <w:r w:rsidRPr="28D940A9">
        <w:rPr>
          <w:lang w:val="en-GB"/>
        </w:rPr>
        <w:t>Developers are encouraged to incorporate</w:t>
      </w:r>
      <w:r w:rsidR="00A314E3" w:rsidRPr="28D940A9">
        <w:rPr>
          <w:lang w:val="en-GB"/>
        </w:rPr>
        <w:t xml:space="preserve"> space for</w:t>
      </w:r>
      <w:r w:rsidRPr="28D940A9">
        <w:rPr>
          <w:lang w:val="en-GB"/>
        </w:rPr>
        <w:t xml:space="preserve"> early</w:t>
      </w:r>
      <w:r w:rsidR="00231485" w:rsidRPr="28D940A9">
        <w:rPr>
          <w:lang w:val="en-GB"/>
        </w:rPr>
        <w:t xml:space="preserve"> years</w:t>
      </w:r>
      <w:r w:rsidRPr="28D940A9">
        <w:rPr>
          <w:lang w:val="en-GB"/>
        </w:rPr>
        <w:t xml:space="preserve"> education and childcare facilities </w:t>
      </w:r>
      <w:r w:rsidR="00A314E3" w:rsidRPr="28D940A9">
        <w:rPr>
          <w:lang w:val="en-GB"/>
        </w:rPr>
        <w:t>in developments where the</w:t>
      </w:r>
      <w:r w:rsidR="004D0DA4" w:rsidRPr="28D940A9">
        <w:rPr>
          <w:lang w:val="en-GB"/>
        </w:rPr>
        <w:t xml:space="preserve"> area</w:t>
      </w:r>
      <w:r w:rsidR="009C79F7" w:rsidRPr="28D940A9">
        <w:rPr>
          <w:lang w:val="en-GB"/>
        </w:rPr>
        <w:t xml:space="preserve"> in which the development is located</w:t>
      </w:r>
      <w:r w:rsidR="004D0DA4" w:rsidRPr="28D940A9">
        <w:rPr>
          <w:lang w:val="en-GB"/>
        </w:rPr>
        <w:t xml:space="preserve"> has</w:t>
      </w:r>
      <w:r w:rsidRPr="28D940A9">
        <w:rPr>
          <w:lang w:val="en-GB"/>
        </w:rPr>
        <w:t xml:space="preserve"> </w:t>
      </w:r>
      <w:r w:rsidR="004D0DA4" w:rsidRPr="28D940A9">
        <w:rPr>
          <w:lang w:val="en-GB"/>
        </w:rPr>
        <w:t xml:space="preserve">a </w:t>
      </w:r>
      <w:r w:rsidRPr="28D940A9">
        <w:rPr>
          <w:lang w:val="en-GB"/>
        </w:rPr>
        <w:t>demonstrable</w:t>
      </w:r>
      <w:r w:rsidR="00A314E3" w:rsidRPr="28D940A9">
        <w:rPr>
          <w:lang w:val="en-GB"/>
        </w:rPr>
        <w:t xml:space="preserve"> need. This should be addressed with the Council during pre-application discussions</w:t>
      </w:r>
      <w:r w:rsidR="00020A73" w:rsidRPr="28D940A9">
        <w:rPr>
          <w:lang w:val="en-GB"/>
        </w:rPr>
        <w:t xml:space="preserve"> </w:t>
      </w:r>
      <w:r w:rsidR="009D4038" w:rsidRPr="28D940A9">
        <w:rPr>
          <w:lang w:val="en-GB"/>
        </w:rPr>
        <w:t>to confirm</w:t>
      </w:r>
      <w:r w:rsidR="00D257EF" w:rsidRPr="28D940A9">
        <w:rPr>
          <w:lang w:val="en-GB"/>
        </w:rPr>
        <w:t xml:space="preserve"> that the statutory requirements</w:t>
      </w:r>
      <w:r w:rsidR="00020A73" w:rsidRPr="28D940A9">
        <w:rPr>
          <w:lang w:val="en-GB"/>
        </w:rPr>
        <w:t xml:space="preserve"> for these facilities can </w:t>
      </w:r>
      <w:r w:rsidR="007C26A4" w:rsidRPr="28D940A9">
        <w:rPr>
          <w:lang w:val="en-GB"/>
        </w:rPr>
        <w:t>be met and that the location and surrounding area</w:t>
      </w:r>
      <w:r w:rsidR="009D4038" w:rsidRPr="28D940A9">
        <w:rPr>
          <w:lang w:val="en-GB"/>
        </w:rPr>
        <w:t>/uses are</w:t>
      </w:r>
      <w:r w:rsidR="007C26A4" w:rsidRPr="28D940A9">
        <w:rPr>
          <w:lang w:val="en-GB"/>
        </w:rPr>
        <w:t xml:space="preserve"> </w:t>
      </w:r>
      <w:r w:rsidR="009D4038" w:rsidRPr="28D940A9">
        <w:rPr>
          <w:lang w:val="en-GB"/>
        </w:rPr>
        <w:t>appropriate</w:t>
      </w:r>
      <w:r w:rsidR="007C26A4" w:rsidRPr="28D940A9">
        <w:rPr>
          <w:lang w:val="en-GB"/>
        </w:rPr>
        <w:t>.</w:t>
      </w:r>
    </w:p>
    <w:p w14:paraId="312362D2" w14:textId="5B0F86D1" w:rsidR="00C97699" w:rsidRDefault="00D60300" w:rsidP="003B280C">
      <w:pPr>
        <w:pStyle w:val="Paragraphs"/>
        <w:rPr>
          <w:lang w:val="en-GB"/>
        </w:rPr>
      </w:pPr>
      <w:r w:rsidRPr="28D940A9">
        <w:rPr>
          <w:lang w:val="en-GB"/>
        </w:rPr>
        <w:t>Where developments propose to include an early</w:t>
      </w:r>
      <w:r w:rsidR="00231485" w:rsidRPr="28D940A9">
        <w:rPr>
          <w:lang w:val="en-GB"/>
        </w:rPr>
        <w:t xml:space="preserve"> years</w:t>
      </w:r>
      <w:r w:rsidRPr="28D940A9">
        <w:rPr>
          <w:lang w:val="en-GB"/>
        </w:rPr>
        <w:t xml:space="preserve"> education and childcare facility, this will be secured by a </w:t>
      </w:r>
      <w:r w:rsidR="00032BFE" w:rsidRPr="28D940A9">
        <w:rPr>
          <w:lang w:val="en-GB"/>
        </w:rPr>
        <w:t xml:space="preserve">legal </w:t>
      </w:r>
      <w:r w:rsidRPr="28D940A9">
        <w:rPr>
          <w:lang w:val="en-GB"/>
        </w:rPr>
        <w:t>agreement.</w:t>
      </w:r>
      <w:r w:rsidR="003E6656" w:rsidRPr="28D940A9">
        <w:rPr>
          <w:lang w:val="en-GB"/>
        </w:rPr>
        <w:t xml:space="preserve"> </w:t>
      </w:r>
    </w:p>
    <w:p w14:paraId="6EE83635" w14:textId="77777777" w:rsidR="006578C2" w:rsidRDefault="00D96128" w:rsidP="006578C2">
      <w:pPr>
        <w:spacing w:after="120"/>
        <w:jc w:val="both"/>
        <w:rPr>
          <w:b/>
        </w:rPr>
      </w:pPr>
      <w:r w:rsidRPr="003D2BA4">
        <w:rPr>
          <w:b/>
        </w:rPr>
        <w:t xml:space="preserve">Text Box </w:t>
      </w:r>
      <w:r>
        <w:rPr>
          <w:b/>
        </w:rPr>
        <w:t>16</w:t>
      </w:r>
      <w:r w:rsidRPr="003D2BA4">
        <w:rPr>
          <w:b/>
        </w:rPr>
        <w:t xml:space="preserve">: </w:t>
      </w:r>
      <w:r>
        <w:rPr>
          <w:b/>
        </w:rPr>
        <w:t>Early Years Education and Childcare</w:t>
      </w:r>
    </w:p>
    <w:p w14:paraId="70B5B75B" w14:textId="09BB3B8D" w:rsidR="000954C2" w:rsidRPr="000D65CE" w:rsidRDefault="000954C2" w:rsidP="003B280C">
      <w:pPr>
        <w:jc w:val="both"/>
      </w:pPr>
      <w:r w:rsidRPr="000D65CE">
        <w:rPr>
          <w:rFonts w:cs="Arial"/>
          <w:noProof/>
          <w:lang w:eastAsia="en-GB"/>
        </w:rPr>
        <mc:AlternateContent>
          <mc:Choice Requires="wps">
            <w:drawing>
              <wp:inline distT="0" distB="0" distL="0" distR="0" wp14:anchorId="7E434019" wp14:editId="78CD4E32">
                <wp:extent cx="5715000" cy="4061361"/>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061361"/>
                        </a:xfrm>
                        <a:prstGeom prst="rect">
                          <a:avLst/>
                        </a:prstGeom>
                        <a:solidFill>
                          <a:schemeClr val="accent1">
                            <a:lumMod val="20000"/>
                            <a:lumOff val="80000"/>
                          </a:schemeClr>
                        </a:solidFill>
                        <a:ln>
                          <a:noFill/>
                        </a:ln>
                        <a:effectLst/>
                      </wps:spPr>
                      <wps:txbx>
                        <w:txbxContent>
                          <w:p w14:paraId="71DF88D4" w14:textId="77777777" w:rsidR="00EB3B59" w:rsidRPr="0049699A" w:rsidRDefault="00EB3B59" w:rsidP="000954C2">
                            <w:pPr>
                              <w:widowControl w:val="0"/>
                              <w:autoSpaceDE w:val="0"/>
                              <w:autoSpaceDN w:val="0"/>
                              <w:adjustRightInd w:val="0"/>
                              <w:jc w:val="both"/>
                              <w:textAlignment w:val="center"/>
                              <w:rPr>
                                <w:rFonts w:cs="Arial"/>
                                <w:b/>
                                <w:szCs w:val="22"/>
                              </w:rPr>
                            </w:pPr>
                            <w:r w:rsidRPr="0049699A">
                              <w:rPr>
                                <w:rFonts w:cs="Arial"/>
                                <w:b/>
                                <w:szCs w:val="22"/>
                              </w:rPr>
                              <w:t>Threshold and Contribution Requirements</w:t>
                            </w:r>
                          </w:p>
                          <w:p w14:paraId="2791279A" w14:textId="77777777" w:rsidR="00EB3B59" w:rsidRPr="0049699A" w:rsidRDefault="00EB3B59" w:rsidP="000954C2">
                            <w:pPr>
                              <w:jc w:val="both"/>
                            </w:pPr>
                            <w:r w:rsidRPr="0049699A">
                              <w:t>Planning obligations relating to early</w:t>
                            </w:r>
                            <w:r>
                              <w:t xml:space="preserve"> years</w:t>
                            </w:r>
                            <w:r w:rsidRPr="0049699A">
                              <w:t xml:space="preserve"> education and care facilities will be secured for:</w:t>
                            </w:r>
                          </w:p>
                          <w:p w14:paraId="06A8F8B8" w14:textId="77777777" w:rsidR="00EB3B59" w:rsidRPr="00210F28" w:rsidRDefault="00EB3B59" w:rsidP="000954C2">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sidRPr="00210F28">
                              <w:rPr>
                                <w:rFonts w:cs="Arial"/>
                                <w:color w:val="000000"/>
                              </w:rPr>
                              <w:t>Any development which incorporates space for an early</w:t>
                            </w:r>
                            <w:r>
                              <w:rPr>
                                <w:rFonts w:cs="Arial"/>
                                <w:color w:val="000000"/>
                              </w:rPr>
                              <w:t xml:space="preserve"> years</w:t>
                            </w:r>
                            <w:r w:rsidRPr="00210F28">
                              <w:rPr>
                                <w:rFonts w:cs="Arial"/>
                                <w:color w:val="000000"/>
                              </w:rPr>
                              <w:t xml:space="preserve"> education and care facility</w:t>
                            </w:r>
                          </w:p>
                          <w:p w14:paraId="1B5A600C" w14:textId="77777777" w:rsidR="00EB3B59" w:rsidRDefault="00EB3B59" w:rsidP="000954C2">
                            <w:pPr>
                              <w:widowControl w:val="0"/>
                              <w:autoSpaceDE w:val="0"/>
                              <w:autoSpaceDN w:val="0"/>
                              <w:adjustRightInd w:val="0"/>
                              <w:jc w:val="both"/>
                              <w:textAlignment w:val="center"/>
                              <w:rPr>
                                <w:rFonts w:cs="Arial"/>
                                <w:color w:val="000000"/>
                              </w:rPr>
                            </w:pPr>
                          </w:p>
                          <w:p w14:paraId="75235E7C" w14:textId="77777777" w:rsidR="00EB3B59" w:rsidRPr="004D0DA4" w:rsidRDefault="00EB3B59" w:rsidP="000954C2">
                            <w:pPr>
                              <w:widowControl w:val="0"/>
                              <w:autoSpaceDE w:val="0"/>
                              <w:autoSpaceDN w:val="0"/>
                              <w:adjustRightInd w:val="0"/>
                              <w:jc w:val="both"/>
                              <w:textAlignment w:val="center"/>
                              <w:rPr>
                                <w:rFonts w:cs="Arial"/>
                                <w:b/>
                                <w:color w:val="000000"/>
                              </w:rPr>
                            </w:pPr>
                            <w:r>
                              <w:rPr>
                                <w:rFonts w:cs="Arial"/>
                                <w:b/>
                                <w:color w:val="000000"/>
                              </w:rPr>
                              <w:t>Early Years Education and Care Facilities</w:t>
                            </w:r>
                          </w:p>
                          <w:p w14:paraId="68ECA8BD" w14:textId="20DD28A3" w:rsidR="00EB3B59" w:rsidRDefault="00EB3B59" w:rsidP="000954C2">
                            <w:pPr>
                              <w:widowControl w:val="0"/>
                              <w:autoSpaceDE w:val="0"/>
                              <w:autoSpaceDN w:val="0"/>
                              <w:adjustRightInd w:val="0"/>
                              <w:jc w:val="both"/>
                              <w:textAlignment w:val="center"/>
                              <w:rPr>
                                <w:rFonts w:cs="Arial"/>
                                <w:bCs/>
                                <w:szCs w:val="22"/>
                                <w:lang w:val="en-US"/>
                              </w:rPr>
                            </w:pPr>
                            <w:r w:rsidRPr="006B71BD">
                              <w:rPr>
                                <w:rFonts w:cs="Arial"/>
                                <w:bCs/>
                                <w:szCs w:val="22"/>
                                <w:lang w:val="en-US"/>
                              </w:rPr>
                              <w:t xml:space="preserve">The planning obligation will </w:t>
                            </w:r>
                            <w:r>
                              <w:rPr>
                                <w:rFonts w:cs="Arial"/>
                                <w:bCs/>
                                <w:szCs w:val="22"/>
                                <w:lang w:val="en-US"/>
                              </w:rPr>
                              <w:t xml:space="preserve">secure use of the space as an early years education and care facility. If the space cannot be filled by an early year’s education provider, the developer will be required to provide evidence of the efforts made to market and fill the space. </w:t>
                            </w:r>
                          </w:p>
                          <w:p w14:paraId="5A1257DD" w14:textId="6A6D337B" w:rsidR="00EB3B59" w:rsidRDefault="00EB3B59" w:rsidP="000954C2">
                            <w:pPr>
                              <w:widowControl w:val="0"/>
                              <w:autoSpaceDE w:val="0"/>
                              <w:autoSpaceDN w:val="0"/>
                              <w:adjustRightInd w:val="0"/>
                              <w:jc w:val="both"/>
                              <w:textAlignment w:val="center"/>
                              <w:rPr>
                                <w:rFonts w:cs="Arial"/>
                                <w:color w:val="000000"/>
                              </w:rPr>
                            </w:pPr>
                            <w:r w:rsidRPr="00AC26EE">
                              <w:rPr>
                                <w:rFonts w:cs="Arial"/>
                                <w:color w:val="000000"/>
                              </w:rPr>
                              <w:t xml:space="preserve">The </w:t>
                            </w:r>
                            <w:r>
                              <w:rPr>
                                <w:rFonts w:cs="Arial"/>
                                <w:color w:val="000000"/>
                              </w:rPr>
                              <w:t>legal</w:t>
                            </w:r>
                            <w:r w:rsidRPr="00AC26EE">
                              <w:rPr>
                                <w:rFonts w:cs="Arial"/>
                                <w:color w:val="000000"/>
                              </w:rPr>
                              <w:t xml:space="preserve"> agreement will also require the submission of a </w:t>
                            </w:r>
                            <w:r>
                              <w:rPr>
                                <w:rFonts w:cs="Arial"/>
                                <w:color w:val="000000"/>
                              </w:rPr>
                              <w:t>statement</w:t>
                            </w:r>
                            <w:r w:rsidRPr="00AC26EE">
                              <w:rPr>
                                <w:rFonts w:cs="Arial"/>
                                <w:color w:val="000000"/>
                              </w:rPr>
                              <w:t xml:space="preserve"> </w:t>
                            </w:r>
                            <w:r>
                              <w:rPr>
                                <w:rFonts w:cs="Arial"/>
                                <w:color w:val="000000"/>
                              </w:rPr>
                              <w:t>which addresses</w:t>
                            </w:r>
                            <w:r w:rsidRPr="00AC26EE">
                              <w:rPr>
                                <w:rFonts w:cs="Arial"/>
                                <w:color w:val="000000"/>
                              </w:rPr>
                              <w:t xml:space="preserve"> design and access components to ensure that premises are safe and suitable in accordance with statutory requirements under the Early Years Foundation Stage (EYFS) statutory framework.</w:t>
                            </w:r>
                            <w:r>
                              <w:rPr>
                                <w:rFonts w:cs="Arial"/>
                                <w:color w:val="000000"/>
                              </w:rPr>
                              <w:t xml:space="preserve"> This includes access to outdoor play space, indoor space requirements and supporting facilities (i.e. office space and bathrooms). </w:t>
                            </w:r>
                          </w:p>
                          <w:p w14:paraId="7C3581C3" w14:textId="6E28E7BE" w:rsidR="00EB3B59" w:rsidRPr="0049699A" w:rsidRDefault="00EB3B59" w:rsidP="000954C2">
                            <w:pPr>
                              <w:widowControl w:val="0"/>
                              <w:autoSpaceDE w:val="0"/>
                              <w:autoSpaceDN w:val="0"/>
                              <w:adjustRightInd w:val="0"/>
                              <w:jc w:val="both"/>
                              <w:textAlignment w:val="center"/>
                              <w:rPr>
                                <w:rFonts w:cs="Arial"/>
                                <w:color w:val="000000"/>
                              </w:rPr>
                            </w:pPr>
                            <w:r>
                              <w:rPr>
                                <w:rFonts w:cs="Arial"/>
                                <w:color w:val="000000"/>
                              </w:rPr>
                              <w:t xml:space="preserve">The early years education provider is required to provide spaces for children eligible for the government-funded early education and childcare entitlement.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434019" id="Text Box 9" o:spid="_x0000_s1043" type="#_x0000_t202" style="width:450pt;height:3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" fillcolor="#dbe5f1 [660]" stroked="f">
                <v:textbox>
                  <w:txbxContent>
                    <w:p w14:paraId="71DF88D4" w14:textId="77777777" w:rsidR="00EB3B59" w:rsidRPr="0049699A" w:rsidRDefault="00EB3B59" w:rsidP="000954C2">
                      <w:pPr>
                        <w:widowControl w:val="0"/>
                        <w:autoSpaceDE w:val="0"/>
                        <w:autoSpaceDN w:val="0"/>
                        <w:adjustRightInd w:val="0"/>
                        <w:jc w:val="both"/>
                        <w:textAlignment w:val="center"/>
                        <w:rPr>
                          <w:rFonts w:cs="Arial"/>
                          <w:b/>
                          <w:szCs w:val="22"/>
                        </w:rPr>
                      </w:pPr>
                      <w:r w:rsidRPr="0049699A">
                        <w:rPr>
                          <w:rFonts w:cs="Arial"/>
                          <w:b/>
                          <w:szCs w:val="22"/>
                        </w:rPr>
                        <w:t>Threshold and Contribution Requirements</w:t>
                      </w:r>
                    </w:p>
                    <w:p w14:paraId="2791279A" w14:textId="77777777" w:rsidR="00EB3B59" w:rsidRPr="0049699A" w:rsidRDefault="00EB3B59" w:rsidP="000954C2">
                      <w:pPr>
                        <w:jc w:val="both"/>
                      </w:pPr>
                      <w:r w:rsidRPr="0049699A">
                        <w:t>Planning obligations relating to early</w:t>
                      </w:r>
                      <w:r>
                        <w:t xml:space="preserve"> years</w:t>
                      </w:r>
                      <w:r w:rsidRPr="0049699A">
                        <w:t xml:space="preserve"> education and care facilities will be secured for:</w:t>
                      </w:r>
                    </w:p>
                    <w:p w14:paraId="06A8F8B8" w14:textId="77777777" w:rsidR="00EB3B59" w:rsidRPr="00210F28" w:rsidRDefault="00EB3B59" w:rsidP="000954C2">
                      <w:pPr>
                        <w:pStyle w:val="ListParagraph"/>
                        <w:widowControl w:val="0"/>
                        <w:numPr>
                          <w:ilvl w:val="0"/>
                          <w:numId w:val="26"/>
                        </w:numPr>
                        <w:autoSpaceDE w:val="0"/>
                        <w:autoSpaceDN w:val="0"/>
                        <w:adjustRightInd w:val="0"/>
                        <w:spacing w:after="0" w:line="240" w:lineRule="auto"/>
                        <w:jc w:val="both"/>
                        <w:textAlignment w:val="center"/>
                        <w:rPr>
                          <w:rFonts w:cs="Arial"/>
                          <w:color w:val="000000"/>
                        </w:rPr>
                      </w:pPr>
                      <w:r w:rsidRPr="00210F28">
                        <w:rPr>
                          <w:rFonts w:cs="Arial"/>
                          <w:color w:val="000000"/>
                        </w:rPr>
                        <w:t>Any development which incorporates space for an early</w:t>
                      </w:r>
                      <w:r>
                        <w:rPr>
                          <w:rFonts w:cs="Arial"/>
                          <w:color w:val="000000"/>
                        </w:rPr>
                        <w:t xml:space="preserve"> years</w:t>
                      </w:r>
                      <w:r w:rsidRPr="00210F28">
                        <w:rPr>
                          <w:rFonts w:cs="Arial"/>
                          <w:color w:val="000000"/>
                        </w:rPr>
                        <w:t xml:space="preserve"> education and care facility</w:t>
                      </w:r>
                    </w:p>
                    <w:p w14:paraId="1B5A600C" w14:textId="77777777" w:rsidR="00EB3B59" w:rsidRDefault="00EB3B59" w:rsidP="000954C2">
                      <w:pPr>
                        <w:widowControl w:val="0"/>
                        <w:autoSpaceDE w:val="0"/>
                        <w:autoSpaceDN w:val="0"/>
                        <w:adjustRightInd w:val="0"/>
                        <w:jc w:val="both"/>
                        <w:textAlignment w:val="center"/>
                        <w:rPr>
                          <w:rFonts w:cs="Arial"/>
                          <w:color w:val="000000"/>
                        </w:rPr>
                      </w:pPr>
                    </w:p>
                    <w:p w14:paraId="75235E7C" w14:textId="77777777" w:rsidR="00EB3B59" w:rsidRPr="004D0DA4" w:rsidRDefault="00EB3B59" w:rsidP="000954C2">
                      <w:pPr>
                        <w:widowControl w:val="0"/>
                        <w:autoSpaceDE w:val="0"/>
                        <w:autoSpaceDN w:val="0"/>
                        <w:adjustRightInd w:val="0"/>
                        <w:jc w:val="both"/>
                        <w:textAlignment w:val="center"/>
                        <w:rPr>
                          <w:rFonts w:cs="Arial"/>
                          <w:b/>
                          <w:color w:val="000000"/>
                        </w:rPr>
                      </w:pPr>
                      <w:r>
                        <w:rPr>
                          <w:rFonts w:cs="Arial"/>
                          <w:b/>
                          <w:color w:val="000000"/>
                        </w:rPr>
                        <w:t>Early Years Education and Care Facilities</w:t>
                      </w:r>
                    </w:p>
                    <w:p w14:paraId="68ECA8BD" w14:textId="20DD28A3" w:rsidR="00EB3B59" w:rsidRDefault="00EB3B59" w:rsidP="000954C2">
                      <w:pPr>
                        <w:widowControl w:val="0"/>
                        <w:autoSpaceDE w:val="0"/>
                        <w:autoSpaceDN w:val="0"/>
                        <w:adjustRightInd w:val="0"/>
                        <w:jc w:val="both"/>
                        <w:textAlignment w:val="center"/>
                        <w:rPr>
                          <w:rFonts w:cs="Arial"/>
                          <w:bCs/>
                          <w:szCs w:val="22"/>
                          <w:lang w:val="en-US"/>
                        </w:rPr>
                      </w:pPr>
                      <w:r w:rsidRPr="006B71BD">
                        <w:rPr>
                          <w:rFonts w:cs="Arial"/>
                          <w:bCs/>
                          <w:szCs w:val="22"/>
                          <w:lang w:val="en-US"/>
                        </w:rPr>
                        <w:t xml:space="preserve">The planning obligation will </w:t>
                      </w:r>
                      <w:r>
                        <w:rPr>
                          <w:rFonts w:cs="Arial"/>
                          <w:bCs/>
                          <w:szCs w:val="22"/>
                          <w:lang w:val="en-US"/>
                        </w:rPr>
                        <w:t xml:space="preserve">secure use of the space as an early years education and care facility. If the space cannot be filled by an early year’s education provider, the developer will be required to provide evidence of the efforts made to market and fill the space. </w:t>
                      </w:r>
                    </w:p>
                    <w:p w14:paraId="5A1257DD" w14:textId="6A6D337B" w:rsidR="00EB3B59" w:rsidRDefault="00EB3B59" w:rsidP="000954C2">
                      <w:pPr>
                        <w:widowControl w:val="0"/>
                        <w:autoSpaceDE w:val="0"/>
                        <w:autoSpaceDN w:val="0"/>
                        <w:adjustRightInd w:val="0"/>
                        <w:jc w:val="both"/>
                        <w:textAlignment w:val="center"/>
                        <w:rPr>
                          <w:rFonts w:cs="Arial"/>
                          <w:color w:val="000000"/>
                        </w:rPr>
                      </w:pPr>
                      <w:r w:rsidRPr="00AC26EE">
                        <w:rPr>
                          <w:rFonts w:cs="Arial"/>
                          <w:color w:val="000000"/>
                        </w:rPr>
                        <w:t xml:space="preserve">The </w:t>
                      </w:r>
                      <w:r>
                        <w:rPr>
                          <w:rFonts w:cs="Arial"/>
                          <w:color w:val="000000"/>
                        </w:rPr>
                        <w:t>legal</w:t>
                      </w:r>
                      <w:r w:rsidRPr="00AC26EE">
                        <w:rPr>
                          <w:rFonts w:cs="Arial"/>
                          <w:color w:val="000000"/>
                        </w:rPr>
                        <w:t xml:space="preserve"> agreement will also require the submission of a </w:t>
                      </w:r>
                      <w:r>
                        <w:rPr>
                          <w:rFonts w:cs="Arial"/>
                          <w:color w:val="000000"/>
                        </w:rPr>
                        <w:t>statement</w:t>
                      </w:r>
                      <w:r w:rsidRPr="00AC26EE">
                        <w:rPr>
                          <w:rFonts w:cs="Arial"/>
                          <w:color w:val="000000"/>
                        </w:rPr>
                        <w:t xml:space="preserve"> </w:t>
                      </w:r>
                      <w:r>
                        <w:rPr>
                          <w:rFonts w:cs="Arial"/>
                          <w:color w:val="000000"/>
                        </w:rPr>
                        <w:t>which addresses</w:t>
                      </w:r>
                      <w:r w:rsidRPr="00AC26EE">
                        <w:rPr>
                          <w:rFonts w:cs="Arial"/>
                          <w:color w:val="000000"/>
                        </w:rPr>
                        <w:t xml:space="preserve"> design and access components to ensure that premises are safe and suitable in accordance with statutory requirements under the Early Years Foundation Stage (EYFS) statutory framework.</w:t>
                      </w:r>
                      <w:r>
                        <w:rPr>
                          <w:rFonts w:cs="Arial"/>
                          <w:color w:val="000000"/>
                        </w:rPr>
                        <w:t xml:space="preserve"> This includes access to outdoor play space, indoor space requirements and supporting facilities (i.e. office space and bathrooms). </w:t>
                      </w:r>
                    </w:p>
                    <w:p w14:paraId="7C3581C3" w14:textId="6E28E7BE" w:rsidR="00EB3B59" w:rsidRPr="0049699A" w:rsidRDefault="00EB3B59" w:rsidP="000954C2">
                      <w:pPr>
                        <w:widowControl w:val="0"/>
                        <w:autoSpaceDE w:val="0"/>
                        <w:autoSpaceDN w:val="0"/>
                        <w:adjustRightInd w:val="0"/>
                        <w:jc w:val="both"/>
                        <w:textAlignment w:val="center"/>
                        <w:rPr>
                          <w:rFonts w:cs="Arial"/>
                          <w:color w:val="000000"/>
                        </w:rPr>
                      </w:pPr>
                      <w:r>
                        <w:rPr>
                          <w:rFonts w:cs="Arial"/>
                          <w:color w:val="000000"/>
                        </w:rPr>
                        <w:t xml:space="preserve">The early years education provider is required to provide spaces for children eligible for the government-funded early education and childcare entitlement.  </w:t>
                      </w:r>
                    </w:p>
                  </w:txbxContent>
                </v:textbox>
                <w10:anchorlock/>
              </v:shape>
            </w:pict>
          </mc:Fallback>
        </mc:AlternateContent>
      </w:r>
    </w:p>
    <w:p w14:paraId="182DDD1F" w14:textId="50BFAF82" w:rsidR="006F36C9" w:rsidRPr="000D65CE" w:rsidRDefault="00543EEC" w:rsidP="00721B10">
      <w:pPr>
        <w:pStyle w:val="Heading2"/>
      </w:pPr>
      <w:bookmarkStart w:id="15" w:name="_Toc69374676"/>
      <w:r w:rsidRPr="000D65CE">
        <w:lastRenderedPageBreak/>
        <w:t>Transport,</w:t>
      </w:r>
      <w:r w:rsidR="0019236B" w:rsidRPr="000D65CE">
        <w:t xml:space="preserve"> Highways</w:t>
      </w:r>
      <w:r w:rsidRPr="000D65CE">
        <w:t xml:space="preserve"> and Public Realm</w:t>
      </w:r>
      <w:bookmarkEnd w:id="15"/>
    </w:p>
    <w:tbl>
      <w:tblPr>
        <w:tblStyle w:val="TableGrid"/>
        <w:tblW w:w="0" w:type="auto"/>
        <w:tblInd w:w="82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005B6833" w14:textId="77777777" w:rsidTr="00921BA6">
        <w:tc>
          <w:tcPr>
            <w:tcW w:w="3119" w:type="dxa"/>
            <w:tcBorders>
              <w:bottom w:val="single" w:sz="8" w:space="0" w:color="006BB6"/>
            </w:tcBorders>
            <w:shd w:val="clear" w:color="auto" w:fill="F2F2F2" w:themeFill="background1" w:themeFillShade="F2"/>
          </w:tcPr>
          <w:p w14:paraId="3288A7F5"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3FA03699"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S.TR1, D.TR2, D.TR3, D.TR4</w:t>
            </w:r>
          </w:p>
        </w:tc>
      </w:tr>
    </w:tbl>
    <w:p w14:paraId="4DB90D1F" w14:textId="77777777" w:rsidR="00575071" w:rsidRPr="000D65CE" w:rsidRDefault="00575071" w:rsidP="003B280C">
      <w:pPr>
        <w:jc w:val="both"/>
      </w:pPr>
    </w:p>
    <w:p w14:paraId="4F3938A0" w14:textId="1361208C" w:rsidR="00805CA5" w:rsidRPr="000D65CE" w:rsidRDefault="00CE1B67" w:rsidP="003B280C">
      <w:pPr>
        <w:pStyle w:val="Paragraphs"/>
        <w:rPr>
          <w:lang w:val="en-GB"/>
        </w:rPr>
      </w:pPr>
      <w:r w:rsidRPr="28D940A9">
        <w:rPr>
          <w:lang w:val="en-GB"/>
        </w:rPr>
        <w:t>A safe</w:t>
      </w:r>
      <w:r w:rsidR="00344310" w:rsidRPr="28D940A9">
        <w:rPr>
          <w:lang w:val="en-GB"/>
        </w:rPr>
        <w:t>,</w:t>
      </w:r>
      <w:r w:rsidR="00D074C6" w:rsidRPr="28D940A9">
        <w:rPr>
          <w:lang w:val="en-GB"/>
        </w:rPr>
        <w:t xml:space="preserve"> active,</w:t>
      </w:r>
      <w:r w:rsidR="00344310" w:rsidRPr="28D940A9">
        <w:rPr>
          <w:lang w:val="en-GB"/>
        </w:rPr>
        <w:t xml:space="preserve"> accessible, efficient</w:t>
      </w:r>
      <w:r w:rsidR="00556811" w:rsidRPr="28D940A9">
        <w:rPr>
          <w:lang w:val="en-GB"/>
        </w:rPr>
        <w:t xml:space="preserve"> and integrated transport network is </w:t>
      </w:r>
      <w:r w:rsidR="00AD3DDB" w:rsidRPr="28D940A9">
        <w:rPr>
          <w:lang w:val="en-GB"/>
        </w:rPr>
        <w:t>essential</w:t>
      </w:r>
      <w:r w:rsidR="00556811" w:rsidRPr="28D940A9">
        <w:rPr>
          <w:lang w:val="en-GB"/>
        </w:rPr>
        <w:t xml:space="preserve"> to</w:t>
      </w:r>
      <w:r w:rsidR="00805CA5" w:rsidRPr="28D940A9">
        <w:rPr>
          <w:lang w:val="en-GB"/>
        </w:rPr>
        <w:t xml:space="preserve"> meet the travel demands of residents and visitors travelling in and through the </w:t>
      </w:r>
      <w:r w:rsidR="00C44288" w:rsidRPr="28D940A9">
        <w:rPr>
          <w:lang w:val="en-GB"/>
        </w:rPr>
        <w:t>b</w:t>
      </w:r>
      <w:r w:rsidR="00805CA5" w:rsidRPr="28D940A9">
        <w:rPr>
          <w:lang w:val="en-GB"/>
        </w:rPr>
        <w:t>orough. The Council is committed to promoting a sustainable pattern of development which prioritises and supports active forms of travel, such as walking and cycling, as well as access to public transport</w:t>
      </w:r>
      <w:r w:rsidR="00103140" w:rsidRPr="28D940A9">
        <w:rPr>
          <w:lang w:val="en-GB"/>
        </w:rPr>
        <w:t>.</w:t>
      </w:r>
      <w:r w:rsidR="00805CA5" w:rsidRPr="28D940A9">
        <w:rPr>
          <w:lang w:val="en-GB"/>
        </w:rPr>
        <w:t xml:space="preserve"> </w:t>
      </w:r>
    </w:p>
    <w:p w14:paraId="613E3C99" w14:textId="298D2A54" w:rsidR="00556811" w:rsidRPr="000D65CE" w:rsidRDefault="00556811" w:rsidP="003B280C">
      <w:pPr>
        <w:pStyle w:val="Paragraphs"/>
        <w:rPr>
          <w:lang w:val="en-GB"/>
        </w:rPr>
      </w:pPr>
      <w:r w:rsidRPr="28D940A9">
        <w:rPr>
          <w:lang w:val="en-GB"/>
        </w:rPr>
        <w:t>New development</w:t>
      </w:r>
      <w:r w:rsidR="00CE1B67" w:rsidRPr="28D940A9">
        <w:rPr>
          <w:lang w:val="en-GB"/>
        </w:rPr>
        <w:t xml:space="preserve"> and population growth</w:t>
      </w:r>
      <w:r w:rsidRPr="28D940A9">
        <w:rPr>
          <w:lang w:val="en-GB"/>
        </w:rPr>
        <w:t xml:space="preserve"> in the </w:t>
      </w:r>
      <w:r w:rsidR="00C44288" w:rsidRPr="28D940A9">
        <w:rPr>
          <w:lang w:val="en-GB"/>
        </w:rPr>
        <w:t>b</w:t>
      </w:r>
      <w:r w:rsidRPr="28D940A9">
        <w:rPr>
          <w:lang w:val="en-GB"/>
        </w:rPr>
        <w:t>orough</w:t>
      </w:r>
      <w:r w:rsidR="00F21C93" w:rsidRPr="28D940A9">
        <w:rPr>
          <w:lang w:val="en-GB"/>
        </w:rPr>
        <w:t xml:space="preserve"> </w:t>
      </w:r>
      <w:r w:rsidR="00B64F1D" w:rsidRPr="28D940A9">
        <w:rPr>
          <w:lang w:val="en-GB"/>
        </w:rPr>
        <w:t>have</w:t>
      </w:r>
      <w:r w:rsidR="00F21C93" w:rsidRPr="28D940A9">
        <w:rPr>
          <w:lang w:val="en-GB"/>
        </w:rPr>
        <w:t xml:space="preserve"> the potential to exacerbate</w:t>
      </w:r>
      <w:r w:rsidRPr="28D940A9">
        <w:rPr>
          <w:lang w:val="en-GB"/>
        </w:rPr>
        <w:t xml:space="preserve"> </w:t>
      </w:r>
      <w:r w:rsidR="00805CA5" w:rsidRPr="28D940A9">
        <w:rPr>
          <w:lang w:val="en-GB"/>
        </w:rPr>
        <w:t xml:space="preserve">already congested </w:t>
      </w:r>
      <w:r w:rsidRPr="28D940A9">
        <w:rPr>
          <w:lang w:val="en-GB"/>
        </w:rPr>
        <w:t>transport and highway networks</w:t>
      </w:r>
      <w:r w:rsidR="00F21C93" w:rsidRPr="28D940A9">
        <w:rPr>
          <w:lang w:val="en-GB"/>
        </w:rPr>
        <w:t xml:space="preserve">, poor air quality and capacity constraints on public transport. </w:t>
      </w:r>
      <w:r w:rsidR="0069232C" w:rsidRPr="28D940A9">
        <w:rPr>
          <w:lang w:val="en-GB"/>
        </w:rPr>
        <w:t xml:space="preserve">New development also increases the need for </w:t>
      </w:r>
      <w:r w:rsidRPr="28D940A9">
        <w:rPr>
          <w:lang w:val="en-GB"/>
        </w:rPr>
        <w:t xml:space="preserve">pedestrian and cycle safety education and training, travel awareness, sustainable freight activities and interchange accessibility improvements. </w:t>
      </w:r>
    </w:p>
    <w:p w14:paraId="57734089" w14:textId="7EBB8CD5" w:rsidR="0019236B" w:rsidRPr="000D65CE" w:rsidRDefault="00753353" w:rsidP="003B280C">
      <w:pPr>
        <w:spacing w:before="360" w:after="120"/>
        <w:jc w:val="both"/>
        <w:rPr>
          <w:b/>
          <w:color w:val="00477E"/>
          <w:sz w:val="24"/>
        </w:rPr>
      </w:pPr>
      <w:r w:rsidRPr="000D65CE">
        <w:rPr>
          <w:b/>
          <w:color w:val="00477E"/>
          <w:sz w:val="24"/>
        </w:rPr>
        <w:t>How the C</w:t>
      </w:r>
      <w:r w:rsidR="00543EEC" w:rsidRPr="000D65CE">
        <w:rPr>
          <w:b/>
          <w:color w:val="00477E"/>
          <w:sz w:val="24"/>
        </w:rPr>
        <w:t xml:space="preserve">ouncil will </w:t>
      </w:r>
      <w:r w:rsidR="003A1BFE" w:rsidRPr="000D65CE">
        <w:rPr>
          <w:b/>
          <w:color w:val="00477E"/>
          <w:sz w:val="24"/>
        </w:rPr>
        <w:t>Secure Transport, Highw</w:t>
      </w:r>
      <w:r w:rsidR="003A1BFE">
        <w:rPr>
          <w:b/>
          <w:color w:val="00477E"/>
          <w:sz w:val="24"/>
        </w:rPr>
        <w:t>ay a</w:t>
      </w:r>
      <w:r w:rsidR="003A1BFE" w:rsidRPr="000D65CE">
        <w:rPr>
          <w:b/>
          <w:color w:val="00477E"/>
          <w:sz w:val="24"/>
        </w:rPr>
        <w:t xml:space="preserve">nd Public Realm Improvements Through </w:t>
      </w:r>
      <w:r w:rsidR="00103140">
        <w:rPr>
          <w:b/>
          <w:color w:val="00477E"/>
          <w:sz w:val="24"/>
        </w:rPr>
        <w:t>Planning Obligations</w:t>
      </w:r>
    </w:p>
    <w:p w14:paraId="7B7F9C6F" w14:textId="6C913F67" w:rsidR="00D074C6" w:rsidRPr="000D65CE" w:rsidRDefault="00D074C6" w:rsidP="003B280C">
      <w:pPr>
        <w:pStyle w:val="Paragraphs"/>
        <w:rPr>
          <w:lang w:val="en-GB"/>
        </w:rPr>
      </w:pPr>
      <w:r w:rsidRPr="28D940A9">
        <w:rPr>
          <w:lang w:val="en-GB"/>
        </w:rPr>
        <w:t>Where necessary d</w:t>
      </w:r>
      <w:r w:rsidR="005758FE" w:rsidRPr="28D940A9">
        <w:rPr>
          <w:lang w:val="en-GB"/>
        </w:rPr>
        <w:t xml:space="preserve">evelopments in the </w:t>
      </w:r>
      <w:r w:rsidR="00C44288" w:rsidRPr="28D940A9">
        <w:rPr>
          <w:lang w:val="en-GB"/>
        </w:rPr>
        <w:t>b</w:t>
      </w:r>
      <w:r w:rsidR="00747592" w:rsidRPr="28D940A9">
        <w:rPr>
          <w:lang w:val="en-GB"/>
        </w:rPr>
        <w:t>orough</w:t>
      </w:r>
      <w:r w:rsidR="005758FE" w:rsidRPr="28D940A9">
        <w:rPr>
          <w:lang w:val="en-GB"/>
        </w:rPr>
        <w:t xml:space="preserve"> should provide transp</w:t>
      </w:r>
      <w:r w:rsidR="001D6A5F" w:rsidRPr="28D940A9">
        <w:rPr>
          <w:lang w:val="en-GB"/>
        </w:rPr>
        <w:t xml:space="preserve">ort, </w:t>
      </w:r>
      <w:r w:rsidR="005758FE" w:rsidRPr="28D940A9">
        <w:rPr>
          <w:lang w:val="en-GB"/>
        </w:rPr>
        <w:t>highway</w:t>
      </w:r>
      <w:r w:rsidR="001D6A5F" w:rsidRPr="28D940A9">
        <w:rPr>
          <w:lang w:val="en-GB"/>
        </w:rPr>
        <w:t xml:space="preserve"> and public realm</w:t>
      </w:r>
      <w:r w:rsidR="005758FE" w:rsidRPr="28D940A9">
        <w:rPr>
          <w:lang w:val="en-GB"/>
        </w:rPr>
        <w:t xml:space="preserve"> i</w:t>
      </w:r>
      <w:r w:rsidR="003767C3" w:rsidRPr="28D940A9">
        <w:rPr>
          <w:lang w:val="en-GB"/>
        </w:rPr>
        <w:t>mprovements on-site to mitigate</w:t>
      </w:r>
      <w:r w:rsidRPr="28D940A9">
        <w:rPr>
          <w:lang w:val="en-GB"/>
        </w:rPr>
        <w:t xml:space="preserve"> site-specific</w:t>
      </w:r>
      <w:r w:rsidR="005758FE" w:rsidRPr="28D940A9">
        <w:rPr>
          <w:lang w:val="en-GB"/>
        </w:rPr>
        <w:t xml:space="preserve"> impact</w:t>
      </w:r>
      <w:r w:rsidRPr="28D940A9">
        <w:rPr>
          <w:lang w:val="en-GB"/>
        </w:rPr>
        <w:t>s</w:t>
      </w:r>
      <w:r w:rsidR="005758FE" w:rsidRPr="28D940A9">
        <w:rPr>
          <w:lang w:val="en-GB"/>
        </w:rPr>
        <w:t xml:space="preserve"> of the additional travel demand they generate.</w:t>
      </w:r>
      <w:r w:rsidRPr="28D940A9">
        <w:rPr>
          <w:lang w:val="en-GB"/>
        </w:rPr>
        <w:t xml:space="preserve"> Other required improvements may include improved crossing facilities</w:t>
      </w:r>
      <w:r w:rsidR="009C79F7" w:rsidRPr="28D940A9">
        <w:rPr>
          <w:lang w:val="en-GB"/>
        </w:rPr>
        <w:t>,</w:t>
      </w:r>
      <w:r w:rsidRPr="28D940A9">
        <w:rPr>
          <w:lang w:val="en-GB"/>
        </w:rPr>
        <w:t xml:space="preserve"> road safety </w:t>
      </w:r>
      <w:r w:rsidR="00E06B98" w:rsidRPr="28D940A9">
        <w:rPr>
          <w:lang w:val="en-GB"/>
        </w:rPr>
        <w:t>upgrades</w:t>
      </w:r>
      <w:r w:rsidR="009C79F7" w:rsidRPr="28D940A9">
        <w:rPr>
          <w:lang w:val="en-GB"/>
        </w:rPr>
        <w:t xml:space="preserve"> and</w:t>
      </w:r>
      <w:r w:rsidRPr="28D940A9">
        <w:rPr>
          <w:lang w:val="en-GB"/>
        </w:rPr>
        <w:t xml:space="preserve"> pedestrian and/or cycling enhancements near to the development site. </w:t>
      </w:r>
      <w:r w:rsidR="00E06B98" w:rsidRPr="28D940A9">
        <w:rPr>
          <w:lang w:val="en-GB"/>
        </w:rPr>
        <w:t>These improvements will be secured through a legal agreement</w:t>
      </w:r>
      <w:r w:rsidR="000A2DE0" w:rsidRPr="28D940A9">
        <w:rPr>
          <w:lang w:val="en-GB"/>
        </w:rPr>
        <w:t xml:space="preserve"> and </w:t>
      </w:r>
      <w:r w:rsidR="67768D9C" w:rsidRPr="28D940A9">
        <w:rPr>
          <w:lang w:val="en-GB"/>
        </w:rPr>
        <w:t xml:space="preserve">in some cases </w:t>
      </w:r>
      <w:r w:rsidR="000A2DE0" w:rsidRPr="28D940A9">
        <w:rPr>
          <w:lang w:val="en-GB"/>
        </w:rPr>
        <w:t>may include Transport for London as a co-signatory.</w:t>
      </w:r>
      <w:r w:rsidR="00E06B98" w:rsidRPr="28D940A9">
        <w:rPr>
          <w:lang w:val="en-GB"/>
        </w:rPr>
        <w:t xml:space="preserve"> </w:t>
      </w:r>
    </w:p>
    <w:p w14:paraId="69A15844" w14:textId="77777777" w:rsidR="0019236B" w:rsidRPr="000D65CE" w:rsidRDefault="005758FE" w:rsidP="003B280C">
      <w:pPr>
        <w:pStyle w:val="Paragraphs"/>
        <w:rPr>
          <w:lang w:val="en-GB"/>
        </w:rPr>
      </w:pPr>
      <w:r w:rsidRPr="28D940A9">
        <w:rPr>
          <w:lang w:val="en-GB"/>
        </w:rPr>
        <w:t xml:space="preserve">Any </w:t>
      </w:r>
      <w:r w:rsidR="003111C7" w:rsidRPr="28D940A9">
        <w:rPr>
          <w:lang w:val="en-GB"/>
        </w:rPr>
        <w:t>necessary</w:t>
      </w:r>
      <w:r w:rsidRPr="28D940A9">
        <w:rPr>
          <w:lang w:val="en-GB"/>
        </w:rPr>
        <w:t xml:space="preserve"> alterations to the transport/highway network within or in the vicinity of new development will be expected to be incorporated in</w:t>
      </w:r>
      <w:r w:rsidR="00502A5D" w:rsidRPr="28D940A9">
        <w:rPr>
          <w:lang w:val="en-GB"/>
        </w:rPr>
        <w:t>to</w:t>
      </w:r>
      <w:r w:rsidR="00E06B98" w:rsidRPr="28D940A9">
        <w:rPr>
          <w:lang w:val="en-GB"/>
        </w:rPr>
        <w:t xml:space="preserve"> planning</w:t>
      </w:r>
      <w:r w:rsidRPr="28D940A9">
        <w:rPr>
          <w:lang w:val="en-GB"/>
        </w:rPr>
        <w:t xml:space="preserve"> proposals. Permission will be refused </w:t>
      </w:r>
      <w:r w:rsidR="0019236B" w:rsidRPr="28D940A9">
        <w:rPr>
          <w:lang w:val="en-GB"/>
        </w:rPr>
        <w:t xml:space="preserve">where developers are </w:t>
      </w:r>
      <w:r w:rsidRPr="28D940A9">
        <w:rPr>
          <w:lang w:val="en-GB"/>
        </w:rPr>
        <w:t>unwilling or unable to provide the necessary</w:t>
      </w:r>
      <w:r w:rsidR="00E06B98" w:rsidRPr="28D940A9">
        <w:rPr>
          <w:lang w:val="en-GB"/>
        </w:rPr>
        <w:t xml:space="preserve"> mitigation measures.</w:t>
      </w:r>
      <w:r w:rsidRPr="28D940A9">
        <w:rPr>
          <w:lang w:val="en-GB"/>
        </w:rPr>
        <w:t xml:space="preserve"> </w:t>
      </w:r>
    </w:p>
    <w:p w14:paraId="6DC411FA" w14:textId="24E2ADB8" w:rsidR="001D6A5F" w:rsidRPr="000D65CE" w:rsidRDefault="00571C08" w:rsidP="003B280C">
      <w:pPr>
        <w:pStyle w:val="Paragraphs"/>
        <w:rPr>
          <w:lang w:val="en-GB"/>
        </w:rPr>
      </w:pPr>
      <w:r w:rsidRPr="28D940A9">
        <w:rPr>
          <w:lang w:val="en-GB"/>
        </w:rPr>
        <w:t>Section 278</w:t>
      </w:r>
      <w:r w:rsidR="00FE1D08" w:rsidRPr="28D940A9">
        <w:rPr>
          <w:lang w:val="en-GB"/>
        </w:rPr>
        <w:t xml:space="preserve"> (Highways Act 1980 (as amended))</w:t>
      </w:r>
      <w:r w:rsidR="00DE167F" w:rsidRPr="28D940A9">
        <w:rPr>
          <w:lang w:val="en-GB"/>
        </w:rPr>
        <w:t xml:space="preserve"> </w:t>
      </w:r>
      <w:r w:rsidR="00FB09D2" w:rsidRPr="28D940A9">
        <w:rPr>
          <w:lang w:val="en-GB"/>
        </w:rPr>
        <w:t>legal a</w:t>
      </w:r>
      <w:r w:rsidRPr="28D940A9">
        <w:rPr>
          <w:lang w:val="en-GB"/>
        </w:rPr>
        <w:t>greement</w:t>
      </w:r>
      <w:r w:rsidR="00FE1D08" w:rsidRPr="28D940A9">
        <w:rPr>
          <w:lang w:val="en-GB"/>
        </w:rPr>
        <w:t xml:space="preserve">s will be used </w:t>
      </w:r>
      <w:r w:rsidR="007A7B68" w:rsidRPr="28D940A9">
        <w:rPr>
          <w:lang w:val="en-GB"/>
        </w:rPr>
        <w:t>to secure monies to reinstate the public highway</w:t>
      </w:r>
      <w:r w:rsidR="00D25892" w:rsidRPr="28D940A9">
        <w:rPr>
          <w:lang w:val="en-GB"/>
        </w:rPr>
        <w:t xml:space="preserve"> adjacent to a development</w:t>
      </w:r>
      <w:r w:rsidR="007A7B68" w:rsidRPr="28D940A9">
        <w:rPr>
          <w:lang w:val="en-GB"/>
        </w:rPr>
        <w:t xml:space="preserve"> where construction damage has occurred from the building of a development. These will be funded by the developer and</w:t>
      </w:r>
      <w:r w:rsidR="00A30151" w:rsidRPr="28D940A9">
        <w:rPr>
          <w:lang w:val="en-GB"/>
        </w:rPr>
        <w:t xml:space="preserve"> the Section 278 legal agreement will specify who is responsible for implementing the reinstatement works.</w:t>
      </w:r>
      <w:r w:rsidR="007A7B68" w:rsidRPr="28D940A9">
        <w:rPr>
          <w:lang w:val="en-GB"/>
        </w:rPr>
        <w:t xml:space="preserve"> </w:t>
      </w:r>
    </w:p>
    <w:p w14:paraId="15F28588" w14:textId="1647FFBE" w:rsidR="00D25892" w:rsidRPr="000D65CE" w:rsidRDefault="00D25892" w:rsidP="003B280C">
      <w:pPr>
        <w:pStyle w:val="Paragraphs"/>
        <w:rPr>
          <w:lang w:val="en-GB"/>
        </w:rPr>
      </w:pPr>
      <w:r w:rsidRPr="28D940A9">
        <w:rPr>
          <w:lang w:val="en-GB"/>
        </w:rPr>
        <w:t>Where</w:t>
      </w:r>
      <w:r w:rsidR="007A7B68" w:rsidRPr="28D940A9">
        <w:rPr>
          <w:lang w:val="en-GB"/>
        </w:rPr>
        <w:t xml:space="preserve"> both the reinstatement of the highway </w:t>
      </w:r>
      <w:r w:rsidR="003767C3" w:rsidRPr="28D940A9">
        <w:rPr>
          <w:lang w:val="en-GB"/>
        </w:rPr>
        <w:t>and</w:t>
      </w:r>
      <w:r w:rsidR="007A7B68" w:rsidRPr="28D940A9">
        <w:rPr>
          <w:lang w:val="en-GB"/>
        </w:rPr>
        <w:t xml:space="preserve"> improvements to </w:t>
      </w:r>
      <w:r w:rsidRPr="28D940A9">
        <w:rPr>
          <w:lang w:val="en-GB"/>
        </w:rPr>
        <w:t xml:space="preserve">the highway are required, </w:t>
      </w:r>
      <w:r w:rsidR="001D6A5F" w:rsidRPr="28D940A9">
        <w:rPr>
          <w:lang w:val="en-GB"/>
        </w:rPr>
        <w:t xml:space="preserve">the </w:t>
      </w:r>
      <w:r w:rsidR="00032BFE" w:rsidRPr="28D940A9">
        <w:rPr>
          <w:lang w:val="en-GB"/>
        </w:rPr>
        <w:t xml:space="preserve">legal </w:t>
      </w:r>
      <w:r w:rsidR="0044754F" w:rsidRPr="28D940A9">
        <w:rPr>
          <w:lang w:val="en-GB"/>
        </w:rPr>
        <w:t>a</w:t>
      </w:r>
      <w:r w:rsidR="001D6A5F" w:rsidRPr="28D940A9">
        <w:rPr>
          <w:lang w:val="en-GB"/>
        </w:rPr>
        <w:t xml:space="preserve">greement will include a clause requiring </w:t>
      </w:r>
      <w:r w:rsidR="009870C4" w:rsidRPr="28D940A9">
        <w:rPr>
          <w:lang w:val="en-GB"/>
        </w:rPr>
        <w:t xml:space="preserve">a </w:t>
      </w:r>
      <w:r w:rsidR="005B4191" w:rsidRPr="28D940A9">
        <w:rPr>
          <w:lang w:val="en-GB"/>
        </w:rPr>
        <w:t>S278</w:t>
      </w:r>
      <w:r w:rsidR="009870C4" w:rsidRPr="28D940A9">
        <w:rPr>
          <w:lang w:val="en-GB"/>
        </w:rPr>
        <w:t xml:space="preserve"> </w:t>
      </w:r>
      <w:r w:rsidR="0044754F" w:rsidRPr="28D940A9">
        <w:rPr>
          <w:lang w:val="en-GB"/>
        </w:rPr>
        <w:t>a</w:t>
      </w:r>
      <w:r w:rsidR="001D6A5F" w:rsidRPr="28D940A9">
        <w:rPr>
          <w:lang w:val="en-GB"/>
        </w:rPr>
        <w:t>greement</w:t>
      </w:r>
      <w:r w:rsidR="009870C4" w:rsidRPr="28D940A9">
        <w:rPr>
          <w:lang w:val="en-GB"/>
        </w:rPr>
        <w:t>. This</w:t>
      </w:r>
      <w:r w:rsidRPr="28D940A9">
        <w:rPr>
          <w:lang w:val="en-GB"/>
        </w:rPr>
        <w:t xml:space="preserve"> clause</w:t>
      </w:r>
      <w:r w:rsidR="009870C4" w:rsidRPr="28D940A9">
        <w:rPr>
          <w:lang w:val="en-GB"/>
        </w:rPr>
        <w:t xml:space="preserve"> will detail the scope of works to ensure they are agreed within required </w:t>
      </w:r>
      <w:r w:rsidRPr="28D940A9">
        <w:rPr>
          <w:lang w:val="en-GB"/>
        </w:rPr>
        <w:t xml:space="preserve">timeframes and may include </w:t>
      </w:r>
      <w:r w:rsidR="0044754F" w:rsidRPr="28D940A9">
        <w:rPr>
          <w:lang w:val="en-GB"/>
        </w:rPr>
        <w:t xml:space="preserve">but not be limited to </w:t>
      </w:r>
      <w:r w:rsidRPr="28D940A9">
        <w:rPr>
          <w:lang w:val="en-GB"/>
        </w:rPr>
        <w:t xml:space="preserve">any </w:t>
      </w:r>
      <w:r w:rsidR="0044754F" w:rsidRPr="28D940A9">
        <w:rPr>
          <w:lang w:val="en-GB"/>
        </w:rPr>
        <w:t xml:space="preserve">of </w:t>
      </w:r>
      <w:r w:rsidRPr="28D940A9">
        <w:rPr>
          <w:lang w:val="en-GB"/>
        </w:rPr>
        <w:t>the following:</w:t>
      </w:r>
    </w:p>
    <w:p w14:paraId="13F9607D" w14:textId="77777777" w:rsidR="00502A5D" w:rsidRPr="000D65CE" w:rsidRDefault="00D25892" w:rsidP="003B280C">
      <w:pPr>
        <w:pStyle w:val="Paragraphs"/>
        <w:numPr>
          <w:ilvl w:val="0"/>
          <w:numId w:val="44"/>
        </w:numPr>
        <w:ind w:left="1633" w:hanging="357"/>
        <w:contextualSpacing/>
        <w:rPr>
          <w:lang w:val="en-GB"/>
        </w:rPr>
      </w:pPr>
      <w:r w:rsidRPr="000D65CE">
        <w:rPr>
          <w:lang w:val="en-GB"/>
        </w:rPr>
        <w:t>Footway and carriageway resurfacing</w:t>
      </w:r>
    </w:p>
    <w:p w14:paraId="60F76A15" w14:textId="77777777" w:rsidR="00D25892" w:rsidRPr="000D65CE" w:rsidRDefault="00D25892" w:rsidP="003B280C">
      <w:pPr>
        <w:pStyle w:val="Paragraphs"/>
        <w:numPr>
          <w:ilvl w:val="0"/>
          <w:numId w:val="44"/>
        </w:numPr>
        <w:ind w:left="1633" w:hanging="357"/>
        <w:contextualSpacing/>
        <w:rPr>
          <w:lang w:val="en-GB"/>
        </w:rPr>
      </w:pPr>
      <w:r w:rsidRPr="000D65CE">
        <w:rPr>
          <w:lang w:val="en-GB"/>
        </w:rPr>
        <w:t>Removal of redundant crossovers</w:t>
      </w:r>
    </w:p>
    <w:p w14:paraId="0EAD9D32" w14:textId="77777777" w:rsidR="00D25892" w:rsidRPr="000D65CE" w:rsidRDefault="00D25892" w:rsidP="003B280C">
      <w:pPr>
        <w:pStyle w:val="Paragraphs"/>
        <w:numPr>
          <w:ilvl w:val="0"/>
          <w:numId w:val="44"/>
        </w:numPr>
        <w:ind w:left="1633" w:hanging="357"/>
        <w:contextualSpacing/>
        <w:rPr>
          <w:lang w:val="en-GB"/>
        </w:rPr>
      </w:pPr>
      <w:r w:rsidRPr="000D65CE">
        <w:rPr>
          <w:lang w:val="en-GB"/>
        </w:rPr>
        <w:t>Creation of new crossovers or access points</w:t>
      </w:r>
    </w:p>
    <w:p w14:paraId="35743A6A" w14:textId="77777777" w:rsidR="00D25892" w:rsidRPr="000D65CE" w:rsidRDefault="00D25892" w:rsidP="003B280C">
      <w:pPr>
        <w:pStyle w:val="Paragraphs"/>
        <w:numPr>
          <w:ilvl w:val="0"/>
          <w:numId w:val="44"/>
        </w:numPr>
        <w:ind w:left="1633" w:hanging="357"/>
        <w:contextualSpacing/>
        <w:rPr>
          <w:lang w:val="en-GB"/>
        </w:rPr>
      </w:pPr>
      <w:r w:rsidRPr="000D65CE">
        <w:rPr>
          <w:lang w:val="en-GB"/>
        </w:rPr>
        <w:lastRenderedPageBreak/>
        <w:t>New pedestrian crossings</w:t>
      </w:r>
    </w:p>
    <w:p w14:paraId="46F1D7A3" w14:textId="77777777" w:rsidR="00D25892" w:rsidRPr="000D65CE" w:rsidRDefault="00D25892" w:rsidP="003B280C">
      <w:pPr>
        <w:pStyle w:val="Paragraphs"/>
        <w:numPr>
          <w:ilvl w:val="0"/>
          <w:numId w:val="44"/>
        </w:numPr>
        <w:ind w:left="1633" w:hanging="357"/>
        <w:rPr>
          <w:lang w:val="en-GB"/>
        </w:rPr>
      </w:pPr>
      <w:r w:rsidRPr="000D65CE">
        <w:rPr>
          <w:lang w:val="en-GB"/>
        </w:rPr>
        <w:t>Planting of new street trees and other greening and public realm improvement initiatives</w:t>
      </w:r>
    </w:p>
    <w:p w14:paraId="46EA6DF8" w14:textId="009D22AE" w:rsidR="007A7B68" w:rsidRPr="000D65CE" w:rsidRDefault="007A7B68" w:rsidP="003B280C">
      <w:pPr>
        <w:pStyle w:val="Paragraphs"/>
        <w:rPr>
          <w:lang w:val="en-GB"/>
        </w:rPr>
      </w:pPr>
      <w:r w:rsidRPr="28D940A9">
        <w:rPr>
          <w:lang w:val="en-GB"/>
        </w:rPr>
        <w:t xml:space="preserve">Whilst triggers for payment can be agreed by parties in a </w:t>
      </w:r>
      <w:r w:rsidR="00032BFE" w:rsidRPr="28D940A9">
        <w:rPr>
          <w:lang w:val="en-GB"/>
        </w:rPr>
        <w:t xml:space="preserve">legal </w:t>
      </w:r>
      <w:r w:rsidRPr="28D940A9">
        <w:rPr>
          <w:lang w:val="en-GB"/>
        </w:rPr>
        <w:t xml:space="preserve">agreement, a </w:t>
      </w:r>
      <w:r w:rsidR="005B4191" w:rsidRPr="28D940A9">
        <w:rPr>
          <w:lang w:val="en-GB"/>
        </w:rPr>
        <w:t>S278</w:t>
      </w:r>
      <w:r w:rsidRPr="28D940A9">
        <w:rPr>
          <w:lang w:val="en-GB"/>
        </w:rPr>
        <w:t xml:space="preserve"> agreement itself requires payment for expected reinstatement works to be made prior to commencement. </w:t>
      </w:r>
    </w:p>
    <w:p w14:paraId="2A899032" w14:textId="1368C524" w:rsidR="00BB77C9" w:rsidRPr="000D65CE" w:rsidRDefault="009C79F7" w:rsidP="003B280C">
      <w:pPr>
        <w:pStyle w:val="Paragraphs"/>
        <w:rPr>
          <w:lang w:val="en-GB"/>
        </w:rPr>
      </w:pPr>
      <w:bookmarkStart w:id="16" w:name="_Hlk50566900"/>
      <w:r w:rsidRPr="28D940A9">
        <w:rPr>
          <w:lang w:val="en-GB"/>
        </w:rPr>
        <w:t xml:space="preserve">The </w:t>
      </w:r>
      <w:r w:rsidR="0019236B" w:rsidRPr="28D940A9">
        <w:rPr>
          <w:lang w:val="en-GB"/>
        </w:rPr>
        <w:t>Council</w:t>
      </w:r>
      <w:r w:rsidR="00556811" w:rsidRPr="28D940A9">
        <w:rPr>
          <w:lang w:val="en-GB"/>
        </w:rPr>
        <w:t xml:space="preserve"> </w:t>
      </w:r>
      <w:r w:rsidR="003A55B8" w:rsidRPr="28D940A9">
        <w:rPr>
          <w:lang w:val="en-GB"/>
        </w:rPr>
        <w:t xml:space="preserve">may </w:t>
      </w:r>
      <w:r w:rsidR="00556811" w:rsidRPr="28D940A9">
        <w:rPr>
          <w:lang w:val="en-GB"/>
        </w:rPr>
        <w:t>also seek to secure financial obligations</w:t>
      </w:r>
      <w:r w:rsidR="007A7B68" w:rsidRPr="28D940A9">
        <w:rPr>
          <w:lang w:val="en-GB"/>
        </w:rPr>
        <w:t xml:space="preserve"> through </w:t>
      </w:r>
      <w:r w:rsidR="00032BFE" w:rsidRPr="28D940A9">
        <w:rPr>
          <w:lang w:val="en-GB"/>
        </w:rPr>
        <w:t>planning obligations</w:t>
      </w:r>
      <w:r w:rsidR="008D21C3" w:rsidRPr="28D940A9">
        <w:rPr>
          <w:lang w:val="en-GB"/>
        </w:rPr>
        <w:t xml:space="preserve">, </w:t>
      </w:r>
      <w:r w:rsidR="007A7B68" w:rsidRPr="28D940A9">
        <w:rPr>
          <w:lang w:val="en-GB"/>
        </w:rPr>
        <w:t xml:space="preserve">separate to </w:t>
      </w:r>
      <w:r w:rsidR="008D21C3" w:rsidRPr="28D940A9">
        <w:rPr>
          <w:lang w:val="en-GB"/>
        </w:rPr>
        <w:t>highway works,</w:t>
      </w:r>
      <w:r w:rsidR="00556811" w:rsidRPr="28D940A9">
        <w:rPr>
          <w:lang w:val="en-GB"/>
        </w:rPr>
        <w:t xml:space="preserve"> to mitigate the impact of a development</w:t>
      </w:r>
      <w:r w:rsidR="007A7B68" w:rsidRPr="28D940A9">
        <w:rPr>
          <w:lang w:val="en-GB"/>
        </w:rPr>
        <w:t>, proportionate to the scale</w:t>
      </w:r>
      <w:r w:rsidR="003A55B8" w:rsidRPr="28D940A9">
        <w:rPr>
          <w:lang w:val="en-GB"/>
        </w:rPr>
        <w:t xml:space="preserve"> and impact of </w:t>
      </w:r>
      <w:r w:rsidR="007A7B68" w:rsidRPr="28D940A9">
        <w:rPr>
          <w:lang w:val="en-GB"/>
        </w:rPr>
        <w:t xml:space="preserve">that </w:t>
      </w:r>
      <w:r w:rsidR="003A55B8" w:rsidRPr="28D940A9">
        <w:rPr>
          <w:lang w:val="en-GB"/>
        </w:rPr>
        <w:t>development</w:t>
      </w:r>
      <w:r w:rsidR="00556811" w:rsidRPr="28D940A9">
        <w:rPr>
          <w:lang w:val="en-GB"/>
        </w:rPr>
        <w:t>.</w:t>
      </w:r>
      <w:r w:rsidR="008D21C3" w:rsidRPr="28D940A9">
        <w:rPr>
          <w:lang w:val="en-GB"/>
        </w:rPr>
        <w:t xml:space="preserve"> Examples include improvements to walking</w:t>
      </w:r>
      <w:r w:rsidR="00F4050D" w:rsidRPr="28D940A9">
        <w:rPr>
          <w:lang w:val="en-GB"/>
        </w:rPr>
        <w:t>,</w:t>
      </w:r>
      <w:r w:rsidR="008D21C3" w:rsidRPr="28D940A9">
        <w:rPr>
          <w:lang w:val="en-GB"/>
        </w:rPr>
        <w:t xml:space="preserve"> cycling</w:t>
      </w:r>
      <w:r w:rsidR="00F4050D" w:rsidRPr="28D940A9">
        <w:rPr>
          <w:lang w:val="en-GB"/>
        </w:rPr>
        <w:t xml:space="preserve"> and public transport</w:t>
      </w:r>
      <w:r w:rsidR="008D21C3" w:rsidRPr="28D940A9">
        <w:rPr>
          <w:lang w:val="en-GB"/>
        </w:rPr>
        <w:t xml:space="preserve"> routes within the</w:t>
      </w:r>
      <w:r w:rsidR="007A7B68" w:rsidRPr="28D940A9">
        <w:rPr>
          <w:lang w:val="en-GB"/>
        </w:rPr>
        <w:t xml:space="preserve"> wider</w:t>
      </w:r>
      <w:r w:rsidR="008D21C3" w:rsidRPr="28D940A9">
        <w:rPr>
          <w:lang w:val="en-GB"/>
        </w:rPr>
        <w:t xml:space="preserve"> vicinity of the site. </w:t>
      </w:r>
      <w:r w:rsidR="008E1336" w:rsidRPr="28D940A9">
        <w:rPr>
          <w:lang w:val="en-GB"/>
        </w:rPr>
        <w:t xml:space="preserve"> </w:t>
      </w:r>
    </w:p>
    <w:bookmarkEnd w:id="16"/>
    <w:p w14:paraId="7A6DA47A" w14:textId="53F2AE4E" w:rsidR="007A7B68" w:rsidRPr="000D65CE" w:rsidRDefault="001D6A5F" w:rsidP="003B280C">
      <w:pPr>
        <w:pStyle w:val="Paragraphs"/>
        <w:rPr>
          <w:lang w:val="en-GB"/>
        </w:rPr>
      </w:pPr>
      <w:r w:rsidRPr="28D940A9">
        <w:rPr>
          <w:lang w:val="en-GB"/>
        </w:rPr>
        <w:t>CIL will</w:t>
      </w:r>
      <w:r w:rsidR="007A7B68" w:rsidRPr="28D940A9">
        <w:rPr>
          <w:lang w:val="en-GB"/>
        </w:rPr>
        <w:t xml:space="preserve"> be charged on new developments to mitigate their cumulative impacts</w:t>
      </w:r>
      <w:r w:rsidR="000A2DE0" w:rsidRPr="28D940A9">
        <w:rPr>
          <w:lang w:val="en-GB"/>
        </w:rPr>
        <w:t xml:space="preserve"> on transport capacity and transport infrastructure</w:t>
      </w:r>
      <w:r w:rsidR="007A7B68" w:rsidRPr="28D940A9">
        <w:rPr>
          <w:lang w:val="en-GB"/>
        </w:rPr>
        <w:t xml:space="preserve"> and will be used to fund strategic infrastructure items to support</w:t>
      </w:r>
      <w:r w:rsidR="00C44288" w:rsidRPr="28D940A9">
        <w:rPr>
          <w:lang w:val="en-GB"/>
        </w:rPr>
        <w:t xml:space="preserve"> growth and development in the b</w:t>
      </w:r>
      <w:r w:rsidR="007A7B68" w:rsidRPr="28D940A9">
        <w:rPr>
          <w:lang w:val="en-GB"/>
        </w:rPr>
        <w:t xml:space="preserve">orough. </w:t>
      </w:r>
    </w:p>
    <w:p w14:paraId="5B4BE61D" w14:textId="0FBA7349" w:rsidR="00C64B96" w:rsidRPr="000D65CE" w:rsidRDefault="00B4557E" w:rsidP="003B280C">
      <w:pPr>
        <w:pStyle w:val="Paragraphs"/>
        <w:rPr>
          <w:lang w:val="en-GB"/>
        </w:rPr>
      </w:pPr>
      <w:r w:rsidRPr="28D940A9">
        <w:rPr>
          <w:lang w:val="en-GB"/>
        </w:rPr>
        <w:t xml:space="preserve">The Mayor’s Transport Strategy details the </w:t>
      </w:r>
      <w:r w:rsidR="00A80E4C" w:rsidRPr="28D940A9">
        <w:rPr>
          <w:lang w:val="en-GB"/>
        </w:rPr>
        <w:t xml:space="preserve">Healthy Streets Approach. </w:t>
      </w:r>
      <w:r w:rsidR="00F939F5" w:rsidRPr="28D940A9">
        <w:rPr>
          <w:lang w:val="en-GB"/>
        </w:rPr>
        <w:t>This</w:t>
      </w:r>
      <w:r w:rsidR="00A80E4C" w:rsidRPr="28D940A9">
        <w:rPr>
          <w:lang w:val="en-GB"/>
        </w:rPr>
        <w:t xml:space="preserve"> is led by the GLA and Transport for London and falls under the </w:t>
      </w:r>
      <w:r w:rsidR="00F323B7" w:rsidRPr="28D940A9">
        <w:rPr>
          <w:lang w:val="en-GB"/>
        </w:rPr>
        <w:t>Liveable Streets</w:t>
      </w:r>
      <w:r w:rsidR="00A80E4C" w:rsidRPr="28D940A9">
        <w:rPr>
          <w:lang w:val="en-GB"/>
        </w:rPr>
        <w:t xml:space="preserve"> programme in </w:t>
      </w:r>
      <w:r w:rsidR="00C44288" w:rsidRPr="28D940A9">
        <w:rPr>
          <w:lang w:val="en-GB"/>
        </w:rPr>
        <w:t>the b</w:t>
      </w:r>
      <w:r w:rsidR="00C47347" w:rsidRPr="28D940A9">
        <w:rPr>
          <w:lang w:val="en-GB"/>
        </w:rPr>
        <w:t>orough</w:t>
      </w:r>
      <w:r w:rsidR="00A80E4C" w:rsidRPr="28D940A9">
        <w:rPr>
          <w:lang w:val="en-GB"/>
        </w:rPr>
        <w:t xml:space="preserve">. </w:t>
      </w:r>
      <w:r w:rsidR="00B35B26" w:rsidRPr="28D940A9">
        <w:rPr>
          <w:lang w:val="en-GB"/>
        </w:rPr>
        <w:t>Tower Hamlets</w:t>
      </w:r>
      <w:r w:rsidR="00A80E4C" w:rsidRPr="28D940A9">
        <w:rPr>
          <w:lang w:val="en-GB"/>
        </w:rPr>
        <w:t xml:space="preserve"> is leading on making holistic improvements to neighbourhoods which </w:t>
      </w:r>
      <w:r w:rsidR="007A7B68" w:rsidRPr="28D940A9">
        <w:rPr>
          <w:lang w:val="en-GB"/>
        </w:rPr>
        <w:t xml:space="preserve">includes </w:t>
      </w:r>
      <w:r w:rsidR="00A80E4C" w:rsidRPr="28D940A9">
        <w:rPr>
          <w:lang w:val="en-GB"/>
        </w:rPr>
        <w:t xml:space="preserve">initiatives such as the </w:t>
      </w:r>
      <w:r w:rsidR="00F323B7" w:rsidRPr="28D940A9">
        <w:rPr>
          <w:lang w:val="en-GB"/>
        </w:rPr>
        <w:t>Public Open Space Strategy</w:t>
      </w:r>
      <w:r w:rsidR="00A80E4C" w:rsidRPr="28D940A9">
        <w:rPr>
          <w:lang w:val="en-GB"/>
        </w:rPr>
        <w:t>. TfL has</w:t>
      </w:r>
      <w:r w:rsidR="00C64B96" w:rsidRPr="28D940A9">
        <w:rPr>
          <w:lang w:val="en-GB"/>
        </w:rPr>
        <w:t xml:space="preserve"> also</w:t>
      </w:r>
      <w:r w:rsidR="00A80E4C" w:rsidRPr="28D940A9">
        <w:rPr>
          <w:lang w:val="en-GB"/>
        </w:rPr>
        <w:t xml:space="preserve"> issued new guidance on </w:t>
      </w:r>
      <w:r w:rsidR="001D17E3" w:rsidRPr="28D940A9">
        <w:rPr>
          <w:lang w:val="en-GB"/>
        </w:rPr>
        <w:t xml:space="preserve">Healthy Streets Transport Assessments and </w:t>
      </w:r>
      <w:r w:rsidR="00A80E4C" w:rsidRPr="28D940A9">
        <w:rPr>
          <w:lang w:val="en-GB"/>
        </w:rPr>
        <w:t>Active Travel Zones</w:t>
      </w:r>
      <w:r w:rsidR="001D17E3" w:rsidRPr="28D940A9">
        <w:rPr>
          <w:lang w:val="en-GB"/>
        </w:rPr>
        <w:t xml:space="preserve"> Assessments which</w:t>
      </w:r>
      <w:r w:rsidR="00F939F5" w:rsidRPr="28D940A9">
        <w:rPr>
          <w:lang w:val="en-GB"/>
        </w:rPr>
        <w:t xml:space="preserve"> requir</w:t>
      </w:r>
      <w:r w:rsidR="001D17E3" w:rsidRPr="28D940A9">
        <w:rPr>
          <w:lang w:val="en-GB"/>
        </w:rPr>
        <w:t>e</w:t>
      </w:r>
      <w:r w:rsidR="00F939F5" w:rsidRPr="28D940A9">
        <w:rPr>
          <w:lang w:val="en-GB"/>
        </w:rPr>
        <w:t xml:space="preserve"> developers to identify areas of improvement</w:t>
      </w:r>
      <w:r w:rsidR="00C64B96" w:rsidRPr="28D940A9">
        <w:rPr>
          <w:lang w:val="en-GB"/>
        </w:rPr>
        <w:t xml:space="preserve"> using the Healthy Streets Approach</w:t>
      </w:r>
      <w:r w:rsidR="00F939F5" w:rsidRPr="28D940A9">
        <w:rPr>
          <w:lang w:val="en-GB"/>
        </w:rPr>
        <w:t xml:space="preserve"> within a 20</w:t>
      </w:r>
      <w:r w:rsidR="00B859CB" w:rsidRPr="28D940A9">
        <w:rPr>
          <w:lang w:val="en-GB"/>
        </w:rPr>
        <w:t>-</w:t>
      </w:r>
      <w:r w:rsidR="00F939F5" w:rsidRPr="28D940A9">
        <w:rPr>
          <w:lang w:val="en-GB"/>
        </w:rPr>
        <w:t>minute cycl</w:t>
      </w:r>
      <w:r w:rsidR="007A7B68" w:rsidRPr="28D940A9">
        <w:rPr>
          <w:lang w:val="en-GB"/>
        </w:rPr>
        <w:t>ing</w:t>
      </w:r>
      <w:r w:rsidR="00F939F5" w:rsidRPr="28D940A9">
        <w:rPr>
          <w:lang w:val="en-GB"/>
        </w:rPr>
        <w:t xml:space="preserve"> distance of the site</w:t>
      </w:r>
      <w:r w:rsidR="00A80E4C" w:rsidRPr="28D940A9">
        <w:rPr>
          <w:lang w:val="en-GB"/>
        </w:rPr>
        <w:t xml:space="preserve"> as part of planning </w:t>
      </w:r>
      <w:r w:rsidR="009C79F7" w:rsidRPr="28D940A9">
        <w:rPr>
          <w:lang w:val="en-GB"/>
        </w:rPr>
        <w:t>applications</w:t>
      </w:r>
      <w:r w:rsidR="00F939F5" w:rsidRPr="28D940A9">
        <w:rPr>
          <w:lang w:val="en-GB"/>
        </w:rPr>
        <w:t>.</w:t>
      </w:r>
      <w:r w:rsidR="00C64B96" w:rsidRPr="28D940A9">
        <w:rPr>
          <w:lang w:val="en-GB"/>
        </w:rPr>
        <w:t xml:space="preserve"> </w:t>
      </w:r>
    </w:p>
    <w:p w14:paraId="09C7C1E0" w14:textId="712AF3C2" w:rsidR="004A2B50" w:rsidRDefault="00A66F3B" w:rsidP="003B280C">
      <w:pPr>
        <w:pStyle w:val="Paragraphs"/>
        <w:rPr>
          <w:lang w:val="en-GB"/>
        </w:rPr>
      </w:pPr>
      <w:r w:rsidRPr="28D940A9">
        <w:rPr>
          <w:lang w:val="en-GB"/>
        </w:rPr>
        <w:t>Local Plan Policy S.SG2 notes that development</w:t>
      </w:r>
      <w:r w:rsidR="007A7B68" w:rsidRPr="28D940A9">
        <w:rPr>
          <w:lang w:val="en-GB"/>
        </w:rPr>
        <w:t>s</w:t>
      </w:r>
      <w:r w:rsidRPr="28D940A9">
        <w:rPr>
          <w:lang w:val="en-GB"/>
        </w:rPr>
        <w:t xml:space="preserve"> which contribute to the creation of healthy environments will be supported. </w:t>
      </w:r>
      <w:r w:rsidR="00A80E4C" w:rsidRPr="28D940A9">
        <w:rPr>
          <w:lang w:val="en-GB"/>
        </w:rPr>
        <w:t>Contributions may be sought where proposals do not seek to integrate with</w:t>
      </w:r>
      <w:r w:rsidR="007A7B68" w:rsidRPr="28D940A9">
        <w:rPr>
          <w:lang w:val="en-GB"/>
        </w:rPr>
        <w:t>,</w:t>
      </w:r>
      <w:r w:rsidR="00A80E4C" w:rsidRPr="28D940A9">
        <w:rPr>
          <w:lang w:val="en-GB"/>
        </w:rPr>
        <w:t xml:space="preserve"> and make improvements to</w:t>
      </w:r>
      <w:r w:rsidR="007A7B68" w:rsidRPr="28D940A9">
        <w:rPr>
          <w:lang w:val="en-GB"/>
        </w:rPr>
        <w:t>,</w:t>
      </w:r>
      <w:r w:rsidR="00A80E4C" w:rsidRPr="28D940A9">
        <w:rPr>
          <w:lang w:val="en-GB"/>
        </w:rPr>
        <w:t xml:space="preserve"> these programmes.</w:t>
      </w:r>
      <w:r w:rsidRPr="28D940A9">
        <w:rPr>
          <w:lang w:val="en-GB"/>
        </w:rPr>
        <w:t xml:space="preserve"> The Council will continue to work with TfL on the implementation</w:t>
      </w:r>
      <w:r w:rsidR="001D17E3" w:rsidRPr="28D940A9">
        <w:rPr>
          <w:lang w:val="en-GB"/>
        </w:rPr>
        <w:t xml:space="preserve"> of</w:t>
      </w:r>
      <w:r w:rsidRPr="28D940A9">
        <w:rPr>
          <w:lang w:val="en-GB"/>
        </w:rPr>
        <w:t xml:space="preserve"> these initiatives.</w:t>
      </w:r>
      <w:r w:rsidR="00931C7A" w:rsidRPr="28D940A9">
        <w:rPr>
          <w:lang w:val="en-GB"/>
        </w:rPr>
        <w:t xml:space="preserve"> </w:t>
      </w:r>
    </w:p>
    <w:p w14:paraId="3CCA19E0" w14:textId="77777777" w:rsidR="006578C2" w:rsidRDefault="006578C2">
      <w:pPr>
        <w:spacing w:after="0" w:line="240" w:lineRule="auto"/>
        <w:rPr>
          <w:b/>
        </w:rPr>
      </w:pPr>
      <w:r>
        <w:rPr>
          <w:b/>
        </w:rPr>
        <w:br w:type="page"/>
      </w:r>
    </w:p>
    <w:p w14:paraId="4F6571F6" w14:textId="2A98A3A1" w:rsidR="00C00DA8" w:rsidRPr="003D2BA4" w:rsidRDefault="00C00DA8" w:rsidP="00C00DA8">
      <w:pPr>
        <w:spacing w:after="120"/>
        <w:rPr>
          <w:b/>
        </w:rPr>
      </w:pPr>
      <w:r w:rsidRPr="003D2BA4">
        <w:rPr>
          <w:b/>
        </w:rPr>
        <w:lastRenderedPageBreak/>
        <w:t xml:space="preserve">Text Box </w:t>
      </w:r>
      <w:r>
        <w:rPr>
          <w:b/>
        </w:rPr>
        <w:t>17</w:t>
      </w:r>
      <w:r w:rsidRPr="003D2BA4">
        <w:rPr>
          <w:b/>
        </w:rPr>
        <w:t xml:space="preserve">: </w:t>
      </w:r>
      <w:r>
        <w:rPr>
          <w:b/>
        </w:rPr>
        <w:t>Transport, Highways and Public Realm</w:t>
      </w:r>
    </w:p>
    <w:p w14:paraId="66754187" w14:textId="77777777" w:rsidR="00663FCF" w:rsidRPr="000D65CE" w:rsidRDefault="004A2B50" w:rsidP="003B280C">
      <w:pPr>
        <w:spacing w:beforeLines="1" w:before="2" w:afterLines="1" w:after="2"/>
        <w:jc w:val="both"/>
        <w:rPr>
          <w:rFonts w:cs="Arial"/>
          <w:b/>
          <w:sz w:val="28"/>
          <w:szCs w:val="28"/>
        </w:rPr>
      </w:pPr>
      <w:r w:rsidRPr="000D65CE">
        <w:rPr>
          <w:rFonts w:cs="Arial"/>
          <w:noProof/>
          <w:lang w:eastAsia="en-GB"/>
        </w:rPr>
        <mc:AlternateContent>
          <mc:Choice Requires="wps">
            <w:drawing>
              <wp:inline distT="0" distB="0" distL="0" distR="0" wp14:anchorId="7799CDFC" wp14:editId="5FE56F8D">
                <wp:extent cx="5715000" cy="4922874"/>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922874"/>
                        </a:xfrm>
                        <a:prstGeom prst="rect">
                          <a:avLst/>
                        </a:prstGeom>
                        <a:solidFill>
                          <a:schemeClr val="accent1">
                            <a:lumMod val="20000"/>
                            <a:lumOff val="80000"/>
                          </a:schemeClr>
                        </a:solidFill>
                        <a:ln>
                          <a:noFill/>
                        </a:ln>
                        <a:effectLst/>
                      </wps:spPr>
                      <wps:txbx>
                        <w:txbxContent>
                          <w:p w14:paraId="04DDC15E" w14:textId="77777777" w:rsidR="00EB3B59" w:rsidRPr="001A2022" w:rsidRDefault="00EB3B59" w:rsidP="00316854">
                            <w:pPr>
                              <w:widowControl w:val="0"/>
                              <w:autoSpaceDE w:val="0"/>
                              <w:autoSpaceDN w:val="0"/>
                              <w:adjustRightInd w:val="0"/>
                              <w:jc w:val="both"/>
                              <w:textAlignment w:val="center"/>
                              <w:rPr>
                                <w:rFonts w:cs="Arial"/>
                                <w:b/>
                                <w:szCs w:val="22"/>
                                <w:lang w:val="en-US"/>
                              </w:rPr>
                            </w:pPr>
                            <w:r w:rsidRPr="00CD200D">
                              <w:rPr>
                                <w:rFonts w:cs="Arial"/>
                                <w:b/>
                                <w:szCs w:val="22"/>
                                <w:lang w:val="en-US"/>
                              </w:rPr>
                              <w:t>Threshold and Contribution Requirements</w:t>
                            </w:r>
                          </w:p>
                          <w:p w14:paraId="4A4FEB58" w14:textId="77777777" w:rsidR="00EB3B59" w:rsidRDefault="00EB3B59" w:rsidP="00316854">
                            <w:pPr>
                              <w:widowControl w:val="0"/>
                              <w:autoSpaceDE w:val="0"/>
                              <w:autoSpaceDN w:val="0"/>
                              <w:adjustRightInd w:val="0"/>
                              <w:jc w:val="both"/>
                              <w:textAlignment w:val="center"/>
                              <w:rPr>
                                <w:rFonts w:eastAsia="MS Mincho" w:cs="Arial"/>
                                <w:color w:val="000000"/>
                                <w:szCs w:val="22"/>
                              </w:rPr>
                            </w:pPr>
                            <w:r>
                              <w:rPr>
                                <w:rFonts w:eastAsia="MS Mincho" w:cs="Arial"/>
                                <w:color w:val="000000"/>
                                <w:szCs w:val="22"/>
                              </w:rPr>
                              <w:t xml:space="preserve">Policy D.TR2 details the instances </w:t>
                            </w:r>
                            <w:r w:rsidRPr="001A2022">
                              <w:rPr>
                                <w:rFonts w:eastAsia="MS Mincho" w:cs="Arial"/>
                                <w:color w:val="000000"/>
                                <w:szCs w:val="22"/>
                              </w:rPr>
                              <w:t xml:space="preserve">where a </w:t>
                            </w:r>
                            <w:r>
                              <w:rPr>
                                <w:rFonts w:eastAsia="MS Mincho" w:cs="Arial"/>
                                <w:color w:val="000000"/>
                                <w:szCs w:val="22"/>
                              </w:rPr>
                              <w:t>T</w:t>
                            </w:r>
                            <w:r w:rsidRPr="001A2022">
                              <w:rPr>
                                <w:rFonts w:eastAsia="MS Mincho" w:cs="Arial"/>
                                <w:color w:val="000000"/>
                                <w:szCs w:val="22"/>
                              </w:rPr>
                              <w:t xml:space="preserve">ransport </w:t>
                            </w:r>
                            <w:r>
                              <w:rPr>
                                <w:rFonts w:eastAsia="MS Mincho" w:cs="Arial"/>
                                <w:color w:val="000000"/>
                                <w:szCs w:val="22"/>
                              </w:rPr>
                              <w:t>A</w:t>
                            </w:r>
                            <w:r w:rsidRPr="001A2022">
                              <w:rPr>
                                <w:rFonts w:eastAsia="MS Mincho" w:cs="Arial"/>
                                <w:color w:val="000000"/>
                                <w:szCs w:val="22"/>
                              </w:rPr>
                              <w:t xml:space="preserve">ssessment is required for </w:t>
                            </w:r>
                            <w:r>
                              <w:rPr>
                                <w:rFonts w:eastAsia="MS Mincho" w:cs="Arial"/>
                                <w:color w:val="000000"/>
                                <w:szCs w:val="22"/>
                              </w:rPr>
                              <w:t>a</w:t>
                            </w:r>
                            <w:r w:rsidRPr="001A2022">
                              <w:rPr>
                                <w:rFonts w:eastAsia="MS Mincho" w:cs="Arial"/>
                                <w:color w:val="000000"/>
                                <w:szCs w:val="22"/>
                              </w:rPr>
                              <w:t xml:space="preserve"> development</w:t>
                            </w:r>
                            <w:r>
                              <w:rPr>
                                <w:rFonts w:eastAsia="MS Mincho" w:cs="Arial"/>
                                <w:color w:val="000000"/>
                                <w:szCs w:val="22"/>
                              </w:rPr>
                              <w:t>.</w:t>
                            </w:r>
                            <w:r w:rsidRPr="001A2022">
                              <w:rPr>
                                <w:rFonts w:eastAsia="MS Mincho" w:cs="Arial"/>
                                <w:color w:val="000000"/>
                                <w:szCs w:val="22"/>
                              </w:rPr>
                              <w:t xml:space="preserve"> </w:t>
                            </w:r>
                            <w:r>
                              <w:rPr>
                                <w:rFonts w:eastAsia="MS Mincho" w:cs="Arial"/>
                                <w:color w:val="000000"/>
                                <w:szCs w:val="22"/>
                              </w:rPr>
                              <w:t xml:space="preserve">This assessment will inform the </w:t>
                            </w:r>
                            <w:r w:rsidRPr="001A2022">
                              <w:rPr>
                                <w:rFonts w:eastAsia="MS Mincho" w:cs="Arial"/>
                                <w:color w:val="000000"/>
                                <w:szCs w:val="22"/>
                              </w:rPr>
                              <w:t xml:space="preserve">site-specific highway and transport works required </w:t>
                            </w:r>
                            <w:r>
                              <w:rPr>
                                <w:rFonts w:eastAsia="MS Mincho" w:cs="Arial"/>
                                <w:color w:val="000000"/>
                                <w:szCs w:val="22"/>
                              </w:rPr>
                              <w:t>to mitigate the impacts from the development.</w:t>
                            </w:r>
                          </w:p>
                          <w:p w14:paraId="770471A5" w14:textId="099B73C7" w:rsidR="00EB3B59" w:rsidRPr="001A2022" w:rsidRDefault="00EB3B59" w:rsidP="00316854">
                            <w:pPr>
                              <w:widowControl w:val="0"/>
                              <w:autoSpaceDE w:val="0"/>
                              <w:autoSpaceDN w:val="0"/>
                              <w:adjustRightInd w:val="0"/>
                              <w:jc w:val="both"/>
                              <w:textAlignment w:val="center"/>
                              <w:rPr>
                                <w:rFonts w:cs="Arial"/>
                                <w:color w:val="000000"/>
                                <w:szCs w:val="22"/>
                              </w:rPr>
                            </w:pPr>
                            <w:r>
                              <w:rPr>
                                <w:rFonts w:eastAsia="MS Mincho" w:cs="Arial"/>
                                <w:color w:val="000000"/>
                                <w:szCs w:val="22"/>
                              </w:rPr>
                              <w:t>Where appropriate based on the specifics of a scheme, a transport</w:t>
                            </w:r>
                            <w:r>
                              <w:rPr>
                                <w:rFonts w:eastAsia="MS Mincho" w:cs="Arial"/>
                                <w:color w:val="000000"/>
                                <w:szCs w:val="22"/>
                                <w:lang w:val="en-US"/>
                              </w:rPr>
                              <w:t xml:space="preserve"> </w:t>
                            </w:r>
                            <w:r w:rsidRPr="00F941ED">
                              <w:rPr>
                                <w:rFonts w:eastAsia="MS Mincho" w:cs="Arial"/>
                                <w:color w:val="000000"/>
                                <w:szCs w:val="22"/>
                                <w:lang w:val="en-US"/>
                              </w:rPr>
                              <w:t xml:space="preserve">contribution </w:t>
                            </w:r>
                            <w:r>
                              <w:rPr>
                                <w:rFonts w:eastAsia="MS Mincho" w:cs="Arial"/>
                                <w:color w:val="000000"/>
                                <w:szCs w:val="22"/>
                                <w:lang w:val="en-US"/>
                              </w:rPr>
                              <w:t>may</w:t>
                            </w:r>
                            <w:r w:rsidRPr="00F941ED">
                              <w:rPr>
                                <w:rFonts w:eastAsia="MS Mincho" w:cs="Arial"/>
                                <w:color w:val="000000"/>
                                <w:szCs w:val="22"/>
                                <w:lang w:val="en-US"/>
                              </w:rPr>
                              <w:t xml:space="preserve"> be sought </w:t>
                            </w:r>
                            <w:r>
                              <w:rPr>
                                <w:rFonts w:eastAsia="MS Mincho" w:cs="Arial"/>
                                <w:color w:val="000000"/>
                                <w:szCs w:val="22"/>
                                <w:lang w:val="en-US"/>
                              </w:rPr>
                              <w:t>to contribute</w:t>
                            </w:r>
                            <w:r w:rsidRPr="00F941ED">
                              <w:rPr>
                                <w:rFonts w:eastAsia="MS Mincho" w:cs="Arial"/>
                                <w:color w:val="000000"/>
                                <w:szCs w:val="22"/>
                                <w:lang w:val="en-US"/>
                              </w:rPr>
                              <w:t xml:space="preserve"> </w:t>
                            </w:r>
                            <w:r>
                              <w:rPr>
                                <w:rFonts w:eastAsia="MS Mincho" w:cs="Arial"/>
                                <w:color w:val="000000"/>
                                <w:szCs w:val="22"/>
                                <w:lang w:val="en-US"/>
                              </w:rPr>
                              <w:t>to</w:t>
                            </w:r>
                            <w:r w:rsidRPr="00F941ED">
                              <w:rPr>
                                <w:rFonts w:eastAsia="MS Mincho" w:cs="Arial"/>
                                <w:color w:val="000000"/>
                                <w:szCs w:val="22"/>
                                <w:lang w:val="en-US"/>
                              </w:rPr>
                              <w:t xml:space="preserve"> bus, overground, underground</w:t>
                            </w:r>
                            <w:r>
                              <w:rPr>
                                <w:rFonts w:eastAsia="MS Mincho" w:cs="Arial"/>
                                <w:color w:val="000000"/>
                                <w:szCs w:val="22"/>
                                <w:lang w:val="en-US"/>
                              </w:rPr>
                              <w:t>, DLR</w:t>
                            </w:r>
                            <w:r w:rsidRPr="00F941ED">
                              <w:rPr>
                                <w:rFonts w:eastAsia="MS Mincho" w:cs="Arial"/>
                                <w:color w:val="000000"/>
                                <w:szCs w:val="22"/>
                                <w:lang w:val="en-US"/>
                              </w:rPr>
                              <w:t xml:space="preserve"> and sustainable transport improvements</w:t>
                            </w:r>
                            <w:r>
                              <w:rPr>
                                <w:rFonts w:eastAsia="MS Mincho" w:cs="Arial"/>
                                <w:color w:val="000000"/>
                                <w:szCs w:val="22"/>
                                <w:lang w:val="en-US"/>
                              </w:rPr>
                              <w:t xml:space="preserve"> such as cycle infrastructure</w:t>
                            </w:r>
                            <w:r w:rsidRPr="00F941ED">
                              <w:rPr>
                                <w:rFonts w:eastAsia="MS Mincho" w:cs="Arial"/>
                                <w:color w:val="000000"/>
                                <w:szCs w:val="22"/>
                                <w:lang w:val="en-US"/>
                              </w:rPr>
                              <w:t>.</w:t>
                            </w:r>
                          </w:p>
                          <w:p w14:paraId="0088CF9D" w14:textId="77777777" w:rsidR="00EB3B59" w:rsidRPr="001A2022" w:rsidRDefault="00EB3B59" w:rsidP="00316854">
                            <w:pPr>
                              <w:widowControl w:val="0"/>
                              <w:autoSpaceDE w:val="0"/>
                              <w:autoSpaceDN w:val="0"/>
                              <w:adjustRightInd w:val="0"/>
                              <w:jc w:val="both"/>
                              <w:textAlignment w:val="center"/>
                              <w:rPr>
                                <w:rFonts w:cs="Arial"/>
                                <w:color w:val="000000"/>
                                <w:szCs w:val="22"/>
                              </w:rPr>
                            </w:pPr>
                            <w:r>
                              <w:rPr>
                                <w:rFonts w:cs="Arial"/>
                                <w:color w:val="000000"/>
                                <w:szCs w:val="22"/>
                              </w:rPr>
                              <w:t>The Council</w:t>
                            </w:r>
                            <w:r w:rsidRPr="001A2022">
                              <w:rPr>
                                <w:rFonts w:cs="Arial"/>
                                <w:color w:val="000000"/>
                                <w:szCs w:val="22"/>
                              </w:rPr>
                              <w:t xml:space="preserve"> may seek to secure non-financial obligations to mitigate the impact of a development proposal</w:t>
                            </w:r>
                            <w:r>
                              <w:rPr>
                                <w:rFonts w:cs="Arial"/>
                                <w:color w:val="000000"/>
                                <w:szCs w:val="22"/>
                              </w:rPr>
                              <w:t>, including:</w:t>
                            </w:r>
                          </w:p>
                          <w:p w14:paraId="1B917981" w14:textId="77777777" w:rsidR="00EB3B59" w:rsidRDefault="00EB3B59" w:rsidP="00A326AD">
                            <w:pPr>
                              <w:pStyle w:val="ListBullet2"/>
                              <w:spacing w:before="120" w:after="120"/>
                              <w:contextualSpacing w:val="0"/>
                              <w:jc w:val="both"/>
                            </w:pPr>
                            <w:r w:rsidRPr="001A2022">
                              <w:t>Car</w:t>
                            </w:r>
                            <w:r w:rsidRPr="00A8034B">
                              <w:t>–</w:t>
                            </w:r>
                            <w:r w:rsidRPr="001A2022">
                              <w:t xml:space="preserve"> and Permit</w:t>
                            </w:r>
                            <w:r w:rsidRPr="00A8034B">
                              <w:t>–</w:t>
                            </w:r>
                            <w:r w:rsidRPr="001A2022">
                              <w:t>Free Agreements</w:t>
                            </w:r>
                            <w:r>
                              <w:t>: In accordance with Policy D.TR3, agreements which restrict residents from applying for on-street car parking permits will be sought for all residential developments.</w:t>
                            </w:r>
                          </w:p>
                          <w:p w14:paraId="36EEF792" w14:textId="77777777" w:rsidR="00EB3B59" w:rsidRPr="00A57D99" w:rsidRDefault="00EB3B59" w:rsidP="00A326AD">
                            <w:pPr>
                              <w:pStyle w:val="ListBullet2"/>
                              <w:spacing w:before="120" w:after="120"/>
                              <w:contextualSpacing w:val="0"/>
                              <w:jc w:val="both"/>
                            </w:pPr>
                            <w:r w:rsidRPr="00A8034B">
                              <w:t>Car clubs</w:t>
                            </w:r>
                            <w:r>
                              <w:t>:</w:t>
                            </w:r>
                            <w:r w:rsidRPr="00A8034B">
                              <w:t xml:space="preserve"> </w:t>
                            </w:r>
                            <w:r w:rsidRPr="00BF0642">
                              <w:rPr>
                                <w:lang w:val="en-US"/>
                              </w:rPr>
                              <w:t>Car club bays</w:t>
                            </w:r>
                            <w:r>
                              <w:rPr>
                                <w:lang w:val="en-US"/>
                              </w:rPr>
                              <w:t xml:space="preserve"> required in accordance with Policy D.TR3</w:t>
                            </w:r>
                            <w:r w:rsidRPr="00BF0642">
                              <w:rPr>
                                <w:lang w:val="en-US"/>
                              </w:rPr>
                              <w:t xml:space="preserve"> should be on-street for public use</w:t>
                            </w:r>
                            <w:r>
                              <w:rPr>
                                <w:lang w:val="en-US"/>
                              </w:rPr>
                              <w:t xml:space="preserve"> and details of the car-club provider should be provided to the Council upon occupation</w:t>
                            </w:r>
                            <w:r w:rsidRPr="00BF0642">
                              <w:rPr>
                                <w:lang w:val="en-US"/>
                              </w:rPr>
                              <w:t xml:space="preserve">. If no provider is found, the space </w:t>
                            </w:r>
                            <w:r>
                              <w:rPr>
                                <w:lang w:val="en-US"/>
                              </w:rPr>
                              <w:t>should</w:t>
                            </w:r>
                            <w:r w:rsidRPr="00BF0642">
                              <w:rPr>
                                <w:lang w:val="en-US"/>
                              </w:rPr>
                              <w:t xml:space="preserve"> be reverted to wheelchair user parking space. </w:t>
                            </w:r>
                          </w:p>
                          <w:p w14:paraId="089C79BE" w14:textId="77777777" w:rsidR="00EB3B59" w:rsidRPr="00A8034B" w:rsidRDefault="00EB3B59" w:rsidP="00A326AD">
                            <w:pPr>
                              <w:pStyle w:val="ListBullet2"/>
                              <w:spacing w:before="120" w:after="120"/>
                              <w:contextualSpacing w:val="0"/>
                              <w:jc w:val="both"/>
                            </w:pPr>
                            <w:r w:rsidRPr="00A8034B">
                              <w:t>Electric vehicle charging</w:t>
                            </w:r>
                            <w:r>
                              <w:t>: The p</w:t>
                            </w:r>
                            <w:r w:rsidRPr="00A8034B">
                              <w:t>rovision of fast-charging electric charging points</w:t>
                            </w:r>
                            <w:r>
                              <w:t xml:space="preserve"> in accordance with Policy D.TR3.</w:t>
                            </w:r>
                          </w:p>
                          <w:p w14:paraId="75F713C9" w14:textId="77777777" w:rsidR="00EB3B59" w:rsidRPr="00E51FE2" w:rsidRDefault="00EB3B59" w:rsidP="00A326AD">
                            <w:pPr>
                              <w:pStyle w:val="ListBullet2"/>
                              <w:spacing w:before="120" w:after="120"/>
                              <w:contextualSpacing w:val="0"/>
                              <w:jc w:val="both"/>
                            </w:pPr>
                            <w:r w:rsidRPr="00E51FE2">
                              <w:t>Travel p</w:t>
                            </w:r>
                            <w:r>
                              <w:t>lan: In accordance with Policy D.TR2</w:t>
                            </w:r>
                            <w:r w:rsidRPr="00E51FE2">
                              <w:t>, travel plans should be prepared, submitted to a coordinator and monitored to ensure compliance</w:t>
                            </w:r>
                            <w:r>
                              <w:t>.</w:t>
                            </w:r>
                            <w:r w:rsidRPr="00E51FE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99CDFC" id="Text Box 3" o:spid="_x0000_s1044" type="#_x0000_t202" style="width:450pt;height:3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" fillcolor="#dbe5f1 [660]" stroked="f">
                <v:textbox>
                  <w:txbxContent>
                    <w:p w14:paraId="04DDC15E" w14:textId="77777777" w:rsidR="00EB3B59" w:rsidRPr="001A2022" w:rsidRDefault="00EB3B59" w:rsidP="00316854">
                      <w:pPr>
                        <w:widowControl w:val="0"/>
                        <w:autoSpaceDE w:val="0"/>
                        <w:autoSpaceDN w:val="0"/>
                        <w:adjustRightInd w:val="0"/>
                        <w:jc w:val="both"/>
                        <w:textAlignment w:val="center"/>
                        <w:rPr>
                          <w:rFonts w:cs="Arial"/>
                          <w:b/>
                          <w:szCs w:val="22"/>
                          <w:lang w:val="en-US"/>
                        </w:rPr>
                      </w:pPr>
                      <w:r w:rsidRPr="00CD200D">
                        <w:rPr>
                          <w:rFonts w:cs="Arial"/>
                          <w:b/>
                          <w:szCs w:val="22"/>
                          <w:lang w:val="en-US"/>
                        </w:rPr>
                        <w:t>Threshold and Contribution Requirements</w:t>
                      </w:r>
                    </w:p>
                    <w:p w14:paraId="4A4FEB58" w14:textId="77777777" w:rsidR="00EB3B59" w:rsidRDefault="00EB3B59" w:rsidP="00316854">
                      <w:pPr>
                        <w:widowControl w:val="0"/>
                        <w:autoSpaceDE w:val="0"/>
                        <w:autoSpaceDN w:val="0"/>
                        <w:adjustRightInd w:val="0"/>
                        <w:jc w:val="both"/>
                        <w:textAlignment w:val="center"/>
                        <w:rPr>
                          <w:rFonts w:eastAsia="MS Mincho" w:cs="Arial"/>
                          <w:color w:val="000000"/>
                          <w:szCs w:val="22"/>
                        </w:rPr>
                      </w:pPr>
                      <w:r>
                        <w:rPr>
                          <w:rFonts w:eastAsia="MS Mincho" w:cs="Arial"/>
                          <w:color w:val="000000"/>
                          <w:szCs w:val="22"/>
                        </w:rPr>
                        <w:t xml:space="preserve">Policy D.TR2 details the instances </w:t>
                      </w:r>
                      <w:r w:rsidRPr="001A2022">
                        <w:rPr>
                          <w:rFonts w:eastAsia="MS Mincho" w:cs="Arial"/>
                          <w:color w:val="000000"/>
                          <w:szCs w:val="22"/>
                        </w:rPr>
                        <w:t xml:space="preserve">where a </w:t>
                      </w:r>
                      <w:r>
                        <w:rPr>
                          <w:rFonts w:eastAsia="MS Mincho" w:cs="Arial"/>
                          <w:color w:val="000000"/>
                          <w:szCs w:val="22"/>
                        </w:rPr>
                        <w:t>T</w:t>
                      </w:r>
                      <w:r w:rsidRPr="001A2022">
                        <w:rPr>
                          <w:rFonts w:eastAsia="MS Mincho" w:cs="Arial"/>
                          <w:color w:val="000000"/>
                          <w:szCs w:val="22"/>
                        </w:rPr>
                        <w:t xml:space="preserve">ransport </w:t>
                      </w:r>
                      <w:r>
                        <w:rPr>
                          <w:rFonts w:eastAsia="MS Mincho" w:cs="Arial"/>
                          <w:color w:val="000000"/>
                          <w:szCs w:val="22"/>
                        </w:rPr>
                        <w:t>A</w:t>
                      </w:r>
                      <w:r w:rsidRPr="001A2022">
                        <w:rPr>
                          <w:rFonts w:eastAsia="MS Mincho" w:cs="Arial"/>
                          <w:color w:val="000000"/>
                          <w:szCs w:val="22"/>
                        </w:rPr>
                        <w:t xml:space="preserve">ssessment is required for </w:t>
                      </w:r>
                      <w:r>
                        <w:rPr>
                          <w:rFonts w:eastAsia="MS Mincho" w:cs="Arial"/>
                          <w:color w:val="000000"/>
                          <w:szCs w:val="22"/>
                        </w:rPr>
                        <w:t>a</w:t>
                      </w:r>
                      <w:r w:rsidRPr="001A2022">
                        <w:rPr>
                          <w:rFonts w:eastAsia="MS Mincho" w:cs="Arial"/>
                          <w:color w:val="000000"/>
                          <w:szCs w:val="22"/>
                        </w:rPr>
                        <w:t xml:space="preserve"> development</w:t>
                      </w:r>
                      <w:r>
                        <w:rPr>
                          <w:rFonts w:eastAsia="MS Mincho" w:cs="Arial"/>
                          <w:color w:val="000000"/>
                          <w:szCs w:val="22"/>
                        </w:rPr>
                        <w:t>.</w:t>
                      </w:r>
                      <w:r w:rsidRPr="001A2022">
                        <w:rPr>
                          <w:rFonts w:eastAsia="MS Mincho" w:cs="Arial"/>
                          <w:color w:val="000000"/>
                          <w:szCs w:val="22"/>
                        </w:rPr>
                        <w:t xml:space="preserve"> </w:t>
                      </w:r>
                      <w:r>
                        <w:rPr>
                          <w:rFonts w:eastAsia="MS Mincho" w:cs="Arial"/>
                          <w:color w:val="000000"/>
                          <w:szCs w:val="22"/>
                        </w:rPr>
                        <w:t xml:space="preserve">This assessment will inform the </w:t>
                      </w:r>
                      <w:r w:rsidRPr="001A2022">
                        <w:rPr>
                          <w:rFonts w:eastAsia="MS Mincho" w:cs="Arial"/>
                          <w:color w:val="000000"/>
                          <w:szCs w:val="22"/>
                        </w:rPr>
                        <w:t xml:space="preserve">site-specific highway and transport works required </w:t>
                      </w:r>
                      <w:r>
                        <w:rPr>
                          <w:rFonts w:eastAsia="MS Mincho" w:cs="Arial"/>
                          <w:color w:val="000000"/>
                          <w:szCs w:val="22"/>
                        </w:rPr>
                        <w:t>to mitigate the impacts from the development.</w:t>
                      </w:r>
                    </w:p>
                    <w:p w14:paraId="770471A5" w14:textId="099B73C7" w:rsidR="00EB3B59" w:rsidRPr="001A2022" w:rsidRDefault="00EB3B59" w:rsidP="00316854">
                      <w:pPr>
                        <w:widowControl w:val="0"/>
                        <w:autoSpaceDE w:val="0"/>
                        <w:autoSpaceDN w:val="0"/>
                        <w:adjustRightInd w:val="0"/>
                        <w:jc w:val="both"/>
                        <w:textAlignment w:val="center"/>
                        <w:rPr>
                          <w:rFonts w:cs="Arial"/>
                          <w:color w:val="000000"/>
                          <w:szCs w:val="22"/>
                        </w:rPr>
                      </w:pPr>
                      <w:r>
                        <w:rPr>
                          <w:rFonts w:eastAsia="MS Mincho" w:cs="Arial"/>
                          <w:color w:val="000000"/>
                          <w:szCs w:val="22"/>
                        </w:rPr>
                        <w:t>Where appropriate based on the specifics of a scheme, a transport</w:t>
                      </w:r>
                      <w:r>
                        <w:rPr>
                          <w:rFonts w:eastAsia="MS Mincho" w:cs="Arial"/>
                          <w:color w:val="000000"/>
                          <w:szCs w:val="22"/>
                          <w:lang w:val="en-US"/>
                        </w:rPr>
                        <w:t xml:space="preserve"> </w:t>
                      </w:r>
                      <w:r w:rsidRPr="00F941ED">
                        <w:rPr>
                          <w:rFonts w:eastAsia="MS Mincho" w:cs="Arial"/>
                          <w:color w:val="000000"/>
                          <w:szCs w:val="22"/>
                          <w:lang w:val="en-US"/>
                        </w:rPr>
                        <w:t xml:space="preserve">contribution </w:t>
                      </w:r>
                      <w:r>
                        <w:rPr>
                          <w:rFonts w:eastAsia="MS Mincho" w:cs="Arial"/>
                          <w:color w:val="000000"/>
                          <w:szCs w:val="22"/>
                          <w:lang w:val="en-US"/>
                        </w:rPr>
                        <w:t>may</w:t>
                      </w:r>
                      <w:r w:rsidRPr="00F941ED">
                        <w:rPr>
                          <w:rFonts w:eastAsia="MS Mincho" w:cs="Arial"/>
                          <w:color w:val="000000"/>
                          <w:szCs w:val="22"/>
                          <w:lang w:val="en-US"/>
                        </w:rPr>
                        <w:t xml:space="preserve"> be sought </w:t>
                      </w:r>
                      <w:r>
                        <w:rPr>
                          <w:rFonts w:eastAsia="MS Mincho" w:cs="Arial"/>
                          <w:color w:val="000000"/>
                          <w:szCs w:val="22"/>
                          <w:lang w:val="en-US"/>
                        </w:rPr>
                        <w:t>to contribute</w:t>
                      </w:r>
                      <w:r w:rsidRPr="00F941ED">
                        <w:rPr>
                          <w:rFonts w:eastAsia="MS Mincho" w:cs="Arial"/>
                          <w:color w:val="000000"/>
                          <w:szCs w:val="22"/>
                          <w:lang w:val="en-US"/>
                        </w:rPr>
                        <w:t xml:space="preserve"> </w:t>
                      </w:r>
                      <w:r>
                        <w:rPr>
                          <w:rFonts w:eastAsia="MS Mincho" w:cs="Arial"/>
                          <w:color w:val="000000"/>
                          <w:szCs w:val="22"/>
                          <w:lang w:val="en-US"/>
                        </w:rPr>
                        <w:t>to</w:t>
                      </w:r>
                      <w:r w:rsidRPr="00F941ED">
                        <w:rPr>
                          <w:rFonts w:eastAsia="MS Mincho" w:cs="Arial"/>
                          <w:color w:val="000000"/>
                          <w:szCs w:val="22"/>
                          <w:lang w:val="en-US"/>
                        </w:rPr>
                        <w:t xml:space="preserve"> bus, overground, underground</w:t>
                      </w:r>
                      <w:r>
                        <w:rPr>
                          <w:rFonts w:eastAsia="MS Mincho" w:cs="Arial"/>
                          <w:color w:val="000000"/>
                          <w:szCs w:val="22"/>
                          <w:lang w:val="en-US"/>
                        </w:rPr>
                        <w:t>, DLR</w:t>
                      </w:r>
                      <w:r w:rsidRPr="00F941ED">
                        <w:rPr>
                          <w:rFonts w:eastAsia="MS Mincho" w:cs="Arial"/>
                          <w:color w:val="000000"/>
                          <w:szCs w:val="22"/>
                          <w:lang w:val="en-US"/>
                        </w:rPr>
                        <w:t xml:space="preserve"> and sustainable transport improvements</w:t>
                      </w:r>
                      <w:r>
                        <w:rPr>
                          <w:rFonts w:eastAsia="MS Mincho" w:cs="Arial"/>
                          <w:color w:val="000000"/>
                          <w:szCs w:val="22"/>
                          <w:lang w:val="en-US"/>
                        </w:rPr>
                        <w:t xml:space="preserve"> such as cycle infrastructure</w:t>
                      </w:r>
                      <w:r w:rsidRPr="00F941ED">
                        <w:rPr>
                          <w:rFonts w:eastAsia="MS Mincho" w:cs="Arial"/>
                          <w:color w:val="000000"/>
                          <w:szCs w:val="22"/>
                          <w:lang w:val="en-US"/>
                        </w:rPr>
                        <w:t>.</w:t>
                      </w:r>
                    </w:p>
                    <w:p w14:paraId="0088CF9D" w14:textId="77777777" w:rsidR="00EB3B59" w:rsidRPr="001A2022" w:rsidRDefault="00EB3B59" w:rsidP="00316854">
                      <w:pPr>
                        <w:widowControl w:val="0"/>
                        <w:autoSpaceDE w:val="0"/>
                        <w:autoSpaceDN w:val="0"/>
                        <w:adjustRightInd w:val="0"/>
                        <w:jc w:val="both"/>
                        <w:textAlignment w:val="center"/>
                        <w:rPr>
                          <w:rFonts w:cs="Arial"/>
                          <w:color w:val="000000"/>
                          <w:szCs w:val="22"/>
                        </w:rPr>
                      </w:pPr>
                      <w:r>
                        <w:rPr>
                          <w:rFonts w:cs="Arial"/>
                          <w:color w:val="000000"/>
                          <w:szCs w:val="22"/>
                        </w:rPr>
                        <w:t>The Council</w:t>
                      </w:r>
                      <w:r w:rsidRPr="001A2022">
                        <w:rPr>
                          <w:rFonts w:cs="Arial"/>
                          <w:color w:val="000000"/>
                          <w:szCs w:val="22"/>
                        </w:rPr>
                        <w:t xml:space="preserve"> may seek to secure non-financial obligations to mitigate the impact of a development proposal</w:t>
                      </w:r>
                      <w:r>
                        <w:rPr>
                          <w:rFonts w:cs="Arial"/>
                          <w:color w:val="000000"/>
                          <w:szCs w:val="22"/>
                        </w:rPr>
                        <w:t>, including:</w:t>
                      </w:r>
                    </w:p>
                    <w:p w14:paraId="1B917981" w14:textId="77777777" w:rsidR="00EB3B59" w:rsidRDefault="00EB3B59" w:rsidP="00A326AD">
                      <w:pPr>
                        <w:pStyle w:val="ListBullet2"/>
                        <w:spacing w:before="120" w:after="120"/>
                        <w:contextualSpacing w:val="0"/>
                        <w:jc w:val="both"/>
                      </w:pPr>
                      <w:r w:rsidRPr="001A2022">
                        <w:t>Car</w:t>
                      </w:r>
                      <w:r w:rsidRPr="00A8034B">
                        <w:t>–</w:t>
                      </w:r>
                      <w:r w:rsidRPr="001A2022">
                        <w:t xml:space="preserve"> and Permit</w:t>
                      </w:r>
                      <w:r w:rsidRPr="00A8034B">
                        <w:t>–</w:t>
                      </w:r>
                      <w:r w:rsidRPr="001A2022">
                        <w:t>Free Agreements</w:t>
                      </w:r>
                      <w:r>
                        <w:t>: In accordance with Policy D.TR3, agreements which restrict residents from applying for on-street car parking permits will be sought for all residential developments.</w:t>
                      </w:r>
                    </w:p>
                    <w:p w14:paraId="36EEF792" w14:textId="77777777" w:rsidR="00EB3B59" w:rsidRPr="00A57D99" w:rsidRDefault="00EB3B59" w:rsidP="00A326AD">
                      <w:pPr>
                        <w:pStyle w:val="ListBullet2"/>
                        <w:spacing w:before="120" w:after="120"/>
                        <w:contextualSpacing w:val="0"/>
                        <w:jc w:val="both"/>
                      </w:pPr>
                      <w:r w:rsidRPr="00A8034B">
                        <w:t>Car clubs</w:t>
                      </w:r>
                      <w:r>
                        <w:t>:</w:t>
                      </w:r>
                      <w:r w:rsidRPr="00A8034B">
                        <w:t xml:space="preserve"> </w:t>
                      </w:r>
                      <w:r w:rsidRPr="00BF0642">
                        <w:rPr>
                          <w:lang w:val="en-US"/>
                        </w:rPr>
                        <w:t>Car club bays</w:t>
                      </w:r>
                      <w:r>
                        <w:rPr>
                          <w:lang w:val="en-US"/>
                        </w:rPr>
                        <w:t xml:space="preserve"> required in accordance with Policy D.TR3</w:t>
                      </w:r>
                      <w:r w:rsidRPr="00BF0642">
                        <w:rPr>
                          <w:lang w:val="en-US"/>
                        </w:rPr>
                        <w:t xml:space="preserve"> should be on-street for public use</w:t>
                      </w:r>
                      <w:r>
                        <w:rPr>
                          <w:lang w:val="en-US"/>
                        </w:rPr>
                        <w:t xml:space="preserve"> and details of the car-club provider should be provided to the Council upon occupation</w:t>
                      </w:r>
                      <w:r w:rsidRPr="00BF0642">
                        <w:rPr>
                          <w:lang w:val="en-US"/>
                        </w:rPr>
                        <w:t xml:space="preserve">. If no provider is found, the space </w:t>
                      </w:r>
                      <w:r>
                        <w:rPr>
                          <w:lang w:val="en-US"/>
                        </w:rPr>
                        <w:t>should</w:t>
                      </w:r>
                      <w:r w:rsidRPr="00BF0642">
                        <w:rPr>
                          <w:lang w:val="en-US"/>
                        </w:rPr>
                        <w:t xml:space="preserve"> be reverted to wheelchair user parking space. </w:t>
                      </w:r>
                    </w:p>
                    <w:p w14:paraId="089C79BE" w14:textId="77777777" w:rsidR="00EB3B59" w:rsidRPr="00A8034B" w:rsidRDefault="00EB3B59" w:rsidP="00A326AD">
                      <w:pPr>
                        <w:pStyle w:val="ListBullet2"/>
                        <w:spacing w:before="120" w:after="120"/>
                        <w:contextualSpacing w:val="0"/>
                        <w:jc w:val="both"/>
                      </w:pPr>
                      <w:r w:rsidRPr="00A8034B">
                        <w:t>Electric vehicle charging</w:t>
                      </w:r>
                      <w:r>
                        <w:t>: The p</w:t>
                      </w:r>
                      <w:r w:rsidRPr="00A8034B">
                        <w:t>rovision of fast-charging electric charging points</w:t>
                      </w:r>
                      <w:r>
                        <w:t xml:space="preserve"> in accordance with Policy D.TR3.</w:t>
                      </w:r>
                    </w:p>
                    <w:p w14:paraId="75F713C9" w14:textId="77777777" w:rsidR="00EB3B59" w:rsidRPr="00E51FE2" w:rsidRDefault="00EB3B59" w:rsidP="00A326AD">
                      <w:pPr>
                        <w:pStyle w:val="ListBullet2"/>
                        <w:spacing w:before="120" w:after="120"/>
                        <w:contextualSpacing w:val="0"/>
                        <w:jc w:val="both"/>
                      </w:pPr>
                      <w:r w:rsidRPr="00E51FE2">
                        <w:t>Travel p</w:t>
                      </w:r>
                      <w:r>
                        <w:t>lan: In accordance with Policy D.TR2</w:t>
                      </w:r>
                      <w:r w:rsidRPr="00E51FE2">
                        <w:t>, travel plans should be prepared, submitted to a coordinator and monitored to ensure compliance</w:t>
                      </w:r>
                      <w:r>
                        <w:t>.</w:t>
                      </w:r>
                      <w:r w:rsidRPr="00E51FE2">
                        <w:t xml:space="preserve">  </w:t>
                      </w:r>
                    </w:p>
                  </w:txbxContent>
                </v:textbox>
                <w10:anchorlock/>
              </v:shape>
            </w:pict>
          </mc:Fallback>
        </mc:AlternateContent>
      </w:r>
    </w:p>
    <w:p w14:paraId="3B5FD075" w14:textId="77777777" w:rsidR="005A17ED" w:rsidRPr="000D65CE" w:rsidRDefault="005A17ED" w:rsidP="003B280C">
      <w:pPr>
        <w:spacing w:after="0" w:line="240" w:lineRule="auto"/>
        <w:jc w:val="both"/>
        <w:rPr>
          <w:rFonts w:cs="Arial"/>
          <w:b/>
          <w:szCs w:val="28"/>
        </w:rPr>
      </w:pPr>
    </w:p>
    <w:p w14:paraId="65CCDF02" w14:textId="6950A045" w:rsidR="001053F2" w:rsidRPr="000D65CE" w:rsidRDefault="00C0492D" w:rsidP="00721B10">
      <w:pPr>
        <w:pStyle w:val="Heading2"/>
      </w:pPr>
      <w:bookmarkStart w:id="17" w:name="_Toc69374677"/>
      <w:r w:rsidRPr="000D65CE">
        <w:t>Open Space</w:t>
      </w:r>
      <w:r w:rsidR="0028261E" w:rsidRPr="000D65CE">
        <w:t xml:space="preserve"> </w:t>
      </w:r>
      <w:r w:rsidR="00982091" w:rsidRPr="000D65CE">
        <w:t>and Access</w:t>
      </w:r>
      <w:bookmarkEnd w:id="17"/>
    </w:p>
    <w:tbl>
      <w:tblPr>
        <w:tblStyle w:val="TableGrid"/>
        <w:tblW w:w="0" w:type="auto"/>
        <w:tblInd w:w="79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7C21E314" w14:textId="77777777" w:rsidTr="00921BA6">
        <w:tc>
          <w:tcPr>
            <w:tcW w:w="3119" w:type="dxa"/>
            <w:tcBorders>
              <w:bottom w:val="single" w:sz="8" w:space="0" w:color="006BB6"/>
            </w:tcBorders>
            <w:shd w:val="clear" w:color="auto" w:fill="F2F2F2" w:themeFill="background1" w:themeFillShade="F2"/>
          </w:tcPr>
          <w:p w14:paraId="7F944D01"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775B142C"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S.O</w:t>
            </w:r>
            <w:r w:rsidR="00096B5F" w:rsidRPr="000D65CE">
              <w:rPr>
                <w:rFonts w:cs="Arial"/>
                <w:szCs w:val="22"/>
              </w:rPr>
              <w:t>W</w:t>
            </w:r>
            <w:r w:rsidRPr="000D65CE">
              <w:rPr>
                <w:rFonts w:cs="Arial"/>
                <w:szCs w:val="22"/>
              </w:rPr>
              <w:t>S1, D.OWS3, D.DH6</w:t>
            </w:r>
          </w:p>
        </w:tc>
      </w:tr>
    </w:tbl>
    <w:p w14:paraId="3B116349" w14:textId="77777777" w:rsidR="00575071" w:rsidRPr="000D65CE" w:rsidRDefault="00575071" w:rsidP="003B280C">
      <w:pPr>
        <w:jc w:val="both"/>
      </w:pPr>
    </w:p>
    <w:p w14:paraId="251ACC73" w14:textId="7EE58285" w:rsidR="00624EAE" w:rsidRPr="000D65CE" w:rsidRDefault="00347E13" w:rsidP="003B280C">
      <w:pPr>
        <w:pStyle w:val="Paragraphs"/>
        <w:rPr>
          <w:lang w:val="en-GB"/>
        </w:rPr>
      </w:pPr>
      <w:r w:rsidRPr="28D940A9">
        <w:rPr>
          <w:lang w:val="en-GB"/>
        </w:rPr>
        <w:t>Open S</w:t>
      </w:r>
      <w:r w:rsidR="00624EAE" w:rsidRPr="28D940A9">
        <w:rPr>
          <w:lang w:val="en-GB"/>
        </w:rPr>
        <w:t>pace includes all land that offers opportunity for play, recreation and sp</w:t>
      </w:r>
      <w:r w:rsidRPr="28D940A9">
        <w:rPr>
          <w:lang w:val="en-GB"/>
        </w:rPr>
        <w:t>ort or is of amenity value. This includes land that is</w:t>
      </w:r>
      <w:r w:rsidR="00624EAE" w:rsidRPr="28D940A9">
        <w:rPr>
          <w:lang w:val="en-GB"/>
        </w:rPr>
        <w:t xml:space="preserve"> privately or publicly owned, </w:t>
      </w:r>
      <w:r w:rsidRPr="28D940A9">
        <w:rPr>
          <w:lang w:val="en-GB"/>
        </w:rPr>
        <w:t xml:space="preserve">whether </w:t>
      </w:r>
      <w:r w:rsidR="00624EAE" w:rsidRPr="28D940A9">
        <w:rPr>
          <w:lang w:val="en-GB"/>
        </w:rPr>
        <w:t>accessi</w:t>
      </w:r>
      <w:r w:rsidRPr="28D940A9">
        <w:rPr>
          <w:lang w:val="en-GB"/>
        </w:rPr>
        <w:t>ble to the public or not. Open S</w:t>
      </w:r>
      <w:r w:rsidR="00624EAE" w:rsidRPr="28D940A9">
        <w:rPr>
          <w:lang w:val="en-GB"/>
        </w:rPr>
        <w:t>pace provides vital recreation, relaxation and wellbeing benefits, as well as a focal point for com</w:t>
      </w:r>
      <w:r w:rsidR="0096593F" w:rsidRPr="28D940A9">
        <w:rPr>
          <w:lang w:val="en-GB"/>
        </w:rPr>
        <w:t xml:space="preserve">munity interaction. </w:t>
      </w:r>
      <w:r w:rsidR="00B3694B" w:rsidRPr="28D940A9">
        <w:rPr>
          <w:lang w:val="en-GB"/>
        </w:rPr>
        <w:t>Publicly</w:t>
      </w:r>
      <w:r w:rsidR="0096593F" w:rsidRPr="28D940A9">
        <w:rPr>
          <w:lang w:val="en-GB"/>
        </w:rPr>
        <w:t xml:space="preserve"> A</w:t>
      </w:r>
      <w:r w:rsidR="00624EAE" w:rsidRPr="28D940A9">
        <w:rPr>
          <w:lang w:val="en-GB"/>
        </w:rPr>
        <w:t xml:space="preserve">ccessible </w:t>
      </w:r>
      <w:r w:rsidR="0096593F" w:rsidRPr="28D940A9">
        <w:rPr>
          <w:lang w:val="en-GB"/>
        </w:rPr>
        <w:t>Open Space</w:t>
      </w:r>
      <w:r w:rsidR="00624EAE" w:rsidRPr="28D940A9">
        <w:rPr>
          <w:lang w:val="en-GB"/>
        </w:rPr>
        <w:t xml:space="preserve"> is a key</w:t>
      </w:r>
      <w:r w:rsidR="008E6E67" w:rsidRPr="28D940A9">
        <w:rPr>
          <w:lang w:val="en-GB"/>
        </w:rPr>
        <w:t xml:space="preserve"> and scarce</w:t>
      </w:r>
      <w:r w:rsidR="00624EAE" w:rsidRPr="28D940A9">
        <w:rPr>
          <w:lang w:val="en-GB"/>
        </w:rPr>
        <w:t xml:space="preserve"> resource in urban areas such as Tower Hamlets. </w:t>
      </w:r>
    </w:p>
    <w:p w14:paraId="102224F5" w14:textId="6992B3C1" w:rsidR="00624EAE" w:rsidRPr="000D65CE" w:rsidRDefault="00347E13" w:rsidP="003B280C">
      <w:pPr>
        <w:pStyle w:val="Paragraphs"/>
        <w:rPr>
          <w:lang w:val="en-GB"/>
        </w:rPr>
      </w:pPr>
      <w:r w:rsidRPr="28D940A9">
        <w:rPr>
          <w:lang w:val="en-GB"/>
        </w:rPr>
        <w:t>Overall provision of Open S</w:t>
      </w:r>
      <w:r w:rsidR="00C44288" w:rsidRPr="28D940A9">
        <w:rPr>
          <w:lang w:val="en-GB"/>
        </w:rPr>
        <w:t>pace in the b</w:t>
      </w:r>
      <w:r w:rsidR="00624EAE" w:rsidRPr="28D940A9">
        <w:rPr>
          <w:lang w:val="en-GB"/>
        </w:rPr>
        <w:t xml:space="preserve">orough is currently low with some areas, such as the Isle of Dogs, Shoreditch and Whitechapel, being acutely deficient. As </w:t>
      </w:r>
      <w:r w:rsidR="001D17E3" w:rsidRPr="28D940A9">
        <w:rPr>
          <w:lang w:val="en-GB"/>
        </w:rPr>
        <w:t xml:space="preserve">the </w:t>
      </w:r>
      <w:r w:rsidR="00624EAE" w:rsidRPr="28D940A9">
        <w:rPr>
          <w:lang w:val="en-GB"/>
        </w:rPr>
        <w:t>population increases, so too will the need to protect and enhance existing</w:t>
      </w:r>
      <w:r w:rsidR="008E6E67" w:rsidRPr="28D940A9">
        <w:rPr>
          <w:lang w:val="en-GB"/>
        </w:rPr>
        <w:t xml:space="preserve"> </w:t>
      </w:r>
      <w:r w:rsidR="0096593F" w:rsidRPr="28D940A9">
        <w:rPr>
          <w:lang w:val="en-GB"/>
        </w:rPr>
        <w:t>Open Spaces as well as secu</w:t>
      </w:r>
      <w:r w:rsidR="001D17E3" w:rsidRPr="28D940A9">
        <w:rPr>
          <w:lang w:val="en-GB"/>
        </w:rPr>
        <w:t>ring</w:t>
      </w:r>
      <w:r w:rsidR="0096593F" w:rsidRPr="28D940A9">
        <w:rPr>
          <w:lang w:val="en-GB"/>
        </w:rPr>
        <w:t xml:space="preserve"> new </w:t>
      </w:r>
      <w:r w:rsidR="00B3694B" w:rsidRPr="28D940A9">
        <w:rPr>
          <w:lang w:val="en-GB"/>
        </w:rPr>
        <w:t>Publicly</w:t>
      </w:r>
      <w:r w:rsidR="0096593F" w:rsidRPr="28D940A9">
        <w:rPr>
          <w:lang w:val="en-GB"/>
        </w:rPr>
        <w:t xml:space="preserve"> A</w:t>
      </w:r>
      <w:r w:rsidR="00624EAE" w:rsidRPr="28D940A9">
        <w:rPr>
          <w:lang w:val="en-GB"/>
        </w:rPr>
        <w:t>ccessible</w:t>
      </w:r>
      <w:r w:rsidR="008E6E67" w:rsidRPr="28D940A9">
        <w:rPr>
          <w:lang w:val="en-GB"/>
        </w:rPr>
        <w:t xml:space="preserve"> </w:t>
      </w:r>
      <w:r w:rsidR="0096593F" w:rsidRPr="28D940A9">
        <w:rPr>
          <w:lang w:val="en-GB"/>
        </w:rPr>
        <w:t>Open Space</w:t>
      </w:r>
      <w:r w:rsidR="00624EAE" w:rsidRPr="28D940A9">
        <w:rPr>
          <w:lang w:val="en-GB"/>
        </w:rPr>
        <w:t xml:space="preserve">s. </w:t>
      </w:r>
    </w:p>
    <w:p w14:paraId="08F081EE" w14:textId="77777777" w:rsidR="00F413CE" w:rsidRPr="000D65CE" w:rsidRDefault="00624EAE" w:rsidP="003B280C">
      <w:pPr>
        <w:pStyle w:val="Paragraphs"/>
        <w:rPr>
          <w:lang w:val="en-GB"/>
        </w:rPr>
      </w:pPr>
      <w:r w:rsidRPr="28D940A9">
        <w:rPr>
          <w:lang w:val="en-GB"/>
        </w:rPr>
        <w:lastRenderedPageBreak/>
        <w:t>This need is reflected in the Local Plan Policies along with the requirements to deliver an accessible and well-connected network of spaces. This includes</w:t>
      </w:r>
      <w:r w:rsidR="00F323B7" w:rsidRPr="28D940A9">
        <w:rPr>
          <w:lang w:val="en-GB"/>
        </w:rPr>
        <w:t xml:space="preserve"> improved connections between</w:t>
      </w:r>
      <w:r w:rsidRPr="28D940A9">
        <w:rPr>
          <w:lang w:val="en-GB"/>
        </w:rPr>
        <w:t xml:space="preserve"> existing </w:t>
      </w:r>
      <w:r w:rsidR="0096593F" w:rsidRPr="28D940A9">
        <w:rPr>
          <w:lang w:val="en-GB"/>
        </w:rPr>
        <w:t>Open Space</w:t>
      </w:r>
      <w:r w:rsidRPr="28D940A9">
        <w:rPr>
          <w:lang w:val="en-GB"/>
        </w:rPr>
        <w:t>s, such as the Thames Path National Trail and other riverside walkways</w:t>
      </w:r>
      <w:r w:rsidR="00F323B7" w:rsidRPr="28D940A9">
        <w:rPr>
          <w:lang w:val="en-GB"/>
        </w:rPr>
        <w:t xml:space="preserve"> as well as projects delivered through the liveable streets programme</w:t>
      </w:r>
      <w:r w:rsidRPr="28D940A9">
        <w:rPr>
          <w:lang w:val="en-GB"/>
        </w:rPr>
        <w:t>.</w:t>
      </w:r>
    </w:p>
    <w:p w14:paraId="0DB54069" w14:textId="3C06EA40" w:rsidR="00F413CE" w:rsidRPr="000D65CE" w:rsidRDefault="003A6C2C" w:rsidP="003B280C">
      <w:pPr>
        <w:pStyle w:val="Paragraphs"/>
        <w:rPr>
          <w:lang w:val="en-GB"/>
        </w:rPr>
      </w:pPr>
      <w:r w:rsidRPr="28D940A9">
        <w:rPr>
          <w:lang w:val="en-GB"/>
        </w:rPr>
        <w:t xml:space="preserve">The Mayor of London is developing a Public London Charter for the management of </w:t>
      </w:r>
      <w:r w:rsidR="0096593F" w:rsidRPr="28D940A9">
        <w:rPr>
          <w:lang w:val="en-GB"/>
        </w:rPr>
        <w:t>Open Space</w:t>
      </w:r>
      <w:r w:rsidRPr="28D940A9">
        <w:rPr>
          <w:lang w:val="en-GB"/>
        </w:rPr>
        <w:t xml:space="preserve">, regardless of whether it is </w:t>
      </w:r>
      <w:r w:rsidR="00B3694B" w:rsidRPr="28D940A9">
        <w:rPr>
          <w:lang w:val="en-GB"/>
        </w:rPr>
        <w:t>publicly</w:t>
      </w:r>
      <w:r w:rsidRPr="28D940A9">
        <w:rPr>
          <w:lang w:val="en-GB"/>
        </w:rPr>
        <w:t xml:space="preserve"> or privately owned. </w:t>
      </w:r>
      <w:r w:rsidR="00052538" w:rsidRPr="28D940A9">
        <w:rPr>
          <w:lang w:val="en-GB"/>
        </w:rPr>
        <w:t xml:space="preserve">Once completed, developments will be expected to adhere to the standards specified in the Charter. </w:t>
      </w:r>
    </w:p>
    <w:p w14:paraId="7D74B16A" w14:textId="77777777" w:rsidR="00505395" w:rsidRPr="000D65CE" w:rsidRDefault="00BE0E4B" w:rsidP="003B280C">
      <w:pPr>
        <w:spacing w:before="360" w:after="120"/>
        <w:jc w:val="both"/>
        <w:rPr>
          <w:b/>
          <w:color w:val="00477E"/>
          <w:sz w:val="24"/>
        </w:rPr>
      </w:pPr>
      <w:r w:rsidRPr="000D65CE">
        <w:rPr>
          <w:b/>
          <w:color w:val="00477E"/>
          <w:sz w:val="24"/>
        </w:rPr>
        <w:t xml:space="preserve">How the Council will </w:t>
      </w:r>
      <w:r w:rsidR="003A1BFE" w:rsidRPr="000D65CE">
        <w:rPr>
          <w:b/>
          <w:color w:val="00477E"/>
          <w:sz w:val="24"/>
        </w:rPr>
        <w:t xml:space="preserve">Secure </w:t>
      </w:r>
      <w:r w:rsidRPr="000D65CE">
        <w:rPr>
          <w:b/>
          <w:color w:val="00477E"/>
          <w:sz w:val="24"/>
        </w:rPr>
        <w:t>Open S</w:t>
      </w:r>
      <w:r w:rsidR="00753353" w:rsidRPr="000D65CE">
        <w:rPr>
          <w:b/>
          <w:color w:val="00477E"/>
          <w:sz w:val="24"/>
        </w:rPr>
        <w:t>pace</w:t>
      </w:r>
      <w:r w:rsidR="00740A05" w:rsidRPr="000D65CE">
        <w:rPr>
          <w:b/>
          <w:color w:val="00477E"/>
          <w:sz w:val="24"/>
        </w:rPr>
        <w:t xml:space="preserve"> </w:t>
      </w:r>
      <w:r w:rsidR="003A1BFE" w:rsidRPr="000D65CE">
        <w:rPr>
          <w:b/>
          <w:color w:val="00477E"/>
          <w:sz w:val="24"/>
        </w:rPr>
        <w:t>Through Developer Contributions</w:t>
      </w:r>
    </w:p>
    <w:p w14:paraId="00C73555" w14:textId="181357B4" w:rsidR="00BC09DF" w:rsidRPr="000D65CE" w:rsidRDefault="00BC09DF" w:rsidP="003B280C">
      <w:pPr>
        <w:pStyle w:val="Paragraphs"/>
        <w:rPr>
          <w:lang w:val="en-GB"/>
        </w:rPr>
      </w:pPr>
      <w:r w:rsidRPr="28D940A9">
        <w:rPr>
          <w:lang w:val="en-GB"/>
        </w:rPr>
        <w:t>The provis</w:t>
      </w:r>
      <w:r w:rsidR="00347E13" w:rsidRPr="28D940A9">
        <w:rPr>
          <w:lang w:val="en-GB"/>
        </w:rPr>
        <w:t>ion, maintenance and access to Open S</w:t>
      </w:r>
      <w:r w:rsidRPr="28D940A9">
        <w:rPr>
          <w:lang w:val="en-GB"/>
        </w:rPr>
        <w:t>pace is achieved via three mechanisms depending on the circumstances and desired out</w:t>
      </w:r>
      <w:r w:rsidR="00347E13" w:rsidRPr="28D940A9">
        <w:rPr>
          <w:lang w:val="en-GB"/>
        </w:rPr>
        <w:t>comes; CIL, planning conditions and</w:t>
      </w:r>
      <w:r w:rsidRPr="28D940A9">
        <w:rPr>
          <w:lang w:val="en-GB"/>
        </w:rPr>
        <w:t xml:space="preserve"> </w:t>
      </w:r>
      <w:r w:rsidR="00032BFE" w:rsidRPr="28D940A9">
        <w:rPr>
          <w:lang w:val="en-GB"/>
        </w:rPr>
        <w:t xml:space="preserve">legal </w:t>
      </w:r>
      <w:r w:rsidR="00347E13" w:rsidRPr="28D940A9">
        <w:rPr>
          <w:lang w:val="en-GB"/>
        </w:rPr>
        <w:t>agreements</w:t>
      </w:r>
      <w:r w:rsidRPr="28D940A9">
        <w:rPr>
          <w:lang w:val="en-GB"/>
        </w:rPr>
        <w:t xml:space="preserve">. </w:t>
      </w:r>
    </w:p>
    <w:p w14:paraId="7555C13D" w14:textId="39185BA6" w:rsidR="00EF54F8" w:rsidRPr="000D65CE" w:rsidRDefault="00505395" w:rsidP="003B280C">
      <w:pPr>
        <w:pStyle w:val="Paragraphs"/>
        <w:rPr>
          <w:lang w:val="en-GB"/>
        </w:rPr>
      </w:pPr>
      <w:r w:rsidRPr="28D940A9">
        <w:rPr>
          <w:lang w:val="en-GB"/>
        </w:rPr>
        <w:t>Investment in</w:t>
      </w:r>
      <w:r w:rsidR="00C32392" w:rsidRPr="28D940A9">
        <w:rPr>
          <w:lang w:val="en-GB"/>
        </w:rPr>
        <w:t xml:space="preserve"> strategic</w:t>
      </w:r>
      <w:r w:rsidRPr="28D940A9">
        <w:rPr>
          <w:lang w:val="en-GB"/>
        </w:rPr>
        <w:t xml:space="preserve"> public </w:t>
      </w:r>
      <w:r w:rsidR="0096593F" w:rsidRPr="28D940A9">
        <w:rPr>
          <w:lang w:val="en-GB"/>
        </w:rPr>
        <w:t>Open Space</w:t>
      </w:r>
      <w:r w:rsidRPr="28D940A9">
        <w:rPr>
          <w:lang w:val="en-GB"/>
        </w:rPr>
        <w:t xml:space="preserve"> will generally be met through CIL receipts as this provides the most appropriate and flexible source for income. </w:t>
      </w:r>
      <w:r w:rsidR="00C32392" w:rsidRPr="28D940A9">
        <w:rPr>
          <w:lang w:val="en-GB"/>
        </w:rPr>
        <w:t>D</w:t>
      </w:r>
      <w:r w:rsidR="00A24FED" w:rsidRPr="28D940A9">
        <w:rPr>
          <w:lang w:val="en-GB"/>
        </w:rPr>
        <w:t>evelopers</w:t>
      </w:r>
      <w:r w:rsidR="00C32392" w:rsidRPr="28D940A9">
        <w:rPr>
          <w:lang w:val="en-GB"/>
        </w:rPr>
        <w:t xml:space="preserve"> </w:t>
      </w:r>
      <w:r w:rsidR="0097549E" w:rsidRPr="28D940A9">
        <w:rPr>
          <w:lang w:val="en-GB"/>
        </w:rPr>
        <w:t xml:space="preserve">may be able to offset the amount of CIL they pay </w:t>
      </w:r>
      <w:r w:rsidR="00C32392" w:rsidRPr="28D940A9">
        <w:rPr>
          <w:lang w:val="en-GB"/>
        </w:rPr>
        <w:t>where they</w:t>
      </w:r>
      <w:r w:rsidR="00A24FED" w:rsidRPr="28D940A9">
        <w:rPr>
          <w:lang w:val="en-GB"/>
        </w:rPr>
        <w:t xml:space="preserve"> deliver </w:t>
      </w:r>
      <w:r w:rsidR="0097549E" w:rsidRPr="28D940A9">
        <w:rPr>
          <w:lang w:val="en-GB"/>
        </w:rPr>
        <w:t>an</w:t>
      </w:r>
      <w:r w:rsidR="00A24FED" w:rsidRPr="28D940A9">
        <w:rPr>
          <w:lang w:val="en-GB"/>
        </w:rPr>
        <w:t xml:space="preserve"> amount</w:t>
      </w:r>
      <w:r w:rsidR="004A4C81" w:rsidRPr="28D940A9">
        <w:rPr>
          <w:lang w:val="en-GB"/>
        </w:rPr>
        <w:t xml:space="preserve"> of public </w:t>
      </w:r>
      <w:r w:rsidR="0096593F" w:rsidRPr="28D940A9">
        <w:rPr>
          <w:lang w:val="en-GB"/>
        </w:rPr>
        <w:t>Open Space</w:t>
      </w:r>
      <w:r w:rsidR="0097549E" w:rsidRPr="28D940A9">
        <w:rPr>
          <w:lang w:val="en-GB"/>
        </w:rPr>
        <w:t xml:space="preserve"> over and above that required to mitigate their site</w:t>
      </w:r>
      <w:r w:rsidR="00B859CB" w:rsidRPr="28D940A9">
        <w:rPr>
          <w:lang w:val="en-GB"/>
        </w:rPr>
        <w:t>-</w:t>
      </w:r>
      <w:r w:rsidR="0097549E" w:rsidRPr="28D940A9">
        <w:rPr>
          <w:lang w:val="en-GB"/>
        </w:rPr>
        <w:t>specific impacts</w:t>
      </w:r>
      <w:r w:rsidR="00C32392" w:rsidRPr="28D940A9">
        <w:rPr>
          <w:lang w:val="en-GB"/>
        </w:rPr>
        <w:t>, such as</w:t>
      </w:r>
      <w:r w:rsidR="00347E13" w:rsidRPr="28D940A9">
        <w:rPr>
          <w:lang w:val="en-GB"/>
        </w:rPr>
        <w:t xml:space="preserve"> public Open S</w:t>
      </w:r>
      <w:r w:rsidR="0097549E" w:rsidRPr="28D940A9">
        <w:rPr>
          <w:lang w:val="en-GB"/>
        </w:rPr>
        <w:t>pace</w:t>
      </w:r>
      <w:r w:rsidR="00C32392" w:rsidRPr="28D940A9">
        <w:rPr>
          <w:lang w:val="en-GB"/>
        </w:rPr>
        <w:t xml:space="preserve"> identified</w:t>
      </w:r>
      <w:r w:rsidR="0097549E" w:rsidRPr="28D940A9">
        <w:rPr>
          <w:lang w:val="en-GB"/>
        </w:rPr>
        <w:t xml:space="preserve"> by the Local Plan</w:t>
      </w:r>
      <w:r w:rsidR="00C32392" w:rsidRPr="28D940A9">
        <w:rPr>
          <w:lang w:val="en-GB"/>
        </w:rPr>
        <w:t xml:space="preserve"> in</w:t>
      </w:r>
      <w:r w:rsidR="0097549E" w:rsidRPr="28D940A9">
        <w:rPr>
          <w:lang w:val="en-GB"/>
        </w:rPr>
        <w:t xml:space="preserve"> its</w:t>
      </w:r>
      <w:r w:rsidR="00C32392" w:rsidRPr="28D940A9">
        <w:rPr>
          <w:lang w:val="en-GB"/>
        </w:rPr>
        <w:t xml:space="preserve"> site allocations. </w:t>
      </w:r>
      <w:r w:rsidR="0097549E" w:rsidRPr="28D940A9">
        <w:rPr>
          <w:lang w:val="en-GB"/>
        </w:rPr>
        <w:t>This can be achieved through securing a CIL ‘in-kind’ agreement with the Council under Regulation 73 – Payment in Kind of the CIL Regulations 2010 (as amended).</w:t>
      </w:r>
      <w:r w:rsidR="00EF54F8" w:rsidRPr="28D940A9">
        <w:rPr>
          <w:lang w:val="en-GB"/>
        </w:rPr>
        <w:t xml:space="preserve"> </w:t>
      </w:r>
    </w:p>
    <w:p w14:paraId="75E32650" w14:textId="7680BF2D" w:rsidR="00094829" w:rsidRPr="000D65CE" w:rsidRDefault="00094829" w:rsidP="003B280C">
      <w:pPr>
        <w:pStyle w:val="Paragraphs"/>
        <w:rPr>
          <w:lang w:val="en-GB"/>
        </w:rPr>
      </w:pPr>
      <w:r w:rsidRPr="28D940A9">
        <w:rPr>
          <w:lang w:val="en-GB"/>
        </w:rPr>
        <w:t xml:space="preserve">In </w:t>
      </w:r>
      <w:r w:rsidR="007E4C6E" w:rsidRPr="28D940A9">
        <w:rPr>
          <w:lang w:val="en-GB"/>
        </w:rPr>
        <w:t xml:space="preserve">circumstances </w:t>
      </w:r>
      <w:r w:rsidRPr="28D940A9">
        <w:rPr>
          <w:lang w:val="en-GB"/>
        </w:rPr>
        <w:t xml:space="preserve">where on-site </w:t>
      </w:r>
      <w:r w:rsidR="0096593F" w:rsidRPr="28D940A9">
        <w:rPr>
          <w:lang w:val="en-GB"/>
        </w:rPr>
        <w:t>Open Space</w:t>
      </w:r>
      <w:r w:rsidRPr="28D940A9">
        <w:rPr>
          <w:lang w:val="en-GB"/>
        </w:rPr>
        <w:t xml:space="preserve"> is required specifically to provide public access, an agreement to safeguard </w:t>
      </w:r>
      <w:r w:rsidR="007E4C6E" w:rsidRPr="28D940A9">
        <w:rPr>
          <w:lang w:val="en-GB"/>
        </w:rPr>
        <w:t>its</w:t>
      </w:r>
      <w:r w:rsidR="003A165D" w:rsidRPr="28D940A9">
        <w:rPr>
          <w:lang w:val="en-GB"/>
        </w:rPr>
        <w:t xml:space="preserve"> use as </w:t>
      </w:r>
      <w:r w:rsidR="00B3694B" w:rsidRPr="28D940A9">
        <w:rPr>
          <w:lang w:val="en-GB"/>
        </w:rPr>
        <w:t>Publicly</w:t>
      </w:r>
      <w:r w:rsidR="003A165D" w:rsidRPr="28D940A9">
        <w:rPr>
          <w:lang w:val="en-GB"/>
        </w:rPr>
        <w:t xml:space="preserve"> A</w:t>
      </w:r>
      <w:r w:rsidR="00347E13" w:rsidRPr="28D940A9">
        <w:rPr>
          <w:lang w:val="en-GB"/>
        </w:rPr>
        <w:t>ccessible Open S</w:t>
      </w:r>
      <w:r w:rsidRPr="28D940A9">
        <w:rPr>
          <w:lang w:val="en-GB"/>
        </w:rPr>
        <w:t>pace</w:t>
      </w:r>
      <w:r w:rsidR="00E12F93" w:rsidRPr="28D940A9">
        <w:rPr>
          <w:lang w:val="en-GB"/>
        </w:rPr>
        <w:t xml:space="preserve"> in perpetuity</w:t>
      </w:r>
      <w:r w:rsidRPr="28D940A9">
        <w:rPr>
          <w:lang w:val="en-GB"/>
        </w:rPr>
        <w:t xml:space="preserve"> will be required.</w:t>
      </w:r>
    </w:p>
    <w:p w14:paraId="2641B8AF" w14:textId="77777777" w:rsidR="00006613" w:rsidRPr="000D65CE" w:rsidRDefault="00347E13" w:rsidP="003B280C">
      <w:pPr>
        <w:pStyle w:val="Paragraphs"/>
        <w:rPr>
          <w:lang w:val="en-GB"/>
        </w:rPr>
      </w:pPr>
      <w:r w:rsidRPr="28D940A9">
        <w:rPr>
          <w:lang w:val="en-GB"/>
        </w:rPr>
        <w:t>New Open S</w:t>
      </w:r>
      <w:r w:rsidR="00A24FED" w:rsidRPr="28D940A9">
        <w:rPr>
          <w:lang w:val="en-GB"/>
        </w:rPr>
        <w:t xml:space="preserve">paces </w:t>
      </w:r>
      <w:r w:rsidR="00006613" w:rsidRPr="28D940A9">
        <w:rPr>
          <w:lang w:val="en-GB"/>
        </w:rPr>
        <w:t xml:space="preserve">are required to </w:t>
      </w:r>
      <w:r w:rsidR="00A24FED" w:rsidRPr="28D940A9">
        <w:rPr>
          <w:lang w:val="en-GB"/>
        </w:rPr>
        <w:t>meet</w:t>
      </w:r>
      <w:r w:rsidR="007E4C6E" w:rsidRPr="28D940A9">
        <w:rPr>
          <w:lang w:val="en-GB"/>
        </w:rPr>
        <w:t xml:space="preserve"> the</w:t>
      </w:r>
      <w:r w:rsidR="00A24FED" w:rsidRPr="28D940A9">
        <w:rPr>
          <w:lang w:val="en-GB"/>
        </w:rPr>
        <w:t xml:space="preserve"> </w:t>
      </w:r>
      <w:r w:rsidR="007F17B0" w:rsidRPr="28D940A9">
        <w:rPr>
          <w:lang w:val="en-GB"/>
        </w:rPr>
        <w:t>relevant</w:t>
      </w:r>
      <w:r w:rsidR="007E4C6E" w:rsidRPr="28D940A9">
        <w:rPr>
          <w:lang w:val="en-GB"/>
        </w:rPr>
        <w:t xml:space="preserve"> design</w:t>
      </w:r>
      <w:r w:rsidR="00A24FED" w:rsidRPr="28D940A9">
        <w:rPr>
          <w:lang w:val="en-GB"/>
        </w:rPr>
        <w:t xml:space="preserve"> standards</w:t>
      </w:r>
      <w:r w:rsidR="00006613" w:rsidRPr="28D940A9">
        <w:rPr>
          <w:lang w:val="en-GB"/>
        </w:rPr>
        <w:t xml:space="preserve"> (i.e. layout and connection, materials, active play space design, landscaping) and general principles (i.e. openness, maintenance, access). These will be secured by conditions and discharged by submission of a landscaping plan and/or management plan. </w:t>
      </w:r>
      <w:r w:rsidR="00A24FED" w:rsidRPr="28D940A9">
        <w:rPr>
          <w:lang w:val="en-GB"/>
        </w:rPr>
        <w:t xml:space="preserve"> </w:t>
      </w:r>
    </w:p>
    <w:p w14:paraId="4256E186" w14:textId="7678C88A" w:rsidR="00753353" w:rsidRPr="000D65CE" w:rsidRDefault="00753353" w:rsidP="003B280C">
      <w:pPr>
        <w:pStyle w:val="Paragraphs"/>
        <w:rPr>
          <w:lang w:val="en-GB"/>
        </w:rPr>
      </w:pPr>
      <w:r w:rsidRPr="28D940A9">
        <w:rPr>
          <w:lang w:val="en-GB"/>
        </w:rPr>
        <w:t xml:space="preserve">The obligation to maintain the </w:t>
      </w:r>
      <w:r w:rsidR="0096593F" w:rsidRPr="28D940A9">
        <w:rPr>
          <w:lang w:val="en-GB"/>
        </w:rPr>
        <w:t>Open Space</w:t>
      </w:r>
      <w:r w:rsidRPr="28D940A9">
        <w:rPr>
          <w:lang w:val="en-GB"/>
        </w:rPr>
        <w:t xml:space="preserve"> </w:t>
      </w:r>
      <w:r w:rsidR="00AF6C1C" w:rsidRPr="28D940A9">
        <w:rPr>
          <w:lang w:val="en-GB"/>
        </w:rPr>
        <w:t>is the owner’s responsibility</w:t>
      </w:r>
      <w:r w:rsidRPr="28D940A9">
        <w:rPr>
          <w:lang w:val="en-GB"/>
        </w:rPr>
        <w:t xml:space="preserve"> and will be secured through</w:t>
      </w:r>
      <w:r w:rsidR="00431116" w:rsidRPr="28D940A9">
        <w:rPr>
          <w:lang w:val="en-GB"/>
        </w:rPr>
        <w:t xml:space="preserve"> a</w:t>
      </w:r>
      <w:r w:rsidRPr="28D940A9">
        <w:rPr>
          <w:lang w:val="en-GB"/>
        </w:rPr>
        <w:t xml:space="preserve"> legal agreement</w:t>
      </w:r>
      <w:r w:rsidR="00431116" w:rsidRPr="28D940A9">
        <w:rPr>
          <w:lang w:val="en-GB"/>
        </w:rPr>
        <w:t xml:space="preserve"> or CIL ‘in-kind’ agreement</w:t>
      </w:r>
      <w:r w:rsidRPr="28D940A9">
        <w:rPr>
          <w:lang w:val="en-GB"/>
        </w:rPr>
        <w:t xml:space="preserve">. </w:t>
      </w:r>
    </w:p>
    <w:p w14:paraId="1A16A441" w14:textId="289EE5E8" w:rsidR="003678E2" w:rsidRPr="000D65CE" w:rsidRDefault="003678E2" w:rsidP="003B280C">
      <w:pPr>
        <w:pStyle w:val="Paragraphs"/>
        <w:rPr>
          <w:lang w:val="en-GB"/>
        </w:rPr>
      </w:pPr>
      <w:r w:rsidRPr="28D940A9">
        <w:rPr>
          <w:lang w:val="en-GB"/>
        </w:rPr>
        <w:t xml:space="preserve">The Green Grid Strategy identifies opportunities to improve connectivity between </w:t>
      </w:r>
      <w:r w:rsidR="0096593F" w:rsidRPr="28D940A9">
        <w:rPr>
          <w:lang w:val="en-GB"/>
        </w:rPr>
        <w:t>Open Space</w:t>
      </w:r>
      <w:r w:rsidRPr="28D940A9">
        <w:rPr>
          <w:lang w:val="en-GB"/>
        </w:rPr>
        <w:t>s and community facilities to create a grid of walking routes and associated green infrastructure which provides a healthy and attractive environment</w:t>
      </w:r>
      <w:r w:rsidR="00347E13" w:rsidRPr="28D940A9">
        <w:rPr>
          <w:lang w:val="en-GB"/>
        </w:rPr>
        <w:t>.</w:t>
      </w:r>
      <w:r w:rsidRPr="28D940A9">
        <w:rPr>
          <w:lang w:val="en-GB"/>
        </w:rPr>
        <w:t xml:space="preserve"> Strategic elements or projects for the Green Gri</w:t>
      </w:r>
      <w:r w:rsidR="00046E3D" w:rsidRPr="28D940A9">
        <w:rPr>
          <w:lang w:val="en-GB"/>
        </w:rPr>
        <w:t xml:space="preserve">d will be delivered through CIL, including </w:t>
      </w:r>
      <w:r w:rsidRPr="28D940A9">
        <w:rPr>
          <w:lang w:val="en-GB"/>
        </w:rPr>
        <w:t xml:space="preserve">upgrade projects such as the </w:t>
      </w:r>
      <w:r w:rsidR="00310621" w:rsidRPr="28D940A9">
        <w:rPr>
          <w:lang w:val="en-GB"/>
        </w:rPr>
        <w:t>H</w:t>
      </w:r>
      <w:r w:rsidRPr="28D940A9">
        <w:rPr>
          <w:lang w:val="en-GB"/>
        </w:rPr>
        <w:t>ealthy</w:t>
      </w:r>
      <w:r w:rsidR="00310621" w:rsidRPr="28D940A9">
        <w:rPr>
          <w:lang w:val="en-GB"/>
        </w:rPr>
        <w:t xml:space="preserve"> S</w:t>
      </w:r>
      <w:r w:rsidRPr="28D940A9">
        <w:rPr>
          <w:lang w:val="en-GB"/>
        </w:rPr>
        <w:t xml:space="preserve">treets initiative.     </w:t>
      </w:r>
    </w:p>
    <w:p w14:paraId="71A80B88" w14:textId="77777777" w:rsidR="00046E3D" w:rsidRPr="000D65CE" w:rsidRDefault="003678E2" w:rsidP="003B280C">
      <w:pPr>
        <w:pStyle w:val="Paragraphs"/>
        <w:rPr>
          <w:lang w:val="en-GB"/>
        </w:rPr>
      </w:pPr>
      <w:r w:rsidRPr="28D940A9">
        <w:rPr>
          <w:lang w:val="en-GB"/>
        </w:rPr>
        <w:t>Future occupiers and users of developments in the vicinity of the Green Grid will increase the need for the Green Grid and also make use of it over the life of the development. As such, planning obligations will be sought from developments adjacent to the Green Grid to tie-in to the strategic links.</w:t>
      </w:r>
      <w:r w:rsidR="00046E3D" w:rsidRPr="28D940A9">
        <w:rPr>
          <w:lang w:val="en-GB"/>
        </w:rPr>
        <w:t xml:space="preserve"> </w:t>
      </w:r>
      <w:r w:rsidR="005F0716" w:rsidRPr="28D940A9">
        <w:rPr>
          <w:lang w:val="en-GB"/>
        </w:rPr>
        <w:t xml:space="preserve">Developments will be required to deliver improvements on the part of the site adjacent to the Green Grid route. If this is not possible then a financial contribution will be required. </w:t>
      </w:r>
      <w:r w:rsidR="00046E3D" w:rsidRPr="28D940A9">
        <w:rPr>
          <w:lang w:val="en-GB"/>
        </w:rPr>
        <w:t xml:space="preserve"> </w:t>
      </w:r>
    </w:p>
    <w:p w14:paraId="56CF49E7" w14:textId="72E6BFAF" w:rsidR="003678E2" w:rsidRPr="000D65CE" w:rsidRDefault="00046E3D" w:rsidP="003B280C">
      <w:pPr>
        <w:pStyle w:val="Paragraphs"/>
        <w:rPr>
          <w:lang w:val="en-GB"/>
        </w:rPr>
      </w:pPr>
      <w:r w:rsidRPr="28D940A9">
        <w:rPr>
          <w:lang w:val="en-GB"/>
        </w:rPr>
        <w:lastRenderedPageBreak/>
        <w:t>Development</w:t>
      </w:r>
      <w:r w:rsidR="003678E2" w:rsidRPr="28D940A9">
        <w:rPr>
          <w:lang w:val="en-GB"/>
        </w:rPr>
        <w:t xml:space="preserve"> within 200m of the Green Grid (i.e. the Green Grid Buffer Zone</w:t>
      </w:r>
      <w:r w:rsidR="009553A0" w:rsidRPr="28D940A9">
        <w:rPr>
          <w:lang w:val="en-GB"/>
        </w:rPr>
        <w:t xml:space="preserve"> as shown on the Local Plan Policies Map</w:t>
      </w:r>
      <w:r w:rsidR="003678E2" w:rsidRPr="28D940A9">
        <w:rPr>
          <w:lang w:val="en-GB"/>
        </w:rPr>
        <w:t>) may be required to pay a financial contribution towards improving linkages and wayfinding to the strategic Green Grid in the v</w:t>
      </w:r>
      <w:r w:rsidRPr="28D940A9">
        <w:rPr>
          <w:lang w:val="en-GB"/>
        </w:rPr>
        <w:t>icinity of the development. The nature of this contribution, if required,</w:t>
      </w:r>
      <w:r w:rsidR="003678E2" w:rsidRPr="28D940A9">
        <w:rPr>
          <w:lang w:val="en-GB"/>
        </w:rPr>
        <w:t xml:space="preserve"> will be determined on a case-by-case basis taking into consideration the scale of the development, existing connectivity and opportunities for improving wayfinding and lin</w:t>
      </w:r>
      <w:r w:rsidR="005F0716" w:rsidRPr="28D940A9">
        <w:rPr>
          <w:lang w:val="en-GB"/>
        </w:rPr>
        <w:t xml:space="preserve">ks to the strategic network. </w:t>
      </w:r>
      <w:r w:rsidR="003678E2" w:rsidRPr="28D940A9">
        <w:rPr>
          <w:lang w:val="en-GB"/>
        </w:rPr>
        <w:t>In certain instances, contributions from multiple developments may be pooled to deliver a coordinated approach to linking into the strategic Green Grid.    </w:t>
      </w:r>
    </w:p>
    <w:p w14:paraId="37D4333E" w14:textId="5A6ED9BC" w:rsidR="00A20F3F" w:rsidRPr="00AE4569" w:rsidRDefault="00094829" w:rsidP="00C00DA8">
      <w:pPr>
        <w:pStyle w:val="Paragraphs"/>
        <w:rPr>
          <w:lang w:val="en-GB"/>
        </w:rPr>
      </w:pPr>
      <w:r w:rsidRPr="28D940A9">
        <w:rPr>
          <w:lang w:val="en-GB"/>
        </w:rPr>
        <w:t xml:space="preserve">Where relevant, access </w:t>
      </w:r>
      <w:r w:rsidR="00ED68BF" w:rsidRPr="28D940A9">
        <w:rPr>
          <w:lang w:val="en-GB"/>
        </w:rPr>
        <w:t>to</w:t>
      </w:r>
      <w:r w:rsidRPr="28D940A9">
        <w:rPr>
          <w:lang w:val="en-GB"/>
        </w:rPr>
        <w:t xml:space="preserve"> the Thames Path will be secured by</w:t>
      </w:r>
      <w:r w:rsidR="00431116" w:rsidRPr="28D940A9">
        <w:rPr>
          <w:lang w:val="en-GB"/>
        </w:rPr>
        <w:t xml:space="preserve"> planning</w:t>
      </w:r>
      <w:r w:rsidRPr="28D940A9">
        <w:rPr>
          <w:lang w:val="en-GB"/>
        </w:rPr>
        <w:t xml:space="preserve"> obligation to</w:t>
      </w:r>
      <w:r w:rsidR="00ED68BF" w:rsidRPr="28D940A9">
        <w:rPr>
          <w:lang w:val="en-GB"/>
        </w:rPr>
        <w:t xml:space="preserve"> make it accessible </w:t>
      </w:r>
      <w:r w:rsidRPr="28D940A9">
        <w:rPr>
          <w:lang w:val="en-GB"/>
        </w:rPr>
        <w:t xml:space="preserve">for the public </w:t>
      </w:r>
      <w:r w:rsidR="00ED68BF" w:rsidRPr="28D940A9">
        <w:rPr>
          <w:lang w:val="en-GB"/>
        </w:rPr>
        <w:t xml:space="preserve">via </w:t>
      </w:r>
      <w:r w:rsidR="00310621" w:rsidRPr="28D940A9">
        <w:rPr>
          <w:lang w:val="en-GB"/>
        </w:rPr>
        <w:t xml:space="preserve">a </w:t>
      </w:r>
      <w:r w:rsidRPr="28D940A9">
        <w:rPr>
          <w:lang w:val="en-GB"/>
        </w:rPr>
        <w:t xml:space="preserve">legal agreement. Design requirements associated with new links on the Thames Path will be secured by conditions. </w:t>
      </w:r>
    </w:p>
    <w:p w14:paraId="06174F27" w14:textId="77777777" w:rsidR="0097263D" w:rsidRDefault="0097263D" w:rsidP="00A20F3F">
      <w:pPr>
        <w:spacing w:after="120"/>
        <w:rPr>
          <w:b/>
        </w:rPr>
      </w:pPr>
    </w:p>
    <w:p w14:paraId="227CD696" w14:textId="77777777" w:rsidR="0097263D" w:rsidRDefault="0097263D" w:rsidP="00A20F3F">
      <w:pPr>
        <w:spacing w:after="120"/>
        <w:rPr>
          <w:b/>
        </w:rPr>
      </w:pPr>
    </w:p>
    <w:p w14:paraId="1ABFD734" w14:textId="77777777" w:rsidR="0097263D" w:rsidRDefault="0097263D" w:rsidP="00A20F3F">
      <w:pPr>
        <w:spacing w:after="120"/>
        <w:rPr>
          <w:b/>
        </w:rPr>
      </w:pPr>
    </w:p>
    <w:p w14:paraId="0A2DBF35" w14:textId="77777777" w:rsidR="0097263D" w:rsidRDefault="0097263D" w:rsidP="00A20F3F">
      <w:pPr>
        <w:spacing w:after="120"/>
        <w:rPr>
          <w:b/>
        </w:rPr>
      </w:pPr>
    </w:p>
    <w:p w14:paraId="492A68DF" w14:textId="77777777" w:rsidR="0097263D" w:rsidRDefault="0097263D" w:rsidP="00A20F3F">
      <w:pPr>
        <w:spacing w:after="120"/>
        <w:rPr>
          <w:b/>
        </w:rPr>
      </w:pPr>
    </w:p>
    <w:p w14:paraId="2FEBD29B" w14:textId="77777777" w:rsidR="0097263D" w:rsidRDefault="0097263D" w:rsidP="00A20F3F">
      <w:pPr>
        <w:spacing w:after="120"/>
        <w:rPr>
          <w:b/>
        </w:rPr>
      </w:pPr>
    </w:p>
    <w:p w14:paraId="36B45361" w14:textId="77777777" w:rsidR="0097263D" w:rsidRDefault="0097263D" w:rsidP="00A20F3F">
      <w:pPr>
        <w:spacing w:after="120"/>
        <w:rPr>
          <w:b/>
        </w:rPr>
      </w:pPr>
    </w:p>
    <w:p w14:paraId="056040A6" w14:textId="77777777" w:rsidR="0097263D" w:rsidRDefault="0097263D" w:rsidP="00A20F3F">
      <w:pPr>
        <w:spacing w:after="120"/>
        <w:rPr>
          <w:b/>
        </w:rPr>
      </w:pPr>
    </w:p>
    <w:p w14:paraId="159D5880" w14:textId="77777777" w:rsidR="0097263D" w:rsidRDefault="0097263D" w:rsidP="00A20F3F">
      <w:pPr>
        <w:spacing w:after="120"/>
        <w:rPr>
          <w:b/>
        </w:rPr>
      </w:pPr>
    </w:p>
    <w:p w14:paraId="52156AC5" w14:textId="77777777" w:rsidR="006578C2" w:rsidRDefault="006578C2">
      <w:pPr>
        <w:spacing w:after="0" w:line="240" w:lineRule="auto"/>
        <w:rPr>
          <w:rFonts w:cs="Arial"/>
          <w:b/>
          <w:szCs w:val="22"/>
          <w:lang w:val="en-US"/>
        </w:rPr>
      </w:pPr>
      <w:r>
        <w:rPr>
          <w:b/>
        </w:rPr>
        <w:br w:type="page"/>
      </w:r>
    </w:p>
    <w:p w14:paraId="7494D40C" w14:textId="16E108A5" w:rsidR="006578C2" w:rsidRDefault="00A20F3F" w:rsidP="006578C2">
      <w:pPr>
        <w:pStyle w:val="Paragraphs"/>
        <w:numPr>
          <w:ilvl w:val="0"/>
          <w:numId w:val="0"/>
        </w:numPr>
        <w:spacing w:after="120"/>
        <w:rPr>
          <w:b/>
        </w:rPr>
      </w:pPr>
      <w:r w:rsidRPr="003D2BA4">
        <w:rPr>
          <w:b/>
        </w:rPr>
        <w:lastRenderedPageBreak/>
        <w:t xml:space="preserve">Text Box </w:t>
      </w:r>
      <w:r>
        <w:rPr>
          <w:b/>
        </w:rPr>
        <w:t>18</w:t>
      </w:r>
      <w:r w:rsidRPr="003D2BA4">
        <w:rPr>
          <w:b/>
        </w:rPr>
        <w:t xml:space="preserve">: </w:t>
      </w:r>
      <w:r w:rsidR="00355E3D">
        <w:rPr>
          <w:b/>
        </w:rPr>
        <w:t>Public Access</w:t>
      </w:r>
    </w:p>
    <w:p w14:paraId="02DABE70" w14:textId="304F7DAB" w:rsidR="001053F2" w:rsidRPr="000D65CE" w:rsidRDefault="00A24FED" w:rsidP="003B280C">
      <w:pPr>
        <w:pStyle w:val="Paragraphs"/>
        <w:numPr>
          <w:ilvl w:val="0"/>
          <w:numId w:val="0"/>
        </w:numPr>
        <w:rPr>
          <w:lang w:val="en-GB"/>
        </w:rPr>
      </w:pPr>
      <w:r w:rsidRPr="000D65CE">
        <w:rPr>
          <w:noProof/>
          <w:lang w:val="en-GB" w:eastAsia="en-GB"/>
        </w:rPr>
        <mc:AlternateContent>
          <mc:Choice Requires="wps">
            <w:drawing>
              <wp:inline distT="0" distB="0" distL="0" distR="0" wp14:anchorId="6BB5EE5C" wp14:editId="3D8620AE">
                <wp:extent cx="5705475" cy="8455231"/>
                <wp:effectExtent l="0" t="0" r="9525" b="31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8455231"/>
                        </a:xfrm>
                        <a:prstGeom prst="rect">
                          <a:avLst/>
                        </a:prstGeom>
                        <a:solidFill>
                          <a:srgbClr val="4F81BD">
                            <a:lumMod val="20000"/>
                            <a:lumOff val="80000"/>
                          </a:srgbClr>
                        </a:solidFill>
                        <a:ln>
                          <a:noFill/>
                        </a:ln>
                        <a:effectLst/>
                      </wps:spPr>
                      <wps:txbx>
                        <w:txbxContent>
                          <w:p w14:paraId="12C3A876" w14:textId="7A5CF73B" w:rsidR="00EB3B59" w:rsidRPr="002748AE" w:rsidRDefault="00EB3B59" w:rsidP="002E451A">
                            <w:pPr>
                              <w:widowControl w:val="0"/>
                              <w:autoSpaceDE w:val="0"/>
                              <w:autoSpaceDN w:val="0"/>
                              <w:adjustRightInd w:val="0"/>
                              <w:jc w:val="both"/>
                              <w:textAlignment w:val="center"/>
                              <w:rPr>
                                <w:rFonts w:cs="Arial"/>
                                <w:b/>
                                <w:szCs w:val="22"/>
                                <w:lang w:val="en-US"/>
                              </w:rPr>
                            </w:pPr>
                            <w:r w:rsidRPr="002748AE">
                              <w:rPr>
                                <w:rFonts w:cs="Arial"/>
                                <w:b/>
                                <w:szCs w:val="22"/>
                                <w:lang w:val="en-US"/>
                              </w:rPr>
                              <w:t>Threshold and Contribution Requirements</w:t>
                            </w:r>
                          </w:p>
                          <w:p w14:paraId="77226DDD" w14:textId="77777777" w:rsidR="00EB3B59" w:rsidRPr="002748AE" w:rsidRDefault="00EB3B59" w:rsidP="002E451A">
                            <w:pPr>
                              <w:jc w:val="both"/>
                              <w:rPr>
                                <w:rFonts w:cs="Arial"/>
                                <w:szCs w:val="22"/>
                              </w:rPr>
                            </w:pPr>
                            <w:r w:rsidRPr="002748AE">
                              <w:rPr>
                                <w:rFonts w:cs="Arial"/>
                                <w:szCs w:val="22"/>
                              </w:rPr>
                              <w:t xml:space="preserve">Planning obligations relating to </w:t>
                            </w:r>
                            <w:r>
                              <w:rPr>
                                <w:rFonts w:cs="Arial"/>
                                <w:szCs w:val="22"/>
                              </w:rPr>
                              <w:t>p</w:t>
                            </w:r>
                            <w:r w:rsidRPr="002748AE">
                              <w:rPr>
                                <w:rFonts w:cs="Arial"/>
                                <w:szCs w:val="22"/>
                              </w:rPr>
                              <w:t xml:space="preserve">ublic </w:t>
                            </w:r>
                            <w:r>
                              <w:rPr>
                                <w:rFonts w:cs="Arial"/>
                                <w:szCs w:val="22"/>
                              </w:rPr>
                              <w:t>a</w:t>
                            </w:r>
                            <w:r w:rsidRPr="002748AE">
                              <w:rPr>
                                <w:rFonts w:cs="Arial"/>
                                <w:szCs w:val="22"/>
                              </w:rPr>
                              <w:t>ccess will be sought for:</w:t>
                            </w:r>
                          </w:p>
                          <w:p w14:paraId="7EDD9D8F" w14:textId="77777777" w:rsidR="00EB3B59" w:rsidRPr="00CC0E9E" w:rsidRDefault="00EB3B59" w:rsidP="002E451A">
                            <w:pPr>
                              <w:pStyle w:val="ListBullet2"/>
                              <w:jc w:val="both"/>
                              <w:rPr>
                                <w:rFonts w:cs="Arial"/>
                                <w:szCs w:val="22"/>
                              </w:rPr>
                            </w:pPr>
                            <w:r>
                              <w:t>Any development where applicable.</w:t>
                            </w:r>
                          </w:p>
                          <w:p w14:paraId="16F274E8" w14:textId="77777777" w:rsidR="00EB3B59" w:rsidRPr="00CD0472" w:rsidRDefault="00EB3B59" w:rsidP="002E451A">
                            <w:pPr>
                              <w:widowControl w:val="0"/>
                              <w:autoSpaceDE w:val="0"/>
                              <w:autoSpaceDN w:val="0"/>
                              <w:adjustRightInd w:val="0"/>
                              <w:jc w:val="both"/>
                              <w:textAlignment w:val="center"/>
                              <w:rPr>
                                <w:rStyle w:val="Strong"/>
                                <w:sz w:val="22"/>
                              </w:rPr>
                            </w:pPr>
                            <w:r w:rsidRPr="00CD0472">
                              <w:rPr>
                                <w:rStyle w:val="Strong"/>
                                <w:sz w:val="22"/>
                              </w:rPr>
                              <w:t xml:space="preserve">Public access </w:t>
                            </w:r>
                          </w:p>
                          <w:p w14:paraId="6E7BA8CB" w14:textId="77777777" w:rsidR="00EB3B59" w:rsidRDefault="00EB3B59" w:rsidP="002E451A">
                            <w:pPr>
                              <w:pStyle w:val="ListBullet2"/>
                              <w:jc w:val="both"/>
                            </w:pPr>
                            <w:r w:rsidRPr="00753353">
                              <w:t xml:space="preserve">Where </w:t>
                            </w:r>
                            <w:r>
                              <w:t>Open Space</w:t>
                            </w:r>
                            <w:r w:rsidRPr="00753353">
                              <w:t xml:space="preserve"> suitable for public access has been identified and can be provided within a proposed development, an agreement to safeguard the area’s on-going use as publicly accessible </w:t>
                            </w:r>
                            <w:r>
                              <w:t>Open Space</w:t>
                            </w:r>
                            <w:r w:rsidRPr="00753353">
                              <w:t xml:space="preserve"> and future maintenance to an appropriate standard will be required. </w:t>
                            </w:r>
                          </w:p>
                          <w:p w14:paraId="19075CA6" w14:textId="705B018D" w:rsidR="00EB3B59" w:rsidRPr="00E15047" w:rsidRDefault="00EB3B59" w:rsidP="002E451A">
                            <w:pPr>
                              <w:pStyle w:val="ListBullet2"/>
                              <w:jc w:val="both"/>
                            </w:pPr>
                            <w:r w:rsidRPr="00E15047">
                              <w:t>Only in exceptional circumstances will temporary closure to the public be accepted by the Council for maintenance or works purpose. The Council should be notified beforehand</w:t>
                            </w:r>
                            <w:r>
                              <w:t>,</w:t>
                            </w:r>
                            <w:r w:rsidRPr="00E15047">
                              <w:t xml:space="preserve"> and public notification displayed on site. Temporary closure for events will only be accepted if </w:t>
                            </w:r>
                            <w:r>
                              <w:t>it does not concern the entire Open S</w:t>
                            </w:r>
                            <w:r w:rsidRPr="00E15047">
                              <w:t xml:space="preserve">pace. </w:t>
                            </w:r>
                          </w:p>
                          <w:p w14:paraId="4A7A0B2B" w14:textId="77777777" w:rsidR="00EB3B59" w:rsidRPr="00CD0472" w:rsidRDefault="00EB3B59" w:rsidP="002E451A">
                            <w:pPr>
                              <w:widowControl w:val="0"/>
                              <w:autoSpaceDE w:val="0"/>
                              <w:autoSpaceDN w:val="0"/>
                              <w:adjustRightInd w:val="0"/>
                              <w:jc w:val="both"/>
                              <w:textAlignment w:val="center"/>
                              <w:rPr>
                                <w:rStyle w:val="Strong"/>
                                <w:sz w:val="22"/>
                              </w:rPr>
                            </w:pPr>
                            <w:r w:rsidRPr="00CD0472">
                              <w:rPr>
                                <w:rStyle w:val="Strong"/>
                                <w:sz w:val="22"/>
                              </w:rPr>
                              <w:t>Access, size and functions</w:t>
                            </w:r>
                          </w:p>
                          <w:p w14:paraId="470B59AC" w14:textId="5B8594CF" w:rsidR="00EB3B59" w:rsidRDefault="00EB3B59" w:rsidP="002E451A">
                            <w:pPr>
                              <w:pStyle w:val="ListBullet2"/>
                              <w:jc w:val="both"/>
                              <w:rPr>
                                <w:rStyle w:val="Strong"/>
                                <w:b w:val="0"/>
                                <w:bCs w:val="0"/>
                                <w:sz w:val="22"/>
                              </w:rPr>
                            </w:pPr>
                            <w:r w:rsidRPr="00A37BEC">
                              <w:rPr>
                                <w:rStyle w:val="Strong"/>
                                <w:b w:val="0"/>
                                <w:bCs w:val="0"/>
                                <w:sz w:val="22"/>
                              </w:rPr>
                              <w:t xml:space="preserve">The requirements for access, size and function of </w:t>
                            </w:r>
                            <w:r>
                              <w:rPr>
                                <w:rStyle w:val="Strong"/>
                                <w:b w:val="0"/>
                                <w:bCs w:val="0"/>
                                <w:sz w:val="22"/>
                              </w:rPr>
                              <w:t>Open Space</w:t>
                            </w:r>
                            <w:r w:rsidRPr="00A37BEC">
                              <w:rPr>
                                <w:rStyle w:val="Strong"/>
                                <w:b w:val="0"/>
                                <w:bCs w:val="0"/>
                                <w:sz w:val="22"/>
                              </w:rPr>
                              <w:t xml:space="preserve"> should be informed by the Open Space Strategy and will be secure</w:t>
                            </w:r>
                            <w:r>
                              <w:rPr>
                                <w:rStyle w:val="Strong"/>
                                <w:b w:val="0"/>
                                <w:bCs w:val="0"/>
                                <w:sz w:val="22"/>
                              </w:rPr>
                              <w:t>d through the legal agreement. Open S</w:t>
                            </w:r>
                            <w:r w:rsidRPr="00A37BEC">
                              <w:rPr>
                                <w:rStyle w:val="Strong"/>
                                <w:b w:val="0"/>
                                <w:bCs w:val="0"/>
                                <w:sz w:val="22"/>
                              </w:rPr>
                              <w:t xml:space="preserve">paces should also respond to the need for </w:t>
                            </w:r>
                            <w:r w:rsidRPr="00A37BEC">
                              <w:t>amenity space / active play space / space for community involvement.</w:t>
                            </w:r>
                            <w:r w:rsidRPr="00A37BEC">
                              <w:rPr>
                                <w:rStyle w:val="Strong"/>
                                <w:b w:val="0"/>
                                <w:bCs w:val="0"/>
                                <w:sz w:val="22"/>
                              </w:rPr>
                              <w:t xml:space="preserve"> </w:t>
                            </w:r>
                          </w:p>
                          <w:p w14:paraId="197BE84A" w14:textId="77777777" w:rsidR="00EB3B59" w:rsidRPr="00CD0472" w:rsidRDefault="00EB3B59" w:rsidP="002E451A">
                            <w:pPr>
                              <w:widowControl w:val="0"/>
                              <w:autoSpaceDE w:val="0"/>
                              <w:autoSpaceDN w:val="0"/>
                              <w:adjustRightInd w:val="0"/>
                              <w:jc w:val="both"/>
                              <w:textAlignment w:val="center"/>
                              <w:rPr>
                                <w:rStyle w:val="Strong"/>
                                <w:sz w:val="22"/>
                              </w:rPr>
                            </w:pPr>
                            <w:r w:rsidRPr="00CD0472">
                              <w:rPr>
                                <w:rStyle w:val="Strong"/>
                                <w:sz w:val="22"/>
                              </w:rPr>
                              <w:t>Management and maintenance</w:t>
                            </w:r>
                          </w:p>
                          <w:p w14:paraId="418B1954" w14:textId="2EAAA523" w:rsidR="00EB3B59" w:rsidRDefault="00EB3B59" w:rsidP="002E451A">
                            <w:pPr>
                              <w:pStyle w:val="ListBullet2"/>
                              <w:jc w:val="both"/>
                            </w:pPr>
                            <w:r w:rsidRPr="00843B02">
                              <w:t xml:space="preserve">The </w:t>
                            </w:r>
                            <w:r>
                              <w:t>requirement</w:t>
                            </w:r>
                            <w:r w:rsidRPr="00843B02">
                              <w:t xml:space="preserve"> to maintain the </w:t>
                            </w:r>
                            <w:r>
                              <w:t>Open Space</w:t>
                            </w:r>
                            <w:r w:rsidRPr="00843B02">
                              <w:t xml:space="preserve"> will </w:t>
                            </w:r>
                            <w:r>
                              <w:t xml:space="preserve">be </w:t>
                            </w:r>
                            <w:r w:rsidRPr="00843B02">
                              <w:t>the responsibility</w:t>
                            </w:r>
                            <w:r>
                              <w:t xml:space="preserve"> of the owner</w:t>
                            </w:r>
                            <w:r w:rsidRPr="00843B02">
                              <w:t xml:space="preserve"> and will be secured through </w:t>
                            </w:r>
                            <w:r>
                              <w:t>the legal</w:t>
                            </w:r>
                            <w:r w:rsidRPr="00843B02">
                              <w:t xml:space="preserve"> agreement. </w:t>
                            </w:r>
                            <w:r>
                              <w:t>This will require</w:t>
                            </w:r>
                            <w:r w:rsidRPr="00843B02">
                              <w:t xml:space="preserve"> the contact details of the manager to be publicly advertised on site (</w:t>
                            </w:r>
                            <w:r>
                              <w:t xml:space="preserve">including </w:t>
                            </w:r>
                            <w:r w:rsidRPr="00843B02">
                              <w:t>name</w:t>
                            </w:r>
                            <w:r>
                              <w:t>,</w:t>
                            </w:r>
                            <w:r w:rsidRPr="00843B02">
                              <w:t xml:space="preserve"> address</w:t>
                            </w:r>
                            <w:r>
                              <w:t xml:space="preserve"> and contact number</w:t>
                            </w:r>
                            <w:r w:rsidRPr="00843B02">
                              <w:t xml:space="preserve"> of manager</w:t>
                            </w:r>
                            <w:r>
                              <w:t>).</w:t>
                            </w:r>
                          </w:p>
                          <w:p w14:paraId="10577912" w14:textId="77777777" w:rsidR="00EB3B59" w:rsidRDefault="00EB3B59" w:rsidP="002E451A">
                            <w:pPr>
                              <w:pStyle w:val="ListBullet2"/>
                              <w:contextualSpacing w:val="0"/>
                              <w:jc w:val="both"/>
                            </w:pPr>
                            <w:r>
                              <w:t>Where appropriate, t</w:t>
                            </w:r>
                            <w:r w:rsidRPr="00843B02">
                              <w:t>he Council will support ‘community management arrangements’</w:t>
                            </w:r>
                            <w:r>
                              <w:t xml:space="preserve"> which are agreements between the Council and community led organisations to undertake tasks within or related to parks and Open Spaces</w:t>
                            </w:r>
                            <w:r w:rsidRPr="00843B02">
                              <w:t>.</w:t>
                            </w:r>
                          </w:p>
                          <w:p w14:paraId="06CC5AF2" w14:textId="77777777" w:rsidR="00EB3B59" w:rsidRDefault="00EB3B59" w:rsidP="002E451A">
                            <w:pPr>
                              <w:pStyle w:val="ListBullet2"/>
                              <w:numPr>
                                <w:ilvl w:val="0"/>
                                <w:numId w:val="0"/>
                              </w:numPr>
                              <w:spacing w:after="240"/>
                              <w:contextualSpacing w:val="0"/>
                              <w:jc w:val="both"/>
                              <w:rPr>
                                <w:rStyle w:val="Strong"/>
                                <w:sz w:val="22"/>
                              </w:rPr>
                            </w:pPr>
                            <w:r w:rsidRPr="00DE46B1">
                              <w:rPr>
                                <w:rStyle w:val="Strong"/>
                                <w:sz w:val="22"/>
                              </w:rPr>
                              <w:t>Community Events</w:t>
                            </w:r>
                          </w:p>
                          <w:p w14:paraId="68C99A41" w14:textId="77777777" w:rsidR="00EB3B59" w:rsidRDefault="00EB3B59" w:rsidP="002E451A">
                            <w:pPr>
                              <w:pStyle w:val="ListBullet2"/>
                              <w:jc w:val="both"/>
                              <w:rPr>
                                <w:rStyle w:val="Strong"/>
                                <w:b w:val="0"/>
                                <w:sz w:val="22"/>
                              </w:rPr>
                            </w:pPr>
                            <w:r>
                              <w:rPr>
                                <w:rStyle w:val="Strong"/>
                                <w:b w:val="0"/>
                                <w:sz w:val="22"/>
                              </w:rPr>
                              <w:t>Public Open S</w:t>
                            </w:r>
                            <w:r w:rsidRPr="004E3FAA">
                              <w:rPr>
                                <w:rStyle w:val="Strong"/>
                                <w:b w:val="0"/>
                                <w:sz w:val="22"/>
                              </w:rPr>
                              <w:t>paces delivered through CIL-in-kind will be required to be made available</w:t>
                            </w:r>
                            <w:r>
                              <w:rPr>
                                <w:rStyle w:val="Strong"/>
                                <w:b w:val="0"/>
                                <w:sz w:val="22"/>
                              </w:rPr>
                              <w:t xml:space="preserve"> free of charge</w:t>
                            </w:r>
                            <w:r w:rsidRPr="004E3FAA">
                              <w:rPr>
                                <w:rStyle w:val="Strong"/>
                                <w:b w:val="0"/>
                                <w:sz w:val="22"/>
                              </w:rPr>
                              <w:t xml:space="preserve"> for community events</w:t>
                            </w:r>
                            <w:r>
                              <w:rPr>
                                <w:rStyle w:val="Strong"/>
                                <w:b w:val="0"/>
                                <w:sz w:val="22"/>
                              </w:rPr>
                              <w:t xml:space="preserve"> which are</w:t>
                            </w:r>
                            <w:r w:rsidRPr="004E3FAA">
                              <w:rPr>
                                <w:rStyle w:val="Strong"/>
                                <w:b w:val="0"/>
                                <w:sz w:val="22"/>
                              </w:rPr>
                              <w:t xml:space="preserve"> open to local residents</w:t>
                            </w:r>
                            <w:r>
                              <w:rPr>
                                <w:rStyle w:val="Strong"/>
                                <w:b w:val="0"/>
                                <w:sz w:val="22"/>
                              </w:rPr>
                              <w:t xml:space="preserve">. The Open Space should be made available a minimum of twice a year for these events. A limit on the number of days that events can be held will be specified in the 106 agreement.  </w:t>
                            </w:r>
                          </w:p>
                          <w:p w14:paraId="192F8D20" w14:textId="77777777" w:rsidR="00EB3B59" w:rsidRPr="00B52512" w:rsidRDefault="00EB3B59" w:rsidP="002E451A">
                            <w:pPr>
                              <w:pStyle w:val="ListBullet2"/>
                              <w:jc w:val="both"/>
                              <w:rPr>
                                <w:rStyle w:val="Strong"/>
                                <w:b w:val="0"/>
                                <w:sz w:val="22"/>
                              </w:rPr>
                            </w:pPr>
                            <w:r>
                              <w:rPr>
                                <w:rStyle w:val="Strong"/>
                                <w:b w:val="0"/>
                                <w:sz w:val="22"/>
                              </w:rPr>
                              <w:t xml:space="preserve">The community events may be run by the Council or a community organisation and funding for such events is available from the Council. Any activities that the developer or managing agent may wish to hold on the site will not contribute to meeting this obligation.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B5EE5C" id="Text Box 27" o:spid="_x0000_s1045" type="#_x0000_t202" style="width:449.25pt;height:6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" fillcolor="#dce6f2" stroked="f">
                <v:textbox>
                  <w:txbxContent>
                    <w:p w14:paraId="12C3A876" w14:textId="7A5CF73B" w:rsidR="00EB3B59" w:rsidRPr="002748AE" w:rsidRDefault="00EB3B59" w:rsidP="002E451A">
                      <w:pPr>
                        <w:widowControl w:val="0"/>
                        <w:autoSpaceDE w:val="0"/>
                        <w:autoSpaceDN w:val="0"/>
                        <w:adjustRightInd w:val="0"/>
                        <w:jc w:val="both"/>
                        <w:textAlignment w:val="center"/>
                        <w:rPr>
                          <w:rFonts w:cs="Arial"/>
                          <w:b/>
                          <w:szCs w:val="22"/>
                          <w:lang w:val="en-US"/>
                        </w:rPr>
                      </w:pPr>
                      <w:r w:rsidRPr="002748AE">
                        <w:rPr>
                          <w:rFonts w:cs="Arial"/>
                          <w:b/>
                          <w:szCs w:val="22"/>
                          <w:lang w:val="en-US"/>
                        </w:rPr>
                        <w:t>Threshold and Contribution Requirements</w:t>
                      </w:r>
                    </w:p>
                    <w:p w14:paraId="77226DDD" w14:textId="77777777" w:rsidR="00EB3B59" w:rsidRPr="002748AE" w:rsidRDefault="00EB3B59" w:rsidP="002E451A">
                      <w:pPr>
                        <w:jc w:val="both"/>
                        <w:rPr>
                          <w:rFonts w:cs="Arial"/>
                          <w:szCs w:val="22"/>
                        </w:rPr>
                      </w:pPr>
                      <w:r w:rsidRPr="002748AE">
                        <w:rPr>
                          <w:rFonts w:cs="Arial"/>
                          <w:szCs w:val="22"/>
                        </w:rPr>
                        <w:t xml:space="preserve">Planning obligations relating to </w:t>
                      </w:r>
                      <w:r>
                        <w:rPr>
                          <w:rFonts w:cs="Arial"/>
                          <w:szCs w:val="22"/>
                        </w:rPr>
                        <w:t>p</w:t>
                      </w:r>
                      <w:r w:rsidRPr="002748AE">
                        <w:rPr>
                          <w:rFonts w:cs="Arial"/>
                          <w:szCs w:val="22"/>
                        </w:rPr>
                        <w:t xml:space="preserve">ublic </w:t>
                      </w:r>
                      <w:r>
                        <w:rPr>
                          <w:rFonts w:cs="Arial"/>
                          <w:szCs w:val="22"/>
                        </w:rPr>
                        <w:t>a</w:t>
                      </w:r>
                      <w:r w:rsidRPr="002748AE">
                        <w:rPr>
                          <w:rFonts w:cs="Arial"/>
                          <w:szCs w:val="22"/>
                        </w:rPr>
                        <w:t>ccess will be sought for:</w:t>
                      </w:r>
                    </w:p>
                    <w:p w14:paraId="7EDD9D8F" w14:textId="77777777" w:rsidR="00EB3B59" w:rsidRPr="00CC0E9E" w:rsidRDefault="00EB3B59" w:rsidP="002E451A">
                      <w:pPr>
                        <w:pStyle w:val="ListBullet2"/>
                        <w:jc w:val="both"/>
                        <w:rPr>
                          <w:rFonts w:cs="Arial"/>
                          <w:szCs w:val="22"/>
                        </w:rPr>
                      </w:pPr>
                      <w:r>
                        <w:t>Any development where applicable.</w:t>
                      </w:r>
                    </w:p>
                    <w:p w14:paraId="16F274E8" w14:textId="77777777" w:rsidR="00EB3B59" w:rsidRPr="00CD0472" w:rsidRDefault="00EB3B59" w:rsidP="002E451A">
                      <w:pPr>
                        <w:widowControl w:val="0"/>
                        <w:autoSpaceDE w:val="0"/>
                        <w:autoSpaceDN w:val="0"/>
                        <w:adjustRightInd w:val="0"/>
                        <w:jc w:val="both"/>
                        <w:textAlignment w:val="center"/>
                        <w:rPr>
                          <w:rStyle w:val="Strong"/>
                          <w:sz w:val="22"/>
                        </w:rPr>
                      </w:pPr>
                      <w:r w:rsidRPr="00CD0472">
                        <w:rPr>
                          <w:rStyle w:val="Strong"/>
                          <w:sz w:val="22"/>
                        </w:rPr>
                        <w:t xml:space="preserve">Public access </w:t>
                      </w:r>
                    </w:p>
                    <w:p w14:paraId="6E7BA8CB" w14:textId="77777777" w:rsidR="00EB3B59" w:rsidRDefault="00EB3B59" w:rsidP="002E451A">
                      <w:pPr>
                        <w:pStyle w:val="ListBullet2"/>
                        <w:jc w:val="both"/>
                      </w:pPr>
                      <w:r w:rsidRPr="00753353">
                        <w:t xml:space="preserve">Where </w:t>
                      </w:r>
                      <w:r>
                        <w:t>Open Space</w:t>
                      </w:r>
                      <w:r w:rsidRPr="00753353">
                        <w:t xml:space="preserve"> suitable for public access has been identified and can be provided within a proposed development, an agreement to safeguard the area’s on-going use as publicly accessible </w:t>
                      </w:r>
                      <w:r>
                        <w:t>Open Space</w:t>
                      </w:r>
                      <w:r w:rsidRPr="00753353">
                        <w:t xml:space="preserve"> and future maintenance to an appropriate standard will be required. </w:t>
                      </w:r>
                    </w:p>
                    <w:p w14:paraId="19075CA6" w14:textId="705B018D" w:rsidR="00EB3B59" w:rsidRPr="00E15047" w:rsidRDefault="00EB3B59" w:rsidP="002E451A">
                      <w:pPr>
                        <w:pStyle w:val="ListBullet2"/>
                        <w:jc w:val="both"/>
                      </w:pPr>
                      <w:r w:rsidRPr="00E15047">
                        <w:t>Only in exceptional circumstances will temporary closure to the public be accepted by the Council for maintenance or works purpose. The Council should be notified beforehand</w:t>
                      </w:r>
                      <w:r>
                        <w:t>,</w:t>
                      </w:r>
                      <w:r w:rsidRPr="00E15047">
                        <w:t xml:space="preserve"> and public notification displayed on site. Temporary closure for events will only be accepted if </w:t>
                      </w:r>
                      <w:r>
                        <w:t>it does not concern the entire Open S</w:t>
                      </w:r>
                      <w:r w:rsidRPr="00E15047">
                        <w:t xml:space="preserve">pace. </w:t>
                      </w:r>
                    </w:p>
                    <w:p w14:paraId="4A7A0B2B" w14:textId="77777777" w:rsidR="00EB3B59" w:rsidRPr="00CD0472" w:rsidRDefault="00EB3B59" w:rsidP="002E451A">
                      <w:pPr>
                        <w:widowControl w:val="0"/>
                        <w:autoSpaceDE w:val="0"/>
                        <w:autoSpaceDN w:val="0"/>
                        <w:adjustRightInd w:val="0"/>
                        <w:jc w:val="both"/>
                        <w:textAlignment w:val="center"/>
                        <w:rPr>
                          <w:rStyle w:val="Strong"/>
                          <w:sz w:val="22"/>
                        </w:rPr>
                      </w:pPr>
                      <w:r w:rsidRPr="00CD0472">
                        <w:rPr>
                          <w:rStyle w:val="Strong"/>
                          <w:sz w:val="22"/>
                        </w:rPr>
                        <w:t>Access, size and functions</w:t>
                      </w:r>
                    </w:p>
                    <w:p w14:paraId="470B59AC" w14:textId="5B8594CF" w:rsidR="00EB3B59" w:rsidRDefault="00EB3B59" w:rsidP="002E451A">
                      <w:pPr>
                        <w:pStyle w:val="ListBullet2"/>
                        <w:jc w:val="both"/>
                        <w:rPr>
                          <w:rStyle w:val="Strong"/>
                          <w:b w:val="0"/>
                          <w:bCs w:val="0"/>
                          <w:sz w:val="22"/>
                        </w:rPr>
                      </w:pPr>
                      <w:r w:rsidRPr="00A37BEC">
                        <w:rPr>
                          <w:rStyle w:val="Strong"/>
                          <w:b w:val="0"/>
                          <w:bCs w:val="0"/>
                          <w:sz w:val="22"/>
                        </w:rPr>
                        <w:t xml:space="preserve">The requirements for access, size and function of </w:t>
                      </w:r>
                      <w:r>
                        <w:rPr>
                          <w:rStyle w:val="Strong"/>
                          <w:b w:val="0"/>
                          <w:bCs w:val="0"/>
                          <w:sz w:val="22"/>
                        </w:rPr>
                        <w:t>Open Space</w:t>
                      </w:r>
                      <w:r w:rsidRPr="00A37BEC">
                        <w:rPr>
                          <w:rStyle w:val="Strong"/>
                          <w:b w:val="0"/>
                          <w:bCs w:val="0"/>
                          <w:sz w:val="22"/>
                        </w:rPr>
                        <w:t xml:space="preserve"> should be informed by the Open Space Strategy and will be secure</w:t>
                      </w:r>
                      <w:r>
                        <w:rPr>
                          <w:rStyle w:val="Strong"/>
                          <w:b w:val="0"/>
                          <w:bCs w:val="0"/>
                          <w:sz w:val="22"/>
                        </w:rPr>
                        <w:t>d through the legal agreement. Open S</w:t>
                      </w:r>
                      <w:r w:rsidRPr="00A37BEC">
                        <w:rPr>
                          <w:rStyle w:val="Strong"/>
                          <w:b w:val="0"/>
                          <w:bCs w:val="0"/>
                          <w:sz w:val="22"/>
                        </w:rPr>
                        <w:t xml:space="preserve">paces should also respond to the need for </w:t>
                      </w:r>
                      <w:r w:rsidRPr="00A37BEC">
                        <w:t>amenity space / active play space / space for community involvement.</w:t>
                      </w:r>
                      <w:r w:rsidRPr="00A37BEC">
                        <w:rPr>
                          <w:rStyle w:val="Strong"/>
                          <w:b w:val="0"/>
                          <w:bCs w:val="0"/>
                          <w:sz w:val="22"/>
                        </w:rPr>
                        <w:t xml:space="preserve"> </w:t>
                      </w:r>
                    </w:p>
                    <w:p w14:paraId="197BE84A" w14:textId="77777777" w:rsidR="00EB3B59" w:rsidRPr="00CD0472" w:rsidRDefault="00EB3B59" w:rsidP="002E451A">
                      <w:pPr>
                        <w:widowControl w:val="0"/>
                        <w:autoSpaceDE w:val="0"/>
                        <w:autoSpaceDN w:val="0"/>
                        <w:adjustRightInd w:val="0"/>
                        <w:jc w:val="both"/>
                        <w:textAlignment w:val="center"/>
                        <w:rPr>
                          <w:rStyle w:val="Strong"/>
                          <w:sz w:val="22"/>
                        </w:rPr>
                      </w:pPr>
                      <w:r w:rsidRPr="00CD0472">
                        <w:rPr>
                          <w:rStyle w:val="Strong"/>
                          <w:sz w:val="22"/>
                        </w:rPr>
                        <w:t>Management and maintenance</w:t>
                      </w:r>
                    </w:p>
                    <w:p w14:paraId="418B1954" w14:textId="2EAAA523" w:rsidR="00EB3B59" w:rsidRDefault="00EB3B59" w:rsidP="002E451A">
                      <w:pPr>
                        <w:pStyle w:val="ListBullet2"/>
                        <w:jc w:val="both"/>
                      </w:pPr>
                      <w:r w:rsidRPr="00843B02">
                        <w:t xml:space="preserve">The </w:t>
                      </w:r>
                      <w:r>
                        <w:t>requirement</w:t>
                      </w:r>
                      <w:r w:rsidRPr="00843B02">
                        <w:t xml:space="preserve"> to maintain the </w:t>
                      </w:r>
                      <w:r>
                        <w:t>Open Space</w:t>
                      </w:r>
                      <w:r w:rsidRPr="00843B02">
                        <w:t xml:space="preserve"> will </w:t>
                      </w:r>
                      <w:r>
                        <w:t xml:space="preserve">be </w:t>
                      </w:r>
                      <w:r w:rsidRPr="00843B02">
                        <w:t>the responsibility</w:t>
                      </w:r>
                      <w:r>
                        <w:t xml:space="preserve"> of the owner</w:t>
                      </w:r>
                      <w:r w:rsidRPr="00843B02">
                        <w:t xml:space="preserve"> and will be secured through </w:t>
                      </w:r>
                      <w:r>
                        <w:t>the legal</w:t>
                      </w:r>
                      <w:r w:rsidRPr="00843B02">
                        <w:t xml:space="preserve"> agreement. </w:t>
                      </w:r>
                      <w:r>
                        <w:t>This will require</w:t>
                      </w:r>
                      <w:r w:rsidRPr="00843B02">
                        <w:t xml:space="preserve"> the contact details of the manager to be publicly advertised on site (</w:t>
                      </w:r>
                      <w:r>
                        <w:t xml:space="preserve">including </w:t>
                      </w:r>
                      <w:r w:rsidRPr="00843B02">
                        <w:t>name</w:t>
                      </w:r>
                      <w:r>
                        <w:t>,</w:t>
                      </w:r>
                      <w:r w:rsidRPr="00843B02">
                        <w:t xml:space="preserve"> address</w:t>
                      </w:r>
                      <w:r>
                        <w:t xml:space="preserve"> and contact number</w:t>
                      </w:r>
                      <w:r w:rsidRPr="00843B02">
                        <w:t xml:space="preserve"> of manager</w:t>
                      </w:r>
                      <w:r>
                        <w:t>).</w:t>
                      </w:r>
                    </w:p>
                    <w:p w14:paraId="10577912" w14:textId="77777777" w:rsidR="00EB3B59" w:rsidRDefault="00EB3B59" w:rsidP="002E451A">
                      <w:pPr>
                        <w:pStyle w:val="ListBullet2"/>
                        <w:contextualSpacing w:val="0"/>
                        <w:jc w:val="both"/>
                      </w:pPr>
                      <w:r>
                        <w:t>Where appropriate, t</w:t>
                      </w:r>
                      <w:r w:rsidRPr="00843B02">
                        <w:t>he Council will support ‘community management arrangements’</w:t>
                      </w:r>
                      <w:r>
                        <w:t xml:space="preserve"> which are agreements between the Council and community led organisations to undertake tasks within or related to parks and Open Spaces</w:t>
                      </w:r>
                      <w:r w:rsidRPr="00843B02">
                        <w:t>.</w:t>
                      </w:r>
                    </w:p>
                    <w:p w14:paraId="06CC5AF2" w14:textId="77777777" w:rsidR="00EB3B59" w:rsidRDefault="00EB3B59" w:rsidP="002E451A">
                      <w:pPr>
                        <w:pStyle w:val="ListBullet2"/>
                        <w:numPr>
                          <w:ilvl w:val="0"/>
                          <w:numId w:val="0"/>
                        </w:numPr>
                        <w:spacing w:after="240"/>
                        <w:contextualSpacing w:val="0"/>
                        <w:jc w:val="both"/>
                        <w:rPr>
                          <w:rStyle w:val="Strong"/>
                          <w:sz w:val="22"/>
                        </w:rPr>
                      </w:pPr>
                      <w:r w:rsidRPr="00DE46B1">
                        <w:rPr>
                          <w:rStyle w:val="Strong"/>
                          <w:sz w:val="22"/>
                        </w:rPr>
                        <w:t>Community Events</w:t>
                      </w:r>
                    </w:p>
                    <w:p w14:paraId="68C99A41" w14:textId="77777777" w:rsidR="00EB3B59" w:rsidRDefault="00EB3B59" w:rsidP="002E451A">
                      <w:pPr>
                        <w:pStyle w:val="ListBullet2"/>
                        <w:jc w:val="both"/>
                        <w:rPr>
                          <w:rStyle w:val="Strong"/>
                          <w:b w:val="0"/>
                          <w:sz w:val="22"/>
                        </w:rPr>
                      </w:pPr>
                      <w:r>
                        <w:rPr>
                          <w:rStyle w:val="Strong"/>
                          <w:b w:val="0"/>
                          <w:sz w:val="22"/>
                        </w:rPr>
                        <w:t>Public Open S</w:t>
                      </w:r>
                      <w:r w:rsidRPr="004E3FAA">
                        <w:rPr>
                          <w:rStyle w:val="Strong"/>
                          <w:b w:val="0"/>
                          <w:sz w:val="22"/>
                        </w:rPr>
                        <w:t>paces delivered through CIL-in-kind will be required to be made available</w:t>
                      </w:r>
                      <w:r>
                        <w:rPr>
                          <w:rStyle w:val="Strong"/>
                          <w:b w:val="0"/>
                          <w:sz w:val="22"/>
                        </w:rPr>
                        <w:t xml:space="preserve"> free of charge</w:t>
                      </w:r>
                      <w:r w:rsidRPr="004E3FAA">
                        <w:rPr>
                          <w:rStyle w:val="Strong"/>
                          <w:b w:val="0"/>
                          <w:sz w:val="22"/>
                        </w:rPr>
                        <w:t xml:space="preserve"> for community events</w:t>
                      </w:r>
                      <w:r>
                        <w:rPr>
                          <w:rStyle w:val="Strong"/>
                          <w:b w:val="0"/>
                          <w:sz w:val="22"/>
                        </w:rPr>
                        <w:t xml:space="preserve"> which are</w:t>
                      </w:r>
                      <w:r w:rsidRPr="004E3FAA">
                        <w:rPr>
                          <w:rStyle w:val="Strong"/>
                          <w:b w:val="0"/>
                          <w:sz w:val="22"/>
                        </w:rPr>
                        <w:t xml:space="preserve"> open to local residents</w:t>
                      </w:r>
                      <w:r>
                        <w:rPr>
                          <w:rStyle w:val="Strong"/>
                          <w:b w:val="0"/>
                          <w:sz w:val="22"/>
                        </w:rPr>
                        <w:t xml:space="preserve">. The Open Space should be made available a minimum of twice a year for these events. A limit on the number of days that events can be held will be specified in the 106 agreement.  </w:t>
                      </w:r>
                    </w:p>
                    <w:p w14:paraId="192F8D20" w14:textId="77777777" w:rsidR="00EB3B59" w:rsidRPr="00B52512" w:rsidRDefault="00EB3B59" w:rsidP="002E451A">
                      <w:pPr>
                        <w:pStyle w:val="ListBullet2"/>
                        <w:jc w:val="both"/>
                        <w:rPr>
                          <w:rStyle w:val="Strong"/>
                          <w:b w:val="0"/>
                          <w:sz w:val="22"/>
                        </w:rPr>
                      </w:pPr>
                      <w:r>
                        <w:rPr>
                          <w:rStyle w:val="Strong"/>
                          <w:b w:val="0"/>
                          <w:sz w:val="22"/>
                        </w:rPr>
                        <w:t xml:space="preserve">The community events may be run by the Council or a community organisation and funding for such events is available from the Council. Any activities that the developer or managing agent may wish to hold on the site will not contribute to meeting this obligation. </w:t>
                      </w:r>
                    </w:p>
                  </w:txbxContent>
                </v:textbox>
                <w10:anchorlock/>
              </v:shape>
            </w:pict>
          </mc:Fallback>
        </mc:AlternateContent>
      </w:r>
    </w:p>
    <w:p w14:paraId="1EDD7FBA" w14:textId="77777777" w:rsidR="006578C2" w:rsidRDefault="00E2508F" w:rsidP="006578C2">
      <w:pPr>
        <w:spacing w:after="120"/>
        <w:jc w:val="both"/>
        <w:rPr>
          <w:b/>
        </w:rPr>
      </w:pPr>
      <w:r w:rsidRPr="000D65CE">
        <w:rPr>
          <w:rFonts w:cs="Arial"/>
          <w:szCs w:val="22"/>
        </w:rPr>
        <w:lastRenderedPageBreak/>
        <w:t xml:space="preserve"> </w:t>
      </w:r>
      <w:r w:rsidR="00DC6720" w:rsidRPr="003D2BA4">
        <w:rPr>
          <w:b/>
        </w:rPr>
        <w:t xml:space="preserve">Text Box </w:t>
      </w:r>
      <w:r w:rsidR="00DC6720">
        <w:rPr>
          <w:b/>
        </w:rPr>
        <w:t>19</w:t>
      </w:r>
      <w:r w:rsidR="00DC6720" w:rsidRPr="003D2BA4">
        <w:rPr>
          <w:b/>
        </w:rPr>
        <w:t xml:space="preserve">: </w:t>
      </w:r>
      <w:r w:rsidR="00DC6720">
        <w:rPr>
          <w:b/>
        </w:rPr>
        <w:t>Green Grid</w:t>
      </w:r>
    </w:p>
    <w:p w14:paraId="46CE3A8C" w14:textId="1AADF6B0" w:rsidR="00AF6C1C" w:rsidRDefault="00CD0472" w:rsidP="003B280C">
      <w:pPr>
        <w:jc w:val="both"/>
        <w:rPr>
          <w:rFonts w:cs="Arial"/>
          <w:szCs w:val="22"/>
        </w:rPr>
      </w:pPr>
      <w:r w:rsidRPr="000D65CE">
        <w:rPr>
          <w:noProof/>
          <w:lang w:eastAsia="en-GB"/>
        </w:rPr>
        <mc:AlternateContent>
          <mc:Choice Requires="wps">
            <w:drawing>
              <wp:inline distT="0" distB="0" distL="0" distR="0" wp14:anchorId="5DA0845B" wp14:editId="72028C65">
                <wp:extent cx="5705475" cy="4572000"/>
                <wp:effectExtent l="0" t="0" r="9525" b="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4572000"/>
                        </a:xfrm>
                        <a:prstGeom prst="rect">
                          <a:avLst/>
                        </a:prstGeom>
                        <a:solidFill>
                          <a:srgbClr val="4F81BD">
                            <a:lumMod val="20000"/>
                            <a:lumOff val="80000"/>
                          </a:srgbClr>
                        </a:solidFill>
                        <a:ln>
                          <a:noFill/>
                        </a:ln>
                        <a:effectLst/>
                      </wps:spPr>
                      <wps:txbx>
                        <w:txbxContent>
                          <w:p w14:paraId="21A86199" w14:textId="638E04AF" w:rsidR="00EB3B59" w:rsidRPr="002F5876" w:rsidRDefault="00EB3B59" w:rsidP="002E451A">
                            <w:pPr>
                              <w:widowControl w:val="0"/>
                              <w:autoSpaceDE w:val="0"/>
                              <w:autoSpaceDN w:val="0"/>
                              <w:adjustRightInd w:val="0"/>
                              <w:jc w:val="both"/>
                              <w:textAlignment w:val="center"/>
                              <w:rPr>
                                <w:rFonts w:cs="Arial"/>
                                <w:b/>
                                <w:szCs w:val="22"/>
                                <w:lang w:val="en-US"/>
                              </w:rPr>
                            </w:pPr>
                            <w:r w:rsidRPr="003678E2">
                              <w:rPr>
                                <w:rFonts w:cs="Arial"/>
                                <w:b/>
                                <w:szCs w:val="22"/>
                                <w:lang w:val="en-US"/>
                              </w:rPr>
                              <w:t>Threshold and Contribution Requirements</w:t>
                            </w:r>
                          </w:p>
                          <w:p w14:paraId="53B4E4CD" w14:textId="77777777" w:rsidR="00EB3B59" w:rsidRDefault="00EB3B59" w:rsidP="002E451A">
                            <w:pPr>
                              <w:jc w:val="both"/>
                              <w:rPr>
                                <w:rFonts w:cs="Arial"/>
                                <w:szCs w:val="22"/>
                              </w:rPr>
                            </w:pPr>
                            <w:r>
                              <w:rPr>
                                <w:rFonts w:cs="Arial"/>
                                <w:szCs w:val="22"/>
                              </w:rPr>
                              <w:t>Planning obligations relating to the Green Grid will be sought for:</w:t>
                            </w:r>
                          </w:p>
                          <w:p w14:paraId="5DBA6B7B" w14:textId="77777777" w:rsidR="00EB3B59" w:rsidRDefault="00EB3B59" w:rsidP="002E451A">
                            <w:pPr>
                              <w:pStyle w:val="ListBullet2"/>
                              <w:spacing w:line="240" w:lineRule="auto"/>
                              <w:jc w:val="both"/>
                            </w:pPr>
                            <w:r>
                              <w:t>Development adjacent to or within 200 metres of the Green Grid.</w:t>
                            </w:r>
                          </w:p>
                          <w:p w14:paraId="53BA33CF" w14:textId="77777777" w:rsidR="00EB3B59" w:rsidRDefault="00EB3B59" w:rsidP="002E451A">
                            <w:pPr>
                              <w:jc w:val="both"/>
                              <w:rPr>
                                <w:rFonts w:cs="Arial"/>
                                <w:b/>
                                <w:szCs w:val="22"/>
                              </w:rPr>
                            </w:pPr>
                            <w:r>
                              <w:rPr>
                                <w:rFonts w:cs="Arial"/>
                                <w:b/>
                                <w:szCs w:val="22"/>
                              </w:rPr>
                              <w:t>Green Grid</w:t>
                            </w:r>
                          </w:p>
                          <w:p w14:paraId="29627C25" w14:textId="77777777" w:rsidR="00EB3B59" w:rsidRDefault="00EB3B59" w:rsidP="002E451A">
                            <w:pPr>
                              <w:jc w:val="both"/>
                              <w:rPr>
                                <w:rStyle w:val="Strong"/>
                                <w:b w:val="0"/>
                                <w:sz w:val="22"/>
                              </w:rPr>
                            </w:pPr>
                            <w:r w:rsidRPr="00CD0472">
                              <w:rPr>
                                <w:rStyle w:val="Strong"/>
                                <w:b w:val="0"/>
                                <w:sz w:val="22"/>
                              </w:rPr>
                              <w:t>Development</w:t>
                            </w:r>
                            <w:r>
                              <w:rPr>
                                <w:rStyle w:val="Strong"/>
                                <w:b w:val="0"/>
                                <w:sz w:val="22"/>
                              </w:rPr>
                              <w:t xml:space="preserve"> adjacent to the Green Grid should contribute to the expansion and enhancement of Green Grid links on-site in accordance with the Green Grid Strategy.</w:t>
                            </w:r>
                          </w:p>
                          <w:p w14:paraId="42415927" w14:textId="77777777" w:rsidR="00EB3B59" w:rsidRPr="00F1199A" w:rsidRDefault="00EB3B59" w:rsidP="002E451A">
                            <w:pPr>
                              <w:jc w:val="both"/>
                              <w:rPr>
                                <w:sz w:val="20"/>
                              </w:rPr>
                            </w:pPr>
                            <w:r w:rsidRPr="00CD0472">
                              <w:rPr>
                                <w:rStyle w:val="Strong"/>
                                <w:b w:val="0"/>
                                <w:sz w:val="22"/>
                              </w:rPr>
                              <w:t>Signage and wayfinding should be incorporated between key destinations to increase ease of use</w:t>
                            </w:r>
                            <w:r>
                              <w:rPr>
                                <w:rStyle w:val="Strong"/>
                                <w:b w:val="0"/>
                                <w:sz w:val="22"/>
                              </w:rPr>
                              <w:t>.</w:t>
                            </w:r>
                          </w:p>
                          <w:p w14:paraId="60061278" w14:textId="77777777" w:rsidR="00EB3B59" w:rsidRDefault="00EB3B59" w:rsidP="002E451A">
                            <w:pPr>
                              <w:widowControl w:val="0"/>
                              <w:autoSpaceDE w:val="0"/>
                              <w:autoSpaceDN w:val="0"/>
                              <w:adjustRightInd w:val="0"/>
                              <w:jc w:val="both"/>
                              <w:textAlignment w:val="center"/>
                              <w:rPr>
                                <w:rFonts w:cs="Arial"/>
                                <w:b/>
                                <w:szCs w:val="22"/>
                                <w:lang w:val="en-US"/>
                              </w:rPr>
                            </w:pPr>
                            <w:r>
                              <w:rPr>
                                <w:rFonts w:cs="Arial"/>
                                <w:b/>
                                <w:szCs w:val="22"/>
                                <w:lang w:val="en-US"/>
                              </w:rPr>
                              <w:t>Green Grid Financial Contribution</w:t>
                            </w:r>
                          </w:p>
                          <w:p w14:paraId="63FF759C" w14:textId="77777777" w:rsidR="00EB3B59" w:rsidRDefault="00EB3B59" w:rsidP="002E451A">
                            <w:pPr>
                              <w:widowControl w:val="0"/>
                              <w:autoSpaceDE w:val="0"/>
                              <w:autoSpaceDN w:val="0"/>
                              <w:adjustRightInd w:val="0"/>
                              <w:jc w:val="both"/>
                              <w:textAlignment w:val="center"/>
                              <w:rPr>
                                <w:rFonts w:cs="Arial"/>
                                <w:szCs w:val="22"/>
                                <w:lang w:val="en-US"/>
                              </w:rPr>
                            </w:pPr>
                            <w:r>
                              <w:rPr>
                                <w:rFonts w:cs="Arial"/>
                                <w:szCs w:val="22"/>
                                <w:lang w:val="en-US"/>
                              </w:rPr>
                              <w:t xml:space="preserve">Where development adjacent to the Green Grid is unable to contribute to the expansion and enhancement on-site then a financial contribution will be required. This will be determined on a case-by-case basis depending on the specifics of the site and the development. </w:t>
                            </w:r>
                          </w:p>
                          <w:p w14:paraId="5A4FD0B7" w14:textId="77777777" w:rsidR="00EB3B59" w:rsidRPr="00B52512" w:rsidRDefault="00EB3B59" w:rsidP="002E451A">
                            <w:pPr>
                              <w:widowControl w:val="0"/>
                              <w:autoSpaceDE w:val="0"/>
                              <w:autoSpaceDN w:val="0"/>
                              <w:adjustRightInd w:val="0"/>
                              <w:jc w:val="both"/>
                              <w:textAlignment w:val="center"/>
                              <w:rPr>
                                <w:rFonts w:cs="Arial"/>
                                <w:szCs w:val="22"/>
                                <w:lang w:val="en-US"/>
                              </w:rPr>
                            </w:pPr>
                            <w:r>
                              <w:rPr>
                                <w:rFonts w:cs="Arial"/>
                                <w:szCs w:val="22"/>
                                <w:lang w:val="en-US"/>
                              </w:rPr>
                              <w:t xml:space="preserve">Developments that are within 200m of the Green Grid (i.e. within the Green Grid Buffer Zone as shown on the Local Plan Policies Map) may be required to pay a financial contribution. This contribution will go towards improving linkages and wayfinding to the Green Grid in the vicinity of the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A0845B" id="Text Box 12" o:spid="_x0000_s1046" type="#_x0000_t202" style="width:449.2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" fillcolor="#dce6f2" stroked="f">
                <v:textbox>
                  <w:txbxContent>
                    <w:p w14:paraId="21A86199" w14:textId="638E04AF" w:rsidR="00EB3B59" w:rsidRPr="002F5876" w:rsidRDefault="00EB3B59" w:rsidP="002E451A">
                      <w:pPr>
                        <w:widowControl w:val="0"/>
                        <w:autoSpaceDE w:val="0"/>
                        <w:autoSpaceDN w:val="0"/>
                        <w:adjustRightInd w:val="0"/>
                        <w:jc w:val="both"/>
                        <w:textAlignment w:val="center"/>
                        <w:rPr>
                          <w:rFonts w:cs="Arial"/>
                          <w:b/>
                          <w:szCs w:val="22"/>
                          <w:lang w:val="en-US"/>
                        </w:rPr>
                      </w:pPr>
                      <w:r w:rsidRPr="003678E2">
                        <w:rPr>
                          <w:rFonts w:cs="Arial"/>
                          <w:b/>
                          <w:szCs w:val="22"/>
                          <w:lang w:val="en-US"/>
                        </w:rPr>
                        <w:t>Threshold and Contribution Requirements</w:t>
                      </w:r>
                    </w:p>
                    <w:p w14:paraId="53B4E4CD" w14:textId="77777777" w:rsidR="00EB3B59" w:rsidRDefault="00EB3B59" w:rsidP="002E451A">
                      <w:pPr>
                        <w:jc w:val="both"/>
                        <w:rPr>
                          <w:rFonts w:cs="Arial"/>
                          <w:szCs w:val="22"/>
                        </w:rPr>
                      </w:pPr>
                      <w:r>
                        <w:rPr>
                          <w:rFonts w:cs="Arial"/>
                          <w:szCs w:val="22"/>
                        </w:rPr>
                        <w:t>Planning obligations relating to the Green Grid will be sought for:</w:t>
                      </w:r>
                    </w:p>
                    <w:p w14:paraId="5DBA6B7B" w14:textId="77777777" w:rsidR="00EB3B59" w:rsidRDefault="00EB3B59" w:rsidP="002E451A">
                      <w:pPr>
                        <w:pStyle w:val="ListBullet2"/>
                        <w:spacing w:line="240" w:lineRule="auto"/>
                        <w:jc w:val="both"/>
                      </w:pPr>
                      <w:r>
                        <w:t>Development adjacent to or within 200 metres of the Green Grid.</w:t>
                      </w:r>
                    </w:p>
                    <w:p w14:paraId="53BA33CF" w14:textId="77777777" w:rsidR="00EB3B59" w:rsidRDefault="00EB3B59" w:rsidP="002E451A">
                      <w:pPr>
                        <w:jc w:val="both"/>
                        <w:rPr>
                          <w:rFonts w:cs="Arial"/>
                          <w:b/>
                          <w:szCs w:val="22"/>
                        </w:rPr>
                      </w:pPr>
                      <w:r>
                        <w:rPr>
                          <w:rFonts w:cs="Arial"/>
                          <w:b/>
                          <w:szCs w:val="22"/>
                        </w:rPr>
                        <w:t>Green Grid</w:t>
                      </w:r>
                    </w:p>
                    <w:p w14:paraId="29627C25" w14:textId="77777777" w:rsidR="00EB3B59" w:rsidRDefault="00EB3B59" w:rsidP="002E451A">
                      <w:pPr>
                        <w:jc w:val="both"/>
                        <w:rPr>
                          <w:rStyle w:val="Strong"/>
                          <w:b w:val="0"/>
                          <w:sz w:val="22"/>
                        </w:rPr>
                      </w:pPr>
                      <w:r w:rsidRPr="00CD0472">
                        <w:rPr>
                          <w:rStyle w:val="Strong"/>
                          <w:b w:val="0"/>
                          <w:sz w:val="22"/>
                        </w:rPr>
                        <w:t>Development</w:t>
                      </w:r>
                      <w:r>
                        <w:rPr>
                          <w:rStyle w:val="Strong"/>
                          <w:b w:val="0"/>
                          <w:sz w:val="22"/>
                        </w:rPr>
                        <w:t xml:space="preserve"> adjacent to the Green Grid should contribute to the expansion and enhancement of Green Grid links on-site in accordance with the Green Grid Strategy.</w:t>
                      </w:r>
                    </w:p>
                    <w:p w14:paraId="42415927" w14:textId="77777777" w:rsidR="00EB3B59" w:rsidRPr="00F1199A" w:rsidRDefault="00EB3B59" w:rsidP="002E451A">
                      <w:pPr>
                        <w:jc w:val="both"/>
                        <w:rPr>
                          <w:sz w:val="20"/>
                        </w:rPr>
                      </w:pPr>
                      <w:r w:rsidRPr="00CD0472">
                        <w:rPr>
                          <w:rStyle w:val="Strong"/>
                          <w:b w:val="0"/>
                          <w:sz w:val="22"/>
                        </w:rPr>
                        <w:t>Signage and wayfinding should be incorporated between key destinations to increase ease of use</w:t>
                      </w:r>
                      <w:r>
                        <w:rPr>
                          <w:rStyle w:val="Strong"/>
                          <w:b w:val="0"/>
                          <w:sz w:val="22"/>
                        </w:rPr>
                        <w:t>.</w:t>
                      </w:r>
                    </w:p>
                    <w:p w14:paraId="60061278" w14:textId="77777777" w:rsidR="00EB3B59" w:rsidRDefault="00EB3B59" w:rsidP="002E451A">
                      <w:pPr>
                        <w:widowControl w:val="0"/>
                        <w:autoSpaceDE w:val="0"/>
                        <w:autoSpaceDN w:val="0"/>
                        <w:adjustRightInd w:val="0"/>
                        <w:jc w:val="both"/>
                        <w:textAlignment w:val="center"/>
                        <w:rPr>
                          <w:rFonts w:cs="Arial"/>
                          <w:b/>
                          <w:szCs w:val="22"/>
                          <w:lang w:val="en-US"/>
                        </w:rPr>
                      </w:pPr>
                      <w:r>
                        <w:rPr>
                          <w:rFonts w:cs="Arial"/>
                          <w:b/>
                          <w:szCs w:val="22"/>
                          <w:lang w:val="en-US"/>
                        </w:rPr>
                        <w:t>Green Grid Financial Contribution</w:t>
                      </w:r>
                    </w:p>
                    <w:p w14:paraId="63FF759C" w14:textId="77777777" w:rsidR="00EB3B59" w:rsidRDefault="00EB3B59" w:rsidP="002E451A">
                      <w:pPr>
                        <w:widowControl w:val="0"/>
                        <w:autoSpaceDE w:val="0"/>
                        <w:autoSpaceDN w:val="0"/>
                        <w:adjustRightInd w:val="0"/>
                        <w:jc w:val="both"/>
                        <w:textAlignment w:val="center"/>
                        <w:rPr>
                          <w:rFonts w:cs="Arial"/>
                          <w:szCs w:val="22"/>
                          <w:lang w:val="en-US"/>
                        </w:rPr>
                      </w:pPr>
                      <w:r>
                        <w:rPr>
                          <w:rFonts w:cs="Arial"/>
                          <w:szCs w:val="22"/>
                          <w:lang w:val="en-US"/>
                        </w:rPr>
                        <w:t xml:space="preserve">Where development adjacent to the Green Grid is unable to contribute to the expansion and enhancement on-site then a financial contribution will be required. This will be determined on a case-by-case basis depending on the specifics of the site and the development. </w:t>
                      </w:r>
                    </w:p>
                    <w:p w14:paraId="5A4FD0B7" w14:textId="77777777" w:rsidR="00EB3B59" w:rsidRPr="00B52512" w:rsidRDefault="00EB3B59" w:rsidP="002E451A">
                      <w:pPr>
                        <w:widowControl w:val="0"/>
                        <w:autoSpaceDE w:val="0"/>
                        <w:autoSpaceDN w:val="0"/>
                        <w:adjustRightInd w:val="0"/>
                        <w:jc w:val="both"/>
                        <w:textAlignment w:val="center"/>
                        <w:rPr>
                          <w:rFonts w:cs="Arial"/>
                          <w:szCs w:val="22"/>
                          <w:lang w:val="en-US"/>
                        </w:rPr>
                      </w:pPr>
                      <w:r>
                        <w:rPr>
                          <w:rFonts w:cs="Arial"/>
                          <w:szCs w:val="22"/>
                          <w:lang w:val="en-US"/>
                        </w:rPr>
                        <w:t xml:space="preserve">Developments that are within 200m of the Green Grid (i.e. within the Green Grid Buffer Zone as shown on the Local Plan Policies Map) may be required to pay a financial contribution. This contribution will go towards improving linkages and wayfinding to the Green Grid in the vicinity of the development.  </w:t>
                      </w:r>
                    </w:p>
                  </w:txbxContent>
                </v:textbox>
                <w10:anchorlock/>
              </v:shape>
            </w:pict>
          </mc:Fallback>
        </mc:AlternateContent>
      </w:r>
    </w:p>
    <w:p w14:paraId="5B671A99" w14:textId="77777777" w:rsidR="006578C2" w:rsidRDefault="006578C2" w:rsidP="00DC6720">
      <w:pPr>
        <w:spacing w:after="120"/>
        <w:jc w:val="both"/>
        <w:rPr>
          <w:rFonts w:cs="Arial"/>
          <w:szCs w:val="22"/>
        </w:rPr>
      </w:pPr>
    </w:p>
    <w:p w14:paraId="1160FFB5" w14:textId="2D2ABB7B" w:rsidR="00DC6720" w:rsidRPr="000D65CE" w:rsidRDefault="00DC6720" w:rsidP="00DC6720">
      <w:pPr>
        <w:spacing w:after="120"/>
        <w:jc w:val="both"/>
        <w:rPr>
          <w:rFonts w:cs="Arial"/>
          <w:szCs w:val="22"/>
        </w:rPr>
      </w:pPr>
      <w:r w:rsidRPr="003D2BA4">
        <w:rPr>
          <w:b/>
        </w:rPr>
        <w:t xml:space="preserve">Text Box </w:t>
      </w:r>
      <w:r>
        <w:rPr>
          <w:b/>
        </w:rPr>
        <w:t>20</w:t>
      </w:r>
      <w:r w:rsidRPr="003D2BA4">
        <w:rPr>
          <w:b/>
        </w:rPr>
        <w:t xml:space="preserve">: </w:t>
      </w:r>
      <w:r>
        <w:rPr>
          <w:b/>
        </w:rPr>
        <w:t>Water Spaces</w:t>
      </w:r>
    </w:p>
    <w:p w14:paraId="513E904E" w14:textId="77777777" w:rsidR="00CD0472" w:rsidRPr="000D65CE" w:rsidRDefault="00CD0472" w:rsidP="003B280C">
      <w:pPr>
        <w:jc w:val="both"/>
        <w:rPr>
          <w:rFonts w:cs="Arial"/>
          <w:szCs w:val="22"/>
        </w:rPr>
      </w:pPr>
      <w:r w:rsidRPr="000D65CE">
        <w:rPr>
          <w:noProof/>
          <w:lang w:eastAsia="en-GB"/>
        </w:rPr>
        <mc:AlternateContent>
          <mc:Choice Requires="wps">
            <w:drawing>
              <wp:inline distT="0" distB="0" distL="0" distR="0" wp14:anchorId="66D0E9C3" wp14:editId="28710513">
                <wp:extent cx="5705475" cy="2743200"/>
                <wp:effectExtent l="0" t="0" r="9525"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2743200"/>
                        </a:xfrm>
                        <a:prstGeom prst="rect">
                          <a:avLst/>
                        </a:prstGeom>
                        <a:solidFill>
                          <a:srgbClr val="4F81BD">
                            <a:lumMod val="20000"/>
                            <a:lumOff val="80000"/>
                          </a:srgbClr>
                        </a:solidFill>
                        <a:ln>
                          <a:noFill/>
                        </a:ln>
                        <a:effectLst/>
                      </wps:spPr>
                      <wps:txbx>
                        <w:txbxContent>
                          <w:p w14:paraId="79728CC9" w14:textId="77777777" w:rsidR="00EB3B59" w:rsidRPr="000B45B9" w:rsidRDefault="00EB3B59" w:rsidP="00CD0472">
                            <w:pPr>
                              <w:jc w:val="both"/>
                              <w:rPr>
                                <w:rFonts w:cs="Arial"/>
                                <w:b/>
                                <w:szCs w:val="22"/>
                              </w:rPr>
                            </w:pPr>
                            <w:r>
                              <w:rPr>
                                <w:rFonts w:cs="Arial"/>
                                <w:b/>
                                <w:szCs w:val="22"/>
                              </w:rPr>
                              <w:t>Water Spaces</w:t>
                            </w:r>
                            <w:r>
                              <w:rPr>
                                <w:rFonts w:cs="Arial"/>
                                <w:b/>
                                <w:szCs w:val="22"/>
                                <w:lang w:val="en-US"/>
                              </w:rPr>
                              <w:t xml:space="preserve"> – </w:t>
                            </w:r>
                            <w:r w:rsidRPr="002F5876">
                              <w:rPr>
                                <w:rFonts w:cs="Arial"/>
                                <w:b/>
                                <w:szCs w:val="22"/>
                                <w:lang w:val="en-US"/>
                              </w:rPr>
                              <w:t>Threshold and Contribution Requirements</w:t>
                            </w:r>
                          </w:p>
                          <w:p w14:paraId="3A8FE68B" w14:textId="77777777" w:rsidR="00EB3B59" w:rsidRPr="002F5876" w:rsidRDefault="00EB3B59" w:rsidP="00CD0472">
                            <w:pPr>
                              <w:jc w:val="both"/>
                              <w:rPr>
                                <w:rFonts w:cs="Arial"/>
                                <w:szCs w:val="22"/>
                              </w:rPr>
                            </w:pPr>
                            <w:r w:rsidRPr="002F5876">
                              <w:rPr>
                                <w:rFonts w:cs="Arial"/>
                                <w:szCs w:val="22"/>
                              </w:rPr>
                              <w:t>Planning obligations relating to public access</w:t>
                            </w:r>
                            <w:r>
                              <w:rPr>
                                <w:rFonts w:cs="Arial"/>
                                <w:szCs w:val="22"/>
                              </w:rPr>
                              <w:t xml:space="preserve"> adjacent to the borough’s Water Spaces</w:t>
                            </w:r>
                            <w:r w:rsidRPr="002F5876">
                              <w:rPr>
                                <w:rFonts w:cs="Arial"/>
                                <w:szCs w:val="22"/>
                              </w:rPr>
                              <w:t xml:space="preserve"> will be sought for:</w:t>
                            </w:r>
                          </w:p>
                          <w:p w14:paraId="3D8C2F26" w14:textId="77777777" w:rsidR="00EB3B59" w:rsidRPr="00AF6C1C" w:rsidRDefault="00EB3B59" w:rsidP="00CD0472">
                            <w:pPr>
                              <w:pStyle w:val="ListParagraph"/>
                              <w:numPr>
                                <w:ilvl w:val="0"/>
                                <w:numId w:val="25"/>
                              </w:numPr>
                              <w:jc w:val="both"/>
                              <w:rPr>
                                <w:rFonts w:cs="Arial"/>
                                <w:szCs w:val="22"/>
                              </w:rPr>
                            </w:pPr>
                            <w:r>
                              <w:rPr>
                                <w:rFonts w:cs="Arial"/>
                                <w:szCs w:val="22"/>
                              </w:rPr>
                              <w:t>A</w:t>
                            </w:r>
                            <w:r w:rsidRPr="00AF6C1C">
                              <w:rPr>
                                <w:rFonts w:cs="Arial"/>
                                <w:szCs w:val="22"/>
                              </w:rPr>
                              <w:t>ny new development where applicable</w:t>
                            </w:r>
                            <w:r>
                              <w:rPr>
                                <w:rFonts w:cs="Arial"/>
                                <w:szCs w:val="22"/>
                              </w:rPr>
                              <w:t>.</w:t>
                            </w:r>
                          </w:p>
                          <w:p w14:paraId="45F997AD" w14:textId="77777777" w:rsidR="00EB3B59" w:rsidRPr="002F5876" w:rsidRDefault="00EB3B59" w:rsidP="00CD0472">
                            <w:pPr>
                              <w:jc w:val="both"/>
                              <w:rPr>
                                <w:rFonts w:cs="Arial"/>
                                <w:b/>
                                <w:szCs w:val="22"/>
                              </w:rPr>
                            </w:pPr>
                            <w:r w:rsidRPr="002F5876">
                              <w:rPr>
                                <w:rFonts w:cs="Arial"/>
                                <w:b/>
                                <w:szCs w:val="22"/>
                              </w:rPr>
                              <w:t xml:space="preserve">Public Access </w:t>
                            </w:r>
                            <w:r>
                              <w:rPr>
                                <w:rFonts w:cs="Arial"/>
                                <w:b/>
                                <w:szCs w:val="22"/>
                              </w:rPr>
                              <w:t>to Water Spaces</w:t>
                            </w:r>
                          </w:p>
                          <w:p w14:paraId="133C9DA5" w14:textId="5A5686AA" w:rsidR="00EB3B59" w:rsidRPr="002F5876" w:rsidRDefault="00EB3B59" w:rsidP="00CD0472">
                            <w:pPr>
                              <w:jc w:val="both"/>
                              <w:rPr>
                                <w:rFonts w:cs="Arial"/>
                                <w:szCs w:val="22"/>
                              </w:rPr>
                            </w:pPr>
                            <w:r w:rsidRPr="002F5876">
                              <w:rPr>
                                <w:rFonts w:cs="Arial"/>
                                <w:szCs w:val="22"/>
                              </w:rPr>
                              <w:t>Where</w:t>
                            </w:r>
                            <w:r>
                              <w:rPr>
                                <w:rFonts w:cs="Arial"/>
                                <w:szCs w:val="22"/>
                              </w:rPr>
                              <w:t xml:space="preserve"> development is adjacent to the borough’s Water Spaces and has suitable links for public access, an </w:t>
                            </w:r>
                            <w:r w:rsidRPr="002F5876">
                              <w:rPr>
                                <w:rFonts w:cs="Arial"/>
                                <w:szCs w:val="22"/>
                              </w:rPr>
                              <w:t>agreement to safeguard the</w:t>
                            </w:r>
                            <w:r>
                              <w:rPr>
                                <w:rFonts w:cs="Arial"/>
                                <w:szCs w:val="22"/>
                              </w:rPr>
                              <w:t xml:space="preserve"> access route as publicly</w:t>
                            </w:r>
                            <w:r w:rsidRPr="002F5876">
                              <w:rPr>
                                <w:rFonts w:cs="Arial"/>
                                <w:szCs w:val="22"/>
                              </w:rPr>
                              <w:t xml:space="preserve"> accessible</w:t>
                            </w:r>
                            <w:r>
                              <w:rPr>
                                <w:rFonts w:cs="Arial"/>
                                <w:szCs w:val="22"/>
                              </w:rPr>
                              <w:t xml:space="preserve"> will be required. The legal agreement will also require ongoing maintenance to an appropriate standard. This includes development that will contribute to continuous access along the River Thames (Thames Path) and the River Lea.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D0E9C3" id="Text Box 10" o:spid="_x0000_s1047" type="#_x0000_t202" style="width:449.2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" fillcolor="#dce6f2" stroked="f">
                <v:textbox>
                  <w:txbxContent>
                    <w:p w14:paraId="79728CC9" w14:textId="77777777" w:rsidR="00EB3B59" w:rsidRPr="000B45B9" w:rsidRDefault="00EB3B59" w:rsidP="00CD0472">
                      <w:pPr>
                        <w:jc w:val="both"/>
                        <w:rPr>
                          <w:rFonts w:cs="Arial"/>
                          <w:b/>
                          <w:szCs w:val="22"/>
                        </w:rPr>
                      </w:pPr>
                      <w:r>
                        <w:rPr>
                          <w:rFonts w:cs="Arial"/>
                          <w:b/>
                          <w:szCs w:val="22"/>
                        </w:rPr>
                        <w:t>Water Spaces</w:t>
                      </w:r>
                      <w:r>
                        <w:rPr>
                          <w:rFonts w:cs="Arial"/>
                          <w:b/>
                          <w:szCs w:val="22"/>
                          <w:lang w:val="en-US"/>
                        </w:rPr>
                        <w:t xml:space="preserve"> – </w:t>
                      </w:r>
                      <w:r w:rsidRPr="002F5876">
                        <w:rPr>
                          <w:rFonts w:cs="Arial"/>
                          <w:b/>
                          <w:szCs w:val="22"/>
                          <w:lang w:val="en-US"/>
                        </w:rPr>
                        <w:t>Threshold and Contribution Requirements</w:t>
                      </w:r>
                    </w:p>
                    <w:p w14:paraId="3A8FE68B" w14:textId="77777777" w:rsidR="00EB3B59" w:rsidRPr="002F5876" w:rsidRDefault="00EB3B59" w:rsidP="00CD0472">
                      <w:pPr>
                        <w:jc w:val="both"/>
                        <w:rPr>
                          <w:rFonts w:cs="Arial"/>
                          <w:szCs w:val="22"/>
                        </w:rPr>
                      </w:pPr>
                      <w:r w:rsidRPr="002F5876">
                        <w:rPr>
                          <w:rFonts w:cs="Arial"/>
                          <w:szCs w:val="22"/>
                        </w:rPr>
                        <w:t>Planning obligations relating to public access</w:t>
                      </w:r>
                      <w:r>
                        <w:rPr>
                          <w:rFonts w:cs="Arial"/>
                          <w:szCs w:val="22"/>
                        </w:rPr>
                        <w:t xml:space="preserve"> adjacent to the borough’s Water Spaces</w:t>
                      </w:r>
                      <w:r w:rsidRPr="002F5876">
                        <w:rPr>
                          <w:rFonts w:cs="Arial"/>
                          <w:szCs w:val="22"/>
                        </w:rPr>
                        <w:t xml:space="preserve"> will be sought for:</w:t>
                      </w:r>
                    </w:p>
                    <w:p w14:paraId="3D8C2F26" w14:textId="77777777" w:rsidR="00EB3B59" w:rsidRPr="00AF6C1C" w:rsidRDefault="00EB3B59" w:rsidP="00CD0472">
                      <w:pPr>
                        <w:pStyle w:val="ListParagraph"/>
                        <w:numPr>
                          <w:ilvl w:val="0"/>
                          <w:numId w:val="25"/>
                        </w:numPr>
                        <w:jc w:val="both"/>
                        <w:rPr>
                          <w:rFonts w:cs="Arial"/>
                          <w:szCs w:val="22"/>
                        </w:rPr>
                      </w:pPr>
                      <w:r>
                        <w:rPr>
                          <w:rFonts w:cs="Arial"/>
                          <w:szCs w:val="22"/>
                        </w:rPr>
                        <w:t>A</w:t>
                      </w:r>
                      <w:r w:rsidRPr="00AF6C1C">
                        <w:rPr>
                          <w:rFonts w:cs="Arial"/>
                          <w:szCs w:val="22"/>
                        </w:rPr>
                        <w:t>ny new development where applicable</w:t>
                      </w:r>
                      <w:r>
                        <w:rPr>
                          <w:rFonts w:cs="Arial"/>
                          <w:szCs w:val="22"/>
                        </w:rPr>
                        <w:t>.</w:t>
                      </w:r>
                    </w:p>
                    <w:p w14:paraId="45F997AD" w14:textId="77777777" w:rsidR="00EB3B59" w:rsidRPr="002F5876" w:rsidRDefault="00EB3B59" w:rsidP="00CD0472">
                      <w:pPr>
                        <w:jc w:val="both"/>
                        <w:rPr>
                          <w:rFonts w:cs="Arial"/>
                          <w:b/>
                          <w:szCs w:val="22"/>
                        </w:rPr>
                      </w:pPr>
                      <w:r w:rsidRPr="002F5876">
                        <w:rPr>
                          <w:rFonts w:cs="Arial"/>
                          <w:b/>
                          <w:szCs w:val="22"/>
                        </w:rPr>
                        <w:t xml:space="preserve">Public Access </w:t>
                      </w:r>
                      <w:r>
                        <w:rPr>
                          <w:rFonts w:cs="Arial"/>
                          <w:b/>
                          <w:szCs w:val="22"/>
                        </w:rPr>
                        <w:t>to Water Spaces</w:t>
                      </w:r>
                    </w:p>
                    <w:p w14:paraId="133C9DA5" w14:textId="5A5686AA" w:rsidR="00EB3B59" w:rsidRPr="002F5876" w:rsidRDefault="00EB3B59" w:rsidP="00CD0472">
                      <w:pPr>
                        <w:jc w:val="both"/>
                        <w:rPr>
                          <w:rFonts w:cs="Arial"/>
                          <w:szCs w:val="22"/>
                        </w:rPr>
                      </w:pPr>
                      <w:r w:rsidRPr="002F5876">
                        <w:rPr>
                          <w:rFonts w:cs="Arial"/>
                          <w:szCs w:val="22"/>
                        </w:rPr>
                        <w:t>Where</w:t>
                      </w:r>
                      <w:r>
                        <w:rPr>
                          <w:rFonts w:cs="Arial"/>
                          <w:szCs w:val="22"/>
                        </w:rPr>
                        <w:t xml:space="preserve"> development is adjacent to the borough’s Water Spaces and has suitable links for public access, an </w:t>
                      </w:r>
                      <w:r w:rsidRPr="002F5876">
                        <w:rPr>
                          <w:rFonts w:cs="Arial"/>
                          <w:szCs w:val="22"/>
                        </w:rPr>
                        <w:t>agreement to safeguard the</w:t>
                      </w:r>
                      <w:r>
                        <w:rPr>
                          <w:rFonts w:cs="Arial"/>
                          <w:szCs w:val="22"/>
                        </w:rPr>
                        <w:t xml:space="preserve"> access route as publicly</w:t>
                      </w:r>
                      <w:r w:rsidRPr="002F5876">
                        <w:rPr>
                          <w:rFonts w:cs="Arial"/>
                          <w:szCs w:val="22"/>
                        </w:rPr>
                        <w:t xml:space="preserve"> accessible</w:t>
                      </w:r>
                      <w:r>
                        <w:rPr>
                          <w:rFonts w:cs="Arial"/>
                          <w:szCs w:val="22"/>
                        </w:rPr>
                        <w:t xml:space="preserve"> will be required. The legal agreement will also require ongoing maintenance to an appropriate standard. This includes development that will contribute to continuous access along the River Thames (Thames Path) and the River Lea.</w:t>
                      </w:r>
                    </w:p>
                  </w:txbxContent>
                </v:textbox>
                <w10:anchorlock/>
              </v:shape>
            </w:pict>
          </mc:Fallback>
        </mc:AlternateContent>
      </w:r>
    </w:p>
    <w:p w14:paraId="6832DA19" w14:textId="77777777" w:rsidR="00185784" w:rsidRPr="000D65CE" w:rsidRDefault="00185784" w:rsidP="003B280C">
      <w:pPr>
        <w:jc w:val="both"/>
      </w:pPr>
    </w:p>
    <w:p w14:paraId="01E5E227" w14:textId="3B779F4A" w:rsidR="007C62A3" w:rsidRPr="000D65CE" w:rsidRDefault="00946703" w:rsidP="00721B10">
      <w:pPr>
        <w:pStyle w:val="Heading2"/>
      </w:pPr>
      <w:bookmarkStart w:id="18" w:name="_Toc69374678"/>
      <w:r w:rsidRPr="000D65CE">
        <w:lastRenderedPageBreak/>
        <w:t>Children’s Play S</w:t>
      </w:r>
      <w:r w:rsidR="00B65B75" w:rsidRPr="000D65CE">
        <w:t>pace</w:t>
      </w:r>
      <w:bookmarkEnd w:id="18"/>
      <w:r w:rsidR="00C0492D" w:rsidRPr="000D65CE">
        <w:t xml:space="preserve"> </w:t>
      </w:r>
      <w:r w:rsidR="00B25529" w:rsidRPr="000D65CE">
        <w:t xml:space="preserve"> </w:t>
      </w:r>
    </w:p>
    <w:tbl>
      <w:tblPr>
        <w:tblStyle w:val="TableGrid"/>
        <w:tblW w:w="0" w:type="auto"/>
        <w:tblInd w:w="82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6F341F" w:rsidRPr="000D65CE" w14:paraId="351FC812" w14:textId="77777777" w:rsidTr="00921BA6">
        <w:tc>
          <w:tcPr>
            <w:tcW w:w="3119" w:type="dxa"/>
            <w:tcBorders>
              <w:bottom w:val="single" w:sz="8" w:space="0" w:color="006BB6"/>
            </w:tcBorders>
            <w:shd w:val="clear" w:color="auto" w:fill="F2F2F2" w:themeFill="background1" w:themeFillShade="F2"/>
          </w:tcPr>
          <w:p w14:paraId="6B21A950" w14:textId="77777777" w:rsidR="006F341F" w:rsidRPr="000D65CE" w:rsidRDefault="006F341F"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05695648" w14:textId="77777777" w:rsidR="006F341F" w:rsidRPr="000D65CE" w:rsidRDefault="006F341F" w:rsidP="003B280C">
            <w:pPr>
              <w:autoSpaceDE w:val="0"/>
              <w:autoSpaceDN w:val="0"/>
              <w:adjustRightInd w:val="0"/>
              <w:spacing w:before="180" w:after="180"/>
              <w:jc w:val="both"/>
              <w:rPr>
                <w:rFonts w:cs="Arial"/>
                <w:szCs w:val="22"/>
              </w:rPr>
            </w:pPr>
            <w:r w:rsidRPr="000D65CE">
              <w:rPr>
                <w:rFonts w:cs="Arial"/>
                <w:szCs w:val="22"/>
              </w:rPr>
              <w:t>D.H3,</w:t>
            </w:r>
            <w:r w:rsidRPr="000D65CE">
              <w:t xml:space="preserve"> D.CF2, D.CF3</w:t>
            </w:r>
            <w:r w:rsidR="003E4A9E" w:rsidRPr="000D65CE">
              <w:t>,</w:t>
            </w:r>
            <w:r w:rsidRPr="000D65CE">
              <w:rPr>
                <w:rFonts w:cs="Arial"/>
                <w:szCs w:val="22"/>
              </w:rPr>
              <w:t xml:space="preserve"> D.OWS3</w:t>
            </w:r>
          </w:p>
        </w:tc>
      </w:tr>
    </w:tbl>
    <w:p w14:paraId="1F4B320F" w14:textId="77777777" w:rsidR="00472D7A" w:rsidRPr="000D65CE" w:rsidRDefault="00472D7A" w:rsidP="003B280C">
      <w:pPr>
        <w:jc w:val="both"/>
      </w:pPr>
    </w:p>
    <w:p w14:paraId="22CC22EC" w14:textId="77777777" w:rsidR="00400657" w:rsidRPr="000D65CE" w:rsidRDefault="00400657" w:rsidP="003B280C">
      <w:pPr>
        <w:pStyle w:val="Paragraphs"/>
        <w:rPr>
          <w:lang w:val="en-GB"/>
        </w:rPr>
      </w:pPr>
      <w:r w:rsidRPr="28D940A9">
        <w:rPr>
          <w:lang w:val="en-GB"/>
        </w:rPr>
        <w:t xml:space="preserve">The provision of facilities for children and young people is important to enable opportunities for play, physical activity and the development of movement and social skills. These spaces should be high-quality, inclusive and accessible. </w:t>
      </w:r>
    </w:p>
    <w:p w14:paraId="0C64776D" w14:textId="77777777" w:rsidR="00F538F6" w:rsidRPr="000D65CE" w:rsidRDefault="00400657" w:rsidP="003B280C">
      <w:pPr>
        <w:pStyle w:val="Paragraphs"/>
        <w:rPr>
          <w:lang w:val="en-GB"/>
        </w:rPr>
      </w:pPr>
      <w:r w:rsidRPr="28D940A9">
        <w:rPr>
          <w:lang w:val="en-GB"/>
        </w:rPr>
        <w:t xml:space="preserve">A key challenge for the </w:t>
      </w:r>
      <w:r w:rsidR="00C44288" w:rsidRPr="28D940A9">
        <w:rPr>
          <w:lang w:val="en-GB"/>
        </w:rPr>
        <w:t>borough</w:t>
      </w:r>
      <w:r w:rsidRPr="28D940A9">
        <w:rPr>
          <w:lang w:val="en-GB"/>
        </w:rPr>
        <w:t xml:space="preserve"> is to retain existing spaces while also increasing the provision of play and informal recreation facilities. </w:t>
      </w:r>
      <w:r w:rsidR="007F17B0" w:rsidRPr="28D940A9">
        <w:rPr>
          <w:lang w:val="en-GB"/>
        </w:rPr>
        <w:t>E</w:t>
      </w:r>
      <w:r w:rsidR="00F538F6" w:rsidRPr="28D940A9">
        <w:rPr>
          <w:lang w:val="en-GB"/>
        </w:rPr>
        <w:t xml:space="preserve">xisting parks within the </w:t>
      </w:r>
      <w:r w:rsidR="00C44288" w:rsidRPr="28D940A9">
        <w:rPr>
          <w:lang w:val="en-GB"/>
        </w:rPr>
        <w:t>b</w:t>
      </w:r>
      <w:r w:rsidR="00F538F6" w:rsidRPr="28D940A9">
        <w:rPr>
          <w:lang w:val="en-GB"/>
        </w:rPr>
        <w:t>orough do not have the capacit</w:t>
      </w:r>
      <w:r w:rsidR="007F17B0" w:rsidRPr="28D940A9">
        <w:rPr>
          <w:lang w:val="en-GB"/>
        </w:rPr>
        <w:t>y to accommodate new play space and</w:t>
      </w:r>
      <w:r w:rsidR="00F538F6" w:rsidRPr="28D940A9">
        <w:rPr>
          <w:lang w:val="en-GB"/>
        </w:rPr>
        <w:t xml:space="preserve"> this will be further exacerbated by the requirements of new developments. </w:t>
      </w:r>
    </w:p>
    <w:p w14:paraId="05465336" w14:textId="1D8254E1" w:rsidR="00400657" w:rsidRPr="000D65CE" w:rsidRDefault="00400657" w:rsidP="003B280C">
      <w:pPr>
        <w:pStyle w:val="Paragraphs"/>
        <w:rPr>
          <w:lang w:val="en-GB"/>
        </w:rPr>
      </w:pPr>
      <w:r w:rsidRPr="28D940A9">
        <w:rPr>
          <w:lang w:val="en-GB"/>
        </w:rPr>
        <w:t>Residential and mixed</w:t>
      </w:r>
      <w:r w:rsidR="00B859CB" w:rsidRPr="28D940A9">
        <w:rPr>
          <w:lang w:val="en-GB"/>
        </w:rPr>
        <w:t>-</w:t>
      </w:r>
      <w:r w:rsidRPr="28D940A9">
        <w:rPr>
          <w:lang w:val="en-GB"/>
        </w:rPr>
        <w:t xml:space="preserve">use developments should provide for children’s play and informal recreation space in accordance with </w:t>
      </w:r>
      <w:r w:rsidR="00101DA5" w:rsidRPr="28D940A9">
        <w:rPr>
          <w:lang w:val="en-GB"/>
        </w:rPr>
        <w:t xml:space="preserve">Local Plan Policy </w:t>
      </w:r>
      <w:r w:rsidR="008670A6" w:rsidRPr="28D940A9">
        <w:rPr>
          <w:lang w:val="en-GB"/>
        </w:rPr>
        <w:t>D.H3 and the associated explanation</w:t>
      </w:r>
      <w:r w:rsidR="00101DA5" w:rsidRPr="28D940A9">
        <w:rPr>
          <w:lang w:val="en-GB"/>
        </w:rPr>
        <w:t>, Local Plan Policy D.OWS3</w:t>
      </w:r>
      <w:r w:rsidRPr="28D940A9">
        <w:rPr>
          <w:lang w:val="en-GB"/>
        </w:rPr>
        <w:t xml:space="preserve"> and design requirements. </w:t>
      </w:r>
    </w:p>
    <w:p w14:paraId="75F30473" w14:textId="77777777" w:rsidR="00400657" w:rsidRPr="000D65CE" w:rsidRDefault="00400657" w:rsidP="003B280C">
      <w:pPr>
        <w:pStyle w:val="Paragraphs"/>
        <w:contextualSpacing/>
        <w:rPr>
          <w:lang w:val="en-GB"/>
        </w:rPr>
      </w:pPr>
      <w:r w:rsidRPr="28D940A9">
        <w:rPr>
          <w:lang w:val="en-GB"/>
        </w:rPr>
        <w:t>The design of play</w:t>
      </w:r>
      <w:r w:rsidR="00BF5EF8" w:rsidRPr="28D940A9">
        <w:rPr>
          <w:lang w:val="en-GB"/>
        </w:rPr>
        <w:t xml:space="preserve"> spaces should incorporate the </w:t>
      </w:r>
      <w:r w:rsidR="00F31311" w:rsidRPr="28D940A9">
        <w:rPr>
          <w:lang w:val="en-GB"/>
        </w:rPr>
        <w:t>s</w:t>
      </w:r>
      <w:r w:rsidR="00BF5EF8" w:rsidRPr="28D940A9">
        <w:rPr>
          <w:lang w:val="en-GB"/>
        </w:rPr>
        <w:t xml:space="preserve">ocial </w:t>
      </w:r>
      <w:r w:rsidR="00F31311" w:rsidRPr="28D940A9">
        <w:rPr>
          <w:lang w:val="en-GB"/>
        </w:rPr>
        <w:t>m</w:t>
      </w:r>
      <w:r w:rsidR="00BF5EF8" w:rsidRPr="28D940A9">
        <w:rPr>
          <w:lang w:val="en-GB"/>
        </w:rPr>
        <w:t xml:space="preserve">odel of </w:t>
      </w:r>
      <w:r w:rsidR="00F31311" w:rsidRPr="28D940A9">
        <w:rPr>
          <w:lang w:val="en-GB"/>
        </w:rPr>
        <w:t>d</w:t>
      </w:r>
      <w:r w:rsidRPr="28D940A9">
        <w:rPr>
          <w:lang w:val="en-GB"/>
        </w:rPr>
        <w:t xml:space="preserve">isability and the associated principals. On-site play facilities should aim to </w:t>
      </w:r>
      <w:r w:rsidR="005D48AA" w:rsidRPr="28D940A9">
        <w:rPr>
          <w:lang w:val="en-GB"/>
        </w:rPr>
        <w:t>incorporate a reasonable provision of:</w:t>
      </w:r>
      <w:r w:rsidRPr="28D940A9">
        <w:rPr>
          <w:lang w:val="en-GB"/>
        </w:rPr>
        <w:t xml:space="preserve"> </w:t>
      </w:r>
    </w:p>
    <w:p w14:paraId="06FE94B6" w14:textId="77777777" w:rsidR="00400657" w:rsidRPr="000D65CE" w:rsidRDefault="00400657" w:rsidP="003B280C">
      <w:pPr>
        <w:pStyle w:val="ListBullet4"/>
        <w:jc w:val="both"/>
      </w:pPr>
      <w:r>
        <w:t>Multi-unit</w:t>
      </w:r>
    </w:p>
    <w:p w14:paraId="6F9BB101" w14:textId="77777777" w:rsidR="00400657" w:rsidRPr="000D65CE" w:rsidRDefault="00400657" w:rsidP="003B280C">
      <w:pPr>
        <w:pStyle w:val="ListBullet4"/>
        <w:jc w:val="both"/>
      </w:pPr>
      <w:r>
        <w:t>Rocking unit</w:t>
      </w:r>
    </w:p>
    <w:p w14:paraId="42E2579E" w14:textId="77777777" w:rsidR="00400657" w:rsidRPr="000D65CE" w:rsidRDefault="00400657" w:rsidP="003B280C">
      <w:pPr>
        <w:pStyle w:val="ListBullet4"/>
        <w:jc w:val="both"/>
      </w:pPr>
      <w:r>
        <w:t>Swing</w:t>
      </w:r>
    </w:p>
    <w:p w14:paraId="004823BE" w14:textId="77777777" w:rsidR="00400657" w:rsidRPr="000D65CE" w:rsidRDefault="00400657" w:rsidP="003B280C">
      <w:pPr>
        <w:pStyle w:val="ListBullet4"/>
        <w:jc w:val="both"/>
      </w:pPr>
      <w:r>
        <w:t>Rotating item</w:t>
      </w:r>
    </w:p>
    <w:p w14:paraId="6A8FCD3E" w14:textId="77777777" w:rsidR="00400657" w:rsidRPr="000D65CE" w:rsidRDefault="00400657" w:rsidP="003B280C">
      <w:pPr>
        <w:pStyle w:val="ListBullet4"/>
        <w:jc w:val="both"/>
      </w:pPr>
      <w:r>
        <w:t>Slide</w:t>
      </w:r>
    </w:p>
    <w:p w14:paraId="29C1BD96" w14:textId="2BFF0C4A" w:rsidR="00E3680D" w:rsidRPr="000D65CE" w:rsidRDefault="00E3680D" w:rsidP="003B280C">
      <w:pPr>
        <w:spacing w:before="360" w:after="120"/>
        <w:jc w:val="both"/>
        <w:rPr>
          <w:b/>
          <w:color w:val="00477E"/>
          <w:sz w:val="24"/>
        </w:rPr>
      </w:pPr>
      <w:r w:rsidRPr="000D65CE">
        <w:rPr>
          <w:b/>
          <w:color w:val="00477E"/>
          <w:sz w:val="24"/>
        </w:rPr>
        <w:t xml:space="preserve">How the Council will </w:t>
      </w:r>
      <w:r w:rsidR="003A1BFE" w:rsidRPr="000D65CE">
        <w:rPr>
          <w:b/>
          <w:color w:val="00477E"/>
          <w:sz w:val="24"/>
        </w:rPr>
        <w:t xml:space="preserve">Secure Children’s Play Space Through </w:t>
      </w:r>
      <w:r w:rsidR="00310621">
        <w:rPr>
          <w:b/>
          <w:color w:val="00477E"/>
          <w:sz w:val="24"/>
        </w:rPr>
        <w:t>Planning Obligations</w:t>
      </w:r>
    </w:p>
    <w:p w14:paraId="0892E13D" w14:textId="532687ED" w:rsidR="007554BA" w:rsidRPr="000D65CE" w:rsidRDefault="00093D75" w:rsidP="003B280C">
      <w:pPr>
        <w:pStyle w:val="Paragraphs"/>
        <w:rPr>
          <w:lang w:val="en-GB"/>
        </w:rPr>
      </w:pPr>
      <w:r w:rsidRPr="28D940A9">
        <w:rPr>
          <w:lang w:val="en-GB"/>
        </w:rPr>
        <w:t>CIL funding is used for a range of strategic infrastructure projects including, O</w:t>
      </w:r>
      <w:r w:rsidR="0096593F" w:rsidRPr="28D940A9">
        <w:rPr>
          <w:lang w:val="en-GB"/>
        </w:rPr>
        <w:t xml:space="preserve">pen </w:t>
      </w:r>
      <w:r w:rsidRPr="28D940A9">
        <w:rPr>
          <w:lang w:val="en-GB"/>
        </w:rPr>
        <w:t>S</w:t>
      </w:r>
      <w:r w:rsidR="0096593F" w:rsidRPr="28D940A9">
        <w:rPr>
          <w:lang w:val="en-GB"/>
        </w:rPr>
        <w:t>pace</w:t>
      </w:r>
      <w:r w:rsidRPr="28D940A9">
        <w:rPr>
          <w:lang w:val="en-GB"/>
        </w:rPr>
        <w:t>, leisure facilities and community facilities</w:t>
      </w:r>
      <w:r w:rsidR="00101DA5" w:rsidRPr="28D940A9">
        <w:rPr>
          <w:lang w:val="en-GB"/>
        </w:rPr>
        <w:t xml:space="preserve"> all of which may </w:t>
      </w:r>
      <w:r w:rsidR="007B1233" w:rsidRPr="28D940A9">
        <w:rPr>
          <w:lang w:val="en-GB"/>
        </w:rPr>
        <w:t>include</w:t>
      </w:r>
      <w:r w:rsidR="00101DA5" w:rsidRPr="28D940A9">
        <w:rPr>
          <w:lang w:val="en-GB"/>
        </w:rPr>
        <w:t xml:space="preserve"> children’s play space</w:t>
      </w:r>
      <w:r w:rsidRPr="28D940A9">
        <w:rPr>
          <w:lang w:val="en-GB"/>
        </w:rPr>
        <w:t xml:space="preserve">. </w:t>
      </w:r>
    </w:p>
    <w:p w14:paraId="05D7880D" w14:textId="77777777" w:rsidR="00400657" w:rsidRPr="000D65CE" w:rsidRDefault="00400657" w:rsidP="003B280C">
      <w:pPr>
        <w:pStyle w:val="Paragraphs"/>
        <w:rPr>
          <w:lang w:val="en-GB"/>
        </w:rPr>
      </w:pPr>
      <w:r w:rsidRPr="28D940A9">
        <w:rPr>
          <w:rFonts w:eastAsia="MS Mincho"/>
          <w:lang w:val="en-GB"/>
        </w:rPr>
        <w:t xml:space="preserve">As specified in Local Plan Policy D.H3, </w:t>
      </w:r>
      <w:r w:rsidRPr="28D940A9">
        <w:rPr>
          <w:lang w:val="en-GB"/>
        </w:rPr>
        <w:t>developments should incorporate play space for all children on-site within their design to meet the need generated. This should be proportional based on the number of children expected to occupy the development and should be provided in addition to other open and communal space requirements.</w:t>
      </w:r>
    </w:p>
    <w:p w14:paraId="388B189D" w14:textId="77777777" w:rsidR="00856D24" w:rsidRPr="000D65CE" w:rsidRDefault="00856D24" w:rsidP="003B280C">
      <w:pPr>
        <w:pStyle w:val="Paragraphs"/>
        <w:rPr>
          <w:lang w:val="en-GB"/>
        </w:rPr>
      </w:pPr>
      <w:r w:rsidRPr="28D940A9">
        <w:rPr>
          <w:lang w:val="en-GB"/>
        </w:rPr>
        <w:t>In situations where Council requires the provision of play space to mitigate specific impacts of a development, this will be secured by planning condition. If this is not possible, a non-financial and/or financial planning obligation will be sought.</w:t>
      </w:r>
    </w:p>
    <w:p w14:paraId="4B3C1A39" w14:textId="2ADE4339" w:rsidR="00400657" w:rsidRDefault="00856D24" w:rsidP="003B280C">
      <w:pPr>
        <w:pStyle w:val="Paragraphs"/>
        <w:rPr>
          <w:lang w:val="en-GB"/>
        </w:rPr>
      </w:pPr>
      <w:r w:rsidRPr="7A52AF77">
        <w:rPr>
          <w:lang w:val="en-GB"/>
        </w:rPr>
        <w:t>Planning obligations will be secured to ensure the landowner or on</w:t>
      </w:r>
      <w:r w:rsidR="00B859CB">
        <w:rPr>
          <w:lang w:val="en-GB"/>
        </w:rPr>
        <w:t>-</w:t>
      </w:r>
      <w:r w:rsidRPr="7A52AF77">
        <w:rPr>
          <w:lang w:val="en-GB"/>
        </w:rPr>
        <w:t>site management company undertakes the required playground maintenance and inspections</w:t>
      </w:r>
      <w:r w:rsidR="00222F31">
        <w:rPr>
          <w:lang w:val="en-GB"/>
        </w:rPr>
        <w:t xml:space="preserve"> and submits evidence of this to the Council. The inspection requirements are generally </w:t>
      </w:r>
      <w:r w:rsidR="00222F31">
        <w:rPr>
          <w:lang w:val="en-GB"/>
        </w:rPr>
        <w:lastRenderedPageBreak/>
        <w:t>expected to include the</w:t>
      </w:r>
      <w:r w:rsidR="00605773">
        <w:rPr>
          <w:lang w:val="en-GB"/>
        </w:rPr>
        <w:t xml:space="preserve"> points below</w:t>
      </w:r>
      <w:r w:rsidR="00222F31">
        <w:rPr>
          <w:lang w:val="en-GB"/>
        </w:rPr>
        <w:t xml:space="preserve"> unless otherwise agreed with the Council</w:t>
      </w:r>
      <w:r w:rsidR="00605773">
        <w:rPr>
          <w:lang w:val="en-GB"/>
        </w:rPr>
        <w:t xml:space="preserve">. </w:t>
      </w:r>
      <w:r w:rsidR="00605773">
        <w:t xml:space="preserve">The Council welcomes the use of web-based applications where inspection reports can be uploaded. </w:t>
      </w:r>
      <w:r w:rsidR="00222F31">
        <w:rPr>
          <w:lang w:val="en-GB"/>
        </w:rPr>
        <w:t xml:space="preserve"> </w:t>
      </w:r>
    </w:p>
    <w:p w14:paraId="6A1F5704" w14:textId="77777777" w:rsidR="00222F31" w:rsidRDefault="00222F31" w:rsidP="00222F31">
      <w:pPr>
        <w:pStyle w:val="ListParagraph"/>
        <w:numPr>
          <w:ilvl w:val="0"/>
          <w:numId w:val="52"/>
        </w:numPr>
      </w:pPr>
      <w:r>
        <w:t xml:space="preserve">Post-installation inspection – Required prior to the </w:t>
      </w:r>
      <w:r w:rsidRPr="005D2479">
        <w:t>occupation of the development, by an Independent RPII Annual Inspector. The certificate for this inspection must be submitted to the Council</w:t>
      </w:r>
      <w:r>
        <w:t>.</w:t>
      </w:r>
    </w:p>
    <w:p w14:paraId="4F5A3195" w14:textId="77777777" w:rsidR="00222F31" w:rsidRPr="00307900" w:rsidRDefault="00222F31" w:rsidP="00222F31">
      <w:pPr>
        <w:pStyle w:val="ListParagraph"/>
        <w:numPr>
          <w:ilvl w:val="0"/>
          <w:numId w:val="52"/>
        </w:numPr>
      </w:pPr>
      <w:r w:rsidRPr="00C46371">
        <w:t>Annual inspection</w:t>
      </w:r>
      <w:r>
        <w:t xml:space="preserve"> – To be undertaken by an independent specialist to assess the overall safety of the playground. A record of the inspection must be submitted to Council.    </w:t>
      </w:r>
    </w:p>
    <w:p w14:paraId="522D0801" w14:textId="77777777" w:rsidR="00222F31" w:rsidRDefault="00222F31" w:rsidP="00222F31">
      <w:pPr>
        <w:pStyle w:val="ListParagraph"/>
        <w:numPr>
          <w:ilvl w:val="0"/>
          <w:numId w:val="52"/>
        </w:numPr>
      </w:pPr>
      <w:r>
        <w:t xml:space="preserve">Operational playground inspection – To be undertaken by a suitably qualified specialist on a quarterly basis (minimum). A record of the inspection must be submitted to the Council.  </w:t>
      </w:r>
    </w:p>
    <w:p w14:paraId="2498F744" w14:textId="77777777" w:rsidR="00222F31" w:rsidRPr="000519CD" w:rsidRDefault="00222F31" w:rsidP="00222F31">
      <w:pPr>
        <w:pStyle w:val="ListParagraph"/>
        <w:numPr>
          <w:ilvl w:val="0"/>
          <w:numId w:val="52"/>
        </w:numPr>
      </w:pPr>
      <w:r>
        <w:t xml:space="preserve">Routine visual inspection – To be undertaken by a suitably qualified specialist looking at the basic condition of equipment and ancillary items. A record of the inspection must be submitted to the Council in the event that any issues are identified.  </w:t>
      </w:r>
    </w:p>
    <w:p w14:paraId="1D848AB2" w14:textId="33642AE4" w:rsidR="00DC6720" w:rsidRDefault="00DC6720" w:rsidP="00DC6720">
      <w:pPr>
        <w:spacing w:after="120"/>
        <w:jc w:val="both"/>
        <w:rPr>
          <w:b/>
        </w:rPr>
      </w:pPr>
      <w:r w:rsidRPr="003D2BA4">
        <w:rPr>
          <w:b/>
        </w:rPr>
        <w:t xml:space="preserve">Text Box </w:t>
      </w:r>
      <w:r>
        <w:rPr>
          <w:b/>
        </w:rPr>
        <w:t>21</w:t>
      </w:r>
      <w:r w:rsidRPr="003D2BA4">
        <w:rPr>
          <w:b/>
        </w:rPr>
        <w:t xml:space="preserve">: </w:t>
      </w:r>
      <w:r>
        <w:rPr>
          <w:b/>
        </w:rPr>
        <w:t>Children’s Play Space</w:t>
      </w:r>
    </w:p>
    <w:p w14:paraId="24CE3702" w14:textId="29A076ED" w:rsidR="000519CD" w:rsidRDefault="000519CD" w:rsidP="00DC6720">
      <w:pPr>
        <w:spacing w:after="120"/>
        <w:jc w:val="both"/>
        <w:rPr>
          <w:rFonts w:cs="Arial"/>
          <w:szCs w:val="22"/>
        </w:rPr>
      </w:pPr>
      <w:r w:rsidRPr="000D65CE">
        <w:rPr>
          <w:rFonts w:cs="Arial"/>
          <w:noProof/>
          <w:lang w:eastAsia="en-GB"/>
        </w:rPr>
        <mc:AlternateContent>
          <mc:Choice Requires="wps">
            <w:drawing>
              <wp:inline distT="0" distB="0" distL="0" distR="0" wp14:anchorId="208B2A2F" wp14:editId="2E3D6B70">
                <wp:extent cx="5705475" cy="4248150"/>
                <wp:effectExtent l="0" t="0" r="9525" b="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4248150"/>
                        </a:xfrm>
                        <a:prstGeom prst="rect">
                          <a:avLst/>
                        </a:prstGeom>
                        <a:solidFill>
                          <a:schemeClr val="accent1">
                            <a:lumMod val="20000"/>
                            <a:lumOff val="80000"/>
                          </a:schemeClr>
                        </a:solidFill>
                        <a:ln>
                          <a:noFill/>
                        </a:ln>
                        <a:effectLst/>
                      </wps:spPr>
                      <wps:txbx>
                        <w:txbxContent>
                          <w:p w14:paraId="16211AD3" w14:textId="77777777" w:rsidR="00EB3B59" w:rsidRPr="002748AE" w:rsidRDefault="00EB3B59" w:rsidP="000519CD">
                            <w:pPr>
                              <w:widowControl w:val="0"/>
                              <w:autoSpaceDE w:val="0"/>
                              <w:autoSpaceDN w:val="0"/>
                              <w:adjustRightInd w:val="0"/>
                              <w:jc w:val="both"/>
                              <w:textAlignment w:val="center"/>
                              <w:rPr>
                                <w:rFonts w:cs="Arial"/>
                                <w:b/>
                                <w:szCs w:val="22"/>
                                <w:lang w:val="en-US"/>
                              </w:rPr>
                            </w:pPr>
                            <w:r w:rsidRPr="002748AE">
                              <w:rPr>
                                <w:rFonts w:cs="Arial"/>
                                <w:b/>
                                <w:szCs w:val="22"/>
                                <w:lang w:val="en-US"/>
                              </w:rPr>
                              <w:t>Threshold and Contribution Requirements</w:t>
                            </w:r>
                          </w:p>
                          <w:p w14:paraId="0F0ED4FE" w14:textId="77777777" w:rsidR="00EB3B59" w:rsidRPr="002748AE" w:rsidRDefault="00EB3B59" w:rsidP="000519CD">
                            <w:pPr>
                              <w:jc w:val="both"/>
                              <w:rPr>
                                <w:rFonts w:cs="Arial"/>
                                <w:szCs w:val="22"/>
                              </w:rPr>
                            </w:pPr>
                            <w:r w:rsidRPr="002748AE">
                              <w:rPr>
                                <w:rFonts w:cs="Arial"/>
                                <w:szCs w:val="22"/>
                              </w:rPr>
                              <w:t>Planning obligations relating to Children’s Play Space will be sought for:</w:t>
                            </w:r>
                          </w:p>
                          <w:p w14:paraId="470DBA90" w14:textId="77777777" w:rsidR="00EB3B59" w:rsidRPr="00201E61" w:rsidRDefault="00EB3B59" w:rsidP="000519CD">
                            <w:pPr>
                              <w:pStyle w:val="ListBullet2"/>
                              <w:jc w:val="both"/>
                              <w:rPr>
                                <w:rFonts w:ascii="Ebrima" w:hAnsi="Ebrima" w:cs="Ebrima"/>
                                <w:sz w:val="20"/>
                                <w:szCs w:val="20"/>
                              </w:rPr>
                            </w:pPr>
                            <w:r w:rsidRPr="00E51FE2">
                              <w:t>Any residential or mixed</w:t>
                            </w:r>
                            <w:r>
                              <w:t>-</w:t>
                            </w:r>
                            <w:r w:rsidRPr="00E51FE2">
                              <w:t>use development</w:t>
                            </w:r>
                            <w:r>
                              <w:t xml:space="preserve"> that does not meet the minimum play space requirements set out in the Local Plan.</w:t>
                            </w:r>
                            <w:r w:rsidRPr="00E51FE2">
                              <w:t xml:space="preserve"> </w:t>
                            </w:r>
                          </w:p>
                          <w:p w14:paraId="74BAF92E" w14:textId="77777777" w:rsidR="00EB3B59" w:rsidRPr="007960FE" w:rsidRDefault="00EB3B59" w:rsidP="000519CD">
                            <w:pPr>
                              <w:widowControl w:val="0"/>
                              <w:autoSpaceDE w:val="0"/>
                              <w:autoSpaceDN w:val="0"/>
                              <w:adjustRightInd w:val="0"/>
                              <w:spacing w:after="60"/>
                              <w:jc w:val="both"/>
                              <w:textAlignment w:val="center"/>
                              <w:rPr>
                                <w:rFonts w:eastAsia="MS Mincho" w:cs="Arial"/>
                                <w:b/>
                                <w:szCs w:val="22"/>
                              </w:rPr>
                            </w:pPr>
                            <w:r w:rsidRPr="007960FE">
                              <w:rPr>
                                <w:rFonts w:eastAsia="MS Mincho" w:cs="Arial"/>
                                <w:b/>
                                <w:szCs w:val="22"/>
                              </w:rPr>
                              <w:t>Children’s Play Space</w:t>
                            </w:r>
                          </w:p>
                          <w:p w14:paraId="43F655DE" w14:textId="77777777" w:rsidR="00EB3B59" w:rsidRDefault="00EB3B59" w:rsidP="000519CD">
                            <w:pPr>
                              <w:jc w:val="both"/>
                            </w:pPr>
                            <w:r>
                              <w:rPr>
                                <w:rFonts w:eastAsia="MS Mincho"/>
                              </w:rPr>
                              <w:t xml:space="preserve">The Council requires the provision of children’s play space in accordance </w:t>
                            </w:r>
                            <w:r w:rsidRPr="004651D4">
                              <w:rPr>
                                <w:rFonts w:eastAsia="MS Mincho"/>
                              </w:rPr>
                              <w:t xml:space="preserve">with </w:t>
                            </w:r>
                            <w:r w:rsidRPr="004651D4">
                              <w:rPr>
                                <w:rFonts w:cs="Arial"/>
                                <w:color w:val="000000"/>
                              </w:rPr>
                              <w:t>the standards set out in the Shaping Neighbourhoods: Play and Informal Recreation SPG</w:t>
                            </w:r>
                            <w:r>
                              <w:rPr>
                                <w:rFonts w:cs="Arial"/>
                              </w:rPr>
                              <w:t>,</w:t>
                            </w:r>
                            <w:r>
                              <w:t xml:space="preserve">  Play England’s 10 key design principles for creating successful play spaces and the Tower Hamlets Play Space Child Yield Calculator*. This includes meeting the requirements for play space typologies for children of different age groups. </w:t>
                            </w:r>
                          </w:p>
                          <w:p w14:paraId="5C48FEBD" w14:textId="77777777" w:rsidR="00EB3B59" w:rsidRPr="007D0E4C" w:rsidRDefault="00EB3B59" w:rsidP="000519CD">
                            <w:pPr>
                              <w:jc w:val="both"/>
                              <w:rPr>
                                <w:rFonts w:eastAsia="MS Mincho" w:cs="Arial"/>
                              </w:rPr>
                            </w:pPr>
                            <w:r w:rsidRPr="007D0E4C">
                              <w:rPr>
                                <w:rFonts w:eastAsia="MS Mincho" w:cs="Arial"/>
                              </w:rPr>
                              <w:t xml:space="preserve">All new development with estimated child occupancy of 10 children or more must provide a minimum of 10 sqm per child, regardless of age. Play space should be provided in addition to other open and communal space requirements. </w:t>
                            </w:r>
                          </w:p>
                          <w:p w14:paraId="7761715F" w14:textId="77777777" w:rsidR="00EB3B59" w:rsidRPr="00A81A01" w:rsidRDefault="00EB3B59" w:rsidP="000519CD">
                            <w:pPr>
                              <w:widowControl w:val="0"/>
                              <w:autoSpaceDE w:val="0"/>
                              <w:autoSpaceDN w:val="0"/>
                              <w:adjustRightInd w:val="0"/>
                              <w:spacing w:after="60"/>
                              <w:jc w:val="both"/>
                              <w:textAlignment w:val="center"/>
                              <w:rPr>
                                <w:rFonts w:cs="Arial"/>
                                <w:b/>
                                <w:szCs w:val="22"/>
                              </w:rPr>
                            </w:pPr>
                            <w:r w:rsidRPr="00A81A01">
                              <w:rPr>
                                <w:rFonts w:cs="Arial"/>
                                <w:b/>
                                <w:szCs w:val="22"/>
                              </w:rPr>
                              <w:t>Maintenance</w:t>
                            </w:r>
                          </w:p>
                          <w:p w14:paraId="70474C1C" w14:textId="667CC5A8" w:rsidR="00EB3B59" w:rsidRDefault="00EB3B59" w:rsidP="000519CD">
                            <w:pPr>
                              <w:spacing w:after="60"/>
                              <w:jc w:val="both"/>
                            </w:pPr>
                            <w:r w:rsidRPr="00C46371">
                              <w:t>The requirement</w:t>
                            </w:r>
                            <w:r>
                              <w:t xml:space="preserve"> to maintain the play space will be the responsibility of the owner and will be secured through the legal agreement. The contact details of the manager should be publicly advertised on site (including name, address and contact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8B2A2F" id="Text Box 32" o:spid="_x0000_s1048" type="#_x0000_t202" style="width:449.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" fillcolor="#dbe5f1 [660]" stroked="f">
                <v:textbox>
                  <w:txbxContent>
                    <w:p w14:paraId="16211AD3" w14:textId="77777777" w:rsidR="00EB3B59" w:rsidRPr="002748AE" w:rsidRDefault="00EB3B59" w:rsidP="000519CD">
                      <w:pPr>
                        <w:widowControl w:val="0"/>
                        <w:autoSpaceDE w:val="0"/>
                        <w:autoSpaceDN w:val="0"/>
                        <w:adjustRightInd w:val="0"/>
                        <w:jc w:val="both"/>
                        <w:textAlignment w:val="center"/>
                        <w:rPr>
                          <w:rFonts w:cs="Arial"/>
                          <w:b/>
                          <w:szCs w:val="22"/>
                          <w:lang w:val="en-US"/>
                        </w:rPr>
                      </w:pPr>
                      <w:r w:rsidRPr="002748AE">
                        <w:rPr>
                          <w:rFonts w:cs="Arial"/>
                          <w:b/>
                          <w:szCs w:val="22"/>
                          <w:lang w:val="en-US"/>
                        </w:rPr>
                        <w:t>Threshold and Contribution Requirements</w:t>
                      </w:r>
                    </w:p>
                    <w:p w14:paraId="0F0ED4FE" w14:textId="77777777" w:rsidR="00EB3B59" w:rsidRPr="002748AE" w:rsidRDefault="00EB3B59" w:rsidP="000519CD">
                      <w:pPr>
                        <w:jc w:val="both"/>
                        <w:rPr>
                          <w:rFonts w:cs="Arial"/>
                          <w:szCs w:val="22"/>
                        </w:rPr>
                      </w:pPr>
                      <w:r w:rsidRPr="002748AE">
                        <w:rPr>
                          <w:rFonts w:cs="Arial"/>
                          <w:szCs w:val="22"/>
                        </w:rPr>
                        <w:t>Planning obligations relating to Children’s Play Space will be sought for:</w:t>
                      </w:r>
                    </w:p>
                    <w:p w14:paraId="470DBA90" w14:textId="77777777" w:rsidR="00EB3B59" w:rsidRPr="00201E61" w:rsidRDefault="00EB3B59" w:rsidP="000519CD">
                      <w:pPr>
                        <w:pStyle w:val="ListBullet2"/>
                        <w:jc w:val="both"/>
                        <w:rPr>
                          <w:rFonts w:ascii="Ebrima" w:hAnsi="Ebrima" w:cs="Ebrima"/>
                          <w:sz w:val="20"/>
                          <w:szCs w:val="20"/>
                        </w:rPr>
                      </w:pPr>
                      <w:r w:rsidRPr="00E51FE2">
                        <w:t>Any residential or mixed</w:t>
                      </w:r>
                      <w:r>
                        <w:t>-</w:t>
                      </w:r>
                      <w:r w:rsidRPr="00E51FE2">
                        <w:t>use development</w:t>
                      </w:r>
                      <w:r>
                        <w:t xml:space="preserve"> that does not meet the minimum play space requirements set out in the Local Plan.</w:t>
                      </w:r>
                      <w:r w:rsidRPr="00E51FE2">
                        <w:t xml:space="preserve"> </w:t>
                      </w:r>
                    </w:p>
                    <w:p w14:paraId="74BAF92E" w14:textId="77777777" w:rsidR="00EB3B59" w:rsidRPr="007960FE" w:rsidRDefault="00EB3B59" w:rsidP="000519CD">
                      <w:pPr>
                        <w:widowControl w:val="0"/>
                        <w:autoSpaceDE w:val="0"/>
                        <w:autoSpaceDN w:val="0"/>
                        <w:adjustRightInd w:val="0"/>
                        <w:spacing w:after="60"/>
                        <w:jc w:val="both"/>
                        <w:textAlignment w:val="center"/>
                        <w:rPr>
                          <w:rFonts w:eastAsia="MS Mincho" w:cs="Arial"/>
                          <w:b/>
                          <w:szCs w:val="22"/>
                        </w:rPr>
                      </w:pPr>
                      <w:r w:rsidRPr="007960FE">
                        <w:rPr>
                          <w:rFonts w:eastAsia="MS Mincho" w:cs="Arial"/>
                          <w:b/>
                          <w:szCs w:val="22"/>
                        </w:rPr>
                        <w:t>Children’s Play Space</w:t>
                      </w:r>
                    </w:p>
                    <w:p w14:paraId="43F655DE" w14:textId="77777777" w:rsidR="00EB3B59" w:rsidRDefault="00EB3B59" w:rsidP="000519CD">
                      <w:pPr>
                        <w:jc w:val="both"/>
                      </w:pPr>
                      <w:r>
                        <w:rPr>
                          <w:rFonts w:eastAsia="MS Mincho"/>
                        </w:rPr>
                        <w:t xml:space="preserve">The Council requires the provision of children’s play space in accordance </w:t>
                      </w:r>
                      <w:r w:rsidRPr="004651D4">
                        <w:rPr>
                          <w:rFonts w:eastAsia="MS Mincho"/>
                        </w:rPr>
                        <w:t xml:space="preserve">with </w:t>
                      </w:r>
                      <w:r w:rsidRPr="004651D4">
                        <w:rPr>
                          <w:rFonts w:cs="Arial"/>
                          <w:color w:val="000000"/>
                        </w:rPr>
                        <w:t>the standards set out in the Shaping Neighbourhoods: Play and Informal Recreation SPG</w:t>
                      </w:r>
                      <w:r>
                        <w:rPr>
                          <w:rFonts w:cs="Arial"/>
                        </w:rPr>
                        <w:t>,</w:t>
                      </w:r>
                      <w:r>
                        <w:t xml:space="preserve">  Play England’s 10 key design principles for creating successful play spaces and the Tower Hamlets Play Space Child Yield Calculator*. This includes meeting the requirements for play space typologies for children of different age groups. </w:t>
                      </w:r>
                    </w:p>
                    <w:p w14:paraId="5C48FEBD" w14:textId="77777777" w:rsidR="00EB3B59" w:rsidRPr="007D0E4C" w:rsidRDefault="00EB3B59" w:rsidP="000519CD">
                      <w:pPr>
                        <w:jc w:val="both"/>
                        <w:rPr>
                          <w:rFonts w:eastAsia="MS Mincho" w:cs="Arial"/>
                        </w:rPr>
                      </w:pPr>
                      <w:r w:rsidRPr="007D0E4C">
                        <w:rPr>
                          <w:rFonts w:eastAsia="MS Mincho" w:cs="Arial"/>
                        </w:rPr>
                        <w:t xml:space="preserve">All new development with estimated child occupancy of 10 children or more must provide a minimum of 10 sqm per child, regardless of age. Play space should be provided in addition to other open and communal space requirements. </w:t>
                      </w:r>
                    </w:p>
                    <w:p w14:paraId="7761715F" w14:textId="77777777" w:rsidR="00EB3B59" w:rsidRPr="00A81A01" w:rsidRDefault="00EB3B59" w:rsidP="000519CD">
                      <w:pPr>
                        <w:widowControl w:val="0"/>
                        <w:autoSpaceDE w:val="0"/>
                        <w:autoSpaceDN w:val="0"/>
                        <w:adjustRightInd w:val="0"/>
                        <w:spacing w:after="60"/>
                        <w:jc w:val="both"/>
                        <w:textAlignment w:val="center"/>
                        <w:rPr>
                          <w:rFonts w:cs="Arial"/>
                          <w:b/>
                          <w:szCs w:val="22"/>
                        </w:rPr>
                      </w:pPr>
                      <w:r w:rsidRPr="00A81A01">
                        <w:rPr>
                          <w:rFonts w:cs="Arial"/>
                          <w:b/>
                          <w:szCs w:val="22"/>
                        </w:rPr>
                        <w:t>Maintenance</w:t>
                      </w:r>
                    </w:p>
                    <w:p w14:paraId="70474C1C" w14:textId="667CC5A8" w:rsidR="00EB3B59" w:rsidRDefault="00EB3B59" w:rsidP="000519CD">
                      <w:pPr>
                        <w:spacing w:after="60"/>
                        <w:jc w:val="both"/>
                      </w:pPr>
                      <w:r w:rsidRPr="00C46371">
                        <w:t>The requirement</w:t>
                      </w:r>
                      <w:r>
                        <w:t xml:space="preserve"> to maintain the play space will be the responsibility of the owner and will be secured through the legal agreement. The contact details of the manager should be publicly advertised on site (including name, address and contact number). </w:t>
                      </w:r>
                    </w:p>
                  </w:txbxContent>
                </v:textbox>
                <w10:anchorlock/>
              </v:shape>
            </w:pict>
          </mc:Fallback>
        </mc:AlternateContent>
      </w:r>
    </w:p>
    <w:p w14:paraId="0BFF21DD" w14:textId="2AC7BEC1" w:rsidR="000519CD" w:rsidRDefault="000519CD" w:rsidP="00DC6720">
      <w:pPr>
        <w:spacing w:after="120"/>
        <w:jc w:val="both"/>
        <w:rPr>
          <w:rFonts w:cs="Arial"/>
          <w:szCs w:val="22"/>
        </w:rPr>
      </w:pPr>
    </w:p>
    <w:p w14:paraId="4BEDACEE" w14:textId="781016DA" w:rsidR="000519CD" w:rsidRDefault="000519CD" w:rsidP="00DC6720">
      <w:pPr>
        <w:spacing w:after="120"/>
        <w:jc w:val="both"/>
        <w:rPr>
          <w:rFonts w:cs="Arial"/>
          <w:szCs w:val="22"/>
        </w:rPr>
      </w:pPr>
    </w:p>
    <w:p w14:paraId="1C4994B8" w14:textId="4DDB237F" w:rsidR="000519CD" w:rsidRDefault="000519CD" w:rsidP="00DC6720">
      <w:pPr>
        <w:spacing w:after="120"/>
        <w:jc w:val="both"/>
        <w:rPr>
          <w:rFonts w:cs="Arial"/>
          <w:szCs w:val="22"/>
        </w:rPr>
      </w:pPr>
    </w:p>
    <w:p w14:paraId="6AED9201" w14:textId="37072C85" w:rsidR="000519CD" w:rsidRDefault="000519CD" w:rsidP="00DC6720">
      <w:pPr>
        <w:spacing w:after="120"/>
        <w:jc w:val="both"/>
        <w:rPr>
          <w:rFonts w:cs="Arial"/>
          <w:szCs w:val="22"/>
        </w:rPr>
      </w:pPr>
    </w:p>
    <w:p w14:paraId="16F2F560" w14:textId="5D83C071" w:rsidR="000519CD" w:rsidRPr="000519CD" w:rsidRDefault="000519CD" w:rsidP="00DC6720">
      <w:pPr>
        <w:spacing w:after="120"/>
        <w:jc w:val="both"/>
        <w:rPr>
          <w:b/>
        </w:rPr>
      </w:pPr>
      <w:r w:rsidRPr="003D2BA4">
        <w:rPr>
          <w:b/>
        </w:rPr>
        <w:lastRenderedPageBreak/>
        <w:t xml:space="preserve">Text Box </w:t>
      </w:r>
      <w:r>
        <w:rPr>
          <w:b/>
        </w:rPr>
        <w:t>21</w:t>
      </w:r>
      <w:r w:rsidRPr="003D2BA4">
        <w:rPr>
          <w:b/>
        </w:rPr>
        <w:t xml:space="preserve">: </w:t>
      </w:r>
      <w:r>
        <w:rPr>
          <w:b/>
        </w:rPr>
        <w:t>Children’s Play Space (continued)</w:t>
      </w:r>
    </w:p>
    <w:p w14:paraId="4FBD37CA" w14:textId="77777777" w:rsidR="00663FCF" w:rsidRPr="000D65CE" w:rsidRDefault="002002CD" w:rsidP="003B280C">
      <w:pPr>
        <w:widowControl w:val="0"/>
        <w:autoSpaceDE w:val="0"/>
        <w:autoSpaceDN w:val="0"/>
        <w:adjustRightInd w:val="0"/>
        <w:jc w:val="both"/>
        <w:textAlignment w:val="center"/>
        <w:rPr>
          <w:rFonts w:cs="Arial"/>
          <w:b/>
          <w:bCs/>
          <w:color w:val="000000"/>
          <w:sz w:val="28"/>
          <w:szCs w:val="28"/>
        </w:rPr>
      </w:pPr>
      <w:r w:rsidRPr="000D65CE">
        <w:rPr>
          <w:rFonts w:cs="Arial"/>
          <w:noProof/>
          <w:lang w:eastAsia="en-GB"/>
        </w:rPr>
        <mc:AlternateContent>
          <mc:Choice Requires="wps">
            <w:drawing>
              <wp:inline distT="0" distB="0" distL="0" distR="0" wp14:anchorId="0868FA62" wp14:editId="2D9AA19A">
                <wp:extent cx="5705475" cy="5281448"/>
                <wp:effectExtent l="0" t="0" r="9525"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5281448"/>
                        </a:xfrm>
                        <a:prstGeom prst="rect">
                          <a:avLst/>
                        </a:prstGeom>
                        <a:solidFill>
                          <a:schemeClr val="accent1">
                            <a:lumMod val="20000"/>
                            <a:lumOff val="80000"/>
                          </a:schemeClr>
                        </a:solidFill>
                        <a:ln>
                          <a:noFill/>
                        </a:ln>
                        <a:effectLst/>
                      </wps:spPr>
                      <wps:txbx>
                        <w:txbxContent>
                          <w:p w14:paraId="004DC729" w14:textId="77777777" w:rsidR="00EB3B59" w:rsidRPr="00757757" w:rsidRDefault="00EB3B59" w:rsidP="00F569E7">
                            <w:pPr>
                              <w:widowControl w:val="0"/>
                              <w:autoSpaceDE w:val="0"/>
                              <w:autoSpaceDN w:val="0"/>
                              <w:adjustRightInd w:val="0"/>
                              <w:spacing w:after="60"/>
                              <w:jc w:val="both"/>
                              <w:textAlignment w:val="center"/>
                              <w:rPr>
                                <w:rFonts w:eastAsia="MS Mincho" w:cs="Arial"/>
                                <w:b/>
                                <w:szCs w:val="22"/>
                              </w:rPr>
                            </w:pPr>
                            <w:r>
                              <w:rPr>
                                <w:rFonts w:eastAsia="MS Mincho" w:cs="Arial"/>
                                <w:b/>
                                <w:szCs w:val="22"/>
                              </w:rPr>
                              <w:t>On-</w:t>
                            </w:r>
                            <w:r w:rsidRPr="00757757">
                              <w:rPr>
                                <w:rFonts w:eastAsia="MS Mincho" w:cs="Arial"/>
                                <w:b/>
                                <w:szCs w:val="22"/>
                              </w:rPr>
                              <w:t>site Provision</w:t>
                            </w:r>
                          </w:p>
                          <w:p w14:paraId="42DE150F" w14:textId="77777777" w:rsidR="00EB3B59" w:rsidRPr="00757757" w:rsidRDefault="00EB3B59" w:rsidP="00F569E7">
                            <w:pPr>
                              <w:pStyle w:val="ListBullet2"/>
                              <w:jc w:val="both"/>
                              <w:rPr>
                                <w:rFonts w:cs="Arial"/>
                              </w:rPr>
                            </w:pPr>
                            <w:r w:rsidRPr="00757757">
                              <w:rPr>
                                <w:rFonts w:cs="Arial"/>
                              </w:rPr>
                              <w:t xml:space="preserve">Play space for all children should be provided on site in the first instance. </w:t>
                            </w:r>
                            <w:r w:rsidRPr="00757757">
                              <w:t>Where there are demonstrable site constraints, play space for under five-year-olds must be on site and older children’s play space must be within the GLA’s specified recommended distances.</w:t>
                            </w:r>
                          </w:p>
                          <w:p w14:paraId="5CDABDE3" w14:textId="77777777" w:rsidR="00EB3B59" w:rsidRPr="003156FB" w:rsidRDefault="00EB3B59" w:rsidP="00F569E7">
                            <w:pPr>
                              <w:pStyle w:val="ListBullet2"/>
                              <w:jc w:val="both"/>
                              <w:rPr>
                                <w:rFonts w:cs="Arial"/>
                              </w:rPr>
                            </w:pPr>
                            <w:r>
                              <w:t xml:space="preserve">Existing parks in the borough cannot be relied on </w:t>
                            </w:r>
                            <w:r w:rsidRPr="003156FB">
                              <w:t>to satisfy the play requirements of children of 12 years and older</w:t>
                            </w:r>
                            <w:r>
                              <w:t xml:space="preserve"> due to capacity constraints. </w:t>
                            </w:r>
                          </w:p>
                          <w:p w14:paraId="4EB382BC" w14:textId="016E1832" w:rsidR="00EB3B59" w:rsidRDefault="00EB3B59" w:rsidP="00F569E7">
                            <w:pPr>
                              <w:jc w:val="both"/>
                              <w:rPr>
                                <w:rStyle w:val="Hyperlink"/>
                                <w:rFonts w:cs="Arial"/>
                                <w:sz w:val="16"/>
                                <w:szCs w:val="16"/>
                              </w:rPr>
                            </w:pPr>
                            <w:r w:rsidRPr="00BF7A9E">
                              <w:rPr>
                                <w:rFonts w:cs="Arial"/>
                                <w:sz w:val="16"/>
                                <w:szCs w:val="16"/>
                              </w:rPr>
                              <w:t>*</w:t>
                            </w:r>
                            <w:r w:rsidRPr="00A46BF9">
                              <w:rPr>
                                <w:sz w:val="18"/>
                                <w:szCs w:val="18"/>
                              </w:rPr>
                              <w:t xml:space="preserve">LBTH has produced a Child Yield Calculator which is used to calculate the child yield and play space requirements for new developments. The tool can be found on the </w:t>
                            </w:r>
                            <w:hyperlink r:id="rId15" w:history="1">
                              <w:r w:rsidRPr="00A46BF9">
                                <w:rPr>
                                  <w:rStyle w:val="Hyperlink"/>
                                  <w:sz w:val="18"/>
                                  <w:szCs w:val="18"/>
                                </w:rPr>
                                <w:t>Local Plan 2031 Examination Library webpage</w:t>
                              </w:r>
                            </w:hyperlink>
                            <w:r>
                              <w:rPr>
                                <w:rStyle w:val="Hyperlink"/>
                                <w:rFonts w:cs="Arial"/>
                                <w:sz w:val="16"/>
                                <w:szCs w:val="16"/>
                              </w:rPr>
                              <w:t>.</w:t>
                            </w:r>
                          </w:p>
                          <w:p w14:paraId="3F20D34E" w14:textId="77777777" w:rsidR="00EB3B59" w:rsidRPr="007D0E4C" w:rsidRDefault="00EB3B59" w:rsidP="000519CD">
                            <w:pPr>
                              <w:widowControl w:val="0"/>
                              <w:autoSpaceDE w:val="0"/>
                              <w:autoSpaceDN w:val="0"/>
                              <w:adjustRightInd w:val="0"/>
                              <w:spacing w:after="60"/>
                              <w:jc w:val="both"/>
                              <w:textAlignment w:val="center"/>
                              <w:rPr>
                                <w:rFonts w:eastAsia="MS Mincho" w:cs="Arial"/>
                                <w:b/>
                                <w:szCs w:val="22"/>
                              </w:rPr>
                            </w:pPr>
                            <w:r w:rsidRPr="007D0E4C">
                              <w:rPr>
                                <w:rFonts w:eastAsia="MS Mincho" w:cs="Arial"/>
                                <w:b/>
                                <w:szCs w:val="22"/>
                              </w:rPr>
                              <w:t>Circumstances for Off-</w:t>
                            </w:r>
                            <w:r>
                              <w:rPr>
                                <w:rFonts w:eastAsia="MS Mincho" w:cs="Arial"/>
                                <w:b/>
                                <w:szCs w:val="22"/>
                              </w:rPr>
                              <w:t>S</w:t>
                            </w:r>
                            <w:r w:rsidRPr="007D0E4C">
                              <w:rPr>
                                <w:rFonts w:eastAsia="MS Mincho" w:cs="Arial"/>
                                <w:b/>
                                <w:szCs w:val="22"/>
                              </w:rPr>
                              <w:t>ite Provision or Financial Contributions</w:t>
                            </w:r>
                          </w:p>
                          <w:p w14:paraId="695729D4" w14:textId="77777777" w:rsidR="00EB3B5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 xml:space="preserve">Only where there are demonstrable site constraints </w:t>
                            </w:r>
                            <w:r w:rsidRPr="00890F09">
                              <w:rPr>
                                <w:rFonts w:eastAsia="MS Mincho" w:cs="Arial"/>
                                <w:szCs w:val="22"/>
                              </w:rPr>
                              <w:t>and</w:t>
                            </w:r>
                            <w:r>
                              <w:rPr>
                                <w:rFonts w:eastAsia="MS Mincho" w:cs="Arial"/>
                                <w:szCs w:val="22"/>
                              </w:rPr>
                              <w:t xml:space="preserve"> the</w:t>
                            </w:r>
                            <w:r w:rsidRPr="00890F09">
                              <w:rPr>
                                <w:rFonts w:eastAsia="MS Mincho" w:cs="Arial"/>
                                <w:szCs w:val="22"/>
                              </w:rPr>
                              <w:t xml:space="preserve"> Council is satisfied that it would deliver a better outcome, will off-site provision and/or a financial contribution be accepted. </w:t>
                            </w:r>
                          </w:p>
                          <w:p w14:paraId="4FECA9B1" w14:textId="77777777" w:rsidR="00EB3B5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Subject to agreement with the Parks and Open Spaces Team, this may</w:t>
                            </w:r>
                            <w:r w:rsidRPr="00890F09">
                              <w:rPr>
                                <w:rFonts w:eastAsia="MS Mincho" w:cs="Arial"/>
                                <w:szCs w:val="22"/>
                              </w:rPr>
                              <w:t xml:space="preserve"> include funding</w:t>
                            </w:r>
                            <w:r>
                              <w:rPr>
                                <w:rFonts w:eastAsia="MS Mincho" w:cs="Arial"/>
                                <w:szCs w:val="22"/>
                              </w:rPr>
                              <w:t xml:space="preserve"> for</w:t>
                            </w:r>
                            <w:r w:rsidRPr="00890F09">
                              <w:rPr>
                                <w:rFonts w:eastAsia="MS Mincho" w:cs="Arial"/>
                                <w:szCs w:val="22"/>
                              </w:rPr>
                              <w:t xml:space="preserve"> the upgrade </w:t>
                            </w:r>
                            <w:r>
                              <w:rPr>
                                <w:rFonts w:eastAsia="MS Mincho" w:cs="Arial"/>
                                <w:szCs w:val="22"/>
                              </w:rPr>
                              <w:t xml:space="preserve">or assortment </w:t>
                            </w:r>
                            <w:r w:rsidRPr="00890F09">
                              <w:rPr>
                                <w:rFonts w:eastAsia="MS Mincho" w:cs="Arial"/>
                                <w:szCs w:val="22"/>
                              </w:rPr>
                              <w:t xml:space="preserve">of play facilities in nearby parks or improvements to access arrangements from the development to the playground. </w:t>
                            </w:r>
                            <w:r>
                              <w:rPr>
                                <w:rFonts w:eastAsia="MS Mincho" w:cs="Arial"/>
                                <w:szCs w:val="22"/>
                              </w:rPr>
                              <w:t xml:space="preserve">The financial contribution will be based on costs for similar upgrades to parks and play facilities undertaken by the Council elsewhere in the Borough. </w:t>
                            </w:r>
                          </w:p>
                          <w:p w14:paraId="4536D8EC" w14:textId="77777777" w:rsidR="00EB3B5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 xml:space="preserve">The financial contribution will include maintenance and repair costs for a five-year period based on comparable equipment / play facilities. The maintenance costs will be index linked annually.  </w:t>
                            </w:r>
                          </w:p>
                          <w:p w14:paraId="642CA59B" w14:textId="77777777" w:rsidR="00EB3B59" w:rsidRPr="00890F0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 xml:space="preserve">The acceptability of off-site provision and/or financial contributions is at the discretion of the Council. </w:t>
                            </w:r>
                          </w:p>
                          <w:p w14:paraId="77A2E464" w14:textId="77777777" w:rsidR="00EB3B59" w:rsidRPr="003A5CDC" w:rsidRDefault="00EB3B59" w:rsidP="00F569E7">
                            <w:pPr>
                              <w:jc w:val="both"/>
                              <w:rPr>
                                <w:rFonts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68FA62" id="Text Box 14" o:spid="_x0000_s1049" type="#_x0000_t202" style="width:449.25pt;height:4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" fillcolor="#dbe5f1 [660]" stroked="f">
                <v:textbox>
                  <w:txbxContent>
                    <w:p w14:paraId="004DC729" w14:textId="77777777" w:rsidR="00EB3B59" w:rsidRPr="00757757" w:rsidRDefault="00EB3B59" w:rsidP="00F569E7">
                      <w:pPr>
                        <w:widowControl w:val="0"/>
                        <w:autoSpaceDE w:val="0"/>
                        <w:autoSpaceDN w:val="0"/>
                        <w:adjustRightInd w:val="0"/>
                        <w:spacing w:after="60"/>
                        <w:jc w:val="both"/>
                        <w:textAlignment w:val="center"/>
                        <w:rPr>
                          <w:rFonts w:eastAsia="MS Mincho" w:cs="Arial"/>
                          <w:b/>
                          <w:szCs w:val="22"/>
                        </w:rPr>
                      </w:pPr>
                      <w:r>
                        <w:rPr>
                          <w:rFonts w:eastAsia="MS Mincho" w:cs="Arial"/>
                          <w:b/>
                          <w:szCs w:val="22"/>
                        </w:rPr>
                        <w:t>On-</w:t>
                      </w:r>
                      <w:r w:rsidRPr="00757757">
                        <w:rPr>
                          <w:rFonts w:eastAsia="MS Mincho" w:cs="Arial"/>
                          <w:b/>
                          <w:szCs w:val="22"/>
                        </w:rPr>
                        <w:t>site Provision</w:t>
                      </w:r>
                    </w:p>
                    <w:p w14:paraId="42DE150F" w14:textId="77777777" w:rsidR="00EB3B59" w:rsidRPr="00757757" w:rsidRDefault="00EB3B59" w:rsidP="00F569E7">
                      <w:pPr>
                        <w:pStyle w:val="ListBullet2"/>
                        <w:jc w:val="both"/>
                        <w:rPr>
                          <w:rFonts w:cs="Arial"/>
                        </w:rPr>
                      </w:pPr>
                      <w:r w:rsidRPr="00757757">
                        <w:rPr>
                          <w:rFonts w:cs="Arial"/>
                        </w:rPr>
                        <w:t xml:space="preserve">Play space for all children should be provided on site in the first instance. </w:t>
                      </w:r>
                      <w:r w:rsidRPr="00757757">
                        <w:t>Where there are demonstrable site constraints, play space for under five-year-olds must be on site and older children’s play space must be within the GLA’s specified recommended distances.</w:t>
                      </w:r>
                    </w:p>
                    <w:p w14:paraId="5CDABDE3" w14:textId="77777777" w:rsidR="00EB3B59" w:rsidRPr="003156FB" w:rsidRDefault="00EB3B59" w:rsidP="00F569E7">
                      <w:pPr>
                        <w:pStyle w:val="ListBullet2"/>
                        <w:jc w:val="both"/>
                        <w:rPr>
                          <w:rFonts w:cs="Arial"/>
                        </w:rPr>
                      </w:pPr>
                      <w:r>
                        <w:t xml:space="preserve">Existing parks in the borough cannot be relied on </w:t>
                      </w:r>
                      <w:r w:rsidRPr="003156FB">
                        <w:t>to satisfy the play requirements of children of 12 years and older</w:t>
                      </w:r>
                      <w:r>
                        <w:t xml:space="preserve"> due to capacity constraints. </w:t>
                      </w:r>
                    </w:p>
                    <w:p w14:paraId="4EB382BC" w14:textId="016E1832" w:rsidR="00EB3B59" w:rsidRDefault="00EB3B59" w:rsidP="00F569E7">
                      <w:pPr>
                        <w:jc w:val="both"/>
                        <w:rPr>
                          <w:rStyle w:val="Hyperlink"/>
                          <w:rFonts w:cs="Arial"/>
                          <w:sz w:val="16"/>
                          <w:szCs w:val="16"/>
                        </w:rPr>
                      </w:pPr>
                      <w:r w:rsidRPr="00BF7A9E">
                        <w:rPr>
                          <w:rFonts w:cs="Arial"/>
                          <w:sz w:val="16"/>
                          <w:szCs w:val="16"/>
                        </w:rPr>
                        <w:t>*</w:t>
                      </w:r>
                      <w:r w:rsidRPr="00A46BF9">
                        <w:rPr>
                          <w:sz w:val="18"/>
                          <w:szCs w:val="18"/>
                        </w:rPr>
                        <w:t xml:space="preserve">LBTH has produced a Child Yield Calculator which is used to calculate the child yield and play space requirements for new developments. The tool can be found on the </w:t>
                      </w:r>
                      <w:hyperlink r:id="rId19" w:history="1">
                        <w:r w:rsidRPr="00A46BF9">
                          <w:rPr>
                            <w:rStyle w:val="Hyperlink"/>
                            <w:sz w:val="18"/>
                            <w:szCs w:val="18"/>
                          </w:rPr>
                          <w:t>Local Plan 2031 Examination Library webpage</w:t>
                        </w:r>
                      </w:hyperlink>
                      <w:r>
                        <w:rPr>
                          <w:rStyle w:val="Hyperlink"/>
                          <w:rFonts w:cs="Arial"/>
                          <w:sz w:val="16"/>
                          <w:szCs w:val="16"/>
                        </w:rPr>
                        <w:t>.</w:t>
                      </w:r>
                    </w:p>
                    <w:p w14:paraId="3F20D34E" w14:textId="77777777" w:rsidR="00EB3B59" w:rsidRPr="007D0E4C" w:rsidRDefault="00EB3B59" w:rsidP="000519CD">
                      <w:pPr>
                        <w:widowControl w:val="0"/>
                        <w:autoSpaceDE w:val="0"/>
                        <w:autoSpaceDN w:val="0"/>
                        <w:adjustRightInd w:val="0"/>
                        <w:spacing w:after="60"/>
                        <w:jc w:val="both"/>
                        <w:textAlignment w:val="center"/>
                        <w:rPr>
                          <w:rFonts w:eastAsia="MS Mincho" w:cs="Arial"/>
                          <w:b/>
                          <w:szCs w:val="22"/>
                        </w:rPr>
                      </w:pPr>
                      <w:r w:rsidRPr="007D0E4C">
                        <w:rPr>
                          <w:rFonts w:eastAsia="MS Mincho" w:cs="Arial"/>
                          <w:b/>
                          <w:szCs w:val="22"/>
                        </w:rPr>
                        <w:t>Circumstances for Off-</w:t>
                      </w:r>
                      <w:r>
                        <w:rPr>
                          <w:rFonts w:eastAsia="MS Mincho" w:cs="Arial"/>
                          <w:b/>
                          <w:szCs w:val="22"/>
                        </w:rPr>
                        <w:t>S</w:t>
                      </w:r>
                      <w:r w:rsidRPr="007D0E4C">
                        <w:rPr>
                          <w:rFonts w:eastAsia="MS Mincho" w:cs="Arial"/>
                          <w:b/>
                          <w:szCs w:val="22"/>
                        </w:rPr>
                        <w:t>ite Provision or Financial Contributions</w:t>
                      </w:r>
                    </w:p>
                    <w:p w14:paraId="695729D4" w14:textId="77777777" w:rsidR="00EB3B5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 xml:space="preserve">Only where there are demonstrable site constraints </w:t>
                      </w:r>
                      <w:r w:rsidRPr="00890F09">
                        <w:rPr>
                          <w:rFonts w:eastAsia="MS Mincho" w:cs="Arial"/>
                          <w:szCs w:val="22"/>
                        </w:rPr>
                        <w:t>and</w:t>
                      </w:r>
                      <w:r>
                        <w:rPr>
                          <w:rFonts w:eastAsia="MS Mincho" w:cs="Arial"/>
                          <w:szCs w:val="22"/>
                        </w:rPr>
                        <w:t xml:space="preserve"> the</w:t>
                      </w:r>
                      <w:r w:rsidRPr="00890F09">
                        <w:rPr>
                          <w:rFonts w:eastAsia="MS Mincho" w:cs="Arial"/>
                          <w:szCs w:val="22"/>
                        </w:rPr>
                        <w:t xml:space="preserve"> Council is satisfied that it would deliver a better outcome, will off-site provision and/or a financial contribution be accepted. </w:t>
                      </w:r>
                    </w:p>
                    <w:p w14:paraId="4FECA9B1" w14:textId="77777777" w:rsidR="00EB3B5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Subject to agreement with the Parks and Open Spaces Team, this may</w:t>
                      </w:r>
                      <w:r w:rsidRPr="00890F09">
                        <w:rPr>
                          <w:rFonts w:eastAsia="MS Mincho" w:cs="Arial"/>
                          <w:szCs w:val="22"/>
                        </w:rPr>
                        <w:t xml:space="preserve"> include funding</w:t>
                      </w:r>
                      <w:r>
                        <w:rPr>
                          <w:rFonts w:eastAsia="MS Mincho" w:cs="Arial"/>
                          <w:szCs w:val="22"/>
                        </w:rPr>
                        <w:t xml:space="preserve"> for</w:t>
                      </w:r>
                      <w:r w:rsidRPr="00890F09">
                        <w:rPr>
                          <w:rFonts w:eastAsia="MS Mincho" w:cs="Arial"/>
                          <w:szCs w:val="22"/>
                        </w:rPr>
                        <w:t xml:space="preserve"> the upgrade </w:t>
                      </w:r>
                      <w:r>
                        <w:rPr>
                          <w:rFonts w:eastAsia="MS Mincho" w:cs="Arial"/>
                          <w:szCs w:val="22"/>
                        </w:rPr>
                        <w:t xml:space="preserve">or assortment </w:t>
                      </w:r>
                      <w:r w:rsidRPr="00890F09">
                        <w:rPr>
                          <w:rFonts w:eastAsia="MS Mincho" w:cs="Arial"/>
                          <w:szCs w:val="22"/>
                        </w:rPr>
                        <w:t xml:space="preserve">of play facilities in nearby parks or improvements to access arrangements from the development to the playground. </w:t>
                      </w:r>
                      <w:r>
                        <w:rPr>
                          <w:rFonts w:eastAsia="MS Mincho" w:cs="Arial"/>
                          <w:szCs w:val="22"/>
                        </w:rPr>
                        <w:t xml:space="preserve">The financial contribution will be based on costs for similar upgrades to parks and play facilities undertaken by the Council elsewhere in the Borough. </w:t>
                      </w:r>
                    </w:p>
                    <w:p w14:paraId="4536D8EC" w14:textId="77777777" w:rsidR="00EB3B5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 xml:space="preserve">The financial contribution will include maintenance and repair costs for a five-year period based on comparable equipment / play facilities. The maintenance costs will be index linked annually.  </w:t>
                      </w:r>
                    </w:p>
                    <w:p w14:paraId="642CA59B" w14:textId="77777777" w:rsidR="00EB3B59" w:rsidRPr="00890F09" w:rsidRDefault="00EB3B59" w:rsidP="000519CD">
                      <w:pPr>
                        <w:widowControl w:val="0"/>
                        <w:autoSpaceDE w:val="0"/>
                        <w:autoSpaceDN w:val="0"/>
                        <w:adjustRightInd w:val="0"/>
                        <w:jc w:val="both"/>
                        <w:textAlignment w:val="center"/>
                        <w:rPr>
                          <w:rFonts w:eastAsia="MS Mincho" w:cs="Arial"/>
                          <w:szCs w:val="22"/>
                        </w:rPr>
                      </w:pPr>
                      <w:r>
                        <w:rPr>
                          <w:rFonts w:eastAsia="MS Mincho" w:cs="Arial"/>
                          <w:szCs w:val="22"/>
                        </w:rPr>
                        <w:t xml:space="preserve">The acceptability of off-site provision and/or financial contributions is at the discretion of the Council. </w:t>
                      </w:r>
                    </w:p>
                    <w:p w14:paraId="77A2E464" w14:textId="77777777" w:rsidR="00EB3B59" w:rsidRPr="003A5CDC" w:rsidRDefault="00EB3B59" w:rsidP="00F569E7">
                      <w:pPr>
                        <w:jc w:val="both"/>
                        <w:rPr>
                          <w:rFonts w:cs="Arial"/>
                          <w:color w:val="000000"/>
                          <w:sz w:val="16"/>
                          <w:szCs w:val="16"/>
                        </w:rPr>
                      </w:pPr>
                    </w:p>
                  </w:txbxContent>
                </v:textbox>
                <w10:anchorlock/>
              </v:shape>
            </w:pict>
          </mc:Fallback>
        </mc:AlternateContent>
      </w:r>
    </w:p>
    <w:p w14:paraId="29219A8D" w14:textId="03B02A1B" w:rsidR="00EB61F0" w:rsidRPr="000D65CE" w:rsidRDefault="00EB61F0" w:rsidP="00721B10">
      <w:pPr>
        <w:pStyle w:val="Heading2"/>
      </w:pPr>
      <w:bookmarkStart w:id="19" w:name="_Toc69374679"/>
      <w:r w:rsidRPr="000D65CE">
        <w:t>Environmental Sustainability</w:t>
      </w:r>
      <w:r w:rsidR="000C2A0A" w:rsidRPr="000D65CE">
        <w:t xml:space="preserve"> and Zero Carbon Borough</w:t>
      </w:r>
      <w:bookmarkEnd w:id="19"/>
    </w:p>
    <w:p w14:paraId="0932CA99" w14:textId="77777777" w:rsidR="001B2401" w:rsidRPr="000D65CE" w:rsidRDefault="00EB61F0" w:rsidP="003B280C">
      <w:pPr>
        <w:pStyle w:val="Paragraphs"/>
        <w:rPr>
          <w:lang w:val="en-GB"/>
        </w:rPr>
      </w:pPr>
      <w:r w:rsidRPr="28D940A9">
        <w:rPr>
          <w:lang w:val="en-GB"/>
        </w:rPr>
        <w:t>The</w:t>
      </w:r>
      <w:r w:rsidR="000C2A0A" w:rsidRPr="28D940A9">
        <w:rPr>
          <w:lang w:val="en-GB"/>
        </w:rPr>
        <w:t xml:space="preserve"> delivery of low carbon developments,</w:t>
      </w:r>
      <w:r w:rsidRPr="28D940A9">
        <w:rPr>
          <w:lang w:val="en-GB"/>
        </w:rPr>
        <w:t xml:space="preserve"> promotion of renewable, sustainable forms of energy and enhancements to wildlife biodiversity within Tower Hamlets</w:t>
      </w:r>
      <w:r w:rsidR="0049421F" w:rsidRPr="28D940A9">
        <w:rPr>
          <w:lang w:val="en-GB"/>
        </w:rPr>
        <w:t xml:space="preserve"> are all important aspects </w:t>
      </w:r>
      <w:r w:rsidR="008D7515" w:rsidRPr="28D940A9">
        <w:rPr>
          <w:lang w:val="en-GB"/>
        </w:rPr>
        <w:t>of contributing to</w:t>
      </w:r>
      <w:r w:rsidR="0049421F" w:rsidRPr="28D940A9">
        <w:rPr>
          <w:lang w:val="en-GB"/>
        </w:rPr>
        <w:t xml:space="preserve"> </w:t>
      </w:r>
      <w:r w:rsidR="008D7515" w:rsidRPr="28D940A9">
        <w:rPr>
          <w:lang w:val="en-GB"/>
        </w:rPr>
        <w:t>reducing</w:t>
      </w:r>
      <w:r w:rsidR="00E635D7" w:rsidRPr="28D940A9">
        <w:rPr>
          <w:lang w:val="en-GB"/>
        </w:rPr>
        <w:t xml:space="preserve"> and mitigating the effects of</w:t>
      </w:r>
      <w:r w:rsidR="000C2A0A" w:rsidRPr="28D940A9">
        <w:rPr>
          <w:lang w:val="en-GB"/>
        </w:rPr>
        <w:t xml:space="preserve"> global warming. </w:t>
      </w:r>
      <w:r w:rsidR="00DC762D" w:rsidRPr="28D940A9">
        <w:rPr>
          <w:lang w:val="en-GB"/>
        </w:rPr>
        <w:t>Climate change and biodiversity loss are serious</w:t>
      </w:r>
      <w:r w:rsidR="00B57482" w:rsidRPr="28D940A9">
        <w:rPr>
          <w:lang w:val="en-GB"/>
        </w:rPr>
        <w:t>, catastrophic</w:t>
      </w:r>
      <w:r w:rsidR="00DC762D" w:rsidRPr="28D940A9">
        <w:rPr>
          <w:lang w:val="en-GB"/>
        </w:rPr>
        <w:t xml:space="preserve"> environmental issues </w:t>
      </w:r>
      <w:r w:rsidR="00C75E4B" w:rsidRPr="28D940A9">
        <w:rPr>
          <w:lang w:val="en-GB"/>
        </w:rPr>
        <w:t>occurring on</w:t>
      </w:r>
      <w:r w:rsidR="00B57482" w:rsidRPr="28D940A9">
        <w:rPr>
          <w:lang w:val="en-GB"/>
        </w:rPr>
        <w:t xml:space="preserve"> a worldwide scale </w:t>
      </w:r>
      <w:r w:rsidR="00C75E4B" w:rsidRPr="28D940A9">
        <w:rPr>
          <w:lang w:val="en-GB"/>
        </w:rPr>
        <w:t xml:space="preserve">but also </w:t>
      </w:r>
      <w:r w:rsidR="00DC762D" w:rsidRPr="28D940A9">
        <w:rPr>
          <w:lang w:val="en-GB"/>
        </w:rPr>
        <w:t>impacting Tower Hamlets</w:t>
      </w:r>
      <w:r w:rsidR="00B57482" w:rsidRPr="28D940A9">
        <w:rPr>
          <w:lang w:val="en-GB"/>
        </w:rPr>
        <w:t xml:space="preserve"> at </w:t>
      </w:r>
      <w:r w:rsidR="00C62B56" w:rsidRPr="28D940A9">
        <w:rPr>
          <w:lang w:val="en-GB"/>
        </w:rPr>
        <w:t>the local level</w:t>
      </w:r>
      <w:r w:rsidR="00DC762D" w:rsidRPr="28D940A9">
        <w:rPr>
          <w:lang w:val="en-GB"/>
        </w:rPr>
        <w:t xml:space="preserve">. </w:t>
      </w:r>
    </w:p>
    <w:p w14:paraId="7C930BF9" w14:textId="3E6DA853" w:rsidR="00547E8F" w:rsidRPr="000D65CE" w:rsidRDefault="00866F29" w:rsidP="003B280C">
      <w:pPr>
        <w:pStyle w:val="Paragraphs"/>
        <w:rPr>
          <w:lang w:val="en-GB"/>
        </w:rPr>
      </w:pPr>
      <w:r w:rsidRPr="000D65CE">
        <w:rPr>
          <w:lang w:val="en-GB"/>
        </w:rPr>
        <w:t>The built environment contributes an estimated 35-40% of the UK’s total carbon emissions</w:t>
      </w:r>
      <w:r w:rsidRPr="000D65CE">
        <w:rPr>
          <w:rStyle w:val="FootnoteReference"/>
          <w:lang w:val="en-GB"/>
        </w:rPr>
        <w:footnoteReference w:id="12"/>
      </w:r>
      <w:r w:rsidRPr="000D65CE">
        <w:rPr>
          <w:lang w:val="en-GB"/>
        </w:rPr>
        <w:t>.</w:t>
      </w:r>
      <w:r w:rsidR="00222CE7" w:rsidRPr="000D65CE">
        <w:rPr>
          <w:lang w:val="en-GB"/>
        </w:rPr>
        <w:t xml:space="preserve"> As such,</w:t>
      </w:r>
      <w:r w:rsidRPr="000D65CE">
        <w:rPr>
          <w:lang w:val="en-GB"/>
        </w:rPr>
        <w:t xml:space="preserve"> </w:t>
      </w:r>
      <w:r w:rsidR="00222CE7" w:rsidRPr="000D65CE">
        <w:rPr>
          <w:lang w:val="en-GB"/>
        </w:rPr>
        <w:t>d</w:t>
      </w:r>
      <w:r w:rsidR="00DC762D" w:rsidRPr="000D65CE">
        <w:rPr>
          <w:lang w:val="en-GB"/>
        </w:rPr>
        <w:t>evelopment</w:t>
      </w:r>
      <w:r w:rsidR="00C75E4B" w:rsidRPr="000D65CE">
        <w:rPr>
          <w:lang w:val="en-GB"/>
        </w:rPr>
        <w:t xml:space="preserve"> must</w:t>
      </w:r>
      <w:r w:rsidR="00DC762D" w:rsidRPr="000D65CE">
        <w:rPr>
          <w:lang w:val="en-GB"/>
        </w:rPr>
        <w:t xml:space="preserve"> address</w:t>
      </w:r>
      <w:r w:rsidRPr="000D65CE">
        <w:rPr>
          <w:lang w:val="en-GB"/>
        </w:rPr>
        <w:t xml:space="preserve"> </w:t>
      </w:r>
      <w:r w:rsidR="00C75E4B" w:rsidRPr="000D65CE">
        <w:rPr>
          <w:lang w:val="en-GB"/>
        </w:rPr>
        <w:t xml:space="preserve">its carbon footprint </w:t>
      </w:r>
      <w:r w:rsidR="00DC762D" w:rsidRPr="000D65CE">
        <w:rPr>
          <w:lang w:val="en-GB"/>
        </w:rPr>
        <w:t xml:space="preserve">and reduce </w:t>
      </w:r>
      <w:r w:rsidR="00C75E4B" w:rsidRPr="000D65CE">
        <w:rPr>
          <w:lang w:val="en-GB"/>
        </w:rPr>
        <w:t xml:space="preserve">its </w:t>
      </w:r>
      <w:r w:rsidR="00DC762D" w:rsidRPr="000D65CE">
        <w:rPr>
          <w:lang w:val="en-GB"/>
        </w:rPr>
        <w:t xml:space="preserve">impact </w:t>
      </w:r>
      <w:r w:rsidR="00C75E4B" w:rsidRPr="000D65CE">
        <w:rPr>
          <w:lang w:val="en-GB"/>
        </w:rPr>
        <w:t xml:space="preserve">on </w:t>
      </w:r>
      <w:r w:rsidR="00DC762D" w:rsidRPr="000D65CE">
        <w:rPr>
          <w:lang w:val="en-GB"/>
        </w:rPr>
        <w:t>climate change</w:t>
      </w:r>
      <w:r w:rsidR="00C75E4B" w:rsidRPr="000D65CE">
        <w:rPr>
          <w:lang w:val="en-GB"/>
        </w:rPr>
        <w:t xml:space="preserve"> to protect </w:t>
      </w:r>
      <w:r w:rsidRPr="000D65CE">
        <w:rPr>
          <w:lang w:val="en-GB"/>
        </w:rPr>
        <w:t xml:space="preserve">the </w:t>
      </w:r>
      <w:r w:rsidR="00C44288" w:rsidRPr="000D65CE">
        <w:rPr>
          <w:lang w:val="en-GB"/>
        </w:rPr>
        <w:t>b</w:t>
      </w:r>
      <w:r w:rsidR="00747592" w:rsidRPr="000D65CE">
        <w:rPr>
          <w:lang w:val="en-GB"/>
        </w:rPr>
        <w:t>orough</w:t>
      </w:r>
      <w:r w:rsidRPr="000D65CE">
        <w:rPr>
          <w:lang w:val="en-GB"/>
        </w:rPr>
        <w:t xml:space="preserve">’s </w:t>
      </w:r>
      <w:r w:rsidR="00DC762D" w:rsidRPr="000D65CE">
        <w:rPr>
          <w:lang w:val="en-GB"/>
        </w:rPr>
        <w:t>natur</w:t>
      </w:r>
      <w:r w:rsidR="00C75E4B" w:rsidRPr="000D65CE">
        <w:rPr>
          <w:lang w:val="en-GB"/>
        </w:rPr>
        <w:t>al environment, future generations</w:t>
      </w:r>
      <w:r w:rsidR="00DC762D" w:rsidRPr="000D65CE">
        <w:rPr>
          <w:lang w:val="en-GB"/>
        </w:rPr>
        <w:t>, residents</w:t>
      </w:r>
      <w:r w:rsidR="00B859CB">
        <w:rPr>
          <w:lang w:val="en-GB"/>
        </w:rPr>
        <w:t>’</w:t>
      </w:r>
      <w:r w:rsidR="00DC762D" w:rsidRPr="000D65CE">
        <w:rPr>
          <w:lang w:val="en-GB"/>
        </w:rPr>
        <w:t xml:space="preserve"> businesses and economy. </w:t>
      </w:r>
    </w:p>
    <w:p w14:paraId="303F38BC" w14:textId="77777777" w:rsidR="00086BBE" w:rsidRPr="003E09C9" w:rsidRDefault="002B4BFC" w:rsidP="003E09C9">
      <w:pPr>
        <w:pStyle w:val="Heading3"/>
        <w:rPr>
          <w:rStyle w:val="Strong"/>
          <w:b/>
          <w:bCs/>
        </w:rPr>
      </w:pPr>
      <w:bookmarkStart w:id="20" w:name="_Toc69374680"/>
      <w:r w:rsidRPr="003E09C9">
        <w:rPr>
          <w:rStyle w:val="Strong"/>
          <w:b/>
          <w:bCs/>
        </w:rPr>
        <w:lastRenderedPageBreak/>
        <w:t>Carbon Emission Reduction</w:t>
      </w:r>
      <w:bookmarkEnd w:id="20"/>
    </w:p>
    <w:tbl>
      <w:tblPr>
        <w:tblStyle w:val="TableGrid"/>
        <w:tblW w:w="0" w:type="auto"/>
        <w:tblInd w:w="840"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575071" w:rsidRPr="000D65CE" w14:paraId="4EFF5DBF" w14:textId="77777777" w:rsidTr="00921BA6">
        <w:tc>
          <w:tcPr>
            <w:tcW w:w="3119" w:type="dxa"/>
            <w:tcBorders>
              <w:bottom w:val="single" w:sz="8" w:space="0" w:color="006BB6"/>
            </w:tcBorders>
            <w:shd w:val="clear" w:color="auto" w:fill="F2F2F2" w:themeFill="background1" w:themeFillShade="F2"/>
          </w:tcPr>
          <w:p w14:paraId="04703FB8" w14:textId="77777777" w:rsidR="00575071" w:rsidRPr="000D65CE" w:rsidRDefault="00575071"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61492AE4" w14:textId="77777777" w:rsidR="00575071" w:rsidRPr="000D65CE" w:rsidRDefault="00575071" w:rsidP="003B280C">
            <w:pPr>
              <w:autoSpaceDE w:val="0"/>
              <w:autoSpaceDN w:val="0"/>
              <w:adjustRightInd w:val="0"/>
              <w:spacing w:before="180" w:after="180"/>
              <w:jc w:val="both"/>
              <w:rPr>
                <w:rFonts w:cs="Arial"/>
                <w:szCs w:val="22"/>
              </w:rPr>
            </w:pPr>
            <w:r w:rsidRPr="000D65CE">
              <w:t>S.ES1, D.ES7</w:t>
            </w:r>
          </w:p>
        </w:tc>
      </w:tr>
    </w:tbl>
    <w:p w14:paraId="35BC37F6" w14:textId="77777777" w:rsidR="00575071" w:rsidRPr="000D65CE" w:rsidRDefault="00575071" w:rsidP="003B280C">
      <w:pPr>
        <w:widowControl w:val="0"/>
        <w:autoSpaceDE w:val="0"/>
        <w:autoSpaceDN w:val="0"/>
        <w:adjustRightInd w:val="0"/>
        <w:jc w:val="both"/>
        <w:textAlignment w:val="center"/>
        <w:rPr>
          <w:rFonts w:cs="Arial"/>
          <w:b/>
          <w:bCs/>
          <w:color w:val="000000"/>
        </w:rPr>
      </w:pPr>
    </w:p>
    <w:p w14:paraId="10BBAE77" w14:textId="085F37CE" w:rsidR="001B2401" w:rsidRPr="000D65CE" w:rsidRDefault="000B2663" w:rsidP="003B280C">
      <w:pPr>
        <w:pStyle w:val="Paragraphs"/>
        <w:rPr>
          <w:lang w:val="en-GB"/>
        </w:rPr>
      </w:pPr>
      <w:r w:rsidRPr="28D940A9">
        <w:rPr>
          <w:lang w:val="en-GB"/>
        </w:rPr>
        <w:t>In order to contribute towards</w:t>
      </w:r>
      <w:r w:rsidR="00C75E4B" w:rsidRPr="28D940A9">
        <w:rPr>
          <w:lang w:val="en-GB"/>
        </w:rPr>
        <w:t xml:space="preserve"> achieving</w:t>
      </w:r>
      <w:r w:rsidRPr="28D940A9">
        <w:rPr>
          <w:lang w:val="en-GB"/>
        </w:rPr>
        <w:t xml:space="preserve"> the </w:t>
      </w:r>
      <w:r w:rsidR="003A5CDC" w:rsidRPr="28D940A9">
        <w:rPr>
          <w:lang w:val="en-GB"/>
        </w:rPr>
        <w:t>ca</w:t>
      </w:r>
      <w:r w:rsidR="003767C3" w:rsidRPr="28D940A9">
        <w:rPr>
          <w:lang w:val="en-GB"/>
        </w:rPr>
        <w:t>rbon emission reduction targets</w:t>
      </w:r>
      <w:r w:rsidR="00C75E4B" w:rsidRPr="28D940A9">
        <w:rPr>
          <w:lang w:val="en-GB"/>
        </w:rPr>
        <w:t xml:space="preserve"> set by </w:t>
      </w:r>
      <w:r w:rsidR="003A5CDC" w:rsidRPr="28D940A9">
        <w:rPr>
          <w:lang w:val="en-GB"/>
        </w:rPr>
        <w:t>the London Plan and</w:t>
      </w:r>
      <w:r w:rsidRPr="28D940A9">
        <w:rPr>
          <w:lang w:val="en-GB"/>
        </w:rPr>
        <w:t xml:space="preserve"> </w:t>
      </w:r>
      <w:r w:rsidR="00C04493" w:rsidRPr="28D940A9">
        <w:rPr>
          <w:lang w:val="en-GB"/>
        </w:rPr>
        <w:t xml:space="preserve">ensure the </w:t>
      </w:r>
      <w:r w:rsidR="00C44288" w:rsidRPr="28D940A9">
        <w:rPr>
          <w:lang w:val="en-GB"/>
        </w:rPr>
        <w:t>b</w:t>
      </w:r>
      <w:r w:rsidR="00747592" w:rsidRPr="28D940A9">
        <w:rPr>
          <w:lang w:val="en-GB"/>
        </w:rPr>
        <w:t>orough</w:t>
      </w:r>
      <w:r w:rsidR="00C75E4B" w:rsidRPr="28D940A9">
        <w:rPr>
          <w:lang w:val="en-GB"/>
        </w:rPr>
        <w:t>’s future generations are</w:t>
      </w:r>
      <w:r w:rsidR="00C04493" w:rsidRPr="28D940A9">
        <w:rPr>
          <w:lang w:val="en-GB"/>
        </w:rPr>
        <w:t xml:space="preserve"> not compromised by the </w:t>
      </w:r>
      <w:r w:rsidR="00DC762D" w:rsidRPr="28D940A9">
        <w:rPr>
          <w:lang w:val="en-GB"/>
        </w:rPr>
        <w:t xml:space="preserve">high </w:t>
      </w:r>
      <w:r w:rsidR="00C04493" w:rsidRPr="28D940A9">
        <w:rPr>
          <w:lang w:val="en-GB"/>
        </w:rPr>
        <w:t xml:space="preserve">energy requirements </w:t>
      </w:r>
      <w:r w:rsidR="00F12108" w:rsidRPr="28D940A9">
        <w:rPr>
          <w:lang w:val="en-GB"/>
        </w:rPr>
        <w:t xml:space="preserve">and </w:t>
      </w:r>
      <w:r w:rsidR="00DC762D" w:rsidRPr="28D940A9">
        <w:rPr>
          <w:lang w:val="en-GB"/>
        </w:rPr>
        <w:t xml:space="preserve">consumption </w:t>
      </w:r>
      <w:r w:rsidR="00C04493" w:rsidRPr="28D940A9">
        <w:rPr>
          <w:lang w:val="en-GB"/>
        </w:rPr>
        <w:t>of today, it is essential that developments</w:t>
      </w:r>
      <w:r w:rsidR="00D53676" w:rsidRPr="28D940A9">
        <w:rPr>
          <w:lang w:val="en-GB"/>
        </w:rPr>
        <w:t xml:space="preserve"> meet the carbon dioxide emission reduction standards detailed in Local Plan Policy D.ES7</w:t>
      </w:r>
      <w:r w:rsidR="00F12108" w:rsidRPr="28D940A9">
        <w:rPr>
          <w:lang w:val="en-GB"/>
        </w:rPr>
        <w:t>.</w:t>
      </w:r>
      <w:r w:rsidR="00B4307B" w:rsidRPr="28D940A9">
        <w:rPr>
          <w:lang w:val="en-GB"/>
        </w:rPr>
        <w:t xml:space="preserve"> Developments are encouraged to maximise</w:t>
      </w:r>
      <w:r w:rsidR="003046EA" w:rsidRPr="28D940A9">
        <w:rPr>
          <w:lang w:val="en-GB"/>
        </w:rPr>
        <w:t xml:space="preserve"> </w:t>
      </w:r>
      <w:r w:rsidR="00C04493" w:rsidRPr="28D940A9">
        <w:rPr>
          <w:lang w:val="en-GB"/>
        </w:rPr>
        <w:t>energy efficien</w:t>
      </w:r>
      <w:r w:rsidR="00B4307B" w:rsidRPr="28D940A9">
        <w:rPr>
          <w:lang w:val="en-GB"/>
        </w:rPr>
        <w:t>cy</w:t>
      </w:r>
      <w:r w:rsidR="007E021C" w:rsidRPr="28D940A9">
        <w:rPr>
          <w:lang w:val="en-GB"/>
        </w:rPr>
        <w:t xml:space="preserve"> </w:t>
      </w:r>
      <w:r w:rsidR="00B4307B" w:rsidRPr="28D940A9">
        <w:rPr>
          <w:lang w:val="en-GB"/>
        </w:rPr>
        <w:t xml:space="preserve">to </w:t>
      </w:r>
      <w:r w:rsidR="00C04493" w:rsidRPr="28D940A9">
        <w:rPr>
          <w:lang w:val="en-GB"/>
        </w:rPr>
        <w:t xml:space="preserve">contribute to reducing energy demands and </w:t>
      </w:r>
      <w:r w:rsidR="00B64F1D" w:rsidRPr="28D940A9">
        <w:rPr>
          <w:lang w:val="en-GB"/>
        </w:rPr>
        <w:t>pollution and</w:t>
      </w:r>
      <w:r w:rsidR="00F12108" w:rsidRPr="28D940A9">
        <w:rPr>
          <w:lang w:val="en-GB"/>
        </w:rPr>
        <w:t xml:space="preserve"> move away from fossil fuel consumption</w:t>
      </w:r>
      <w:r w:rsidR="00C04493" w:rsidRPr="28D940A9">
        <w:rPr>
          <w:lang w:val="en-GB"/>
        </w:rPr>
        <w:t>.</w:t>
      </w:r>
      <w:r w:rsidR="00F12108" w:rsidRPr="28D940A9">
        <w:rPr>
          <w:lang w:val="en-GB"/>
        </w:rPr>
        <w:t xml:space="preserve"> </w:t>
      </w:r>
    </w:p>
    <w:p w14:paraId="0B20B365" w14:textId="77777777" w:rsidR="001B2401" w:rsidRPr="000D65CE" w:rsidRDefault="00453304" w:rsidP="003B280C">
      <w:pPr>
        <w:pStyle w:val="Paragraphs"/>
        <w:rPr>
          <w:lang w:val="en-GB"/>
        </w:rPr>
      </w:pPr>
      <w:r w:rsidRPr="28D940A9">
        <w:rPr>
          <w:lang w:val="en-GB"/>
        </w:rPr>
        <w:t>London has a target to become</w:t>
      </w:r>
      <w:r w:rsidR="00632984" w:rsidRPr="28D940A9">
        <w:rPr>
          <w:lang w:val="en-GB"/>
        </w:rPr>
        <w:t xml:space="preserve"> a net zero carbon city</w:t>
      </w:r>
      <w:r w:rsidR="00C75E4B" w:rsidRPr="28D940A9">
        <w:rPr>
          <w:lang w:val="en-GB"/>
        </w:rPr>
        <w:t xml:space="preserve"> by 2050</w:t>
      </w:r>
      <w:r w:rsidR="00632984" w:rsidRPr="28D940A9">
        <w:rPr>
          <w:lang w:val="en-GB"/>
        </w:rPr>
        <w:t xml:space="preserve">. </w:t>
      </w:r>
      <w:r w:rsidR="00C75E4B" w:rsidRPr="28D940A9">
        <w:rPr>
          <w:lang w:val="en-GB"/>
        </w:rPr>
        <w:t xml:space="preserve">If </w:t>
      </w:r>
      <w:r w:rsidR="00172129" w:rsidRPr="28D940A9">
        <w:rPr>
          <w:lang w:val="en-GB"/>
        </w:rPr>
        <w:t>Tower Hamlets</w:t>
      </w:r>
      <w:r w:rsidR="00C75E4B" w:rsidRPr="28D940A9">
        <w:rPr>
          <w:lang w:val="en-GB"/>
        </w:rPr>
        <w:t xml:space="preserve"> is</w:t>
      </w:r>
      <w:r w:rsidR="00172129" w:rsidRPr="28D940A9">
        <w:rPr>
          <w:lang w:val="en-GB"/>
        </w:rPr>
        <w:t xml:space="preserve"> to contribute to this, CO</w:t>
      </w:r>
      <w:r w:rsidR="00172129" w:rsidRPr="28D940A9">
        <w:rPr>
          <w:vertAlign w:val="subscript"/>
          <w:lang w:val="en-GB"/>
        </w:rPr>
        <w:t>2</w:t>
      </w:r>
      <w:r w:rsidR="00172129" w:rsidRPr="28D940A9">
        <w:rPr>
          <w:lang w:val="en-GB"/>
        </w:rPr>
        <w:t xml:space="preserve"> emissions per person need to be reduced significantly. As the third worst performing London </w:t>
      </w:r>
      <w:r w:rsidR="00747592" w:rsidRPr="28D940A9">
        <w:rPr>
          <w:lang w:val="en-GB"/>
        </w:rPr>
        <w:t>Borough</w:t>
      </w:r>
      <w:r w:rsidR="00172129" w:rsidRPr="28D940A9">
        <w:rPr>
          <w:lang w:val="en-GB"/>
        </w:rPr>
        <w:t>, achiev</w:t>
      </w:r>
      <w:r w:rsidR="00C75E4B" w:rsidRPr="28D940A9">
        <w:rPr>
          <w:lang w:val="en-GB"/>
        </w:rPr>
        <w:t>ing only</w:t>
      </w:r>
      <w:r w:rsidR="00172129" w:rsidRPr="28D940A9">
        <w:rPr>
          <w:lang w:val="en-GB"/>
        </w:rPr>
        <w:t xml:space="preserve"> a 22% reduction since 2010, developments have a large role to play in meeting this target.</w:t>
      </w:r>
    </w:p>
    <w:p w14:paraId="008EEAF5" w14:textId="77777777" w:rsidR="006B3AC5" w:rsidRPr="000D65CE" w:rsidRDefault="00C04493" w:rsidP="003B280C">
      <w:pPr>
        <w:pStyle w:val="Paragraphs"/>
        <w:rPr>
          <w:lang w:val="en-GB"/>
        </w:rPr>
      </w:pPr>
      <w:r w:rsidRPr="28D940A9">
        <w:rPr>
          <w:lang w:val="en-GB"/>
        </w:rPr>
        <w:t xml:space="preserve">New development increases the demand for energy supply and requires </w:t>
      </w:r>
      <w:r w:rsidR="00136C83" w:rsidRPr="28D940A9">
        <w:rPr>
          <w:lang w:val="en-GB"/>
        </w:rPr>
        <w:t xml:space="preserve">innovative </w:t>
      </w:r>
      <w:r w:rsidRPr="28D940A9">
        <w:rPr>
          <w:lang w:val="en-GB"/>
        </w:rPr>
        <w:t>solutions to reduce consumption</w:t>
      </w:r>
      <w:r w:rsidR="00136C83" w:rsidRPr="28D940A9">
        <w:rPr>
          <w:lang w:val="en-GB"/>
        </w:rPr>
        <w:t xml:space="preserve"> </w:t>
      </w:r>
      <w:r w:rsidRPr="28D940A9">
        <w:rPr>
          <w:lang w:val="en-GB"/>
        </w:rPr>
        <w:t>and thereby promote sustainable development.</w:t>
      </w:r>
      <w:r w:rsidR="00136C83" w:rsidRPr="28D940A9">
        <w:rPr>
          <w:lang w:val="en-GB"/>
        </w:rPr>
        <w:t xml:space="preserve"> </w:t>
      </w:r>
      <w:r w:rsidR="00632984" w:rsidRPr="28D940A9">
        <w:rPr>
          <w:lang w:val="en-GB"/>
        </w:rPr>
        <w:t xml:space="preserve">Local Plan Policy E.ES1 and the associated explanation note that </w:t>
      </w:r>
      <w:r w:rsidR="00C06416" w:rsidRPr="28D940A9">
        <w:rPr>
          <w:lang w:val="en-GB"/>
        </w:rPr>
        <w:t>development should</w:t>
      </w:r>
      <w:r w:rsidR="0020335C" w:rsidRPr="28D940A9">
        <w:rPr>
          <w:lang w:val="en-GB"/>
        </w:rPr>
        <w:t xml:space="preserve"> follow the principles of the </w:t>
      </w:r>
      <w:r w:rsidR="00C74C60" w:rsidRPr="28D940A9">
        <w:rPr>
          <w:lang w:val="en-GB"/>
        </w:rPr>
        <w:t>energy hierarchy to reduce energy demand and CO</w:t>
      </w:r>
      <w:r w:rsidR="00C74C60" w:rsidRPr="28D940A9">
        <w:rPr>
          <w:vertAlign w:val="subscript"/>
          <w:lang w:val="en-GB"/>
        </w:rPr>
        <w:t>2</w:t>
      </w:r>
      <w:r w:rsidR="00C74C60" w:rsidRPr="28D940A9">
        <w:rPr>
          <w:lang w:val="en-GB"/>
        </w:rPr>
        <w:t xml:space="preserve"> emissions</w:t>
      </w:r>
      <w:r w:rsidR="00003304" w:rsidRPr="28D940A9">
        <w:rPr>
          <w:lang w:val="en-GB"/>
        </w:rPr>
        <w:t xml:space="preserve">. </w:t>
      </w:r>
    </w:p>
    <w:p w14:paraId="5BFA0E84" w14:textId="474A41E6" w:rsidR="006B3AC5" w:rsidRPr="000D65CE" w:rsidRDefault="006B3AC5" w:rsidP="003B280C">
      <w:pPr>
        <w:spacing w:before="360" w:after="120"/>
        <w:jc w:val="both"/>
        <w:rPr>
          <w:b/>
          <w:color w:val="00477E"/>
          <w:sz w:val="24"/>
        </w:rPr>
      </w:pPr>
      <w:r w:rsidRPr="000D65CE">
        <w:rPr>
          <w:b/>
          <w:color w:val="00477E"/>
          <w:sz w:val="24"/>
        </w:rPr>
        <w:t xml:space="preserve">How the Council will </w:t>
      </w:r>
      <w:r w:rsidR="006D1037" w:rsidRPr="000D65CE">
        <w:rPr>
          <w:b/>
          <w:color w:val="00477E"/>
          <w:sz w:val="24"/>
        </w:rPr>
        <w:t xml:space="preserve">Secure Reduced Carbon Emissions Through </w:t>
      </w:r>
      <w:r w:rsidR="005A6B4C">
        <w:rPr>
          <w:b/>
          <w:color w:val="00477E"/>
          <w:sz w:val="24"/>
        </w:rPr>
        <w:t>Planning Obligations</w:t>
      </w:r>
    </w:p>
    <w:p w14:paraId="230BD63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82705E2"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C195E28"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43E0111"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9BBCF87"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5154C8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D25B2C1"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A477C8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3819F95"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ED4151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939AD6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4BF36E5"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6A9B22D"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725510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DA22380"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038DAE9"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0330EC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1CA1AD1"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173A4C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C866DB8"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C2C017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F41E37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DC10C6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20584A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8BF3EE8"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BDD1941"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C1EBDB0"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25FD22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10D9AA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1F3B26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D0F947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9BFC03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C3F0601"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8D63B6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DB13BCD"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350047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FC7E64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2DB0419"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73901A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1025ECD"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2FBE29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42FDDD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B5F7DE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96D886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A173CA0"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87D921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45AD05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AF6FB0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0095DE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264A51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A1E16FC"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F647AC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CC78EE5"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EC1B62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876545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E8E0A1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A25B33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3598B9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D4DF42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29D62F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AEBCC1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30281EC"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23F3191"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D5D8B0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8AB4F0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F0498E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E6A1D45"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7F1D3FB"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35E1DF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CAFBDFB"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D1823B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21E318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B5E643B"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F37E5C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E77D66B"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669A4C2"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DE270C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30E6FD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BE67A1B"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3E72B35"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671827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BA6225C"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F81002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2F0DFF8"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DCCFF3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C67BDD1"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2E9D6DC"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0FE4B142"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370E3DA"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2CE208D9"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67A40D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B15D03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EE2C27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C4A8D24"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3159656"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7E354F9C"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E3C02DD"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3F46C767"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95CA292"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11D580F3"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46C0AFD0"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925879E"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5FD0960F" w14:textId="77777777" w:rsidR="00A951AE" w:rsidRPr="00A951AE" w:rsidRDefault="00A951AE" w:rsidP="00A951AE">
      <w:pPr>
        <w:pStyle w:val="ListParagraph"/>
        <w:widowControl w:val="0"/>
        <w:numPr>
          <w:ilvl w:val="1"/>
          <w:numId w:val="49"/>
        </w:numPr>
        <w:autoSpaceDE w:val="0"/>
        <w:autoSpaceDN w:val="0"/>
        <w:adjustRightInd w:val="0"/>
        <w:contextualSpacing w:val="0"/>
        <w:jc w:val="both"/>
        <w:textAlignment w:val="center"/>
        <w:rPr>
          <w:rFonts w:cs="Arial"/>
          <w:vanish/>
          <w:szCs w:val="22"/>
          <w:lang w:val="en-US"/>
        </w:rPr>
      </w:pPr>
    </w:p>
    <w:p w14:paraId="6019993C" w14:textId="77777777" w:rsidR="00A951AE" w:rsidRPr="00A951AE" w:rsidRDefault="00A951AE" w:rsidP="00A951AE">
      <w:pPr>
        <w:pStyle w:val="Paragraphs"/>
        <w:numPr>
          <w:ilvl w:val="1"/>
          <w:numId w:val="49"/>
        </w:numPr>
        <w:ind w:left="794" w:hanging="624"/>
        <w:rPr>
          <w:u w:val="single"/>
        </w:rPr>
      </w:pPr>
      <w:r w:rsidRPr="00A951AE">
        <w:t>Local Plan Policy D.ES7 requires all new developments to be zero carbon, and to achieve a minimum of 45% reduction in regulated carbon dioxide emissions on-site with up to 20% reduction of emissions through on-site renewable energy generation.</w:t>
      </w:r>
      <w:r w:rsidR="00885F45">
        <w:t xml:space="preserve"> The remaining regulated carbon dioxide emissions to 100% are required to be off-set through a payment-in-lieu</w:t>
      </w:r>
      <w:r w:rsidRPr="00A951AE">
        <w:t xml:space="preserve"> </w:t>
      </w:r>
      <w:r w:rsidRPr="00A951AE" w:rsidDel="006B3AC5">
        <w:t xml:space="preserve"> </w:t>
      </w:r>
    </w:p>
    <w:p w14:paraId="33FAB922" w14:textId="626AE50B" w:rsidR="00924A63" w:rsidRPr="00DC6720" w:rsidRDefault="00C2563F" w:rsidP="003B280C">
      <w:pPr>
        <w:pStyle w:val="Paragraphs"/>
        <w:rPr>
          <w:lang w:val="en-GB"/>
        </w:rPr>
      </w:pPr>
      <w:r w:rsidRPr="28D940A9">
        <w:rPr>
          <w:lang w:val="en-GB"/>
        </w:rPr>
        <w:t xml:space="preserve">The formula to calculate the carbon </w:t>
      </w:r>
      <w:r w:rsidR="00003304" w:rsidRPr="28D940A9">
        <w:rPr>
          <w:lang w:val="en-GB"/>
        </w:rPr>
        <w:t xml:space="preserve">offset payment is based </w:t>
      </w:r>
      <w:r w:rsidRPr="28D940A9">
        <w:rPr>
          <w:lang w:val="en-GB"/>
        </w:rPr>
        <w:t>o</w:t>
      </w:r>
      <w:r w:rsidR="00003304" w:rsidRPr="28D940A9">
        <w:rPr>
          <w:lang w:val="en-GB"/>
        </w:rPr>
        <w:t>n</w:t>
      </w:r>
      <w:r w:rsidRPr="28D940A9">
        <w:rPr>
          <w:lang w:val="en-GB"/>
        </w:rPr>
        <w:t xml:space="preserve"> the </w:t>
      </w:r>
      <w:r w:rsidR="00103A46" w:rsidRPr="28D940A9">
        <w:rPr>
          <w:lang w:val="en-GB"/>
        </w:rPr>
        <w:t xml:space="preserve">carbon off-set </w:t>
      </w:r>
      <w:r w:rsidR="0049421F" w:rsidRPr="28D940A9">
        <w:rPr>
          <w:lang w:val="en-GB"/>
        </w:rPr>
        <w:t>price</w:t>
      </w:r>
      <w:r w:rsidR="000515D1" w:rsidRPr="28D940A9">
        <w:rPr>
          <w:lang w:val="en-GB"/>
        </w:rPr>
        <w:t xml:space="preserve"> set by </w:t>
      </w:r>
      <w:r w:rsidR="00003304" w:rsidRPr="28D940A9">
        <w:rPr>
          <w:lang w:val="en-GB"/>
        </w:rPr>
        <w:t>Tower Hamlets</w:t>
      </w:r>
      <w:r w:rsidR="00CC5C5C" w:rsidRPr="28D940A9">
        <w:rPr>
          <w:lang w:val="en-GB"/>
        </w:rPr>
        <w:t xml:space="preserve"> to deliver the most up-to-date considerations for carbon offsetting.</w:t>
      </w:r>
      <w:r w:rsidR="00103A46" w:rsidRPr="28D940A9">
        <w:rPr>
          <w:lang w:val="en-GB"/>
        </w:rPr>
        <w:t xml:space="preserve"> </w:t>
      </w:r>
      <w:r w:rsidR="00C74C60" w:rsidRPr="28D940A9">
        <w:rPr>
          <w:lang w:val="en-GB"/>
        </w:rPr>
        <w:t xml:space="preserve">The obligation to pay the carbon offset payment will be secured in the </w:t>
      </w:r>
      <w:r w:rsidR="00032BFE" w:rsidRPr="28D940A9">
        <w:rPr>
          <w:lang w:val="en-GB"/>
        </w:rPr>
        <w:t xml:space="preserve">legal </w:t>
      </w:r>
      <w:r w:rsidR="00C74C60" w:rsidRPr="28D940A9">
        <w:rPr>
          <w:lang w:val="en-GB"/>
        </w:rPr>
        <w:t>agreement</w:t>
      </w:r>
      <w:r w:rsidR="004C59EB" w:rsidRPr="28D940A9">
        <w:rPr>
          <w:lang w:val="en-GB"/>
        </w:rPr>
        <w:t>.</w:t>
      </w:r>
    </w:p>
    <w:p w14:paraId="349D2552" w14:textId="31B26BF3" w:rsidR="00924A63" w:rsidRDefault="00840B2B" w:rsidP="003B280C">
      <w:pPr>
        <w:pStyle w:val="Paragraphs"/>
        <w:rPr>
          <w:lang w:val="en-GB"/>
        </w:rPr>
      </w:pPr>
      <w:r w:rsidRPr="28D940A9">
        <w:rPr>
          <w:lang w:val="en-GB"/>
        </w:rPr>
        <w:t xml:space="preserve">The money raised through the carbon offset payments </w:t>
      </w:r>
      <w:r w:rsidR="0049421F" w:rsidRPr="28D940A9">
        <w:rPr>
          <w:lang w:val="en-GB"/>
        </w:rPr>
        <w:t>is</w:t>
      </w:r>
      <w:r w:rsidRPr="28D940A9">
        <w:rPr>
          <w:lang w:val="en-GB"/>
        </w:rPr>
        <w:t xml:space="preserve"> spent on</w:t>
      </w:r>
      <w:r w:rsidR="005A6B4C" w:rsidRPr="28D940A9">
        <w:rPr>
          <w:lang w:val="en-GB"/>
        </w:rPr>
        <w:t xml:space="preserve"> the</w:t>
      </w:r>
      <w:r w:rsidRPr="28D940A9">
        <w:rPr>
          <w:lang w:val="en-GB"/>
        </w:rPr>
        <w:t xml:space="preserve"> priorities outlined in the Carbon Offset </w:t>
      </w:r>
      <w:r w:rsidR="004D32F8" w:rsidRPr="28D940A9">
        <w:rPr>
          <w:lang w:val="en-GB"/>
        </w:rPr>
        <w:t xml:space="preserve">Solutions </w:t>
      </w:r>
      <w:r w:rsidR="00003304" w:rsidRPr="28D940A9">
        <w:rPr>
          <w:lang w:val="en-GB"/>
        </w:rPr>
        <w:t>Study</w:t>
      </w:r>
      <w:r w:rsidR="00CC5C5C" w:rsidRPr="28D940A9">
        <w:rPr>
          <w:lang w:val="en-GB"/>
        </w:rPr>
        <w:t xml:space="preserve"> and LBTH Zero Carbon Roadmap.</w:t>
      </w:r>
      <w:r w:rsidR="001B68DA" w:rsidRPr="28D940A9">
        <w:rPr>
          <w:lang w:val="en-GB"/>
        </w:rPr>
        <w:t xml:space="preserve"> </w:t>
      </w:r>
    </w:p>
    <w:p w14:paraId="23717448" w14:textId="77777777" w:rsidR="00DC6720" w:rsidRDefault="00DC6720" w:rsidP="00DC6720"/>
    <w:p w14:paraId="5286B171" w14:textId="77777777" w:rsidR="00DC6720" w:rsidRPr="000D65CE" w:rsidRDefault="00DC6720" w:rsidP="00DC6720"/>
    <w:p w14:paraId="56EF5854" w14:textId="77777777" w:rsidR="000519CD" w:rsidRDefault="000519CD" w:rsidP="003B280C">
      <w:pPr>
        <w:jc w:val="both"/>
        <w:rPr>
          <w:b/>
        </w:rPr>
      </w:pPr>
    </w:p>
    <w:p w14:paraId="1DA5F4E1" w14:textId="77777777" w:rsidR="000A57A6" w:rsidRDefault="000A57A6" w:rsidP="000519CD">
      <w:pPr>
        <w:spacing w:after="120"/>
        <w:jc w:val="both"/>
        <w:rPr>
          <w:b/>
        </w:rPr>
      </w:pPr>
    </w:p>
    <w:p w14:paraId="55719B81" w14:textId="293627EA" w:rsidR="000519CD" w:rsidRDefault="00DC6720" w:rsidP="000519CD">
      <w:pPr>
        <w:spacing w:after="120"/>
        <w:jc w:val="both"/>
        <w:rPr>
          <w:b/>
        </w:rPr>
      </w:pPr>
      <w:r w:rsidRPr="003D2BA4">
        <w:rPr>
          <w:b/>
        </w:rPr>
        <w:lastRenderedPageBreak/>
        <w:t xml:space="preserve">Text Box </w:t>
      </w:r>
      <w:r>
        <w:rPr>
          <w:b/>
        </w:rPr>
        <w:t>22</w:t>
      </w:r>
      <w:r w:rsidRPr="003D2BA4">
        <w:rPr>
          <w:b/>
        </w:rPr>
        <w:t xml:space="preserve">: </w:t>
      </w:r>
      <w:r>
        <w:rPr>
          <w:b/>
        </w:rPr>
        <w:t>Carbon Emission Reductions</w:t>
      </w:r>
    </w:p>
    <w:p w14:paraId="5717F4D0" w14:textId="227AA0A5" w:rsidR="003B49F4" w:rsidRPr="000D65CE" w:rsidRDefault="004854FA" w:rsidP="003B280C">
      <w:pPr>
        <w:jc w:val="both"/>
      </w:pPr>
      <w:r w:rsidRPr="000D65CE">
        <w:rPr>
          <w:noProof/>
          <w:lang w:eastAsia="en-GB"/>
        </w:rPr>
        <mc:AlternateContent>
          <mc:Choice Requires="wps">
            <w:drawing>
              <wp:inline distT="0" distB="0" distL="0" distR="0" wp14:anchorId="21D993F6" wp14:editId="73AAE931">
                <wp:extent cx="5762625" cy="7666074"/>
                <wp:effectExtent l="0" t="0" r="9525"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7666074"/>
                        </a:xfrm>
                        <a:prstGeom prst="rect">
                          <a:avLst/>
                        </a:prstGeom>
                        <a:solidFill>
                          <a:schemeClr val="accent1">
                            <a:lumMod val="20000"/>
                            <a:lumOff val="80000"/>
                          </a:schemeClr>
                        </a:solidFill>
                        <a:ln>
                          <a:noFill/>
                        </a:ln>
                        <a:effectLst/>
                      </wps:spPr>
                      <wps:txbx>
                        <w:txbxContent>
                          <w:p w14:paraId="1517EAD0" w14:textId="77777777" w:rsidR="00EB3B59" w:rsidRPr="004854FA" w:rsidRDefault="00EB3B59" w:rsidP="00043531">
                            <w:pPr>
                              <w:widowControl w:val="0"/>
                              <w:autoSpaceDE w:val="0"/>
                              <w:autoSpaceDN w:val="0"/>
                              <w:adjustRightInd w:val="0"/>
                              <w:jc w:val="both"/>
                              <w:textAlignment w:val="center"/>
                              <w:rPr>
                                <w:rFonts w:cs="Arial"/>
                                <w:b/>
                                <w:szCs w:val="22"/>
                                <w:lang w:val="en-US"/>
                              </w:rPr>
                            </w:pPr>
                            <w:r w:rsidRPr="004854FA">
                              <w:rPr>
                                <w:rFonts w:cs="Arial"/>
                                <w:b/>
                                <w:szCs w:val="22"/>
                                <w:lang w:val="en-US"/>
                              </w:rPr>
                              <w:t>Threshold and Contribution Requirements</w:t>
                            </w:r>
                          </w:p>
                          <w:p w14:paraId="5197FCE9" w14:textId="77777777"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obligations relating to </w:t>
                            </w:r>
                            <w:r>
                              <w:rPr>
                                <w:rFonts w:cs="Arial"/>
                                <w:szCs w:val="22"/>
                              </w:rPr>
                              <w:t>e</w:t>
                            </w:r>
                            <w:r w:rsidRPr="002748AE">
                              <w:rPr>
                                <w:rFonts w:cs="Arial"/>
                                <w:szCs w:val="22"/>
                              </w:rPr>
                              <w:t>nergy will be sought for:</w:t>
                            </w:r>
                          </w:p>
                          <w:p w14:paraId="4ECE5E32" w14:textId="5233EFA9" w:rsidR="00EB3B59" w:rsidRDefault="00EB3B59" w:rsidP="0055222C">
                            <w:pPr>
                              <w:pStyle w:val="ListParagraph"/>
                              <w:numPr>
                                <w:ilvl w:val="0"/>
                                <w:numId w:val="3"/>
                              </w:numPr>
                              <w:autoSpaceDE w:val="0"/>
                              <w:autoSpaceDN w:val="0"/>
                              <w:adjustRightInd w:val="0"/>
                              <w:jc w:val="both"/>
                              <w:rPr>
                                <w:rFonts w:cs="Arial"/>
                                <w:szCs w:val="22"/>
                              </w:rPr>
                            </w:pPr>
                            <w:r>
                              <w:rPr>
                                <w:rFonts w:cs="Arial"/>
                                <w:szCs w:val="22"/>
                              </w:rPr>
                              <w:t>R</w:t>
                            </w:r>
                            <w:r w:rsidRPr="003B49F4">
                              <w:rPr>
                                <w:rFonts w:cs="Arial"/>
                                <w:szCs w:val="22"/>
                              </w:rPr>
                              <w:t xml:space="preserve">esidential developments of 10 units </w:t>
                            </w:r>
                            <w:r>
                              <w:rPr>
                                <w:rFonts w:cs="Arial"/>
                                <w:szCs w:val="22"/>
                              </w:rPr>
                              <w:t xml:space="preserve">or more, </w:t>
                            </w:r>
                            <w:r w:rsidRPr="003B49F4">
                              <w:rPr>
                                <w:rFonts w:cs="Arial"/>
                                <w:szCs w:val="22"/>
                              </w:rPr>
                              <w:t>or with a combined gross floorspace of 1,000 sqm (</w:t>
                            </w:r>
                            <w:r>
                              <w:rPr>
                                <w:rFonts w:cs="Arial"/>
                                <w:szCs w:val="22"/>
                              </w:rPr>
                              <w:t>GIA</w:t>
                            </w:r>
                            <w:r w:rsidRPr="003B49F4">
                              <w:rPr>
                                <w:rFonts w:cs="Arial"/>
                                <w:szCs w:val="22"/>
                              </w:rPr>
                              <w:t>) or mor</w:t>
                            </w:r>
                            <w:r>
                              <w:rPr>
                                <w:rFonts w:cs="Arial"/>
                                <w:szCs w:val="22"/>
                              </w:rPr>
                              <w:t>e.</w:t>
                            </w:r>
                          </w:p>
                          <w:p w14:paraId="5E007F0D" w14:textId="77777777" w:rsidR="00EB3B59" w:rsidRPr="00043531" w:rsidRDefault="00EB3B59" w:rsidP="0055222C">
                            <w:pPr>
                              <w:pStyle w:val="ListParagraph"/>
                              <w:numPr>
                                <w:ilvl w:val="0"/>
                                <w:numId w:val="3"/>
                              </w:numPr>
                              <w:autoSpaceDE w:val="0"/>
                              <w:autoSpaceDN w:val="0"/>
                              <w:adjustRightInd w:val="0"/>
                              <w:jc w:val="both"/>
                              <w:rPr>
                                <w:rFonts w:cs="Arial"/>
                                <w:b/>
                                <w:bCs/>
                                <w:szCs w:val="22"/>
                              </w:rPr>
                            </w:pPr>
                            <w:r>
                              <w:rPr>
                                <w:rFonts w:cs="Arial"/>
                                <w:szCs w:val="22"/>
                              </w:rPr>
                              <w:t>Al</w:t>
                            </w:r>
                            <w:r w:rsidRPr="008138A9">
                              <w:rPr>
                                <w:rFonts w:cs="Arial"/>
                                <w:szCs w:val="22"/>
                              </w:rPr>
                              <w:t>l major commercial development</w:t>
                            </w:r>
                            <w:r>
                              <w:rPr>
                                <w:rFonts w:cs="Arial"/>
                                <w:szCs w:val="22"/>
                              </w:rPr>
                              <w:t>.</w:t>
                            </w:r>
                            <w:r w:rsidRPr="008138A9">
                              <w:rPr>
                                <w:rFonts w:cs="Arial"/>
                                <w:szCs w:val="22"/>
                              </w:rPr>
                              <w:t xml:space="preserve"> </w:t>
                            </w:r>
                          </w:p>
                          <w:p w14:paraId="5416FC39"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CO</w:t>
                            </w:r>
                            <w:r w:rsidRPr="0050531B">
                              <w:rPr>
                                <w:rFonts w:cs="Arial"/>
                                <w:b/>
                                <w:bCs/>
                                <w:szCs w:val="22"/>
                                <w:vertAlign w:val="subscript"/>
                              </w:rPr>
                              <w:t>2</w:t>
                            </w:r>
                            <w:r w:rsidRPr="002748AE">
                              <w:rPr>
                                <w:rFonts w:cs="Arial"/>
                                <w:b/>
                                <w:bCs/>
                                <w:szCs w:val="22"/>
                              </w:rPr>
                              <w:t xml:space="preserve"> Reduction</w:t>
                            </w:r>
                          </w:p>
                          <w:p w14:paraId="10D70322" w14:textId="77777777" w:rsidR="00EB3B59" w:rsidRPr="002748AE" w:rsidRDefault="00EB3B59" w:rsidP="00316854">
                            <w:pPr>
                              <w:jc w:val="both"/>
                              <w:rPr>
                                <w:rFonts w:cs="Arial"/>
                                <w:szCs w:val="22"/>
                              </w:rPr>
                            </w:pPr>
                            <w:r w:rsidRPr="002748AE">
                              <w:rPr>
                                <w:rFonts w:cs="Arial"/>
                                <w:szCs w:val="22"/>
                              </w:rPr>
                              <w:t>Where officers consider all opportunities to meet the relevant</w:t>
                            </w:r>
                            <w:r>
                              <w:rPr>
                                <w:rFonts w:cs="Arial"/>
                                <w:szCs w:val="22"/>
                              </w:rPr>
                              <w:t xml:space="preserve"> </w:t>
                            </w:r>
                            <w:r w:rsidRPr="002748AE">
                              <w:rPr>
                                <w:rFonts w:cs="Arial"/>
                                <w:szCs w:val="22"/>
                              </w:rPr>
                              <w:t>carbon reduction targets have been exhausted</w:t>
                            </w:r>
                            <w:r w:rsidRPr="003668E1">
                              <w:rPr>
                                <w:rFonts w:cs="Arial"/>
                                <w:szCs w:val="22"/>
                              </w:rPr>
                              <w:t xml:space="preserve"> </w:t>
                            </w:r>
                            <w:r w:rsidRPr="002748AE">
                              <w:rPr>
                                <w:rFonts w:cs="Arial"/>
                                <w:szCs w:val="22"/>
                              </w:rPr>
                              <w:t>on-site, contributions to a carbon offsetting fund will be sought to meet the shortfall.</w:t>
                            </w:r>
                          </w:p>
                          <w:p w14:paraId="239FDC76" w14:textId="77777777" w:rsidR="00EB3B59" w:rsidRPr="002748AE" w:rsidRDefault="00EB3B59" w:rsidP="00316854">
                            <w:pPr>
                              <w:jc w:val="both"/>
                              <w:rPr>
                                <w:rFonts w:cs="Arial"/>
                                <w:b/>
                                <w:i/>
                                <w:iCs/>
                              </w:rPr>
                            </w:pPr>
                            <w:r w:rsidRPr="00861CA7">
                              <w:rPr>
                                <w:rFonts w:cs="Arial"/>
                                <w:b/>
                                <w:iCs/>
                                <w:szCs w:val="22"/>
                              </w:rPr>
                              <w:t xml:space="preserve">Carbon </w:t>
                            </w:r>
                            <w:r>
                              <w:rPr>
                                <w:rFonts w:cs="Arial"/>
                                <w:b/>
                                <w:iCs/>
                                <w:szCs w:val="22"/>
                              </w:rPr>
                              <w:t>O</w:t>
                            </w:r>
                            <w:r w:rsidRPr="00861CA7">
                              <w:rPr>
                                <w:rFonts w:cs="Arial"/>
                                <w:b/>
                                <w:iCs/>
                                <w:szCs w:val="22"/>
                              </w:rPr>
                              <w:t>ffsetting</w:t>
                            </w:r>
                            <w:r>
                              <w:rPr>
                                <w:rFonts w:cs="Arial"/>
                                <w:b/>
                                <w:iCs/>
                                <w:szCs w:val="22"/>
                              </w:rPr>
                              <w:t xml:space="preserve"> Contribution</w:t>
                            </w:r>
                          </w:p>
                          <w:p w14:paraId="46D95BAE" w14:textId="77777777" w:rsidR="00EB3B59" w:rsidRDefault="00EB3B59" w:rsidP="00316854">
                            <w:pPr>
                              <w:jc w:val="both"/>
                              <w:rPr>
                                <w:rFonts w:cs="Arial"/>
                                <w:iCs/>
                                <w:szCs w:val="22"/>
                              </w:rPr>
                            </w:pPr>
                            <w:r w:rsidRPr="006F1274">
                              <w:rPr>
                                <w:rFonts w:cs="Arial"/>
                                <w:iCs/>
                                <w:szCs w:val="22"/>
                              </w:rPr>
                              <w:t>Carbon Gap (Tonnes of CO</w:t>
                            </w:r>
                            <w:r w:rsidRPr="00C2563F">
                              <w:rPr>
                                <w:rFonts w:cs="Arial"/>
                                <w:iCs/>
                                <w:szCs w:val="22"/>
                                <w:vertAlign w:val="subscript"/>
                              </w:rPr>
                              <w:t>2</w:t>
                            </w:r>
                            <w:r w:rsidRPr="006F1274">
                              <w:rPr>
                                <w:rFonts w:cs="Arial"/>
                                <w:iCs/>
                                <w:szCs w:val="22"/>
                              </w:rPr>
                              <w:t xml:space="preserve">) x Price of Carbon (£) x </w:t>
                            </w:r>
                            <w:r>
                              <w:rPr>
                                <w:rFonts w:cs="Arial"/>
                                <w:iCs/>
                                <w:szCs w:val="22"/>
                              </w:rPr>
                              <w:t>30 (</w:t>
                            </w:r>
                            <w:r w:rsidRPr="006F1274">
                              <w:rPr>
                                <w:rFonts w:cs="Arial"/>
                                <w:iCs/>
                                <w:szCs w:val="22"/>
                              </w:rPr>
                              <w:t>Years</w:t>
                            </w:r>
                            <w:r>
                              <w:rPr>
                                <w:rFonts w:cs="Arial"/>
                                <w:iCs/>
                                <w:szCs w:val="22"/>
                              </w:rPr>
                              <w:t>)</w:t>
                            </w:r>
                          </w:p>
                          <w:p w14:paraId="1B9F00A0" w14:textId="77777777" w:rsidR="00EB3B59" w:rsidRPr="00D7280E" w:rsidRDefault="00EB3B59" w:rsidP="00316854">
                            <w:pPr>
                              <w:jc w:val="both"/>
                              <w:rPr>
                                <w:rFonts w:cs="Arial"/>
                                <w:szCs w:val="22"/>
                                <w:u w:val="single"/>
                              </w:rPr>
                            </w:pPr>
                            <w:r>
                              <w:rPr>
                                <w:rFonts w:cs="Arial"/>
                                <w:szCs w:val="22"/>
                                <w:u w:val="single"/>
                              </w:rPr>
                              <w:t>_______________________________________</w:t>
                            </w:r>
                            <w:r w:rsidRPr="007B1194">
                              <w:rPr>
                                <w:rFonts w:cs="Arial"/>
                                <w:szCs w:val="22"/>
                                <w:u w:val="single"/>
                              </w:rPr>
                              <w:t xml:space="preserve"> </w:t>
                            </w:r>
                          </w:p>
                          <w:p w14:paraId="3DE7A882" w14:textId="77777777" w:rsidR="00EB3B59" w:rsidRPr="00CD200D" w:rsidRDefault="00EB3B59" w:rsidP="00316854">
                            <w:pPr>
                              <w:jc w:val="both"/>
                              <w:rPr>
                                <w:rFonts w:cs="Arial"/>
                                <w:b/>
                                <w:iCs/>
                                <w:szCs w:val="22"/>
                              </w:rPr>
                            </w:pPr>
                            <w:r w:rsidRPr="00CD200D">
                              <w:rPr>
                                <w:rFonts w:cs="Arial"/>
                                <w:b/>
                                <w:iCs/>
                                <w:szCs w:val="22"/>
                              </w:rPr>
                              <w:t>= Carbon offset contribution required</w:t>
                            </w:r>
                          </w:p>
                          <w:p w14:paraId="7B384768" w14:textId="77777777" w:rsidR="00EB3B59" w:rsidRDefault="00EB3B59" w:rsidP="00316854">
                            <w:pPr>
                              <w:jc w:val="both"/>
                              <w:rPr>
                                <w:rFonts w:cs="Arial"/>
                                <w:iCs/>
                                <w:szCs w:val="22"/>
                              </w:rPr>
                            </w:pPr>
                            <w:r w:rsidRPr="006F1274">
                              <w:rPr>
                                <w:rFonts w:cs="Arial"/>
                                <w:iCs/>
                                <w:szCs w:val="22"/>
                              </w:rPr>
                              <w:t xml:space="preserve">‘Carbon Gap’ is the amount of regulated carbon emissions that remains following </w:t>
                            </w:r>
                            <w:r>
                              <w:rPr>
                                <w:rFonts w:cs="Arial"/>
                                <w:iCs/>
                                <w:szCs w:val="22"/>
                              </w:rPr>
                              <w:t xml:space="preserve">the </w:t>
                            </w:r>
                            <w:r w:rsidRPr="006F1274">
                              <w:rPr>
                                <w:rFonts w:cs="Arial"/>
                                <w:iCs/>
                                <w:szCs w:val="22"/>
                              </w:rPr>
                              <w:t xml:space="preserve">integration of energy efficiency measures, clean energy systems and renewable energy technologies to a design, which goes beyond that required by Part L of the Building Regulations. </w:t>
                            </w:r>
                          </w:p>
                          <w:p w14:paraId="78FCA1E4" w14:textId="40B60217" w:rsidR="00EB3B59" w:rsidRDefault="00EB3B59" w:rsidP="008900C7">
                            <w:pPr>
                              <w:jc w:val="both"/>
                              <w:rPr>
                                <w:rFonts w:cs="Arial"/>
                                <w:iCs/>
                                <w:szCs w:val="22"/>
                              </w:rPr>
                            </w:pPr>
                            <w:r>
                              <w:rPr>
                                <w:rFonts w:cs="Arial"/>
                                <w:iCs/>
                                <w:szCs w:val="22"/>
                              </w:rPr>
                              <w:t>The c</w:t>
                            </w:r>
                            <w:r w:rsidRPr="00240694">
                              <w:rPr>
                                <w:rFonts w:cs="Arial"/>
                                <w:iCs/>
                                <w:szCs w:val="22"/>
                              </w:rPr>
                              <w:t>arbon off-set price</w:t>
                            </w:r>
                            <w:r>
                              <w:rPr>
                                <w:rFonts w:cs="Arial"/>
                                <w:iCs/>
                                <w:szCs w:val="22"/>
                              </w:rPr>
                              <w:t xml:space="preserve"> will follow the price set in the most recently adopted London Plan.</w:t>
                            </w:r>
                            <w:r w:rsidR="00810D72">
                              <w:rPr>
                                <w:rFonts w:cs="Arial"/>
                                <w:iCs/>
                                <w:szCs w:val="22"/>
                              </w:rPr>
                              <w:t xml:space="preserve"> </w:t>
                            </w:r>
                            <w:r w:rsidR="00810D72">
                              <w:rPr>
                                <w:rFonts w:cs="Arial"/>
                                <w:iCs/>
                              </w:rPr>
                              <w:t xml:space="preserve">The London Plan (2021) carbon off-set price is £95 per tonne of carbon dioxide.  </w:t>
                            </w:r>
                            <w:r>
                              <w:rPr>
                                <w:rFonts w:cs="Arial"/>
                                <w:iCs/>
                                <w:szCs w:val="22"/>
                              </w:rPr>
                              <w:t xml:space="preserve"> </w:t>
                            </w:r>
                          </w:p>
                          <w:p w14:paraId="0EDBAA35" w14:textId="77777777" w:rsidR="00EB3B59" w:rsidRPr="002748AE" w:rsidRDefault="00EB3B59" w:rsidP="00453304">
                            <w:pPr>
                              <w:jc w:val="both"/>
                              <w:rPr>
                                <w:rFonts w:cs="Arial"/>
                                <w:iCs/>
                                <w:szCs w:val="22"/>
                              </w:rPr>
                            </w:pPr>
                            <w:r w:rsidRPr="002748AE">
                              <w:rPr>
                                <w:rFonts w:cs="Arial"/>
                                <w:iCs/>
                                <w:szCs w:val="22"/>
                              </w:rPr>
                              <w:t>Part L of the Building Regulations Compliant Development</w:t>
                            </w:r>
                            <w:r>
                              <w:rPr>
                                <w:rFonts w:cs="Arial"/>
                                <w:iCs/>
                                <w:szCs w:val="22"/>
                              </w:rPr>
                              <w:t xml:space="preserve"> is the baseline, </w:t>
                            </w:r>
                            <w:r w:rsidRPr="002748AE">
                              <w:rPr>
                                <w:rFonts w:cs="Arial"/>
                                <w:iCs/>
                                <w:szCs w:val="22"/>
                              </w:rPr>
                              <w:t>assuming the development</w:t>
                            </w:r>
                            <w:r>
                              <w:rPr>
                                <w:rFonts w:cs="Arial"/>
                                <w:iCs/>
                                <w:szCs w:val="22"/>
                              </w:rPr>
                              <w:t>’s regulated CO</w:t>
                            </w:r>
                            <w:r>
                              <w:rPr>
                                <w:rFonts w:cs="Arial"/>
                                <w:iCs/>
                                <w:szCs w:val="22"/>
                                <w:vertAlign w:val="subscript"/>
                              </w:rPr>
                              <w:t>2</w:t>
                            </w:r>
                            <w:r>
                              <w:rPr>
                                <w:rFonts w:cs="Arial"/>
                                <w:iCs/>
                                <w:szCs w:val="22"/>
                              </w:rPr>
                              <w:t xml:space="preserve"> emissions</w:t>
                            </w:r>
                            <w:r w:rsidRPr="002748AE">
                              <w:rPr>
                                <w:rFonts w:cs="Arial"/>
                                <w:iCs/>
                                <w:szCs w:val="22"/>
                              </w:rPr>
                              <w:t xml:space="preserve"> complied with Part L of the Building Regulations using Building Regulations approved compliance software (see SAP* and SBEM** below).</w:t>
                            </w:r>
                            <w:r>
                              <w:rPr>
                                <w:rFonts w:cs="Arial"/>
                                <w:iCs/>
                                <w:szCs w:val="22"/>
                              </w:rPr>
                              <w:t xml:space="preserve"> </w:t>
                            </w:r>
                          </w:p>
                          <w:p w14:paraId="1C1D68D5" w14:textId="77777777" w:rsidR="00EB3B59" w:rsidRPr="002748AE" w:rsidRDefault="00EB3B59" w:rsidP="00453304">
                            <w:pPr>
                              <w:jc w:val="both"/>
                              <w:rPr>
                                <w:rFonts w:cs="Arial"/>
                                <w:i/>
                                <w:iCs/>
                                <w:szCs w:val="22"/>
                              </w:rPr>
                            </w:pPr>
                            <w:r w:rsidRPr="002748AE">
                              <w:rPr>
                                <w:rFonts w:cs="Arial"/>
                                <w:i/>
                                <w:iCs/>
                                <w:szCs w:val="22"/>
                              </w:rPr>
                              <w:t>*SAP means the Department of Energy &amp; Climate Change's Standard Assessment Procedure</w:t>
                            </w:r>
                            <w:r>
                              <w:rPr>
                                <w:rFonts w:cs="Arial"/>
                                <w:i/>
                                <w:iCs/>
                                <w:szCs w:val="22"/>
                              </w:rPr>
                              <w:t>, most recently</w:t>
                            </w:r>
                            <w:r w:rsidRPr="002748AE">
                              <w:rPr>
                                <w:rFonts w:cs="Arial"/>
                                <w:i/>
                                <w:iCs/>
                                <w:szCs w:val="22"/>
                              </w:rPr>
                              <w:t xml:space="preserve"> published 22 January 2013</w:t>
                            </w:r>
                            <w:r>
                              <w:rPr>
                                <w:rFonts w:cs="Arial"/>
                                <w:i/>
                                <w:iCs/>
                                <w:szCs w:val="22"/>
                              </w:rPr>
                              <w:t>,</w:t>
                            </w:r>
                            <w:r w:rsidRPr="002748AE">
                              <w:rPr>
                                <w:rFonts w:cs="Arial"/>
                                <w:i/>
                                <w:iCs/>
                                <w:szCs w:val="22"/>
                              </w:rPr>
                              <w:t xml:space="preserve"> which is the methodology used by the Government to assess and compare the energy and environmental performance of dwellings.</w:t>
                            </w:r>
                          </w:p>
                          <w:p w14:paraId="2F4B61FC" w14:textId="77777777" w:rsidR="00EB3B59" w:rsidRPr="00453304" w:rsidRDefault="00EB3B59" w:rsidP="008900C7">
                            <w:pPr>
                              <w:jc w:val="both"/>
                              <w:rPr>
                                <w:rFonts w:cs="Arial"/>
                                <w:i/>
                                <w:iCs/>
                                <w:szCs w:val="22"/>
                              </w:rPr>
                            </w:pPr>
                            <w:bookmarkStart w:id="21" w:name="_DV_C236"/>
                            <w:r w:rsidRPr="002748AE">
                              <w:rPr>
                                <w:rFonts w:cs="Arial"/>
                                <w:i/>
                                <w:iCs/>
                                <w:szCs w:val="22"/>
                              </w:rPr>
                              <w:t>**SBEM means Simplified Building Energy Model being a software tool developed by the Building Research Industry that provides an analysis of a building's energy consumption</w:t>
                            </w:r>
                            <w:bookmarkEnd w:id="21"/>
                            <w:r>
                              <w:rPr>
                                <w:rFonts w:cs="Arial"/>
                                <w:i/>
                                <w:iCs/>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D993F6" id="Text Box 6" o:spid="_x0000_s1050" type="#_x0000_t202" style="width:453.75pt;height:6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" fillcolor="#dbe5f1 [660]" stroked="f">
                <v:textbox>
                  <w:txbxContent>
                    <w:p w14:paraId="1517EAD0" w14:textId="77777777" w:rsidR="00EB3B59" w:rsidRPr="004854FA" w:rsidRDefault="00EB3B59" w:rsidP="00043531">
                      <w:pPr>
                        <w:widowControl w:val="0"/>
                        <w:autoSpaceDE w:val="0"/>
                        <w:autoSpaceDN w:val="0"/>
                        <w:adjustRightInd w:val="0"/>
                        <w:jc w:val="both"/>
                        <w:textAlignment w:val="center"/>
                        <w:rPr>
                          <w:rFonts w:cs="Arial"/>
                          <w:b/>
                          <w:szCs w:val="22"/>
                          <w:lang w:val="en-US"/>
                        </w:rPr>
                      </w:pPr>
                      <w:r w:rsidRPr="004854FA">
                        <w:rPr>
                          <w:rFonts w:cs="Arial"/>
                          <w:b/>
                          <w:szCs w:val="22"/>
                          <w:lang w:val="en-US"/>
                        </w:rPr>
                        <w:t>Threshold and Contribution Requirements</w:t>
                      </w:r>
                    </w:p>
                    <w:p w14:paraId="5197FCE9" w14:textId="77777777"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obligations relating to </w:t>
                      </w:r>
                      <w:r>
                        <w:rPr>
                          <w:rFonts w:cs="Arial"/>
                          <w:szCs w:val="22"/>
                        </w:rPr>
                        <w:t>e</w:t>
                      </w:r>
                      <w:r w:rsidRPr="002748AE">
                        <w:rPr>
                          <w:rFonts w:cs="Arial"/>
                          <w:szCs w:val="22"/>
                        </w:rPr>
                        <w:t>nergy will be sought for:</w:t>
                      </w:r>
                    </w:p>
                    <w:p w14:paraId="4ECE5E32" w14:textId="5233EFA9" w:rsidR="00EB3B59" w:rsidRDefault="00EB3B59" w:rsidP="0055222C">
                      <w:pPr>
                        <w:pStyle w:val="ListParagraph"/>
                        <w:numPr>
                          <w:ilvl w:val="0"/>
                          <w:numId w:val="3"/>
                        </w:numPr>
                        <w:autoSpaceDE w:val="0"/>
                        <w:autoSpaceDN w:val="0"/>
                        <w:adjustRightInd w:val="0"/>
                        <w:jc w:val="both"/>
                        <w:rPr>
                          <w:rFonts w:cs="Arial"/>
                          <w:szCs w:val="22"/>
                        </w:rPr>
                      </w:pPr>
                      <w:r>
                        <w:rPr>
                          <w:rFonts w:cs="Arial"/>
                          <w:szCs w:val="22"/>
                        </w:rPr>
                        <w:t>R</w:t>
                      </w:r>
                      <w:r w:rsidRPr="003B49F4">
                        <w:rPr>
                          <w:rFonts w:cs="Arial"/>
                          <w:szCs w:val="22"/>
                        </w:rPr>
                        <w:t xml:space="preserve">esidential developments of 10 units </w:t>
                      </w:r>
                      <w:r>
                        <w:rPr>
                          <w:rFonts w:cs="Arial"/>
                          <w:szCs w:val="22"/>
                        </w:rPr>
                        <w:t xml:space="preserve">or more, </w:t>
                      </w:r>
                      <w:r w:rsidRPr="003B49F4">
                        <w:rPr>
                          <w:rFonts w:cs="Arial"/>
                          <w:szCs w:val="22"/>
                        </w:rPr>
                        <w:t>or with a combined gross floorspace of 1,000 sqm (</w:t>
                      </w:r>
                      <w:r>
                        <w:rPr>
                          <w:rFonts w:cs="Arial"/>
                          <w:szCs w:val="22"/>
                        </w:rPr>
                        <w:t>GIA</w:t>
                      </w:r>
                      <w:r w:rsidRPr="003B49F4">
                        <w:rPr>
                          <w:rFonts w:cs="Arial"/>
                          <w:szCs w:val="22"/>
                        </w:rPr>
                        <w:t>) or mor</w:t>
                      </w:r>
                      <w:r>
                        <w:rPr>
                          <w:rFonts w:cs="Arial"/>
                          <w:szCs w:val="22"/>
                        </w:rPr>
                        <w:t>e.</w:t>
                      </w:r>
                    </w:p>
                    <w:p w14:paraId="5E007F0D" w14:textId="77777777" w:rsidR="00EB3B59" w:rsidRPr="00043531" w:rsidRDefault="00EB3B59" w:rsidP="0055222C">
                      <w:pPr>
                        <w:pStyle w:val="ListParagraph"/>
                        <w:numPr>
                          <w:ilvl w:val="0"/>
                          <w:numId w:val="3"/>
                        </w:numPr>
                        <w:autoSpaceDE w:val="0"/>
                        <w:autoSpaceDN w:val="0"/>
                        <w:adjustRightInd w:val="0"/>
                        <w:jc w:val="both"/>
                        <w:rPr>
                          <w:rFonts w:cs="Arial"/>
                          <w:b/>
                          <w:bCs/>
                          <w:szCs w:val="22"/>
                        </w:rPr>
                      </w:pPr>
                      <w:r>
                        <w:rPr>
                          <w:rFonts w:cs="Arial"/>
                          <w:szCs w:val="22"/>
                        </w:rPr>
                        <w:t>Al</w:t>
                      </w:r>
                      <w:r w:rsidRPr="008138A9">
                        <w:rPr>
                          <w:rFonts w:cs="Arial"/>
                          <w:szCs w:val="22"/>
                        </w:rPr>
                        <w:t>l major commercial development</w:t>
                      </w:r>
                      <w:r>
                        <w:rPr>
                          <w:rFonts w:cs="Arial"/>
                          <w:szCs w:val="22"/>
                        </w:rPr>
                        <w:t>.</w:t>
                      </w:r>
                      <w:r w:rsidRPr="008138A9">
                        <w:rPr>
                          <w:rFonts w:cs="Arial"/>
                          <w:szCs w:val="22"/>
                        </w:rPr>
                        <w:t xml:space="preserve"> </w:t>
                      </w:r>
                    </w:p>
                    <w:p w14:paraId="5416FC39"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CO</w:t>
                      </w:r>
                      <w:r w:rsidRPr="0050531B">
                        <w:rPr>
                          <w:rFonts w:cs="Arial"/>
                          <w:b/>
                          <w:bCs/>
                          <w:szCs w:val="22"/>
                          <w:vertAlign w:val="subscript"/>
                        </w:rPr>
                        <w:t>2</w:t>
                      </w:r>
                      <w:r w:rsidRPr="002748AE">
                        <w:rPr>
                          <w:rFonts w:cs="Arial"/>
                          <w:b/>
                          <w:bCs/>
                          <w:szCs w:val="22"/>
                        </w:rPr>
                        <w:t xml:space="preserve"> Reduction</w:t>
                      </w:r>
                    </w:p>
                    <w:p w14:paraId="10D70322" w14:textId="77777777" w:rsidR="00EB3B59" w:rsidRPr="002748AE" w:rsidRDefault="00EB3B59" w:rsidP="00316854">
                      <w:pPr>
                        <w:jc w:val="both"/>
                        <w:rPr>
                          <w:rFonts w:cs="Arial"/>
                          <w:szCs w:val="22"/>
                        </w:rPr>
                      </w:pPr>
                      <w:r w:rsidRPr="002748AE">
                        <w:rPr>
                          <w:rFonts w:cs="Arial"/>
                          <w:szCs w:val="22"/>
                        </w:rPr>
                        <w:t>Where officers consider all opportunities to meet the relevant</w:t>
                      </w:r>
                      <w:r>
                        <w:rPr>
                          <w:rFonts w:cs="Arial"/>
                          <w:szCs w:val="22"/>
                        </w:rPr>
                        <w:t xml:space="preserve"> </w:t>
                      </w:r>
                      <w:r w:rsidRPr="002748AE">
                        <w:rPr>
                          <w:rFonts w:cs="Arial"/>
                          <w:szCs w:val="22"/>
                        </w:rPr>
                        <w:t>carbon reduction targets have been exhausted</w:t>
                      </w:r>
                      <w:r w:rsidRPr="003668E1">
                        <w:rPr>
                          <w:rFonts w:cs="Arial"/>
                          <w:szCs w:val="22"/>
                        </w:rPr>
                        <w:t xml:space="preserve"> </w:t>
                      </w:r>
                      <w:r w:rsidRPr="002748AE">
                        <w:rPr>
                          <w:rFonts w:cs="Arial"/>
                          <w:szCs w:val="22"/>
                        </w:rPr>
                        <w:t>on-site, contributions to a carbon offsetting fund will be sought to meet the shortfall.</w:t>
                      </w:r>
                    </w:p>
                    <w:p w14:paraId="239FDC76" w14:textId="77777777" w:rsidR="00EB3B59" w:rsidRPr="002748AE" w:rsidRDefault="00EB3B59" w:rsidP="00316854">
                      <w:pPr>
                        <w:jc w:val="both"/>
                        <w:rPr>
                          <w:rFonts w:cs="Arial"/>
                          <w:b/>
                          <w:i/>
                          <w:iCs/>
                        </w:rPr>
                      </w:pPr>
                      <w:r w:rsidRPr="00861CA7">
                        <w:rPr>
                          <w:rFonts w:cs="Arial"/>
                          <w:b/>
                          <w:iCs/>
                          <w:szCs w:val="22"/>
                        </w:rPr>
                        <w:t xml:space="preserve">Carbon </w:t>
                      </w:r>
                      <w:r>
                        <w:rPr>
                          <w:rFonts w:cs="Arial"/>
                          <w:b/>
                          <w:iCs/>
                          <w:szCs w:val="22"/>
                        </w:rPr>
                        <w:t>O</w:t>
                      </w:r>
                      <w:r w:rsidRPr="00861CA7">
                        <w:rPr>
                          <w:rFonts w:cs="Arial"/>
                          <w:b/>
                          <w:iCs/>
                          <w:szCs w:val="22"/>
                        </w:rPr>
                        <w:t>ffsetting</w:t>
                      </w:r>
                      <w:r>
                        <w:rPr>
                          <w:rFonts w:cs="Arial"/>
                          <w:b/>
                          <w:iCs/>
                          <w:szCs w:val="22"/>
                        </w:rPr>
                        <w:t xml:space="preserve"> Contribution</w:t>
                      </w:r>
                    </w:p>
                    <w:p w14:paraId="46D95BAE" w14:textId="77777777" w:rsidR="00EB3B59" w:rsidRDefault="00EB3B59" w:rsidP="00316854">
                      <w:pPr>
                        <w:jc w:val="both"/>
                        <w:rPr>
                          <w:rFonts w:cs="Arial"/>
                          <w:iCs/>
                          <w:szCs w:val="22"/>
                        </w:rPr>
                      </w:pPr>
                      <w:r w:rsidRPr="006F1274">
                        <w:rPr>
                          <w:rFonts w:cs="Arial"/>
                          <w:iCs/>
                          <w:szCs w:val="22"/>
                        </w:rPr>
                        <w:t>Carbon Gap (Tonnes of CO</w:t>
                      </w:r>
                      <w:r w:rsidRPr="00C2563F">
                        <w:rPr>
                          <w:rFonts w:cs="Arial"/>
                          <w:iCs/>
                          <w:szCs w:val="22"/>
                          <w:vertAlign w:val="subscript"/>
                        </w:rPr>
                        <w:t>2</w:t>
                      </w:r>
                      <w:r w:rsidRPr="006F1274">
                        <w:rPr>
                          <w:rFonts w:cs="Arial"/>
                          <w:iCs/>
                          <w:szCs w:val="22"/>
                        </w:rPr>
                        <w:t xml:space="preserve">) x Price of Carbon (£) x </w:t>
                      </w:r>
                      <w:r>
                        <w:rPr>
                          <w:rFonts w:cs="Arial"/>
                          <w:iCs/>
                          <w:szCs w:val="22"/>
                        </w:rPr>
                        <w:t>30 (</w:t>
                      </w:r>
                      <w:r w:rsidRPr="006F1274">
                        <w:rPr>
                          <w:rFonts w:cs="Arial"/>
                          <w:iCs/>
                          <w:szCs w:val="22"/>
                        </w:rPr>
                        <w:t>Years</w:t>
                      </w:r>
                      <w:r>
                        <w:rPr>
                          <w:rFonts w:cs="Arial"/>
                          <w:iCs/>
                          <w:szCs w:val="22"/>
                        </w:rPr>
                        <w:t>)</w:t>
                      </w:r>
                    </w:p>
                    <w:p w14:paraId="1B9F00A0" w14:textId="77777777" w:rsidR="00EB3B59" w:rsidRPr="00D7280E" w:rsidRDefault="00EB3B59" w:rsidP="00316854">
                      <w:pPr>
                        <w:jc w:val="both"/>
                        <w:rPr>
                          <w:rFonts w:cs="Arial"/>
                          <w:szCs w:val="22"/>
                          <w:u w:val="single"/>
                        </w:rPr>
                      </w:pPr>
                      <w:r>
                        <w:rPr>
                          <w:rFonts w:cs="Arial"/>
                          <w:szCs w:val="22"/>
                          <w:u w:val="single"/>
                        </w:rPr>
                        <w:t>_______________________________________</w:t>
                      </w:r>
                      <w:r w:rsidRPr="007B1194">
                        <w:rPr>
                          <w:rFonts w:cs="Arial"/>
                          <w:szCs w:val="22"/>
                          <w:u w:val="single"/>
                        </w:rPr>
                        <w:t xml:space="preserve"> </w:t>
                      </w:r>
                    </w:p>
                    <w:p w14:paraId="3DE7A882" w14:textId="77777777" w:rsidR="00EB3B59" w:rsidRPr="00CD200D" w:rsidRDefault="00EB3B59" w:rsidP="00316854">
                      <w:pPr>
                        <w:jc w:val="both"/>
                        <w:rPr>
                          <w:rFonts w:cs="Arial"/>
                          <w:b/>
                          <w:iCs/>
                          <w:szCs w:val="22"/>
                        </w:rPr>
                      </w:pPr>
                      <w:r w:rsidRPr="00CD200D">
                        <w:rPr>
                          <w:rFonts w:cs="Arial"/>
                          <w:b/>
                          <w:iCs/>
                          <w:szCs w:val="22"/>
                        </w:rPr>
                        <w:t>= Carbon offset contribution required</w:t>
                      </w:r>
                    </w:p>
                    <w:p w14:paraId="7B384768" w14:textId="77777777" w:rsidR="00EB3B59" w:rsidRDefault="00EB3B59" w:rsidP="00316854">
                      <w:pPr>
                        <w:jc w:val="both"/>
                        <w:rPr>
                          <w:rFonts w:cs="Arial"/>
                          <w:iCs/>
                          <w:szCs w:val="22"/>
                        </w:rPr>
                      </w:pPr>
                      <w:r w:rsidRPr="006F1274">
                        <w:rPr>
                          <w:rFonts w:cs="Arial"/>
                          <w:iCs/>
                          <w:szCs w:val="22"/>
                        </w:rPr>
                        <w:t xml:space="preserve">‘Carbon Gap’ is the amount of regulated carbon emissions that remains following </w:t>
                      </w:r>
                      <w:r>
                        <w:rPr>
                          <w:rFonts w:cs="Arial"/>
                          <w:iCs/>
                          <w:szCs w:val="22"/>
                        </w:rPr>
                        <w:t xml:space="preserve">the </w:t>
                      </w:r>
                      <w:r w:rsidRPr="006F1274">
                        <w:rPr>
                          <w:rFonts w:cs="Arial"/>
                          <w:iCs/>
                          <w:szCs w:val="22"/>
                        </w:rPr>
                        <w:t xml:space="preserve">integration of energy efficiency measures, clean energy systems and renewable energy technologies to a design, which goes beyond that required by Part L of the Building Regulations. </w:t>
                      </w:r>
                    </w:p>
                    <w:p w14:paraId="78FCA1E4" w14:textId="40B60217" w:rsidR="00EB3B59" w:rsidRDefault="00EB3B59" w:rsidP="008900C7">
                      <w:pPr>
                        <w:jc w:val="both"/>
                        <w:rPr>
                          <w:rFonts w:cs="Arial"/>
                          <w:iCs/>
                          <w:szCs w:val="22"/>
                        </w:rPr>
                      </w:pPr>
                      <w:r>
                        <w:rPr>
                          <w:rFonts w:cs="Arial"/>
                          <w:iCs/>
                          <w:szCs w:val="22"/>
                        </w:rPr>
                        <w:t>The c</w:t>
                      </w:r>
                      <w:r w:rsidRPr="00240694">
                        <w:rPr>
                          <w:rFonts w:cs="Arial"/>
                          <w:iCs/>
                          <w:szCs w:val="22"/>
                        </w:rPr>
                        <w:t>arbon off-set price</w:t>
                      </w:r>
                      <w:r>
                        <w:rPr>
                          <w:rFonts w:cs="Arial"/>
                          <w:iCs/>
                          <w:szCs w:val="22"/>
                        </w:rPr>
                        <w:t xml:space="preserve"> will follow the price set in the most recently adopted London Plan.</w:t>
                      </w:r>
                      <w:r w:rsidR="00810D72">
                        <w:rPr>
                          <w:rFonts w:cs="Arial"/>
                          <w:iCs/>
                          <w:szCs w:val="22"/>
                        </w:rPr>
                        <w:t xml:space="preserve"> </w:t>
                      </w:r>
                      <w:r w:rsidR="00810D72">
                        <w:rPr>
                          <w:rFonts w:cs="Arial"/>
                          <w:iCs/>
                        </w:rPr>
                        <w:t xml:space="preserve">The London Plan (2021) carbon off-set price is £95 per tonne of carbon dioxide.  </w:t>
                      </w:r>
                      <w:r>
                        <w:rPr>
                          <w:rFonts w:cs="Arial"/>
                          <w:iCs/>
                          <w:szCs w:val="22"/>
                        </w:rPr>
                        <w:t xml:space="preserve"> </w:t>
                      </w:r>
                    </w:p>
                    <w:p w14:paraId="0EDBAA35" w14:textId="77777777" w:rsidR="00EB3B59" w:rsidRPr="002748AE" w:rsidRDefault="00EB3B59" w:rsidP="00453304">
                      <w:pPr>
                        <w:jc w:val="both"/>
                        <w:rPr>
                          <w:rFonts w:cs="Arial"/>
                          <w:iCs/>
                          <w:szCs w:val="22"/>
                        </w:rPr>
                      </w:pPr>
                      <w:r w:rsidRPr="002748AE">
                        <w:rPr>
                          <w:rFonts w:cs="Arial"/>
                          <w:iCs/>
                          <w:szCs w:val="22"/>
                        </w:rPr>
                        <w:t>Part L of the Building Regulations Compliant Development</w:t>
                      </w:r>
                      <w:r>
                        <w:rPr>
                          <w:rFonts w:cs="Arial"/>
                          <w:iCs/>
                          <w:szCs w:val="22"/>
                        </w:rPr>
                        <w:t xml:space="preserve"> is the baseline, </w:t>
                      </w:r>
                      <w:r w:rsidRPr="002748AE">
                        <w:rPr>
                          <w:rFonts w:cs="Arial"/>
                          <w:iCs/>
                          <w:szCs w:val="22"/>
                        </w:rPr>
                        <w:t>assuming the development</w:t>
                      </w:r>
                      <w:r>
                        <w:rPr>
                          <w:rFonts w:cs="Arial"/>
                          <w:iCs/>
                          <w:szCs w:val="22"/>
                        </w:rPr>
                        <w:t>’s regulated CO</w:t>
                      </w:r>
                      <w:r>
                        <w:rPr>
                          <w:rFonts w:cs="Arial"/>
                          <w:iCs/>
                          <w:szCs w:val="22"/>
                          <w:vertAlign w:val="subscript"/>
                        </w:rPr>
                        <w:t>2</w:t>
                      </w:r>
                      <w:r>
                        <w:rPr>
                          <w:rFonts w:cs="Arial"/>
                          <w:iCs/>
                          <w:szCs w:val="22"/>
                        </w:rPr>
                        <w:t xml:space="preserve"> emissions</w:t>
                      </w:r>
                      <w:r w:rsidRPr="002748AE">
                        <w:rPr>
                          <w:rFonts w:cs="Arial"/>
                          <w:iCs/>
                          <w:szCs w:val="22"/>
                        </w:rPr>
                        <w:t xml:space="preserve"> complied with Part L of the Building Regulations using Building Regulations approved compliance software (see SAP* and SBEM** below).</w:t>
                      </w:r>
                      <w:r>
                        <w:rPr>
                          <w:rFonts w:cs="Arial"/>
                          <w:iCs/>
                          <w:szCs w:val="22"/>
                        </w:rPr>
                        <w:t xml:space="preserve"> </w:t>
                      </w:r>
                    </w:p>
                    <w:p w14:paraId="1C1D68D5" w14:textId="77777777" w:rsidR="00EB3B59" w:rsidRPr="002748AE" w:rsidRDefault="00EB3B59" w:rsidP="00453304">
                      <w:pPr>
                        <w:jc w:val="both"/>
                        <w:rPr>
                          <w:rFonts w:cs="Arial"/>
                          <w:i/>
                          <w:iCs/>
                          <w:szCs w:val="22"/>
                        </w:rPr>
                      </w:pPr>
                      <w:r w:rsidRPr="002748AE">
                        <w:rPr>
                          <w:rFonts w:cs="Arial"/>
                          <w:i/>
                          <w:iCs/>
                          <w:szCs w:val="22"/>
                        </w:rPr>
                        <w:t>*SAP means the Department of Energy &amp; Climate Change's Standard Assessment Procedure</w:t>
                      </w:r>
                      <w:r>
                        <w:rPr>
                          <w:rFonts w:cs="Arial"/>
                          <w:i/>
                          <w:iCs/>
                          <w:szCs w:val="22"/>
                        </w:rPr>
                        <w:t>, most recently</w:t>
                      </w:r>
                      <w:r w:rsidRPr="002748AE">
                        <w:rPr>
                          <w:rFonts w:cs="Arial"/>
                          <w:i/>
                          <w:iCs/>
                          <w:szCs w:val="22"/>
                        </w:rPr>
                        <w:t xml:space="preserve"> published 22 January 2013</w:t>
                      </w:r>
                      <w:r>
                        <w:rPr>
                          <w:rFonts w:cs="Arial"/>
                          <w:i/>
                          <w:iCs/>
                          <w:szCs w:val="22"/>
                        </w:rPr>
                        <w:t>,</w:t>
                      </w:r>
                      <w:r w:rsidRPr="002748AE">
                        <w:rPr>
                          <w:rFonts w:cs="Arial"/>
                          <w:i/>
                          <w:iCs/>
                          <w:szCs w:val="22"/>
                        </w:rPr>
                        <w:t xml:space="preserve"> which is the methodology used by the Government to assess and compare the energy and environmental performance of dwellings.</w:t>
                      </w:r>
                    </w:p>
                    <w:p w14:paraId="2F4B61FC" w14:textId="77777777" w:rsidR="00EB3B59" w:rsidRPr="00453304" w:rsidRDefault="00EB3B59" w:rsidP="008900C7">
                      <w:pPr>
                        <w:jc w:val="both"/>
                        <w:rPr>
                          <w:rFonts w:cs="Arial"/>
                          <w:i/>
                          <w:iCs/>
                          <w:szCs w:val="22"/>
                        </w:rPr>
                      </w:pPr>
                      <w:bookmarkStart w:id="22" w:name="_DV_C236"/>
                      <w:r w:rsidRPr="002748AE">
                        <w:rPr>
                          <w:rFonts w:cs="Arial"/>
                          <w:i/>
                          <w:iCs/>
                          <w:szCs w:val="22"/>
                        </w:rPr>
                        <w:t>**SBEM means Simplified Building Energy Model being a software tool developed by the Building Research Industry that provides an analysis of a building's energy consumption</w:t>
                      </w:r>
                      <w:bookmarkEnd w:id="22"/>
                      <w:r>
                        <w:rPr>
                          <w:rFonts w:cs="Arial"/>
                          <w:i/>
                          <w:iCs/>
                          <w:szCs w:val="22"/>
                        </w:rPr>
                        <w:t>.</w:t>
                      </w:r>
                    </w:p>
                  </w:txbxContent>
                </v:textbox>
                <w10:anchorlock/>
              </v:shape>
            </w:pict>
          </mc:Fallback>
        </mc:AlternateContent>
      </w:r>
    </w:p>
    <w:p w14:paraId="4D17B53D" w14:textId="77777777" w:rsidR="00CE37AD" w:rsidRPr="000D65CE" w:rsidRDefault="00996997" w:rsidP="003B280C">
      <w:pPr>
        <w:widowControl w:val="0"/>
        <w:autoSpaceDE w:val="0"/>
        <w:autoSpaceDN w:val="0"/>
        <w:adjustRightInd w:val="0"/>
        <w:jc w:val="both"/>
        <w:textAlignment w:val="center"/>
        <w:rPr>
          <w:rFonts w:cs="Arial"/>
          <w:color w:val="000000"/>
          <w:szCs w:val="22"/>
        </w:rPr>
      </w:pPr>
      <w:r w:rsidRPr="000D65CE">
        <w:rPr>
          <w:rFonts w:cs="Arial"/>
          <w:color w:val="000000"/>
          <w:szCs w:val="22"/>
        </w:rPr>
        <w:t xml:space="preserve"> </w:t>
      </w:r>
    </w:p>
    <w:p w14:paraId="50FA82A6" w14:textId="77777777" w:rsidR="00C04493" w:rsidRPr="003E09C9" w:rsidRDefault="00C04493" w:rsidP="003E09C9">
      <w:pPr>
        <w:pStyle w:val="Heading3"/>
        <w:rPr>
          <w:rStyle w:val="Strong"/>
          <w:b/>
          <w:bCs/>
        </w:rPr>
      </w:pPr>
      <w:bookmarkStart w:id="22" w:name="_Toc69374681"/>
      <w:r w:rsidRPr="003E09C9">
        <w:rPr>
          <w:rStyle w:val="Strong"/>
          <w:b/>
          <w:bCs/>
        </w:rPr>
        <w:lastRenderedPageBreak/>
        <w:t>Biodiversity</w:t>
      </w:r>
      <w:bookmarkEnd w:id="22"/>
    </w:p>
    <w:tbl>
      <w:tblPr>
        <w:tblStyle w:val="TableGrid"/>
        <w:tblW w:w="0" w:type="auto"/>
        <w:tblInd w:w="810"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CD200D" w:rsidRPr="000D65CE" w14:paraId="7A17DBB5" w14:textId="77777777" w:rsidTr="00921BA6">
        <w:tc>
          <w:tcPr>
            <w:tcW w:w="3119" w:type="dxa"/>
            <w:tcBorders>
              <w:bottom w:val="single" w:sz="8" w:space="0" w:color="006BB6"/>
            </w:tcBorders>
            <w:shd w:val="clear" w:color="auto" w:fill="F2F2F2" w:themeFill="background1" w:themeFillShade="F2"/>
          </w:tcPr>
          <w:p w14:paraId="3572F917" w14:textId="77777777" w:rsidR="00CD200D" w:rsidRPr="000D65CE" w:rsidRDefault="00CD200D"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16CAB895" w14:textId="77777777" w:rsidR="00CD200D" w:rsidRPr="000D65CE" w:rsidRDefault="007426EC" w:rsidP="003B280C">
            <w:pPr>
              <w:autoSpaceDE w:val="0"/>
              <w:autoSpaceDN w:val="0"/>
              <w:adjustRightInd w:val="0"/>
              <w:spacing w:before="180" w:after="180"/>
              <w:jc w:val="both"/>
              <w:rPr>
                <w:rFonts w:cs="Arial"/>
                <w:szCs w:val="22"/>
              </w:rPr>
            </w:pPr>
            <w:r w:rsidRPr="000D65CE">
              <w:t>D.ES3</w:t>
            </w:r>
          </w:p>
        </w:tc>
      </w:tr>
    </w:tbl>
    <w:p w14:paraId="005495B6" w14:textId="77777777" w:rsidR="000419B1" w:rsidRPr="000D65CE" w:rsidRDefault="000419B1" w:rsidP="003B280C">
      <w:pPr>
        <w:jc w:val="both"/>
      </w:pPr>
    </w:p>
    <w:p w14:paraId="48000A69" w14:textId="77777777" w:rsidR="000419B1" w:rsidRPr="000D65CE" w:rsidRDefault="00C04493" w:rsidP="003B280C">
      <w:pPr>
        <w:pStyle w:val="Paragraphs"/>
        <w:rPr>
          <w:lang w:val="en-GB"/>
        </w:rPr>
      </w:pPr>
      <w:r w:rsidRPr="28D940A9">
        <w:rPr>
          <w:lang w:val="en-GB"/>
        </w:rPr>
        <w:t xml:space="preserve">The quality of the physical environment is under increasing pressure in Tower Hamlets </w:t>
      </w:r>
      <w:r w:rsidR="00123A9C" w:rsidRPr="28D940A9">
        <w:rPr>
          <w:lang w:val="en-GB"/>
        </w:rPr>
        <w:t>due to the</w:t>
      </w:r>
      <w:r w:rsidRPr="28D940A9">
        <w:rPr>
          <w:lang w:val="en-GB"/>
        </w:rPr>
        <w:t xml:space="preserve"> growing population and significant development demands. </w:t>
      </w:r>
      <w:r w:rsidR="006B2759" w:rsidRPr="28D940A9">
        <w:rPr>
          <w:lang w:val="en-GB"/>
        </w:rPr>
        <w:t>We</w:t>
      </w:r>
      <w:r w:rsidRPr="28D940A9">
        <w:rPr>
          <w:lang w:val="en-GB"/>
        </w:rPr>
        <w:t xml:space="preserve"> recognise the importance of responding to the impacts of climate change and an increasingly dense cityscape by maintaining and encouraging biodiversity within the </w:t>
      </w:r>
      <w:r w:rsidR="00C44288" w:rsidRPr="28D940A9">
        <w:rPr>
          <w:lang w:val="en-GB"/>
        </w:rPr>
        <w:t>b</w:t>
      </w:r>
      <w:r w:rsidR="00747592" w:rsidRPr="28D940A9">
        <w:rPr>
          <w:lang w:val="en-GB"/>
        </w:rPr>
        <w:t>orough</w:t>
      </w:r>
      <w:r w:rsidRPr="28D940A9">
        <w:rPr>
          <w:lang w:val="en-GB"/>
        </w:rPr>
        <w:t>.</w:t>
      </w:r>
      <w:r w:rsidR="00692456" w:rsidRPr="28D940A9">
        <w:rPr>
          <w:lang w:val="en-GB"/>
        </w:rPr>
        <w:t xml:space="preserve"> </w:t>
      </w:r>
    </w:p>
    <w:p w14:paraId="449C26D4" w14:textId="77777777" w:rsidR="00C04493" w:rsidRPr="000D65CE" w:rsidRDefault="00692456" w:rsidP="003B280C">
      <w:pPr>
        <w:pStyle w:val="Paragraphs"/>
        <w:rPr>
          <w:lang w:val="en-GB"/>
        </w:rPr>
      </w:pPr>
      <w:r w:rsidRPr="28D940A9">
        <w:rPr>
          <w:lang w:val="en-GB"/>
        </w:rPr>
        <w:t>Policy D.ES3 requires</w:t>
      </w:r>
      <w:r w:rsidR="00123A9C" w:rsidRPr="28D940A9">
        <w:rPr>
          <w:lang w:val="en-GB"/>
        </w:rPr>
        <w:t xml:space="preserve"> development to protect and enhance biodiversity</w:t>
      </w:r>
      <w:r w:rsidR="00043EEF" w:rsidRPr="28D940A9">
        <w:rPr>
          <w:lang w:val="en-GB"/>
        </w:rPr>
        <w:t xml:space="preserve"> through a variety of means, including maximizing ‘living building’ elements and retaining and enhancing habitats, trees and biodiversity.</w:t>
      </w:r>
      <w:r w:rsidR="00123A9C" w:rsidRPr="28D940A9">
        <w:rPr>
          <w:lang w:val="en-GB"/>
        </w:rPr>
        <w:t xml:space="preserve">  </w:t>
      </w:r>
      <w:r w:rsidRPr="28D940A9">
        <w:rPr>
          <w:lang w:val="en-GB"/>
        </w:rPr>
        <w:t xml:space="preserve"> </w:t>
      </w:r>
    </w:p>
    <w:p w14:paraId="358A5C39" w14:textId="0F1C5629" w:rsidR="00043EEF" w:rsidRPr="000D65CE" w:rsidRDefault="00043EEF" w:rsidP="003B280C">
      <w:pPr>
        <w:spacing w:before="360" w:after="120"/>
        <w:jc w:val="both"/>
        <w:rPr>
          <w:b/>
          <w:color w:val="00477E"/>
          <w:sz w:val="24"/>
        </w:rPr>
      </w:pPr>
      <w:r w:rsidRPr="000D65CE">
        <w:rPr>
          <w:b/>
          <w:color w:val="00477E"/>
          <w:sz w:val="24"/>
        </w:rPr>
        <w:t xml:space="preserve">How the Council will </w:t>
      </w:r>
      <w:r w:rsidR="006D1037">
        <w:rPr>
          <w:b/>
          <w:color w:val="00477E"/>
          <w:sz w:val="24"/>
        </w:rPr>
        <w:t>Secure Urban Greening a</w:t>
      </w:r>
      <w:r w:rsidR="006D1037" w:rsidRPr="000D65CE">
        <w:rPr>
          <w:b/>
          <w:color w:val="00477E"/>
          <w:sz w:val="24"/>
        </w:rPr>
        <w:t xml:space="preserve">nd Biodiversity Through </w:t>
      </w:r>
      <w:r w:rsidR="005A6B4C">
        <w:rPr>
          <w:b/>
          <w:color w:val="00477E"/>
          <w:sz w:val="24"/>
        </w:rPr>
        <w:t>Planning Obligations</w:t>
      </w:r>
    </w:p>
    <w:p w14:paraId="1800BBF2" w14:textId="1CBAF987" w:rsidR="00451510" w:rsidRPr="000D65CE" w:rsidRDefault="00451510" w:rsidP="003B280C">
      <w:pPr>
        <w:pStyle w:val="Paragraphs"/>
        <w:rPr>
          <w:lang w:val="en-GB"/>
        </w:rPr>
      </w:pPr>
      <w:r w:rsidRPr="28D940A9">
        <w:rPr>
          <w:lang w:val="en-GB"/>
        </w:rPr>
        <w:t>CIL funding is used for a range of strategic infrastructure projects including, O</w:t>
      </w:r>
      <w:r w:rsidR="0096593F" w:rsidRPr="28D940A9">
        <w:rPr>
          <w:lang w:val="en-GB"/>
        </w:rPr>
        <w:t xml:space="preserve">pen </w:t>
      </w:r>
      <w:r w:rsidRPr="28D940A9">
        <w:rPr>
          <w:lang w:val="en-GB"/>
        </w:rPr>
        <w:t>S</w:t>
      </w:r>
      <w:r w:rsidR="0096593F" w:rsidRPr="28D940A9">
        <w:rPr>
          <w:lang w:val="en-GB"/>
        </w:rPr>
        <w:t>pace</w:t>
      </w:r>
      <w:r w:rsidRPr="28D940A9">
        <w:rPr>
          <w:lang w:val="en-GB"/>
        </w:rPr>
        <w:t>, leisure facilities and community facilities</w:t>
      </w:r>
      <w:r w:rsidR="00B37FF0" w:rsidRPr="28D940A9">
        <w:rPr>
          <w:lang w:val="en-GB"/>
        </w:rPr>
        <w:t xml:space="preserve"> which can incorporate urban greening and biodiversity improvements</w:t>
      </w:r>
      <w:r w:rsidRPr="28D940A9">
        <w:rPr>
          <w:lang w:val="en-GB"/>
        </w:rPr>
        <w:t xml:space="preserve">. </w:t>
      </w:r>
    </w:p>
    <w:p w14:paraId="6F36E018" w14:textId="77777777" w:rsidR="00A73D57" w:rsidRPr="000D65CE" w:rsidRDefault="003E1DB5" w:rsidP="003B280C">
      <w:pPr>
        <w:pStyle w:val="Paragraphs"/>
        <w:rPr>
          <w:lang w:val="en-GB"/>
        </w:rPr>
      </w:pPr>
      <w:r w:rsidRPr="28D940A9">
        <w:rPr>
          <w:lang w:val="en-GB"/>
        </w:rPr>
        <w:t xml:space="preserve">Biodiversity measures that are deemed necessary to the particular development to mitigate specific impacts of that development will be </w:t>
      </w:r>
      <w:r w:rsidR="00277263" w:rsidRPr="28D940A9">
        <w:rPr>
          <w:lang w:val="en-GB"/>
        </w:rPr>
        <w:t xml:space="preserve">secured </w:t>
      </w:r>
      <w:r w:rsidRPr="28D940A9">
        <w:rPr>
          <w:lang w:val="en-GB"/>
        </w:rPr>
        <w:t>by planning condition</w:t>
      </w:r>
      <w:r w:rsidR="0020335C" w:rsidRPr="28D940A9">
        <w:rPr>
          <w:lang w:val="en-GB"/>
        </w:rPr>
        <w:t>. Where</w:t>
      </w:r>
      <w:r w:rsidRPr="28D940A9">
        <w:rPr>
          <w:lang w:val="en-GB"/>
        </w:rPr>
        <w:t xml:space="preserve"> </w:t>
      </w:r>
      <w:r w:rsidR="0020335C" w:rsidRPr="28D940A9">
        <w:rPr>
          <w:lang w:val="en-GB"/>
        </w:rPr>
        <w:t>this is not possible</w:t>
      </w:r>
      <w:r w:rsidR="00D44D40" w:rsidRPr="28D940A9">
        <w:rPr>
          <w:lang w:val="en-GB"/>
        </w:rPr>
        <w:t>,</w:t>
      </w:r>
      <w:r w:rsidR="0020335C" w:rsidRPr="28D940A9">
        <w:rPr>
          <w:lang w:val="en-GB"/>
        </w:rPr>
        <w:t xml:space="preserve"> they will be </w:t>
      </w:r>
      <w:r w:rsidR="00277263" w:rsidRPr="28D940A9">
        <w:rPr>
          <w:lang w:val="en-GB"/>
        </w:rPr>
        <w:t xml:space="preserve">secured </w:t>
      </w:r>
      <w:r w:rsidR="0020335C" w:rsidRPr="28D940A9">
        <w:rPr>
          <w:lang w:val="en-GB"/>
        </w:rPr>
        <w:t>through</w:t>
      </w:r>
      <w:r w:rsidRPr="28D940A9">
        <w:rPr>
          <w:lang w:val="en-GB"/>
        </w:rPr>
        <w:t xml:space="preserve"> financial and/or non-financial planning obligation</w:t>
      </w:r>
      <w:r w:rsidR="00277263" w:rsidRPr="28D940A9">
        <w:rPr>
          <w:lang w:val="en-GB"/>
        </w:rPr>
        <w:t>(s)</w:t>
      </w:r>
      <w:r w:rsidRPr="28D940A9">
        <w:rPr>
          <w:lang w:val="en-GB"/>
        </w:rPr>
        <w:t xml:space="preserve">. </w:t>
      </w:r>
      <w:r w:rsidR="00253AE9" w:rsidRPr="28D940A9">
        <w:rPr>
          <w:lang w:val="en-GB"/>
        </w:rPr>
        <w:t xml:space="preserve"> </w:t>
      </w:r>
    </w:p>
    <w:p w14:paraId="273FE6DD" w14:textId="1401F858" w:rsidR="00233B83" w:rsidRDefault="00233B83" w:rsidP="003B280C">
      <w:pPr>
        <w:pStyle w:val="Paragraphs"/>
        <w:rPr>
          <w:lang w:val="en-GB"/>
        </w:rPr>
      </w:pPr>
      <w:r w:rsidRPr="28D940A9">
        <w:rPr>
          <w:lang w:val="en-GB"/>
        </w:rPr>
        <w:t>In cases where officers consider all opportunities to provide adequate on-site biodiversity enhancements have been exhausted, or where</w:t>
      </w:r>
      <w:r w:rsidR="00321B6D" w:rsidRPr="28D940A9">
        <w:rPr>
          <w:lang w:val="en-GB"/>
        </w:rPr>
        <w:t xml:space="preserve"> off-site projects offer better opportunities to enhance biodiversity and/or access to nature (i.e. nearby </w:t>
      </w:r>
      <w:r w:rsidR="0096593F" w:rsidRPr="28D940A9">
        <w:rPr>
          <w:lang w:val="en-GB"/>
        </w:rPr>
        <w:t>Open Space</w:t>
      </w:r>
      <w:r w:rsidR="00321B6D" w:rsidRPr="28D940A9">
        <w:rPr>
          <w:lang w:val="en-GB"/>
        </w:rPr>
        <w:t xml:space="preserve">s or water bodies), </w:t>
      </w:r>
      <w:r w:rsidRPr="28D940A9">
        <w:rPr>
          <w:lang w:val="en-GB"/>
        </w:rPr>
        <w:t xml:space="preserve">an equivalent financial contribution will be sought. </w:t>
      </w:r>
      <w:r w:rsidR="00D44D40" w:rsidRPr="28D940A9">
        <w:rPr>
          <w:lang w:val="en-GB"/>
        </w:rPr>
        <w:t>Financial contributions</w:t>
      </w:r>
      <w:r w:rsidRPr="28D940A9">
        <w:rPr>
          <w:lang w:val="en-GB"/>
        </w:rPr>
        <w:t xml:space="preserve"> will be secured for enhancements which help to deliver the Tower Hamlets Local Biodiversity Action Plan</w:t>
      </w:r>
      <w:r w:rsidR="003D2724" w:rsidRPr="28D940A9">
        <w:rPr>
          <w:lang w:val="en-GB"/>
        </w:rPr>
        <w:t xml:space="preserve"> and if appropriate the Thames River Basin Management Plan objectives</w:t>
      </w:r>
      <w:r w:rsidRPr="28D940A9">
        <w:rPr>
          <w:lang w:val="en-GB"/>
        </w:rPr>
        <w:t xml:space="preserve">. </w:t>
      </w:r>
    </w:p>
    <w:p w14:paraId="3C3DE95D" w14:textId="77777777" w:rsidR="000A57A6" w:rsidRDefault="00DC6720" w:rsidP="000A57A6">
      <w:pPr>
        <w:autoSpaceDE w:val="0"/>
        <w:autoSpaceDN w:val="0"/>
        <w:adjustRightInd w:val="0"/>
        <w:spacing w:after="120"/>
        <w:jc w:val="both"/>
        <w:rPr>
          <w:b/>
        </w:rPr>
      </w:pPr>
      <w:r w:rsidRPr="003D2BA4">
        <w:rPr>
          <w:b/>
        </w:rPr>
        <w:t xml:space="preserve">Text Box </w:t>
      </w:r>
      <w:r>
        <w:rPr>
          <w:b/>
        </w:rPr>
        <w:t>23</w:t>
      </w:r>
      <w:r w:rsidRPr="003D2BA4">
        <w:rPr>
          <w:b/>
        </w:rPr>
        <w:t xml:space="preserve">: </w:t>
      </w:r>
      <w:r>
        <w:rPr>
          <w:b/>
        </w:rPr>
        <w:t>Biodiversity</w:t>
      </w:r>
    </w:p>
    <w:p w14:paraId="111ECB21" w14:textId="02B03069" w:rsidR="00C04493" w:rsidRPr="000D65CE" w:rsidRDefault="00A8138C" w:rsidP="003B280C">
      <w:pPr>
        <w:autoSpaceDE w:val="0"/>
        <w:autoSpaceDN w:val="0"/>
        <w:adjustRightInd w:val="0"/>
        <w:jc w:val="both"/>
        <w:rPr>
          <w:rFonts w:cs="Arial"/>
          <w:b/>
          <w:bCs/>
          <w:color w:val="E3007A"/>
          <w:szCs w:val="22"/>
        </w:rPr>
      </w:pPr>
      <w:r w:rsidRPr="000D65CE">
        <w:rPr>
          <w:rFonts w:cs="Arial"/>
          <w:noProof/>
          <w:lang w:eastAsia="en-GB"/>
        </w:rPr>
        <mc:AlternateContent>
          <mc:Choice Requires="wps">
            <w:drawing>
              <wp:inline distT="0" distB="0" distL="0" distR="0" wp14:anchorId="3BE3D461" wp14:editId="2E576A3A">
                <wp:extent cx="5743575" cy="1818167"/>
                <wp:effectExtent l="0" t="0" r="9525"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1818167"/>
                        </a:xfrm>
                        <a:prstGeom prst="rect">
                          <a:avLst/>
                        </a:prstGeom>
                        <a:solidFill>
                          <a:schemeClr val="accent1">
                            <a:lumMod val="20000"/>
                            <a:lumOff val="80000"/>
                          </a:schemeClr>
                        </a:solidFill>
                        <a:ln>
                          <a:noFill/>
                        </a:ln>
                        <a:effectLst/>
                      </wps:spPr>
                      <wps:txbx>
                        <w:txbxContent>
                          <w:p w14:paraId="277C1AEF" w14:textId="77777777" w:rsidR="00EB3B59" w:rsidRPr="00086BBE" w:rsidRDefault="00EB3B59" w:rsidP="00316854">
                            <w:pPr>
                              <w:autoSpaceDE w:val="0"/>
                              <w:autoSpaceDN w:val="0"/>
                              <w:adjustRightInd w:val="0"/>
                              <w:jc w:val="both"/>
                              <w:rPr>
                                <w:rFonts w:cs="Arial"/>
                                <w:b/>
                                <w:bCs/>
                                <w:szCs w:val="22"/>
                              </w:rPr>
                            </w:pPr>
                            <w:r w:rsidRPr="00086BBE">
                              <w:rPr>
                                <w:rFonts w:cs="Arial"/>
                                <w:b/>
                                <w:bCs/>
                                <w:szCs w:val="22"/>
                              </w:rPr>
                              <w:t>Threshold and Contribution Requirements</w:t>
                            </w:r>
                          </w:p>
                          <w:p w14:paraId="5F21F8B2" w14:textId="77777777" w:rsidR="00EB3B59" w:rsidRPr="00086BBE" w:rsidRDefault="00EB3B59" w:rsidP="00316854">
                            <w:pPr>
                              <w:autoSpaceDE w:val="0"/>
                              <w:autoSpaceDN w:val="0"/>
                              <w:adjustRightInd w:val="0"/>
                              <w:jc w:val="both"/>
                              <w:rPr>
                                <w:rFonts w:cs="Arial"/>
                                <w:szCs w:val="22"/>
                              </w:rPr>
                            </w:pPr>
                            <w:r>
                              <w:rPr>
                                <w:rFonts w:cs="Arial"/>
                                <w:szCs w:val="22"/>
                              </w:rPr>
                              <w:t>Where it is deemed necessary to secure p</w:t>
                            </w:r>
                            <w:r w:rsidRPr="00086BBE">
                              <w:rPr>
                                <w:rFonts w:cs="Arial"/>
                                <w:szCs w:val="22"/>
                              </w:rPr>
                              <w:t xml:space="preserve">lanning </w:t>
                            </w:r>
                            <w:r>
                              <w:rPr>
                                <w:rFonts w:cs="Arial"/>
                                <w:szCs w:val="22"/>
                              </w:rPr>
                              <w:t>o</w:t>
                            </w:r>
                            <w:r w:rsidRPr="00086BBE">
                              <w:rPr>
                                <w:rFonts w:cs="Arial"/>
                                <w:szCs w:val="22"/>
                              </w:rPr>
                              <w:t xml:space="preserve">bligations relating to </w:t>
                            </w:r>
                            <w:r>
                              <w:rPr>
                                <w:rFonts w:cs="Arial"/>
                                <w:szCs w:val="22"/>
                              </w:rPr>
                              <w:t>b</w:t>
                            </w:r>
                            <w:r w:rsidRPr="00086BBE">
                              <w:rPr>
                                <w:rFonts w:cs="Arial"/>
                                <w:szCs w:val="22"/>
                              </w:rPr>
                              <w:t>iodiversity</w:t>
                            </w:r>
                            <w:r>
                              <w:rPr>
                                <w:rFonts w:cs="Arial"/>
                                <w:szCs w:val="22"/>
                              </w:rPr>
                              <w:t>, the threshold will be:</w:t>
                            </w:r>
                            <w:r w:rsidRPr="00086BBE">
                              <w:rPr>
                                <w:rFonts w:cs="Arial"/>
                                <w:szCs w:val="22"/>
                              </w:rPr>
                              <w:t xml:space="preserve"> </w:t>
                            </w:r>
                          </w:p>
                          <w:p w14:paraId="354EB582" w14:textId="2D7E0D6C" w:rsidR="00EB3B59" w:rsidRDefault="00EB3B59" w:rsidP="0055222C">
                            <w:pPr>
                              <w:pStyle w:val="ListParagraph"/>
                              <w:numPr>
                                <w:ilvl w:val="0"/>
                                <w:numId w:val="4"/>
                              </w:numPr>
                              <w:autoSpaceDE w:val="0"/>
                              <w:autoSpaceDN w:val="0"/>
                              <w:adjustRightInd w:val="0"/>
                              <w:jc w:val="both"/>
                              <w:rPr>
                                <w:rFonts w:cs="Arial"/>
                                <w:szCs w:val="22"/>
                              </w:rPr>
                            </w:pPr>
                            <w:r>
                              <w:rPr>
                                <w:rFonts w:cs="Arial"/>
                                <w:szCs w:val="22"/>
                              </w:rPr>
                              <w:t>R</w:t>
                            </w:r>
                            <w:r w:rsidRPr="00861CA7">
                              <w:rPr>
                                <w:rFonts w:cs="Arial"/>
                                <w:szCs w:val="22"/>
                              </w:rPr>
                              <w:t xml:space="preserve">esidential developments of 10 units </w:t>
                            </w:r>
                            <w:r>
                              <w:rPr>
                                <w:rFonts w:cs="Arial"/>
                                <w:szCs w:val="22"/>
                              </w:rPr>
                              <w:t xml:space="preserve">or more, </w:t>
                            </w:r>
                            <w:r w:rsidRPr="00861CA7">
                              <w:rPr>
                                <w:rFonts w:cs="Arial"/>
                                <w:szCs w:val="22"/>
                              </w:rPr>
                              <w:t>or with a combined gross floorspace of 1,000 sqm (</w:t>
                            </w:r>
                            <w:r>
                              <w:rPr>
                                <w:rFonts w:cs="Arial"/>
                                <w:szCs w:val="22"/>
                              </w:rPr>
                              <w:t>GIA</w:t>
                            </w:r>
                            <w:r w:rsidRPr="00861CA7">
                              <w:rPr>
                                <w:rFonts w:cs="Arial"/>
                                <w:szCs w:val="22"/>
                              </w:rPr>
                              <w:t>) or more</w:t>
                            </w:r>
                            <w:r>
                              <w:rPr>
                                <w:rFonts w:cs="Arial"/>
                                <w:szCs w:val="22"/>
                              </w:rPr>
                              <w:t>.</w:t>
                            </w:r>
                          </w:p>
                          <w:p w14:paraId="279604D5" w14:textId="57D5B8B5" w:rsidR="00EB3B59" w:rsidRPr="00043531" w:rsidRDefault="00EB3B59" w:rsidP="0055222C">
                            <w:pPr>
                              <w:pStyle w:val="ListParagraph"/>
                              <w:numPr>
                                <w:ilvl w:val="0"/>
                                <w:numId w:val="4"/>
                              </w:numPr>
                              <w:autoSpaceDE w:val="0"/>
                              <w:autoSpaceDN w:val="0"/>
                              <w:adjustRightInd w:val="0"/>
                              <w:jc w:val="both"/>
                              <w:rPr>
                                <w:rFonts w:cs="Arial"/>
                                <w:b/>
                                <w:szCs w:val="22"/>
                              </w:rPr>
                            </w:pPr>
                            <w:r>
                              <w:rPr>
                                <w:rFonts w:cs="Arial"/>
                                <w:szCs w:val="22"/>
                              </w:rPr>
                              <w:t>A</w:t>
                            </w:r>
                            <w:r w:rsidRPr="00C43BE0">
                              <w:rPr>
                                <w:rFonts w:cs="Arial"/>
                                <w:szCs w:val="22"/>
                              </w:rPr>
                              <w:t>ll major commercial development with a combined floorspace of 1,000 sqm (</w:t>
                            </w:r>
                            <w:r>
                              <w:rPr>
                                <w:rFonts w:cs="Arial"/>
                                <w:szCs w:val="22"/>
                              </w:rPr>
                              <w:t>GIA</w:t>
                            </w:r>
                            <w:r w:rsidRPr="00C43BE0">
                              <w:rPr>
                                <w:rFonts w:cs="Arial"/>
                                <w:szCs w:val="22"/>
                              </w:rPr>
                              <w:t>) or mor</w:t>
                            </w:r>
                            <w:r>
                              <w:rPr>
                                <w:rFonts w:cs="Arial"/>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E3D461" id="Text Box 7" o:spid="_x0000_s1051" type="#_x0000_t202" style="width:452.25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" fillcolor="#dbe5f1 [660]" stroked="f">
                <v:textbox>
                  <w:txbxContent>
                    <w:p w14:paraId="277C1AEF" w14:textId="77777777" w:rsidR="00EB3B59" w:rsidRPr="00086BBE" w:rsidRDefault="00EB3B59" w:rsidP="00316854">
                      <w:pPr>
                        <w:autoSpaceDE w:val="0"/>
                        <w:autoSpaceDN w:val="0"/>
                        <w:adjustRightInd w:val="0"/>
                        <w:jc w:val="both"/>
                        <w:rPr>
                          <w:rFonts w:cs="Arial"/>
                          <w:b/>
                          <w:bCs/>
                          <w:szCs w:val="22"/>
                        </w:rPr>
                      </w:pPr>
                      <w:r w:rsidRPr="00086BBE">
                        <w:rPr>
                          <w:rFonts w:cs="Arial"/>
                          <w:b/>
                          <w:bCs/>
                          <w:szCs w:val="22"/>
                        </w:rPr>
                        <w:t>Threshold and Contribution Requirements</w:t>
                      </w:r>
                    </w:p>
                    <w:p w14:paraId="5F21F8B2" w14:textId="77777777" w:rsidR="00EB3B59" w:rsidRPr="00086BBE" w:rsidRDefault="00EB3B59" w:rsidP="00316854">
                      <w:pPr>
                        <w:autoSpaceDE w:val="0"/>
                        <w:autoSpaceDN w:val="0"/>
                        <w:adjustRightInd w:val="0"/>
                        <w:jc w:val="both"/>
                        <w:rPr>
                          <w:rFonts w:cs="Arial"/>
                          <w:szCs w:val="22"/>
                        </w:rPr>
                      </w:pPr>
                      <w:r>
                        <w:rPr>
                          <w:rFonts w:cs="Arial"/>
                          <w:szCs w:val="22"/>
                        </w:rPr>
                        <w:t>Where it is deemed necessary to secure p</w:t>
                      </w:r>
                      <w:r w:rsidRPr="00086BBE">
                        <w:rPr>
                          <w:rFonts w:cs="Arial"/>
                          <w:szCs w:val="22"/>
                        </w:rPr>
                        <w:t xml:space="preserve">lanning </w:t>
                      </w:r>
                      <w:r>
                        <w:rPr>
                          <w:rFonts w:cs="Arial"/>
                          <w:szCs w:val="22"/>
                        </w:rPr>
                        <w:t>o</w:t>
                      </w:r>
                      <w:r w:rsidRPr="00086BBE">
                        <w:rPr>
                          <w:rFonts w:cs="Arial"/>
                          <w:szCs w:val="22"/>
                        </w:rPr>
                        <w:t xml:space="preserve">bligations relating to </w:t>
                      </w:r>
                      <w:r>
                        <w:rPr>
                          <w:rFonts w:cs="Arial"/>
                          <w:szCs w:val="22"/>
                        </w:rPr>
                        <w:t>b</w:t>
                      </w:r>
                      <w:r w:rsidRPr="00086BBE">
                        <w:rPr>
                          <w:rFonts w:cs="Arial"/>
                          <w:szCs w:val="22"/>
                        </w:rPr>
                        <w:t>iodiversity</w:t>
                      </w:r>
                      <w:r>
                        <w:rPr>
                          <w:rFonts w:cs="Arial"/>
                          <w:szCs w:val="22"/>
                        </w:rPr>
                        <w:t>, the threshold will be:</w:t>
                      </w:r>
                      <w:r w:rsidRPr="00086BBE">
                        <w:rPr>
                          <w:rFonts w:cs="Arial"/>
                          <w:szCs w:val="22"/>
                        </w:rPr>
                        <w:t xml:space="preserve"> </w:t>
                      </w:r>
                    </w:p>
                    <w:p w14:paraId="354EB582" w14:textId="2D7E0D6C" w:rsidR="00EB3B59" w:rsidRDefault="00EB3B59" w:rsidP="0055222C">
                      <w:pPr>
                        <w:pStyle w:val="ListParagraph"/>
                        <w:numPr>
                          <w:ilvl w:val="0"/>
                          <w:numId w:val="4"/>
                        </w:numPr>
                        <w:autoSpaceDE w:val="0"/>
                        <w:autoSpaceDN w:val="0"/>
                        <w:adjustRightInd w:val="0"/>
                        <w:jc w:val="both"/>
                        <w:rPr>
                          <w:rFonts w:cs="Arial"/>
                          <w:szCs w:val="22"/>
                        </w:rPr>
                      </w:pPr>
                      <w:r>
                        <w:rPr>
                          <w:rFonts w:cs="Arial"/>
                          <w:szCs w:val="22"/>
                        </w:rPr>
                        <w:t>R</w:t>
                      </w:r>
                      <w:r w:rsidRPr="00861CA7">
                        <w:rPr>
                          <w:rFonts w:cs="Arial"/>
                          <w:szCs w:val="22"/>
                        </w:rPr>
                        <w:t xml:space="preserve">esidential developments of 10 units </w:t>
                      </w:r>
                      <w:r>
                        <w:rPr>
                          <w:rFonts w:cs="Arial"/>
                          <w:szCs w:val="22"/>
                        </w:rPr>
                        <w:t xml:space="preserve">or more, </w:t>
                      </w:r>
                      <w:r w:rsidRPr="00861CA7">
                        <w:rPr>
                          <w:rFonts w:cs="Arial"/>
                          <w:szCs w:val="22"/>
                        </w:rPr>
                        <w:t>or with a combined gross floorspace of 1,000 sqm (</w:t>
                      </w:r>
                      <w:r>
                        <w:rPr>
                          <w:rFonts w:cs="Arial"/>
                          <w:szCs w:val="22"/>
                        </w:rPr>
                        <w:t>GIA</w:t>
                      </w:r>
                      <w:r w:rsidRPr="00861CA7">
                        <w:rPr>
                          <w:rFonts w:cs="Arial"/>
                          <w:szCs w:val="22"/>
                        </w:rPr>
                        <w:t>) or more</w:t>
                      </w:r>
                      <w:r>
                        <w:rPr>
                          <w:rFonts w:cs="Arial"/>
                          <w:szCs w:val="22"/>
                        </w:rPr>
                        <w:t>.</w:t>
                      </w:r>
                    </w:p>
                    <w:p w14:paraId="279604D5" w14:textId="57D5B8B5" w:rsidR="00EB3B59" w:rsidRPr="00043531" w:rsidRDefault="00EB3B59" w:rsidP="0055222C">
                      <w:pPr>
                        <w:pStyle w:val="ListParagraph"/>
                        <w:numPr>
                          <w:ilvl w:val="0"/>
                          <w:numId w:val="4"/>
                        </w:numPr>
                        <w:autoSpaceDE w:val="0"/>
                        <w:autoSpaceDN w:val="0"/>
                        <w:adjustRightInd w:val="0"/>
                        <w:jc w:val="both"/>
                        <w:rPr>
                          <w:rFonts w:cs="Arial"/>
                          <w:b/>
                          <w:szCs w:val="22"/>
                        </w:rPr>
                      </w:pPr>
                      <w:r>
                        <w:rPr>
                          <w:rFonts w:cs="Arial"/>
                          <w:szCs w:val="22"/>
                        </w:rPr>
                        <w:t>A</w:t>
                      </w:r>
                      <w:r w:rsidRPr="00C43BE0">
                        <w:rPr>
                          <w:rFonts w:cs="Arial"/>
                          <w:szCs w:val="22"/>
                        </w:rPr>
                        <w:t>ll major commercial development with a combined floorspace of 1,000 sqm (</w:t>
                      </w:r>
                      <w:r>
                        <w:rPr>
                          <w:rFonts w:cs="Arial"/>
                          <w:szCs w:val="22"/>
                        </w:rPr>
                        <w:t>GIA</w:t>
                      </w:r>
                      <w:r w:rsidRPr="00C43BE0">
                        <w:rPr>
                          <w:rFonts w:cs="Arial"/>
                          <w:szCs w:val="22"/>
                        </w:rPr>
                        <w:t>) or mor</w:t>
                      </w:r>
                      <w:r>
                        <w:rPr>
                          <w:rFonts w:cs="Arial"/>
                          <w:szCs w:val="22"/>
                        </w:rPr>
                        <w:t>e.</w:t>
                      </w:r>
                    </w:p>
                  </w:txbxContent>
                </v:textbox>
                <w10:anchorlock/>
              </v:shape>
            </w:pict>
          </mc:Fallback>
        </mc:AlternateContent>
      </w:r>
    </w:p>
    <w:p w14:paraId="2FC769C7" w14:textId="77777777" w:rsidR="0005778D" w:rsidRPr="003E09C9" w:rsidRDefault="008655B1" w:rsidP="003E09C9">
      <w:pPr>
        <w:pStyle w:val="Heading3"/>
      </w:pPr>
      <w:bookmarkStart w:id="23" w:name="_Toc69374682"/>
      <w:r w:rsidRPr="003E09C9">
        <w:rPr>
          <w:rStyle w:val="Strong"/>
          <w:b/>
          <w:bCs/>
        </w:rPr>
        <w:lastRenderedPageBreak/>
        <w:t>Flood Risk</w:t>
      </w:r>
      <w:bookmarkEnd w:id="23"/>
      <w:r w:rsidRPr="003E09C9">
        <w:rPr>
          <w:rStyle w:val="Strong"/>
          <w:b/>
          <w:bCs/>
        </w:rPr>
        <w:t xml:space="preserve"> </w:t>
      </w:r>
    </w:p>
    <w:tbl>
      <w:tblPr>
        <w:tblStyle w:val="TableGrid"/>
        <w:tblW w:w="0" w:type="auto"/>
        <w:tblInd w:w="79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BF60B2" w:rsidRPr="000D65CE" w14:paraId="5C04756A" w14:textId="77777777" w:rsidTr="00921BA6">
        <w:tc>
          <w:tcPr>
            <w:tcW w:w="3119" w:type="dxa"/>
            <w:tcBorders>
              <w:bottom w:val="single" w:sz="8" w:space="0" w:color="006BB6"/>
            </w:tcBorders>
            <w:shd w:val="clear" w:color="auto" w:fill="F2F2F2" w:themeFill="background1" w:themeFillShade="F2"/>
          </w:tcPr>
          <w:p w14:paraId="1031B7E2" w14:textId="77777777" w:rsidR="00BF60B2" w:rsidRPr="000D65CE" w:rsidRDefault="00BF60B2"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5E68229B" w14:textId="77777777" w:rsidR="00BF60B2" w:rsidRPr="000D65CE" w:rsidRDefault="00BF60B2" w:rsidP="003B280C">
            <w:pPr>
              <w:autoSpaceDE w:val="0"/>
              <w:autoSpaceDN w:val="0"/>
              <w:adjustRightInd w:val="0"/>
              <w:spacing w:before="180" w:after="180"/>
              <w:jc w:val="both"/>
              <w:rPr>
                <w:rFonts w:cs="Arial"/>
                <w:szCs w:val="22"/>
              </w:rPr>
            </w:pPr>
            <w:r w:rsidRPr="000D65CE">
              <w:rPr>
                <w:rFonts w:cs="Arial"/>
                <w:szCs w:val="22"/>
              </w:rPr>
              <w:t>D.ES4, D.OS4, D.ES5</w:t>
            </w:r>
          </w:p>
        </w:tc>
      </w:tr>
    </w:tbl>
    <w:p w14:paraId="32194CEF" w14:textId="77777777" w:rsidR="00BF60B2" w:rsidRPr="000D65CE" w:rsidRDefault="00BF60B2" w:rsidP="003B280C">
      <w:pPr>
        <w:autoSpaceDE w:val="0"/>
        <w:autoSpaceDN w:val="0"/>
        <w:adjustRightInd w:val="0"/>
        <w:jc w:val="both"/>
        <w:rPr>
          <w:rFonts w:cs="Arial"/>
          <w:szCs w:val="22"/>
          <w:u w:val="single"/>
        </w:rPr>
      </w:pPr>
    </w:p>
    <w:p w14:paraId="0FA9361B" w14:textId="77777777" w:rsidR="00CD0568" w:rsidRPr="000D65CE" w:rsidRDefault="004569C0" w:rsidP="003B280C">
      <w:pPr>
        <w:pStyle w:val="Paragraphs"/>
        <w:rPr>
          <w:lang w:val="en-GB"/>
        </w:rPr>
      </w:pPr>
      <w:r w:rsidRPr="28D940A9">
        <w:rPr>
          <w:lang w:val="en-GB"/>
        </w:rPr>
        <w:t>Tower Hamlets</w:t>
      </w:r>
      <w:r w:rsidR="00FA0698" w:rsidRPr="28D940A9">
        <w:rPr>
          <w:lang w:val="en-GB"/>
        </w:rPr>
        <w:t xml:space="preserve"> has</w:t>
      </w:r>
      <w:r w:rsidR="00CB1673" w:rsidRPr="28D940A9">
        <w:rPr>
          <w:lang w:val="en-GB"/>
        </w:rPr>
        <w:t xml:space="preserve"> </w:t>
      </w:r>
      <w:r w:rsidR="00DD12AD" w:rsidRPr="28D940A9">
        <w:rPr>
          <w:lang w:val="en-GB"/>
        </w:rPr>
        <w:t xml:space="preserve">identified </w:t>
      </w:r>
      <w:r w:rsidR="00FD3307" w:rsidRPr="28D940A9">
        <w:rPr>
          <w:lang w:val="en-GB"/>
        </w:rPr>
        <w:t xml:space="preserve">opportunity </w:t>
      </w:r>
      <w:r w:rsidR="00DD12AD" w:rsidRPr="28D940A9">
        <w:rPr>
          <w:lang w:val="en-GB"/>
        </w:rPr>
        <w:t xml:space="preserve">areas, located in Flood Zones 2 and 3. </w:t>
      </w:r>
      <w:r w:rsidR="00A42C25" w:rsidRPr="28D940A9">
        <w:rPr>
          <w:lang w:val="en-GB"/>
        </w:rPr>
        <w:t xml:space="preserve">Flood risk in the </w:t>
      </w:r>
      <w:r w:rsidR="00C44288" w:rsidRPr="28D940A9">
        <w:rPr>
          <w:lang w:val="en-GB"/>
        </w:rPr>
        <w:t>b</w:t>
      </w:r>
      <w:r w:rsidR="00747592" w:rsidRPr="28D940A9">
        <w:rPr>
          <w:lang w:val="en-GB"/>
        </w:rPr>
        <w:t>orough</w:t>
      </w:r>
      <w:r w:rsidR="00A42C25" w:rsidRPr="28D940A9">
        <w:rPr>
          <w:lang w:val="en-GB"/>
        </w:rPr>
        <w:t xml:space="preserve"> arises from</w:t>
      </w:r>
      <w:r w:rsidR="00FD3307" w:rsidRPr="28D940A9">
        <w:rPr>
          <w:lang w:val="en-GB"/>
        </w:rPr>
        <w:t xml:space="preserve"> a range of sources including: fluvial, tidal, surface water, sewer, groundwater and flooding from artificial sources.</w:t>
      </w:r>
      <w:r w:rsidR="00A42C25" w:rsidRPr="28D940A9">
        <w:rPr>
          <w:lang w:val="en-GB"/>
        </w:rPr>
        <w:t xml:space="preserve"> </w:t>
      </w:r>
    </w:p>
    <w:p w14:paraId="698D7602" w14:textId="77777777" w:rsidR="00533532" w:rsidRPr="000D65CE" w:rsidRDefault="00413849" w:rsidP="003B280C">
      <w:pPr>
        <w:pStyle w:val="Paragraphs"/>
        <w:rPr>
          <w:lang w:val="en-GB"/>
        </w:rPr>
      </w:pPr>
      <w:r w:rsidRPr="28D940A9">
        <w:rPr>
          <w:lang w:val="en-GB"/>
        </w:rPr>
        <w:t>There are three main areas at risk of tidal flooding in Tower Hamlets</w:t>
      </w:r>
      <w:r w:rsidR="008B3B35" w:rsidRPr="28D940A9">
        <w:rPr>
          <w:lang w:val="en-GB"/>
        </w:rPr>
        <w:t>,</w:t>
      </w:r>
      <w:r w:rsidRPr="28D940A9">
        <w:rPr>
          <w:lang w:val="en-GB"/>
        </w:rPr>
        <w:t xml:space="preserve"> the Isle of Dogs </w:t>
      </w:r>
      <w:r w:rsidR="008B3B35" w:rsidRPr="28D940A9">
        <w:rPr>
          <w:lang w:val="en-GB"/>
        </w:rPr>
        <w:t>(</w:t>
      </w:r>
      <w:r w:rsidRPr="28D940A9">
        <w:rPr>
          <w:lang w:val="en-GB"/>
        </w:rPr>
        <w:t>extending into Poplar</w:t>
      </w:r>
      <w:r w:rsidR="008B3B35" w:rsidRPr="28D940A9">
        <w:rPr>
          <w:lang w:val="en-GB"/>
        </w:rPr>
        <w:t>)</w:t>
      </w:r>
      <w:r w:rsidRPr="28D940A9">
        <w:rPr>
          <w:lang w:val="en-GB"/>
        </w:rPr>
        <w:t xml:space="preserve"> Wapping and Blackwall</w:t>
      </w:r>
      <w:r w:rsidR="00DD12AD" w:rsidRPr="28D940A9">
        <w:rPr>
          <w:lang w:val="en-GB"/>
        </w:rPr>
        <w:t xml:space="preserve"> (all located in Flood Zone</w:t>
      </w:r>
      <w:r w:rsidR="00FA0698" w:rsidRPr="28D940A9">
        <w:rPr>
          <w:lang w:val="en-GB"/>
        </w:rPr>
        <w:t>s</w:t>
      </w:r>
      <w:r w:rsidR="00ED1111" w:rsidRPr="28D940A9">
        <w:rPr>
          <w:lang w:val="en-GB"/>
        </w:rPr>
        <w:t xml:space="preserve"> 2 and</w:t>
      </w:r>
      <w:r w:rsidR="00DD12AD" w:rsidRPr="28D940A9">
        <w:rPr>
          <w:lang w:val="en-GB"/>
        </w:rPr>
        <w:t xml:space="preserve"> 3).</w:t>
      </w:r>
      <w:r w:rsidR="00FD3307" w:rsidRPr="28D940A9">
        <w:rPr>
          <w:lang w:val="en-GB"/>
        </w:rPr>
        <w:t xml:space="preserve"> There are two main areas at risk of fluvial flooding</w:t>
      </w:r>
      <w:r w:rsidR="00ED1111" w:rsidRPr="28D940A9">
        <w:rPr>
          <w:lang w:val="en-GB"/>
        </w:rPr>
        <w:t xml:space="preserve"> </w:t>
      </w:r>
      <w:r w:rsidR="00FD3307" w:rsidRPr="28D940A9">
        <w:rPr>
          <w:lang w:val="en-GB"/>
        </w:rPr>
        <w:t xml:space="preserve">in </w:t>
      </w:r>
      <w:r w:rsidR="00CD0568" w:rsidRPr="28D940A9">
        <w:rPr>
          <w:lang w:val="en-GB"/>
        </w:rPr>
        <w:t>the</w:t>
      </w:r>
      <w:r w:rsidR="00ED1111" w:rsidRPr="28D940A9">
        <w:rPr>
          <w:lang w:val="en-GB"/>
        </w:rPr>
        <w:t xml:space="preserve"> north</w:t>
      </w:r>
      <w:r w:rsidR="00FD3307" w:rsidRPr="28D940A9">
        <w:rPr>
          <w:lang w:val="en-GB"/>
        </w:rPr>
        <w:t>-</w:t>
      </w:r>
      <w:r w:rsidR="00ED1111" w:rsidRPr="28D940A9">
        <w:rPr>
          <w:lang w:val="en-GB"/>
        </w:rPr>
        <w:t>east</w:t>
      </w:r>
      <w:r w:rsidR="00FD3307" w:rsidRPr="28D940A9">
        <w:rPr>
          <w:lang w:val="en-GB"/>
        </w:rPr>
        <w:t>ern corner</w:t>
      </w:r>
      <w:r w:rsidR="00C44288" w:rsidRPr="28D940A9">
        <w:rPr>
          <w:lang w:val="en-GB"/>
        </w:rPr>
        <w:t xml:space="preserve"> of the b</w:t>
      </w:r>
      <w:r w:rsidR="00ED1111" w:rsidRPr="28D940A9">
        <w:rPr>
          <w:lang w:val="en-GB"/>
        </w:rPr>
        <w:t xml:space="preserve">orough. </w:t>
      </w:r>
      <w:r w:rsidR="003767C3" w:rsidRPr="28D940A9">
        <w:rPr>
          <w:lang w:val="en-GB"/>
        </w:rPr>
        <w:t>While the</w:t>
      </w:r>
      <w:r w:rsidR="00FD3307" w:rsidRPr="28D940A9">
        <w:rPr>
          <w:lang w:val="en-GB"/>
        </w:rPr>
        <w:t xml:space="preserve"> actual</w:t>
      </w:r>
      <w:r w:rsidR="00ED1111" w:rsidRPr="28D940A9">
        <w:rPr>
          <w:lang w:val="en-GB"/>
        </w:rPr>
        <w:t xml:space="preserve"> fluvial and tidal flood risk is considered to be low when flood defences are taken into account, there is still a residual risk of flooding through breaching or overtopping of defences.</w:t>
      </w:r>
      <w:r w:rsidR="00DD12AD" w:rsidRPr="28D940A9">
        <w:rPr>
          <w:lang w:val="en-GB"/>
        </w:rPr>
        <w:t xml:space="preserve"> Non-</w:t>
      </w:r>
      <w:r w:rsidR="00ED1111" w:rsidRPr="28D940A9">
        <w:rPr>
          <w:lang w:val="en-GB"/>
        </w:rPr>
        <w:t xml:space="preserve">river related </w:t>
      </w:r>
      <w:r w:rsidR="00DD12AD" w:rsidRPr="28D940A9">
        <w:rPr>
          <w:lang w:val="en-GB"/>
        </w:rPr>
        <w:t>flooding, such as sewer surcharge and surface water flooding</w:t>
      </w:r>
      <w:r w:rsidR="00C44288" w:rsidRPr="28D940A9">
        <w:rPr>
          <w:lang w:val="en-GB"/>
        </w:rPr>
        <w:t xml:space="preserve"> exists throughout the b</w:t>
      </w:r>
      <w:r w:rsidR="00ED1111" w:rsidRPr="28D940A9">
        <w:rPr>
          <w:lang w:val="en-GB"/>
        </w:rPr>
        <w:t>orough</w:t>
      </w:r>
      <w:r w:rsidR="00DD12AD" w:rsidRPr="28D940A9">
        <w:rPr>
          <w:lang w:val="en-GB"/>
        </w:rPr>
        <w:t xml:space="preserve"> during heavy rainfall events.</w:t>
      </w:r>
      <w:r w:rsidR="00ED1111" w:rsidRPr="28D940A9">
        <w:rPr>
          <w:lang w:val="en-GB"/>
        </w:rPr>
        <w:t xml:space="preserve"> This is known to be an issue with</w:t>
      </w:r>
      <w:r w:rsidR="00A56B32" w:rsidRPr="28D940A9">
        <w:rPr>
          <w:lang w:val="en-GB"/>
        </w:rPr>
        <w:t>in Critical Drainage Areas (refer Figure 15 in the Local Plan</w:t>
      </w:r>
      <w:r w:rsidR="00ED1111" w:rsidRPr="28D940A9">
        <w:rPr>
          <w:lang w:val="en-GB"/>
        </w:rPr>
        <w:t xml:space="preserve">). </w:t>
      </w:r>
      <w:r w:rsidR="00DD12AD" w:rsidRPr="28D940A9">
        <w:rPr>
          <w:lang w:val="en-GB"/>
        </w:rPr>
        <w:t xml:space="preserve">   </w:t>
      </w:r>
    </w:p>
    <w:p w14:paraId="72F52083" w14:textId="77777777" w:rsidR="00CF2B4E" w:rsidRPr="000D65CE" w:rsidRDefault="008655B1" w:rsidP="003B280C">
      <w:pPr>
        <w:pStyle w:val="Paragraphs"/>
        <w:rPr>
          <w:lang w:val="en-GB"/>
        </w:rPr>
      </w:pPr>
      <w:r w:rsidRPr="000D65CE">
        <w:rPr>
          <w:lang w:val="en-GB"/>
        </w:rPr>
        <w:t xml:space="preserve">The </w:t>
      </w:r>
      <w:r w:rsidR="00212D7B" w:rsidRPr="000D65CE">
        <w:rPr>
          <w:lang w:val="en-GB"/>
        </w:rPr>
        <w:t>Local Plan</w:t>
      </w:r>
      <w:r w:rsidRPr="000D65CE">
        <w:rPr>
          <w:lang w:val="en-GB"/>
        </w:rPr>
        <w:t xml:space="preserve"> </w:t>
      </w:r>
      <w:r w:rsidR="00822BB6" w:rsidRPr="000D65CE">
        <w:rPr>
          <w:lang w:val="en-GB"/>
        </w:rPr>
        <w:t>requires</w:t>
      </w:r>
      <w:r w:rsidRPr="000D65CE">
        <w:rPr>
          <w:lang w:val="en-GB"/>
        </w:rPr>
        <w:t xml:space="preserve"> developers</w:t>
      </w:r>
      <w:r w:rsidR="00822BB6" w:rsidRPr="000D65CE">
        <w:rPr>
          <w:lang w:val="en-GB"/>
        </w:rPr>
        <w:t xml:space="preserve"> to</w:t>
      </w:r>
      <w:r w:rsidRPr="000D65CE">
        <w:rPr>
          <w:lang w:val="en-GB"/>
        </w:rPr>
        <w:t xml:space="preserve"> demonstrate that</w:t>
      </w:r>
      <w:r w:rsidR="00A76294" w:rsidRPr="000D65CE">
        <w:rPr>
          <w:lang w:val="en-GB"/>
        </w:rPr>
        <w:t xml:space="preserve"> they have taken into</w:t>
      </w:r>
      <w:r w:rsidRPr="000D65CE">
        <w:rPr>
          <w:lang w:val="en-GB"/>
        </w:rPr>
        <w:t xml:space="preserve"> account flood risk from all sources</w:t>
      </w:r>
      <w:r w:rsidR="00231597" w:rsidRPr="000D65CE">
        <w:rPr>
          <w:lang w:val="en-GB"/>
        </w:rPr>
        <w:t xml:space="preserve">. Proposed development is required to </w:t>
      </w:r>
      <w:r w:rsidRPr="000D65CE">
        <w:rPr>
          <w:lang w:val="en-GB"/>
        </w:rPr>
        <w:t>incorporate mitigation and management measures appropriate to the use and location</w:t>
      </w:r>
      <w:r w:rsidR="00231597" w:rsidRPr="000D65CE">
        <w:rPr>
          <w:lang w:val="en-GB"/>
        </w:rPr>
        <w:t>, including the advice and recommendations set out in the Tower Hamlets Strategic Flood Risk Assessment</w:t>
      </w:r>
      <w:r w:rsidR="00231597" w:rsidRPr="000D65CE">
        <w:rPr>
          <w:rStyle w:val="FootnoteReference"/>
          <w:lang w:val="en-GB"/>
        </w:rPr>
        <w:footnoteReference w:id="13"/>
      </w:r>
      <w:r w:rsidRPr="000D65CE">
        <w:rPr>
          <w:lang w:val="en-GB"/>
        </w:rPr>
        <w:t xml:space="preserve">. </w:t>
      </w:r>
    </w:p>
    <w:p w14:paraId="40ED301C" w14:textId="312BF0E3" w:rsidR="008B0C32" w:rsidRPr="000D65CE" w:rsidRDefault="008B0C32" w:rsidP="003B280C">
      <w:pPr>
        <w:pStyle w:val="Paragraphs"/>
        <w:rPr>
          <w:lang w:val="en-GB"/>
        </w:rPr>
      </w:pPr>
      <w:r w:rsidRPr="28D940A9">
        <w:rPr>
          <w:lang w:val="en-GB"/>
        </w:rPr>
        <w:t>To manage the risk of flooding effectively, Policy D.ES4 requires a minimum of a 16-metre buffer strip along a tidal river; and a minimum of an 8-metre buffer strip along a fluvial river</w:t>
      </w:r>
      <w:r w:rsidR="0006046A" w:rsidRPr="28D940A9">
        <w:rPr>
          <w:lang w:val="en-GB"/>
        </w:rPr>
        <w:t xml:space="preserve"> unless significant constraints are evidenced</w:t>
      </w:r>
      <w:r w:rsidRPr="28D940A9">
        <w:rPr>
          <w:lang w:val="en-GB"/>
        </w:rPr>
        <w:t xml:space="preserve">. This might require setting back or realigning defences when sites are redeveloped to improve the riverside frontage through environmental enhancements and provision of amenity space.  </w:t>
      </w:r>
    </w:p>
    <w:p w14:paraId="665B7903" w14:textId="77777777" w:rsidR="008B0C32" w:rsidRPr="000D65CE" w:rsidRDefault="008B0C32" w:rsidP="003B280C">
      <w:pPr>
        <w:pStyle w:val="Paragraphs"/>
        <w:rPr>
          <w:lang w:val="en-GB"/>
        </w:rPr>
      </w:pPr>
      <w:r w:rsidRPr="28D940A9">
        <w:rPr>
          <w:lang w:val="en-GB"/>
        </w:rPr>
        <w:t>Policy</w:t>
      </w:r>
      <w:r w:rsidRPr="28D940A9">
        <w:rPr>
          <w:rFonts w:asciiTheme="minorHAnsi" w:hAnsiTheme="minorHAnsi" w:cstheme="minorBidi"/>
          <w:sz w:val="24"/>
          <w:szCs w:val="24"/>
          <w:lang w:val="en-GB"/>
        </w:rPr>
        <w:t xml:space="preserve"> </w:t>
      </w:r>
      <w:r w:rsidRPr="28D940A9">
        <w:rPr>
          <w:lang w:val="en-GB"/>
        </w:rPr>
        <w:t>D.OS4 supports Policy D.ES4 in mitigating flood risk, and requires developers to optimi</w:t>
      </w:r>
      <w:r w:rsidR="00C47347" w:rsidRPr="28D940A9">
        <w:rPr>
          <w:lang w:val="en-GB"/>
        </w:rPr>
        <w:t>s</w:t>
      </w:r>
      <w:r w:rsidRPr="28D940A9">
        <w:rPr>
          <w:lang w:val="en-GB"/>
        </w:rPr>
        <w:t>e opportunities for riverside walkways, canal towpaths and cycle paths, where appropriate. River walls and embankments should also be restored, where necessary.</w:t>
      </w:r>
    </w:p>
    <w:p w14:paraId="5E3E55EF" w14:textId="7DC4FFB0" w:rsidR="005075B4" w:rsidRPr="00EA1EB2" w:rsidRDefault="008B0C32" w:rsidP="00EA1EB2">
      <w:pPr>
        <w:pStyle w:val="Paragraphs"/>
        <w:rPr>
          <w:lang w:val="en-GB"/>
        </w:rPr>
      </w:pPr>
      <w:r w:rsidRPr="28D940A9">
        <w:rPr>
          <w:lang w:val="en-GB"/>
        </w:rPr>
        <w:t xml:space="preserve">Developers are required to reduce surface water flooding through the use of a range of </w:t>
      </w:r>
      <w:r w:rsidR="0093010B" w:rsidRPr="28D940A9">
        <w:rPr>
          <w:lang w:val="en-GB"/>
        </w:rPr>
        <w:t>sustainable drainage systems (SuDS</w:t>
      </w:r>
      <w:r w:rsidRPr="28D940A9">
        <w:rPr>
          <w:lang w:val="en-GB"/>
        </w:rPr>
        <w:t>) and water reduction strategies in line with Policy D.</w:t>
      </w:r>
      <w:r w:rsidR="00ED1111" w:rsidRPr="28D940A9">
        <w:rPr>
          <w:lang w:val="en-GB"/>
        </w:rPr>
        <w:t>ES5</w:t>
      </w:r>
      <w:r w:rsidRPr="28D940A9">
        <w:rPr>
          <w:lang w:val="en-GB"/>
        </w:rPr>
        <w:t>. Developments should retain and maintain the SuDS measures for the lifetime of the development to prevent an increase in flood risk.</w:t>
      </w:r>
      <w:r w:rsidR="00ED1111" w:rsidRPr="28D940A9">
        <w:rPr>
          <w:lang w:val="en-GB"/>
        </w:rPr>
        <w:t xml:space="preserve"> </w:t>
      </w:r>
      <w:r w:rsidR="004D5C67" w:rsidRPr="28D940A9">
        <w:rPr>
          <w:lang w:val="en-GB"/>
        </w:rPr>
        <w:t xml:space="preserve">These requirements will </w:t>
      </w:r>
      <w:r w:rsidR="00EA1EB2" w:rsidRPr="28D940A9">
        <w:rPr>
          <w:lang w:val="en-GB"/>
        </w:rPr>
        <w:t>typically</w:t>
      </w:r>
      <w:r w:rsidR="004D5C67" w:rsidRPr="28D940A9">
        <w:rPr>
          <w:lang w:val="en-GB"/>
        </w:rPr>
        <w:t xml:space="preserve"> be addressed </w:t>
      </w:r>
      <w:r w:rsidR="00EA1EB2" w:rsidRPr="28D940A9">
        <w:rPr>
          <w:lang w:val="en-GB"/>
        </w:rPr>
        <w:t>by</w:t>
      </w:r>
      <w:r w:rsidR="004D5C67" w:rsidRPr="28D940A9">
        <w:rPr>
          <w:lang w:val="en-GB"/>
        </w:rPr>
        <w:t xml:space="preserve"> conditions. </w:t>
      </w:r>
    </w:p>
    <w:p w14:paraId="1873969B" w14:textId="77777777" w:rsidR="008B0C32" w:rsidRPr="000D65CE" w:rsidRDefault="00ED1111" w:rsidP="003B280C">
      <w:pPr>
        <w:pStyle w:val="Paragraphs"/>
        <w:rPr>
          <w:lang w:val="en-GB"/>
        </w:rPr>
      </w:pPr>
      <w:r w:rsidRPr="28D940A9">
        <w:rPr>
          <w:lang w:val="en-GB"/>
        </w:rPr>
        <w:t>To manage future flood risk, developments should consider the latest c</w:t>
      </w:r>
      <w:r w:rsidR="00463E39" w:rsidRPr="28D940A9">
        <w:rPr>
          <w:lang w:val="en-GB"/>
        </w:rPr>
        <w:t>limate change allowances and the associated</w:t>
      </w:r>
      <w:r w:rsidRPr="28D940A9">
        <w:rPr>
          <w:lang w:val="en-GB"/>
        </w:rPr>
        <w:t xml:space="preserve"> impacts on all sources of flooding. </w:t>
      </w:r>
    </w:p>
    <w:p w14:paraId="2565778D" w14:textId="77777777" w:rsidR="008B0C32" w:rsidRPr="000D65CE" w:rsidRDefault="008B0C32" w:rsidP="003B280C">
      <w:pPr>
        <w:pStyle w:val="Paragraphs"/>
        <w:rPr>
          <w:lang w:val="en-GB"/>
        </w:rPr>
      </w:pPr>
      <w:r w:rsidRPr="28D940A9">
        <w:rPr>
          <w:lang w:val="en-GB"/>
        </w:rPr>
        <w:lastRenderedPageBreak/>
        <w:t>In line with the requirements of the Thames Estuary 2100 Plan (TE2100), developments adjoining the river Thames must maintain</w:t>
      </w:r>
      <w:r w:rsidR="00BC1321" w:rsidRPr="28D940A9">
        <w:rPr>
          <w:lang w:val="en-GB"/>
        </w:rPr>
        <w:t>,</w:t>
      </w:r>
      <w:r w:rsidRPr="28D940A9">
        <w:rPr>
          <w:lang w:val="en-GB"/>
        </w:rPr>
        <w:t xml:space="preserve"> and where necessary</w:t>
      </w:r>
      <w:r w:rsidR="00BC1321" w:rsidRPr="28D940A9">
        <w:rPr>
          <w:lang w:val="en-GB"/>
        </w:rPr>
        <w:t>,</w:t>
      </w:r>
      <w:r w:rsidRPr="28D940A9">
        <w:rPr>
          <w:lang w:val="en-GB"/>
        </w:rPr>
        <w:t xml:space="preserve"> enhance or raise flood defences in preparation for future climate change impacts</w:t>
      </w:r>
      <w:r w:rsidR="00463E39" w:rsidRPr="28D940A9">
        <w:rPr>
          <w:lang w:val="en-GB"/>
        </w:rPr>
        <w:t>. Alternatively, development should</w:t>
      </w:r>
      <w:r w:rsidRPr="28D940A9">
        <w:rPr>
          <w:lang w:val="en-GB"/>
        </w:rPr>
        <w:t xml:space="preserve"> </w:t>
      </w:r>
      <w:r w:rsidR="00463E39" w:rsidRPr="28D940A9">
        <w:rPr>
          <w:lang w:val="en-GB"/>
        </w:rPr>
        <w:t xml:space="preserve">evidence </w:t>
      </w:r>
      <w:r w:rsidRPr="28D940A9">
        <w:rPr>
          <w:lang w:val="en-GB"/>
        </w:rPr>
        <w:t>how tidal flood defences can be raised in the future, demonstrating that they will continue to provide adequate flood protection for the lifetime of the development.</w:t>
      </w:r>
    </w:p>
    <w:p w14:paraId="40A81B63" w14:textId="77777777" w:rsidR="00822BB6" w:rsidRPr="000D65CE" w:rsidRDefault="00822BB6" w:rsidP="003B280C">
      <w:pPr>
        <w:spacing w:before="360" w:after="120"/>
        <w:jc w:val="both"/>
        <w:rPr>
          <w:b/>
          <w:color w:val="00477E"/>
          <w:sz w:val="24"/>
        </w:rPr>
      </w:pPr>
      <w:r w:rsidRPr="000D65CE">
        <w:rPr>
          <w:b/>
          <w:color w:val="00477E"/>
          <w:sz w:val="24"/>
        </w:rPr>
        <w:t xml:space="preserve">How the Council will </w:t>
      </w:r>
      <w:r w:rsidR="006D1037" w:rsidRPr="000D65CE">
        <w:rPr>
          <w:b/>
          <w:color w:val="00477E"/>
          <w:sz w:val="24"/>
        </w:rPr>
        <w:t>Address Flood Risk Through Developer Contributions</w:t>
      </w:r>
    </w:p>
    <w:p w14:paraId="0C2F8387" w14:textId="77777777" w:rsidR="00AF2195" w:rsidRPr="000D65CE" w:rsidRDefault="009C770A" w:rsidP="003B280C">
      <w:pPr>
        <w:pStyle w:val="Paragraphs"/>
        <w:rPr>
          <w:lang w:val="en-GB"/>
        </w:rPr>
      </w:pPr>
      <w:r w:rsidRPr="28D940A9">
        <w:rPr>
          <w:lang w:val="en-GB"/>
        </w:rPr>
        <w:t xml:space="preserve">The </w:t>
      </w:r>
      <w:r w:rsidR="00AD1FB6" w:rsidRPr="28D940A9">
        <w:rPr>
          <w:lang w:val="en-GB"/>
        </w:rPr>
        <w:t>Council</w:t>
      </w:r>
      <w:r w:rsidRPr="28D940A9">
        <w:rPr>
          <w:lang w:val="en-GB"/>
        </w:rPr>
        <w:t xml:space="preserve"> will deliver strategic flood defences</w:t>
      </w:r>
      <w:r w:rsidR="00AF2195" w:rsidRPr="28D940A9">
        <w:rPr>
          <w:lang w:val="en-GB"/>
        </w:rPr>
        <w:t xml:space="preserve"> through CIL funding</w:t>
      </w:r>
      <w:r w:rsidRPr="28D940A9">
        <w:rPr>
          <w:lang w:val="en-GB"/>
        </w:rPr>
        <w:t xml:space="preserve">. Flood defence measures that are deemed necessary </w:t>
      </w:r>
      <w:r w:rsidR="008B0C32" w:rsidRPr="28D940A9">
        <w:rPr>
          <w:lang w:val="en-GB"/>
        </w:rPr>
        <w:t>for a</w:t>
      </w:r>
      <w:r w:rsidRPr="28D940A9">
        <w:rPr>
          <w:lang w:val="en-GB"/>
        </w:rPr>
        <w:t xml:space="preserve"> particular development to mitigate specific impacts of that development will be dealt with by planning condition, or if this is not possible, by financial and/or non-financial planning obligation. </w:t>
      </w:r>
    </w:p>
    <w:p w14:paraId="15D58E5D" w14:textId="3AF9F6B5" w:rsidR="005075B4" w:rsidRPr="005075B4" w:rsidRDefault="002B1BCA" w:rsidP="005075B4">
      <w:pPr>
        <w:pStyle w:val="Paragraphs"/>
        <w:rPr>
          <w:lang w:val="en-GB"/>
        </w:rPr>
      </w:pPr>
      <w:r w:rsidRPr="28D940A9">
        <w:rPr>
          <w:lang w:val="en-GB"/>
        </w:rPr>
        <w:t>Provision of flood risk mitigation measures are expected to be provided on-site</w:t>
      </w:r>
      <w:r w:rsidR="005075B4" w:rsidRPr="28D940A9">
        <w:rPr>
          <w:lang w:val="en-GB"/>
        </w:rPr>
        <w:t>. They will typically be</w:t>
      </w:r>
      <w:r w:rsidRPr="28D940A9">
        <w:rPr>
          <w:lang w:val="en-GB"/>
        </w:rPr>
        <w:t xml:space="preserve"> s</w:t>
      </w:r>
      <w:r w:rsidR="00B36E9C" w:rsidRPr="28D940A9">
        <w:rPr>
          <w:lang w:val="en-GB"/>
        </w:rPr>
        <w:t>ecured through conditions</w:t>
      </w:r>
      <w:r w:rsidR="005075B4" w:rsidRPr="28D940A9">
        <w:rPr>
          <w:lang w:val="en-GB"/>
        </w:rPr>
        <w:t>, however, may be included in</w:t>
      </w:r>
      <w:r w:rsidR="00182CA9" w:rsidRPr="28D940A9">
        <w:rPr>
          <w:lang w:val="en-GB"/>
        </w:rPr>
        <w:t xml:space="preserve"> </w:t>
      </w:r>
      <w:r w:rsidR="00032BFE" w:rsidRPr="28D940A9">
        <w:rPr>
          <w:lang w:val="en-GB"/>
        </w:rPr>
        <w:t xml:space="preserve">legal </w:t>
      </w:r>
      <w:r w:rsidRPr="28D940A9">
        <w:rPr>
          <w:lang w:val="en-GB"/>
        </w:rPr>
        <w:t>agreement</w:t>
      </w:r>
      <w:r w:rsidR="00FA0698" w:rsidRPr="28D940A9">
        <w:rPr>
          <w:lang w:val="en-GB"/>
        </w:rPr>
        <w:t>s</w:t>
      </w:r>
      <w:r w:rsidR="005075B4" w:rsidRPr="28D940A9">
        <w:rPr>
          <w:lang w:val="en-GB"/>
        </w:rPr>
        <w:t xml:space="preserve"> where they cannot be addressed via conditions</w:t>
      </w:r>
      <w:r w:rsidRPr="28D940A9">
        <w:rPr>
          <w:lang w:val="en-GB"/>
        </w:rPr>
        <w:t xml:space="preserve">. </w:t>
      </w:r>
    </w:p>
    <w:p w14:paraId="3676B26F" w14:textId="77777777" w:rsidR="000A57A6" w:rsidRDefault="00C34C90" w:rsidP="000A57A6">
      <w:pPr>
        <w:widowControl w:val="0"/>
        <w:autoSpaceDE w:val="0"/>
        <w:autoSpaceDN w:val="0"/>
        <w:adjustRightInd w:val="0"/>
        <w:spacing w:after="120"/>
        <w:ind w:left="720" w:hanging="720"/>
        <w:jc w:val="both"/>
        <w:textAlignment w:val="center"/>
        <w:rPr>
          <w:b/>
        </w:rPr>
      </w:pPr>
      <w:r w:rsidRPr="003D2BA4">
        <w:rPr>
          <w:b/>
        </w:rPr>
        <w:t xml:space="preserve">Text Box </w:t>
      </w:r>
      <w:r>
        <w:rPr>
          <w:b/>
        </w:rPr>
        <w:t>24</w:t>
      </w:r>
      <w:r w:rsidRPr="003D2BA4">
        <w:rPr>
          <w:b/>
        </w:rPr>
        <w:t xml:space="preserve">: </w:t>
      </w:r>
      <w:r>
        <w:rPr>
          <w:b/>
        </w:rPr>
        <w:t>Flood Risk</w:t>
      </w:r>
    </w:p>
    <w:p w14:paraId="6174B71F" w14:textId="2593E9A2" w:rsidR="00D46FDD" w:rsidRPr="000D65CE" w:rsidRDefault="00D143E3" w:rsidP="003B280C">
      <w:pPr>
        <w:widowControl w:val="0"/>
        <w:autoSpaceDE w:val="0"/>
        <w:autoSpaceDN w:val="0"/>
        <w:adjustRightInd w:val="0"/>
        <w:ind w:left="720" w:hanging="720"/>
        <w:jc w:val="both"/>
        <w:textAlignment w:val="center"/>
        <w:rPr>
          <w:rFonts w:cs="Arial"/>
          <w:sz w:val="20"/>
          <w:szCs w:val="20"/>
        </w:rPr>
      </w:pPr>
      <w:r w:rsidRPr="000D65CE">
        <w:rPr>
          <w:rFonts w:cs="Arial"/>
          <w:noProof/>
          <w:lang w:eastAsia="en-GB"/>
        </w:rPr>
        <mc:AlternateContent>
          <mc:Choice Requires="wps">
            <w:drawing>
              <wp:inline distT="0" distB="0" distL="0" distR="0" wp14:anchorId="6A92F681" wp14:editId="23079EFD">
                <wp:extent cx="5715000" cy="3264195"/>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264195"/>
                        </a:xfrm>
                        <a:prstGeom prst="rect">
                          <a:avLst/>
                        </a:prstGeom>
                        <a:solidFill>
                          <a:schemeClr val="accent1">
                            <a:lumMod val="20000"/>
                            <a:lumOff val="80000"/>
                          </a:schemeClr>
                        </a:solidFill>
                        <a:ln>
                          <a:noFill/>
                        </a:ln>
                        <a:effectLst/>
                      </wps:spPr>
                      <wps:txbx>
                        <w:txbxContent>
                          <w:p w14:paraId="71624A5E"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Threshold and Contribution Requirements</w:t>
                            </w:r>
                          </w:p>
                          <w:p w14:paraId="62CBE34B" w14:textId="77777777"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f</w:t>
                            </w:r>
                            <w:r w:rsidRPr="002748AE">
                              <w:rPr>
                                <w:rFonts w:cs="Arial"/>
                                <w:szCs w:val="22"/>
                              </w:rPr>
                              <w:t xml:space="preserve">lood </w:t>
                            </w:r>
                            <w:r>
                              <w:rPr>
                                <w:rFonts w:cs="Arial"/>
                                <w:szCs w:val="22"/>
                              </w:rPr>
                              <w:t>r</w:t>
                            </w:r>
                            <w:r w:rsidRPr="002748AE">
                              <w:rPr>
                                <w:rFonts w:cs="Arial"/>
                                <w:szCs w:val="22"/>
                              </w:rPr>
                              <w:t>isk will be sought for:</w:t>
                            </w:r>
                          </w:p>
                          <w:p w14:paraId="42DBAADC" w14:textId="77777777" w:rsidR="00EB3B59" w:rsidRPr="00043531" w:rsidRDefault="00EB3B59" w:rsidP="0055222C">
                            <w:pPr>
                              <w:pStyle w:val="ListParagraph"/>
                              <w:numPr>
                                <w:ilvl w:val="0"/>
                                <w:numId w:val="5"/>
                              </w:numPr>
                              <w:autoSpaceDE w:val="0"/>
                              <w:autoSpaceDN w:val="0"/>
                              <w:adjustRightInd w:val="0"/>
                              <w:jc w:val="both"/>
                              <w:rPr>
                                <w:rFonts w:cs="Arial"/>
                                <w:szCs w:val="22"/>
                              </w:rPr>
                            </w:pPr>
                            <w:r>
                              <w:rPr>
                                <w:rFonts w:cs="Arial"/>
                                <w:szCs w:val="22"/>
                              </w:rPr>
                              <w:t>A</w:t>
                            </w:r>
                            <w:r w:rsidRPr="002748AE">
                              <w:rPr>
                                <w:rFonts w:cs="Arial"/>
                                <w:szCs w:val="22"/>
                              </w:rPr>
                              <w:t>ny development where applicable</w:t>
                            </w:r>
                            <w:r>
                              <w:rPr>
                                <w:rFonts w:cs="Arial"/>
                                <w:szCs w:val="22"/>
                              </w:rPr>
                              <w:t>.</w:t>
                            </w:r>
                          </w:p>
                          <w:p w14:paraId="00368202" w14:textId="77777777" w:rsidR="00EB3B59" w:rsidRPr="002748AE" w:rsidRDefault="00EB3B59" w:rsidP="00316854">
                            <w:pPr>
                              <w:autoSpaceDE w:val="0"/>
                              <w:autoSpaceDN w:val="0"/>
                              <w:adjustRightInd w:val="0"/>
                              <w:jc w:val="both"/>
                              <w:rPr>
                                <w:rFonts w:cs="Arial"/>
                                <w:b/>
                                <w:szCs w:val="22"/>
                              </w:rPr>
                            </w:pPr>
                            <w:r w:rsidRPr="002748AE">
                              <w:rPr>
                                <w:rFonts w:cs="Arial"/>
                                <w:b/>
                                <w:szCs w:val="22"/>
                              </w:rPr>
                              <w:t xml:space="preserve">Flood Risk </w:t>
                            </w:r>
                          </w:p>
                          <w:p w14:paraId="46263029" w14:textId="3D1BD4BE" w:rsidR="00EB3B59" w:rsidRDefault="00EB3B59" w:rsidP="00316854">
                            <w:pPr>
                              <w:jc w:val="both"/>
                              <w:rPr>
                                <w:rFonts w:cs="Arial"/>
                                <w:szCs w:val="22"/>
                              </w:rPr>
                            </w:pPr>
                            <w:r>
                              <w:rPr>
                                <w:rFonts w:cs="Arial"/>
                                <w:szCs w:val="22"/>
                              </w:rPr>
                              <w:t>N</w:t>
                            </w:r>
                            <w:r w:rsidRPr="002748AE">
                              <w:rPr>
                                <w:rFonts w:cs="Arial"/>
                                <w:szCs w:val="22"/>
                              </w:rPr>
                              <w:t>ew development</w:t>
                            </w:r>
                            <w:r>
                              <w:rPr>
                                <w:rFonts w:cs="Arial"/>
                                <w:szCs w:val="22"/>
                              </w:rPr>
                              <w:t xml:space="preserve"> must demonstrate that it</w:t>
                            </w:r>
                            <w:r w:rsidRPr="002748AE">
                              <w:rPr>
                                <w:rFonts w:cs="Arial"/>
                                <w:szCs w:val="22"/>
                              </w:rPr>
                              <w:t xml:space="preserve"> will reduce the risk of fluvial, tidal and surface water flooding and manage residual risks through appropriate flood risk </w:t>
                            </w:r>
                            <w:r w:rsidRPr="00EE7F22">
                              <w:rPr>
                                <w:rFonts w:cs="Arial"/>
                                <w:szCs w:val="22"/>
                              </w:rPr>
                              <w:t>measures. Flood defences should be maintained and, where necessary, enhanced or raised for the lifetime of the</w:t>
                            </w:r>
                            <w:r>
                              <w:rPr>
                                <w:rFonts w:cs="Arial"/>
                                <w:szCs w:val="22"/>
                              </w:rPr>
                              <w:t xml:space="preserve"> development. </w:t>
                            </w:r>
                            <w:r w:rsidRPr="002748AE">
                              <w:rPr>
                                <w:rFonts w:cs="Arial"/>
                                <w:szCs w:val="22"/>
                              </w:rPr>
                              <w:t>Measures to mitigate flooding from ground water and sewers should also be included.</w:t>
                            </w:r>
                          </w:p>
                          <w:p w14:paraId="42127FE5" w14:textId="77777777" w:rsidR="00EB3B59" w:rsidRPr="002748AE" w:rsidRDefault="00EB3B59" w:rsidP="00316854">
                            <w:pPr>
                              <w:jc w:val="both"/>
                              <w:rPr>
                                <w:rFonts w:cs="Arial"/>
                                <w:szCs w:val="22"/>
                              </w:rPr>
                            </w:pPr>
                            <w:r>
                              <w:rPr>
                                <w:rFonts w:cs="Arial"/>
                                <w:szCs w:val="22"/>
                              </w:rPr>
                              <w:t xml:space="preserve">Buffer zones required by Local Plan Policy D.ES4 should be retained and maintained for the lifetime of the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2F681" id="Text Box 11" o:spid="_x0000_s1052" type="#_x0000_t202" style="width:450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" fillcolor="#dbe5f1 [660]" stroked="f">
                <v:textbox>
                  <w:txbxContent>
                    <w:p w14:paraId="71624A5E"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Threshold and Contribution Requirements</w:t>
                      </w:r>
                    </w:p>
                    <w:p w14:paraId="62CBE34B" w14:textId="77777777"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f</w:t>
                      </w:r>
                      <w:r w:rsidRPr="002748AE">
                        <w:rPr>
                          <w:rFonts w:cs="Arial"/>
                          <w:szCs w:val="22"/>
                        </w:rPr>
                        <w:t xml:space="preserve">lood </w:t>
                      </w:r>
                      <w:r>
                        <w:rPr>
                          <w:rFonts w:cs="Arial"/>
                          <w:szCs w:val="22"/>
                        </w:rPr>
                        <w:t>r</w:t>
                      </w:r>
                      <w:r w:rsidRPr="002748AE">
                        <w:rPr>
                          <w:rFonts w:cs="Arial"/>
                          <w:szCs w:val="22"/>
                        </w:rPr>
                        <w:t>isk will be sought for:</w:t>
                      </w:r>
                    </w:p>
                    <w:p w14:paraId="42DBAADC" w14:textId="77777777" w:rsidR="00EB3B59" w:rsidRPr="00043531" w:rsidRDefault="00EB3B59" w:rsidP="0055222C">
                      <w:pPr>
                        <w:pStyle w:val="ListParagraph"/>
                        <w:numPr>
                          <w:ilvl w:val="0"/>
                          <w:numId w:val="5"/>
                        </w:numPr>
                        <w:autoSpaceDE w:val="0"/>
                        <w:autoSpaceDN w:val="0"/>
                        <w:adjustRightInd w:val="0"/>
                        <w:jc w:val="both"/>
                        <w:rPr>
                          <w:rFonts w:cs="Arial"/>
                          <w:szCs w:val="22"/>
                        </w:rPr>
                      </w:pPr>
                      <w:r>
                        <w:rPr>
                          <w:rFonts w:cs="Arial"/>
                          <w:szCs w:val="22"/>
                        </w:rPr>
                        <w:t>A</w:t>
                      </w:r>
                      <w:r w:rsidRPr="002748AE">
                        <w:rPr>
                          <w:rFonts w:cs="Arial"/>
                          <w:szCs w:val="22"/>
                        </w:rPr>
                        <w:t>ny development where applicable</w:t>
                      </w:r>
                      <w:r>
                        <w:rPr>
                          <w:rFonts w:cs="Arial"/>
                          <w:szCs w:val="22"/>
                        </w:rPr>
                        <w:t>.</w:t>
                      </w:r>
                    </w:p>
                    <w:p w14:paraId="00368202" w14:textId="77777777" w:rsidR="00EB3B59" w:rsidRPr="002748AE" w:rsidRDefault="00EB3B59" w:rsidP="00316854">
                      <w:pPr>
                        <w:autoSpaceDE w:val="0"/>
                        <w:autoSpaceDN w:val="0"/>
                        <w:adjustRightInd w:val="0"/>
                        <w:jc w:val="both"/>
                        <w:rPr>
                          <w:rFonts w:cs="Arial"/>
                          <w:b/>
                          <w:szCs w:val="22"/>
                        </w:rPr>
                      </w:pPr>
                      <w:r w:rsidRPr="002748AE">
                        <w:rPr>
                          <w:rFonts w:cs="Arial"/>
                          <w:b/>
                          <w:szCs w:val="22"/>
                        </w:rPr>
                        <w:t xml:space="preserve">Flood Risk </w:t>
                      </w:r>
                    </w:p>
                    <w:p w14:paraId="46263029" w14:textId="3D1BD4BE" w:rsidR="00EB3B59" w:rsidRDefault="00EB3B59" w:rsidP="00316854">
                      <w:pPr>
                        <w:jc w:val="both"/>
                        <w:rPr>
                          <w:rFonts w:cs="Arial"/>
                          <w:szCs w:val="22"/>
                        </w:rPr>
                      </w:pPr>
                      <w:r>
                        <w:rPr>
                          <w:rFonts w:cs="Arial"/>
                          <w:szCs w:val="22"/>
                        </w:rPr>
                        <w:t>N</w:t>
                      </w:r>
                      <w:r w:rsidRPr="002748AE">
                        <w:rPr>
                          <w:rFonts w:cs="Arial"/>
                          <w:szCs w:val="22"/>
                        </w:rPr>
                        <w:t>ew development</w:t>
                      </w:r>
                      <w:r>
                        <w:rPr>
                          <w:rFonts w:cs="Arial"/>
                          <w:szCs w:val="22"/>
                        </w:rPr>
                        <w:t xml:space="preserve"> must demonstrate that it</w:t>
                      </w:r>
                      <w:r w:rsidRPr="002748AE">
                        <w:rPr>
                          <w:rFonts w:cs="Arial"/>
                          <w:szCs w:val="22"/>
                        </w:rPr>
                        <w:t xml:space="preserve"> will reduce the risk of fluvial, tidal and surface water flooding and manage residual risks through appropriate flood risk </w:t>
                      </w:r>
                      <w:r w:rsidRPr="00EE7F22">
                        <w:rPr>
                          <w:rFonts w:cs="Arial"/>
                          <w:szCs w:val="22"/>
                        </w:rPr>
                        <w:t>measures. Flood defences should be maintained and, where necessary, enhanced or raised for the lifetime of the</w:t>
                      </w:r>
                      <w:r>
                        <w:rPr>
                          <w:rFonts w:cs="Arial"/>
                          <w:szCs w:val="22"/>
                        </w:rPr>
                        <w:t xml:space="preserve"> development. </w:t>
                      </w:r>
                      <w:r w:rsidRPr="002748AE">
                        <w:rPr>
                          <w:rFonts w:cs="Arial"/>
                          <w:szCs w:val="22"/>
                        </w:rPr>
                        <w:t>Measures to mitigate flooding from ground water and sewers should also be included.</w:t>
                      </w:r>
                    </w:p>
                    <w:p w14:paraId="42127FE5" w14:textId="77777777" w:rsidR="00EB3B59" w:rsidRPr="002748AE" w:rsidRDefault="00EB3B59" w:rsidP="00316854">
                      <w:pPr>
                        <w:jc w:val="both"/>
                        <w:rPr>
                          <w:rFonts w:cs="Arial"/>
                          <w:szCs w:val="22"/>
                        </w:rPr>
                      </w:pPr>
                      <w:r>
                        <w:rPr>
                          <w:rFonts w:cs="Arial"/>
                          <w:szCs w:val="22"/>
                        </w:rPr>
                        <w:t xml:space="preserve">Buffer zones required by Local Plan Policy D.ES4 should be retained and maintained for the lifetime of the development.  </w:t>
                      </w:r>
                    </w:p>
                  </w:txbxContent>
                </v:textbox>
                <w10:anchorlock/>
              </v:shape>
            </w:pict>
          </mc:Fallback>
        </mc:AlternateContent>
      </w:r>
    </w:p>
    <w:p w14:paraId="55A218D2" w14:textId="77777777" w:rsidR="005A6217" w:rsidRPr="000D65CE" w:rsidRDefault="005A6217" w:rsidP="003B280C">
      <w:pPr>
        <w:widowControl w:val="0"/>
        <w:autoSpaceDE w:val="0"/>
        <w:autoSpaceDN w:val="0"/>
        <w:adjustRightInd w:val="0"/>
        <w:jc w:val="both"/>
        <w:textAlignment w:val="center"/>
        <w:rPr>
          <w:rFonts w:cs="Arial"/>
          <w:b/>
          <w:bCs/>
          <w:color w:val="000000"/>
          <w:sz w:val="28"/>
          <w:szCs w:val="28"/>
        </w:rPr>
      </w:pPr>
    </w:p>
    <w:p w14:paraId="1D174638" w14:textId="77777777" w:rsidR="005C4E45" w:rsidRDefault="005C4E45">
      <w:pPr>
        <w:spacing w:after="0" w:line="240" w:lineRule="auto"/>
        <w:rPr>
          <w:rFonts w:eastAsiaTheme="majorEastAsia" w:cstheme="majorBidi"/>
          <w:b/>
          <w:bCs/>
          <w:color w:val="00477E"/>
          <w:sz w:val="30"/>
          <w:szCs w:val="26"/>
        </w:rPr>
      </w:pPr>
      <w:r>
        <w:br w:type="page"/>
      </w:r>
    </w:p>
    <w:p w14:paraId="469F1418" w14:textId="54FD8655" w:rsidR="00EE7F22" w:rsidRPr="000D65CE" w:rsidRDefault="004425BB" w:rsidP="00721B10">
      <w:pPr>
        <w:pStyle w:val="Heading2"/>
      </w:pPr>
      <w:bookmarkStart w:id="24" w:name="_Toc69374683"/>
      <w:r w:rsidRPr="000D65CE">
        <w:lastRenderedPageBreak/>
        <w:t>Development C</w:t>
      </w:r>
      <w:r w:rsidR="00531C1C" w:rsidRPr="000D65CE">
        <w:t>o</w:t>
      </w:r>
      <w:r w:rsidRPr="000D65CE">
        <w:t>-ordination and I</w:t>
      </w:r>
      <w:r w:rsidR="00531C1C" w:rsidRPr="000D65CE">
        <w:t>ntegration</w:t>
      </w:r>
      <w:bookmarkStart w:id="25" w:name="_Hlk49156696"/>
      <w:bookmarkEnd w:id="24"/>
    </w:p>
    <w:tbl>
      <w:tblPr>
        <w:tblStyle w:val="TableGrid"/>
        <w:tblW w:w="0" w:type="auto"/>
        <w:tblInd w:w="840"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BF60B2" w:rsidRPr="000D65CE" w14:paraId="130AE137" w14:textId="77777777" w:rsidTr="7A52AF77">
        <w:tc>
          <w:tcPr>
            <w:tcW w:w="3119" w:type="dxa"/>
            <w:tcBorders>
              <w:bottom w:val="single" w:sz="8" w:space="0" w:color="006BB6"/>
            </w:tcBorders>
            <w:shd w:val="clear" w:color="auto" w:fill="F2F2F2" w:themeFill="background1" w:themeFillShade="F2"/>
          </w:tcPr>
          <w:p w14:paraId="5FD2B475" w14:textId="77777777" w:rsidR="00BF60B2" w:rsidRPr="000D65CE" w:rsidRDefault="00BF60B2"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3161E13E" w14:textId="7C60B160" w:rsidR="00BF60B2" w:rsidRPr="000D65CE" w:rsidRDefault="5A031873" w:rsidP="7A52AF77">
            <w:pPr>
              <w:autoSpaceDE w:val="0"/>
              <w:autoSpaceDN w:val="0"/>
              <w:adjustRightInd w:val="0"/>
              <w:spacing w:before="180" w:after="180"/>
              <w:jc w:val="both"/>
              <w:rPr>
                <w:rFonts w:cs="Arial"/>
              </w:rPr>
            </w:pPr>
            <w:bookmarkStart w:id="26" w:name="_Hlk58592928"/>
            <w:r w:rsidRPr="7A52AF77">
              <w:rPr>
                <w:rFonts w:cs="Arial"/>
              </w:rPr>
              <w:t xml:space="preserve">D.SG4, D.ES2, </w:t>
            </w:r>
            <w:r w:rsidR="022D8CDA" w:rsidRPr="7A52AF77">
              <w:rPr>
                <w:rFonts w:cs="Arial"/>
              </w:rPr>
              <w:t xml:space="preserve">D.ES9, </w:t>
            </w:r>
            <w:r w:rsidRPr="7A52AF77">
              <w:rPr>
                <w:rFonts w:cs="Arial"/>
              </w:rPr>
              <w:t>D.TR4.1</w:t>
            </w:r>
            <w:bookmarkEnd w:id="26"/>
          </w:p>
        </w:tc>
      </w:tr>
    </w:tbl>
    <w:p w14:paraId="236EBEB8" w14:textId="77777777" w:rsidR="00BF60B2" w:rsidRPr="000D65CE" w:rsidRDefault="00BF60B2" w:rsidP="003B280C">
      <w:pPr>
        <w:autoSpaceDE w:val="0"/>
        <w:autoSpaceDN w:val="0"/>
        <w:adjustRightInd w:val="0"/>
        <w:jc w:val="both"/>
        <w:rPr>
          <w:rFonts w:cs="Arial"/>
          <w:sz w:val="28"/>
          <w:szCs w:val="28"/>
        </w:rPr>
      </w:pPr>
    </w:p>
    <w:p w14:paraId="6A97541C" w14:textId="71596090" w:rsidR="00461884" w:rsidRPr="000D65CE" w:rsidRDefault="00461884" w:rsidP="003B280C">
      <w:pPr>
        <w:pStyle w:val="Paragraphs"/>
        <w:rPr>
          <w:lang w:val="en-GB"/>
        </w:rPr>
      </w:pPr>
      <w:bookmarkStart w:id="27" w:name="_Hlk49156621"/>
      <w:r w:rsidRPr="28D940A9">
        <w:rPr>
          <w:lang w:val="en-GB"/>
        </w:rPr>
        <w:t>Local Plan policies D.SG4, D.ES2</w:t>
      </w:r>
      <w:r w:rsidR="482B6320" w:rsidRPr="28D940A9">
        <w:rPr>
          <w:lang w:val="en-GB"/>
        </w:rPr>
        <w:t>, D.ES9</w:t>
      </w:r>
      <w:r w:rsidRPr="28D940A9">
        <w:rPr>
          <w:lang w:val="en-GB"/>
        </w:rPr>
        <w:t xml:space="preserve"> and D.TR4 seek to ensure that development minimises its impact on the local environment and communities, including cumulative impacts, during construction.  </w:t>
      </w:r>
    </w:p>
    <w:p w14:paraId="4A82AA03" w14:textId="77777777" w:rsidR="003E2ECE" w:rsidRPr="000D65CE" w:rsidRDefault="00DB568C" w:rsidP="003B280C">
      <w:pPr>
        <w:pStyle w:val="Paragraphs"/>
        <w:rPr>
          <w:lang w:val="en-GB"/>
        </w:rPr>
      </w:pPr>
      <w:r w:rsidRPr="28D940A9">
        <w:rPr>
          <w:lang w:val="en-GB"/>
        </w:rPr>
        <w:t>The high density of people living, working and visiting Tower Hamlets and the cumulative nature of multiple development sites coming forward</w:t>
      </w:r>
      <w:r w:rsidR="009E6A72" w:rsidRPr="28D940A9">
        <w:rPr>
          <w:lang w:val="en-GB"/>
        </w:rPr>
        <w:t xml:space="preserve"> is exposing</w:t>
      </w:r>
      <w:r w:rsidRPr="28D940A9">
        <w:rPr>
          <w:lang w:val="en-GB"/>
        </w:rPr>
        <w:t xml:space="preserve"> more people to the impacts</w:t>
      </w:r>
      <w:r w:rsidR="009E2A54" w:rsidRPr="28D940A9">
        <w:rPr>
          <w:lang w:val="en-GB"/>
        </w:rPr>
        <w:t xml:space="preserve"> of construction</w:t>
      </w:r>
      <w:r w:rsidR="009E02D1" w:rsidRPr="28D940A9">
        <w:rPr>
          <w:lang w:val="en-GB"/>
        </w:rPr>
        <w:t>. This includes</w:t>
      </w:r>
      <w:r w:rsidR="004A5B05" w:rsidRPr="28D940A9">
        <w:rPr>
          <w:lang w:val="en-GB"/>
        </w:rPr>
        <w:t>:</w:t>
      </w:r>
      <w:r w:rsidR="00461884" w:rsidRPr="28D940A9">
        <w:rPr>
          <w:lang w:val="en-GB"/>
        </w:rPr>
        <w:t xml:space="preserve"> </w:t>
      </w:r>
    </w:p>
    <w:p w14:paraId="11C107E4" w14:textId="77777777" w:rsidR="003E2ECE" w:rsidRPr="000D65CE" w:rsidRDefault="003E2ECE" w:rsidP="003B280C">
      <w:pPr>
        <w:pStyle w:val="ListBullet4"/>
        <w:jc w:val="both"/>
      </w:pPr>
      <w:r>
        <w:t>Air quality</w:t>
      </w:r>
      <w:r w:rsidR="009E02D1">
        <w:t xml:space="preserve"> impacts</w:t>
      </w:r>
    </w:p>
    <w:p w14:paraId="35585E4A" w14:textId="77777777" w:rsidR="003E2ECE" w:rsidRPr="000D65CE" w:rsidRDefault="003E2ECE" w:rsidP="003B280C">
      <w:pPr>
        <w:pStyle w:val="ListBullet4"/>
        <w:jc w:val="both"/>
      </w:pPr>
      <w:r>
        <w:t>Noise and vibration</w:t>
      </w:r>
      <w:r w:rsidR="009E02D1">
        <w:t xml:space="preserve"> impacts</w:t>
      </w:r>
    </w:p>
    <w:p w14:paraId="1A261A05" w14:textId="77777777" w:rsidR="003E2ECE" w:rsidRPr="000D65CE" w:rsidRDefault="003E2ECE" w:rsidP="003B280C">
      <w:pPr>
        <w:pStyle w:val="ListBullet4"/>
        <w:jc w:val="both"/>
      </w:pPr>
      <w:r>
        <w:t>Utilities</w:t>
      </w:r>
      <w:r w:rsidR="009E02D1">
        <w:t>, street and highways works</w:t>
      </w:r>
    </w:p>
    <w:p w14:paraId="42C10330" w14:textId="77777777" w:rsidR="003E2ECE" w:rsidRPr="000D65CE" w:rsidRDefault="003E2ECE" w:rsidP="003B280C">
      <w:pPr>
        <w:pStyle w:val="ListBullet4"/>
        <w:jc w:val="both"/>
      </w:pPr>
      <w:r>
        <w:t>Site access</w:t>
      </w:r>
      <w:r w:rsidR="00D13ED9">
        <w:t xml:space="preserve"> and transport</w:t>
      </w:r>
      <w:r w:rsidR="00433F6D">
        <w:t xml:space="preserve"> impacts</w:t>
      </w:r>
    </w:p>
    <w:p w14:paraId="01A42C52" w14:textId="77777777" w:rsidR="003E2ECE" w:rsidRPr="000D65CE" w:rsidRDefault="00433F6D" w:rsidP="003B280C">
      <w:pPr>
        <w:pStyle w:val="ListBullet4"/>
        <w:jc w:val="both"/>
      </w:pPr>
      <w:r>
        <w:t>T</w:t>
      </w:r>
      <w:r w:rsidR="003E2ECE">
        <w:t>ravel and public transport access</w:t>
      </w:r>
      <w:r>
        <w:t xml:space="preserve"> impacts</w:t>
      </w:r>
    </w:p>
    <w:p w14:paraId="1244FE23" w14:textId="77777777" w:rsidR="003E2ECE" w:rsidRPr="000D65CE" w:rsidRDefault="003E2ECE" w:rsidP="003B280C">
      <w:pPr>
        <w:pStyle w:val="ListBullet4"/>
        <w:jc w:val="both"/>
      </w:pPr>
      <w:r>
        <w:t>Meanwhile use impacts</w:t>
      </w:r>
    </w:p>
    <w:p w14:paraId="7BD64EF7" w14:textId="77777777" w:rsidR="00E425FB" w:rsidRPr="000D65CE" w:rsidRDefault="00433F6D" w:rsidP="003B280C">
      <w:pPr>
        <w:pStyle w:val="ListBullet4"/>
        <w:jc w:val="both"/>
      </w:pPr>
      <w:r>
        <w:t>Increased d</w:t>
      </w:r>
      <w:r w:rsidR="003E2ECE">
        <w:t>eliveries and logistics</w:t>
      </w:r>
      <w:r w:rsidR="00DF39E3">
        <w:t xml:space="preserve"> </w:t>
      </w:r>
    </w:p>
    <w:p w14:paraId="4D7862A2" w14:textId="440C963E" w:rsidR="0068052F" w:rsidRPr="00712492" w:rsidRDefault="00712492" w:rsidP="00EB3B59">
      <w:pPr>
        <w:pStyle w:val="Paragraphs"/>
        <w:rPr>
          <w:rFonts w:asciiTheme="minorHAnsi" w:hAnsiTheme="minorHAnsi" w:cstheme="minorBidi"/>
          <w:lang w:val="en-GB"/>
        </w:rPr>
      </w:pPr>
      <w:r w:rsidRPr="28D940A9">
        <w:rPr>
          <w:lang w:val="en-GB"/>
        </w:rPr>
        <w:t xml:space="preserve">There are a number of actions that developers take to assist in mitigating the impacts of construction activity on the immediate vicinity of the development including those set out in </w:t>
      </w:r>
      <w:r w:rsidR="1094EA19" w:rsidRPr="28D940A9">
        <w:rPr>
          <w:lang w:val="en-GB"/>
        </w:rPr>
        <w:t xml:space="preserve">Construction Management Plans </w:t>
      </w:r>
      <w:r w:rsidR="66CEF485" w:rsidRPr="28D940A9">
        <w:rPr>
          <w:lang w:val="en-GB"/>
        </w:rPr>
        <w:t>(CMPs)</w:t>
      </w:r>
      <w:r w:rsidRPr="28D940A9">
        <w:rPr>
          <w:lang w:val="en-GB"/>
        </w:rPr>
        <w:t xml:space="preserve">, Construction Logistics Plans (CLPs) and the Considerate Constructors Scheme (CCS). </w:t>
      </w:r>
      <w:r w:rsidR="6049D6B8" w:rsidRPr="28D940A9">
        <w:rPr>
          <w:lang w:val="en-GB"/>
        </w:rPr>
        <w:t>These processes are expected to continue, led by the developer, to ensure construction a</w:t>
      </w:r>
      <w:r w:rsidR="07E0DA53" w:rsidRPr="28D940A9">
        <w:rPr>
          <w:lang w:val="en-GB"/>
        </w:rPr>
        <w:t>ctivity is considerate</w:t>
      </w:r>
      <w:r w:rsidR="735C19AF" w:rsidRPr="28D940A9">
        <w:rPr>
          <w:lang w:val="en-GB"/>
        </w:rPr>
        <w:t>, particularly to immediate neighbours of the site.</w:t>
      </w:r>
    </w:p>
    <w:p w14:paraId="2A1AB4AC" w14:textId="6B35E34A" w:rsidR="00E57A52" w:rsidRDefault="735C19AF" w:rsidP="00EB3B59">
      <w:pPr>
        <w:pStyle w:val="Paragraphs"/>
        <w:rPr>
          <w:lang w:val="en-GB"/>
        </w:rPr>
      </w:pPr>
      <w:r w:rsidRPr="28D940A9">
        <w:rPr>
          <w:lang w:val="en-GB"/>
        </w:rPr>
        <w:t>The nature of d</w:t>
      </w:r>
      <w:r w:rsidR="07E0DA53" w:rsidRPr="28D940A9">
        <w:rPr>
          <w:lang w:val="en-GB"/>
        </w:rPr>
        <w:t>evelopment activity in LBTH</w:t>
      </w:r>
      <w:r w:rsidR="7EF00AAA" w:rsidRPr="28D940A9">
        <w:rPr>
          <w:lang w:val="en-GB"/>
        </w:rPr>
        <w:t xml:space="preserve"> however,</w:t>
      </w:r>
      <w:r w:rsidR="07E0DA53" w:rsidRPr="28D940A9">
        <w:rPr>
          <w:lang w:val="en-GB"/>
        </w:rPr>
        <w:t xml:space="preserve"> </w:t>
      </w:r>
      <w:r w:rsidR="6B408194" w:rsidRPr="28D940A9">
        <w:rPr>
          <w:lang w:val="en-GB"/>
        </w:rPr>
        <w:t xml:space="preserve">creates further challenges for developers, the local authority and other stakeholders beyond the localised actions </w:t>
      </w:r>
      <w:r w:rsidR="3DC1B3B7" w:rsidRPr="28D940A9">
        <w:rPr>
          <w:lang w:val="en-GB"/>
        </w:rPr>
        <w:t xml:space="preserve">set out above. </w:t>
      </w:r>
      <w:r w:rsidR="0025770A" w:rsidRPr="28D940A9">
        <w:rPr>
          <w:lang w:val="en-GB"/>
        </w:rPr>
        <w:t>D</w:t>
      </w:r>
      <w:r w:rsidR="3DC1B3B7" w:rsidRPr="28D940A9">
        <w:rPr>
          <w:lang w:val="en-GB"/>
        </w:rPr>
        <w:t>evelopment levels in the borough are high</w:t>
      </w:r>
      <w:r w:rsidR="007B047C" w:rsidRPr="28D940A9">
        <w:rPr>
          <w:lang w:val="en-GB"/>
        </w:rPr>
        <w:t xml:space="preserve"> and often have long</w:t>
      </w:r>
      <w:r w:rsidR="000A086D" w:rsidRPr="28D940A9">
        <w:rPr>
          <w:lang w:val="en-GB"/>
        </w:rPr>
        <w:t>,</w:t>
      </w:r>
      <w:r w:rsidR="007B047C" w:rsidRPr="28D940A9">
        <w:rPr>
          <w:lang w:val="en-GB"/>
        </w:rPr>
        <w:t xml:space="preserve"> multi-year construction timeframes</w:t>
      </w:r>
      <w:r w:rsidR="0025770A" w:rsidRPr="28D940A9">
        <w:rPr>
          <w:lang w:val="en-GB"/>
        </w:rPr>
        <w:t xml:space="preserve">, land ownership is </w:t>
      </w:r>
      <w:r w:rsidR="00B64F1D" w:rsidRPr="28D940A9">
        <w:rPr>
          <w:lang w:val="en-GB"/>
        </w:rPr>
        <w:t>fragmented,</w:t>
      </w:r>
      <w:r w:rsidR="0025770A" w:rsidRPr="28D940A9">
        <w:rPr>
          <w:lang w:val="en-GB"/>
        </w:rPr>
        <w:t xml:space="preserve"> and d</w:t>
      </w:r>
      <w:r w:rsidR="3DC1B3B7" w:rsidRPr="28D940A9">
        <w:rPr>
          <w:lang w:val="en-GB"/>
        </w:rPr>
        <w:t>evelopment</w:t>
      </w:r>
      <w:r w:rsidR="0025770A" w:rsidRPr="28D940A9">
        <w:rPr>
          <w:lang w:val="en-GB"/>
        </w:rPr>
        <w:t xml:space="preserve"> is</w:t>
      </w:r>
      <w:r w:rsidR="3DC1B3B7" w:rsidRPr="28D940A9">
        <w:rPr>
          <w:lang w:val="en-GB"/>
        </w:rPr>
        <w:t xml:space="preserve"> often</w:t>
      </w:r>
      <w:r w:rsidR="5DD7AE53" w:rsidRPr="28D940A9">
        <w:rPr>
          <w:lang w:val="en-GB"/>
        </w:rPr>
        <w:t xml:space="preserve"> clustered in</w:t>
      </w:r>
      <w:r w:rsidR="00D6235C" w:rsidRPr="28D940A9">
        <w:rPr>
          <w:lang w:val="en-GB"/>
        </w:rPr>
        <w:t xml:space="preserve"> already</w:t>
      </w:r>
      <w:r w:rsidR="5DD7AE53" w:rsidRPr="28D940A9">
        <w:rPr>
          <w:lang w:val="en-GB"/>
        </w:rPr>
        <w:t xml:space="preserve"> </w:t>
      </w:r>
      <w:r w:rsidR="001B3C39" w:rsidRPr="28D940A9">
        <w:rPr>
          <w:lang w:val="en-GB"/>
        </w:rPr>
        <w:t>high-density</w:t>
      </w:r>
      <w:r w:rsidR="5DD7AE53" w:rsidRPr="28D940A9">
        <w:rPr>
          <w:lang w:val="en-GB"/>
        </w:rPr>
        <w:t xml:space="preserve"> locations</w:t>
      </w:r>
      <w:r w:rsidR="0025770A" w:rsidRPr="28D940A9">
        <w:rPr>
          <w:lang w:val="en-GB"/>
        </w:rPr>
        <w:t xml:space="preserve">. </w:t>
      </w:r>
      <w:r w:rsidR="31287F11" w:rsidRPr="28D940A9">
        <w:rPr>
          <w:lang w:val="en-GB"/>
        </w:rPr>
        <w:t xml:space="preserve">The outcome of these factors is </w:t>
      </w:r>
      <w:r w:rsidR="0025770A" w:rsidRPr="28D940A9">
        <w:rPr>
          <w:lang w:val="en-GB"/>
        </w:rPr>
        <w:t xml:space="preserve">a significant </w:t>
      </w:r>
      <w:r w:rsidR="00E57A52" w:rsidRPr="28D940A9">
        <w:rPr>
          <w:lang w:val="en-GB"/>
        </w:rPr>
        <w:t>amount</w:t>
      </w:r>
      <w:r w:rsidR="0025770A" w:rsidRPr="28D940A9">
        <w:rPr>
          <w:lang w:val="en-GB"/>
        </w:rPr>
        <w:t xml:space="preserve"> of development and construction activity undertaken by a number of different developers and other bodies,</w:t>
      </w:r>
      <w:r w:rsidR="00CA20D9" w:rsidRPr="28D940A9">
        <w:rPr>
          <w:lang w:val="en-GB"/>
        </w:rPr>
        <w:t xml:space="preserve"> concurrently</w:t>
      </w:r>
      <w:r w:rsidR="0025770A" w:rsidRPr="28D940A9">
        <w:rPr>
          <w:lang w:val="en-GB"/>
        </w:rPr>
        <w:t xml:space="preserve"> in the same limited space. </w:t>
      </w:r>
      <w:r w:rsidR="73B8A505" w:rsidRPr="28D940A9">
        <w:rPr>
          <w:lang w:val="en-GB"/>
        </w:rPr>
        <w:t>This</w:t>
      </w:r>
      <w:r w:rsidR="00E57A52" w:rsidRPr="28D940A9">
        <w:rPr>
          <w:lang w:val="en-GB"/>
        </w:rPr>
        <w:t xml:space="preserve"> results in</w:t>
      </w:r>
      <w:r w:rsidR="73B8A505" w:rsidRPr="28D940A9">
        <w:rPr>
          <w:lang w:val="en-GB"/>
        </w:rPr>
        <w:t xml:space="preserve"> cumulative </w:t>
      </w:r>
      <w:r w:rsidR="4787E4D2" w:rsidRPr="28D940A9">
        <w:rPr>
          <w:lang w:val="en-GB"/>
        </w:rPr>
        <w:t>impacts</w:t>
      </w:r>
      <w:r w:rsidR="73B8A505" w:rsidRPr="28D940A9">
        <w:rPr>
          <w:lang w:val="en-GB"/>
        </w:rPr>
        <w:t xml:space="preserve"> of </w:t>
      </w:r>
      <w:r w:rsidR="7A838F6C" w:rsidRPr="28D940A9">
        <w:rPr>
          <w:lang w:val="en-GB"/>
        </w:rPr>
        <w:t xml:space="preserve">development </w:t>
      </w:r>
      <w:r w:rsidR="73B8A505" w:rsidRPr="28D940A9">
        <w:rPr>
          <w:lang w:val="en-GB"/>
        </w:rPr>
        <w:t>activity</w:t>
      </w:r>
      <w:r w:rsidR="00E57A52" w:rsidRPr="28D940A9">
        <w:rPr>
          <w:lang w:val="en-GB"/>
        </w:rPr>
        <w:t xml:space="preserve"> on the borough.  While CMPs, CLPs and the CCS consider and seek to reduce such impacts, th</w:t>
      </w:r>
      <w:r w:rsidR="001B3C39" w:rsidRPr="28D940A9">
        <w:rPr>
          <w:lang w:val="en-GB"/>
        </w:rPr>
        <w:t>ese plans are undertaken</w:t>
      </w:r>
      <w:r w:rsidR="00E57A52" w:rsidRPr="28D940A9">
        <w:rPr>
          <w:lang w:val="en-GB"/>
        </w:rPr>
        <w:t xml:space="preserve"> from the perspective of the individual site as opposed to a strategic overview of all sites. As such, the Council do no</w:t>
      </w:r>
      <w:r w:rsidR="00B859CB" w:rsidRPr="28D940A9">
        <w:rPr>
          <w:lang w:val="en-GB"/>
        </w:rPr>
        <w:t>t</w:t>
      </w:r>
      <w:r w:rsidR="00E57A52" w:rsidRPr="28D940A9">
        <w:rPr>
          <w:lang w:val="en-GB"/>
        </w:rPr>
        <w:t xml:space="preserve"> consider that the individual actions can entirely mitigate these impacts. </w:t>
      </w:r>
    </w:p>
    <w:p w14:paraId="08337923" w14:textId="39D8BECC" w:rsidR="00900F5D" w:rsidRDefault="0DD52067" w:rsidP="00EB3B59">
      <w:pPr>
        <w:pStyle w:val="Paragraphs"/>
        <w:rPr>
          <w:lang w:val="en-GB"/>
        </w:rPr>
      </w:pPr>
      <w:r w:rsidRPr="28D940A9">
        <w:rPr>
          <w:lang w:val="en-GB"/>
        </w:rPr>
        <w:t>The Local Plan policies require developers to ensure the impacts of their construction activity are mitigated and this must include the cumulative impacts on the boroughs streets, spaces, residents and bus</w:t>
      </w:r>
      <w:r w:rsidR="1DA4DA60" w:rsidRPr="28D940A9">
        <w:rPr>
          <w:lang w:val="en-GB"/>
        </w:rPr>
        <w:t>inesses</w:t>
      </w:r>
      <w:r w:rsidR="0B59072D" w:rsidRPr="28D940A9">
        <w:rPr>
          <w:lang w:val="en-GB"/>
        </w:rPr>
        <w:t>, not only localised impacts.</w:t>
      </w:r>
      <w:r w:rsidR="00900F5D" w:rsidRPr="28D940A9">
        <w:rPr>
          <w:lang w:val="en-GB"/>
        </w:rPr>
        <w:t xml:space="preserve"> </w:t>
      </w:r>
      <w:r w:rsidR="1DA4DA60" w:rsidRPr="28D940A9">
        <w:rPr>
          <w:lang w:val="en-GB"/>
        </w:rPr>
        <w:t>The Council considers that this can only be achieved through the coordination of construction activity</w:t>
      </w:r>
      <w:r w:rsidR="00E57A52" w:rsidRPr="28D940A9">
        <w:rPr>
          <w:lang w:val="en-GB"/>
        </w:rPr>
        <w:t>.</w:t>
      </w:r>
      <w:r w:rsidR="004A5B05" w:rsidRPr="28D940A9">
        <w:rPr>
          <w:lang w:val="en-GB"/>
        </w:rPr>
        <w:t xml:space="preserve"> </w:t>
      </w:r>
    </w:p>
    <w:p w14:paraId="67A065A8" w14:textId="4A46A398" w:rsidR="0068052F" w:rsidRPr="00900F5D" w:rsidRDefault="00C851F4" w:rsidP="00EB3B59">
      <w:pPr>
        <w:pStyle w:val="Paragraphs"/>
        <w:rPr>
          <w:lang w:val="en-GB"/>
        </w:rPr>
      </w:pPr>
      <w:r w:rsidRPr="28D940A9">
        <w:rPr>
          <w:lang w:val="en-GB"/>
        </w:rPr>
        <w:lastRenderedPageBreak/>
        <w:t xml:space="preserve">The Council </w:t>
      </w:r>
      <w:r w:rsidR="000826A7" w:rsidRPr="28D940A9">
        <w:rPr>
          <w:lang w:val="en-GB"/>
        </w:rPr>
        <w:t xml:space="preserve">is best placed to </w:t>
      </w:r>
      <w:r w:rsidR="002C1417" w:rsidRPr="28D940A9">
        <w:rPr>
          <w:lang w:val="en-GB"/>
        </w:rPr>
        <w:t>consider</w:t>
      </w:r>
      <w:r w:rsidRPr="28D940A9">
        <w:rPr>
          <w:lang w:val="en-GB"/>
        </w:rPr>
        <w:t xml:space="preserve"> construction ac</w:t>
      </w:r>
      <w:r w:rsidR="00C44288" w:rsidRPr="28D940A9">
        <w:rPr>
          <w:lang w:val="en-GB"/>
        </w:rPr>
        <w:t>tivity collectively across the b</w:t>
      </w:r>
      <w:r w:rsidRPr="28D940A9">
        <w:rPr>
          <w:lang w:val="en-GB"/>
        </w:rPr>
        <w:t>orough</w:t>
      </w:r>
      <w:r w:rsidR="0C674EA2" w:rsidRPr="28D940A9">
        <w:rPr>
          <w:lang w:val="en-GB"/>
        </w:rPr>
        <w:t xml:space="preserve"> and in specific high growth locations</w:t>
      </w:r>
      <w:r w:rsidR="4E12AFD9" w:rsidRPr="28D940A9">
        <w:rPr>
          <w:lang w:val="en-GB"/>
        </w:rPr>
        <w:t xml:space="preserve"> and</w:t>
      </w:r>
      <w:r w:rsidR="00900F5D" w:rsidRPr="28D940A9">
        <w:rPr>
          <w:lang w:val="en-GB"/>
        </w:rPr>
        <w:t xml:space="preserve"> to</w:t>
      </w:r>
      <w:r w:rsidR="4E12AFD9" w:rsidRPr="28D940A9">
        <w:rPr>
          <w:lang w:val="en-GB"/>
        </w:rPr>
        <w:t xml:space="preserve"> facilitate coordination between the high number of developers and other stakeholders involved</w:t>
      </w:r>
      <w:r w:rsidR="002C1417" w:rsidRPr="28D940A9">
        <w:rPr>
          <w:lang w:val="en-GB"/>
        </w:rPr>
        <w:t xml:space="preserve">. By undertaking this </w:t>
      </w:r>
      <w:r w:rsidR="00E57A52" w:rsidRPr="28D940A9">
        <w:rPr>
          <w:lang w:val="en-GB"/>
        </w:rPr>
        <w:t>role,</w:t>
      </w:r>
      <w:r w:rsidR="002C1417" w:rsidRPr="28D940A9">
        <w:rPr>
          <w:lang w:val="en-GB"/>
        </w:rPr>
        <w:t xml:space="preserve"> the Council</w:t>
      </w:r>
      <w:r w:rsidRPr="28D940A9">
        <w:rPr>
          <w:lang w:val="en-GB"/>
        </w:rPr>
        <w:t xml:space="preserve"> </w:t>
      </w:r>
      <w:r w:rsidR="002C1417" w:rsidRPr="28D940A9">
        <w:rPr>
          <w:lang w:val="en-GB"/>
        </w:rPr>
        <w:t>will</w:t>
      </w:r>
      <w:r w:rsidRPr="28D940A9">
        <w:rPr>
          <w:lang w:val="en-GB"/>
        </w:rPr>
        <w:t xml:space="preserve"> support greater integration across developments, including the </w:t>
      </w:r>
      <w:r w:rsidR="007C2CBA" w:rsidRPr="28D940A9">
        <w:rPr>
          <w:lang w:val="en-GB"/>
        </w:rPr>
        <w:t xml:space="preserve">avoidance </w:t>
      </w:r>
      <w:r w:rsidRPr="28D940A9">
        <w:rPr>
          <w:lang w:val="en-GB"/>
        </w:rPr>
        <w:t>of conflicts where they</w:t>
      </w:r>
      <w:r w:rsidR="007C2CBA" w:rsidRPr="28D940A9">
        <w:rPr>
          <w:lang w:val="en-GB"/>
        </w:rPr>
        <w:t xml:space="preserve"> might otherwise</w:t>
      </w:r>
      <w:r w:rsidRPr="28D940A9">
        <w:rPr>
          <w:lang w:val="en-GB"/>
        </w:rPr>
        <w:t xml:space="preserve"> arise.</w:t>
      </w:r>
      <w:r w:rsidR="00740D45" w:rsidRPr="28D940A9">
        <w:rPr>
          <w:lang w:val="en-GB"/>
        </w:rPr>
        <w:t xml:space="preserve"> A modest amount of resource will be required to deliver this role</w:t>
      </w:r>
      <w:r w:rsidR="6C8D806F" w:rsidRPr="28D940A9">
        <w:rPr>
          <w:lang w:val="en-GB"/>
        </w:rPr>
        <w:t xml:space="preserve"> and it is anticipated that benefits will be realised not only by local people, but also developers and other partners.</w:t>
      </w:r>
    </w:p>
    <w:p w14:paraId="0F68D34C" w14:textId="12FED224" w:rsidR="00E425FB" w:rsidRPr="000D65CE" w:rsidRDefault="009E6A72" w:rsidP="003B280C">
      <w:pPr>
        <w:spacing w:before="360" w:after="120"/>
        <w:jc w:val="both"/>
        <w:rPr>
          <w:b/>
          <w:color w:val="00477E"/>
          <w:sz w:val="24"/>
        </w:rPr>
      </w:pPr>
      <w:r w:rsidRPr="000D65CE">
        <w:rPr>
          <w:b/>
          <w:color w:val="00477E"/>
          <w:sz w:val="24"/>
        </w:rPr>
        <w:t xml:space="preserve">How the Council will </w:t>
      </w:r>
      <w:r w:rsidR="006D1037" w:rsidRPr="000D65CE">
        <w:rPr>
          <w:b/>
          <w:color w:val="00477E"/>
          <w:sz w:val="24"/>
        </w:rPr>
        <w:t>Ad</w:t>
      </w:r>
      <w:r w:rsidR="006D1037">
        <w:rPr>
          <w:b/>
          <w:color w:val="00477E"/>
          <w:sz w:val="24"/>
        </w:rPr>
        <w:t>dress Development Co</w:t>
      </w:r>
      <w:r w:rsidR="000952D3">
        <w:rPr>
          <w:b/>
          <w:color w:val="00477E"/>
          <w:sz w:val="24"/>
        </w:rPr>
        <w:t>-</w:t>
      </w:r>
      <w:r w:rsidR="006D1037">
        <w:rPr>
          <w:b/>
          <w:color w:val="00477E"/>
          <w:sz w:val="24"/>
        </w:rPr>
        <w:t>ordination a</w:t>
      </w:r>
      <w:r w:rsidR="006D1037" w:rsidRPr="000D65CE">
        <w:rPr>
          <w:b/>
          <w:color w:val="00477E"/>
          <w:sz w:val="24"/>
        </w:rPr>
        <w:t xml:space="preserve">nd Integration Through </w:t>
      </w:r>
      <w:r w:rsidR="005A6B4C">
        <w:rPr>
          <w:b/>
          <w:color w:val="00477E"/>
          <w:sz w:val="24"/>
        </w:rPr>
        <w:t>Planning Obligations</w:t>
      </w:r>
    </w:p>
    <w:p w14:paraId="437EC85A" w14:textId="6B985948" w:rsidR="004779DD" w:rsidRPr="00CA20D9" w:rsidRDefault="004779DD" w:rsidP="00EB3B59">
      <w:pPr>
        <w:pStyle w:val="Paragraphs"/>
        <w:rPr>
          <w:lang w:val="en-GB"/>
        </w:rPr>
      </w:pPr>
      <w:r w:rsidRPr="28D940A9">
        <w:rPr>
          <w:lang w:val="en-GB"/>
        </w:rPr>
        <w:t xml:space="preserve">The need to manage construction </w:t>
      </w:r>
      <w:r w:rsidR="2BC3D7F1" w:rsidRPr="28D940A9">
        <w:rPr>
          <w:lang w:val="en-GB"/>
        </w:rPr>
        <w:t>activity both on-site and within the surrounding streets and spaces</w:t>
      </w:r>
      <w:r w:rsidRPr="28D940A9">
        <w:rPr>
          <w:lang w:val="en-GB"/>
        </w:rPr>
        <w:t xml:space="preserve"> more proactively</w:t>
      </w:r>
      <w:r w:rsidR="00133A14" w:rsidRPr="28D940A9">
        <w:rPr>
          <w:lang w:val="en-GB"/>
        </w:rPr>
        <w:t xml:space="preserve"> and strategically</w:t>
      </w:r>
      <w:r w:rsidRPr="28D940A9">
        <w:rPr>
          <w:lang w:val="en-GB"/>
        </w:rPr>
        <w:t xml:space="preserve"> across the </w:t>
      </w:r>
      <w:r w:rsidR="00C44288" w:rsidRPr="28D940A9">
        <w:rPr>
          <w:lang w:val="en-GB"/>
        </w:rPr>
        <w:t>b</w:t>
      </w:r>
      <w:r w:rsidR="00747592" w:rsidRPr="28D940A9">
        <w:rPr>
          <w:lang w:val="en-GB"/>
        </w:rPr>
        <w:t>orough</w:t>
      </w:r>
      <w:r w:rsidRPr="28D940A9">
        <w:rPr>
          <w:lang w:val="en-GB"/>
        </w:rPr>
        <w:t xml:space="preserve"> is </w:t>
      </w:r>
      <w:r w:rsidR="00CA20D9" w:rsidRPr="28D940A9">
        <w:rPr>
          <w:lang w:val="en-GB"/>
        </w:rPr>
        <w:t>necessary</w:t>
      </w:r>
      <w:r w:rsidRPr="28D940A9">
        <w:rPr>
          <w:lang w:val="en-GB"/>
        </w:rPr>
        <w:t xml:space="preserve"> due to </w:t>
      </w:r>
      <w:r w:rsidR="00531C1C" w:rsidRPr="28D940A9">
        <w:rPr>
          <w:lang w:val="en-GB"/>
        </w:rPr>
        <w:t>the</w:t>
      </w:r>
      <w:r w:rsidRPr="28D940A9">
        <w:rPr>
          <w:lang w:val="en-GB"/>
        </w:rPr>
        <w:t xml:space="preserve"> high growth rate</w:t>
      </w:r>
      <w:r w:rsidR="00531C1C" w:rsidRPr="28D940A9">
        <w:rPr>
          <w:lang w:val="en-GB"/>
        </w:rPr>
        <w:t xml:space="preserve"> in Tower Hamlets</w:t>
      </w:r>
      <w:r w:rsidRPr="28D940A9">
        <w:rPr>
          <w:lang w:val="en-GB"/>
        </w:rPr>
        <w:t>.</w:t>
      </w:r>
      <w:r w:rsidR="007C2CBA" w:rsidRPr="28D940A9">
        <w:rPr>
          <w:lang w:val="en-GB"/>
        </w:rPr>
        <w:t xml:space="preserve"> This is especially relevant to the Isle of Dogs</w:t>
      </w:r>
      <w:r w:rsidR="1BCA9E2D" w:rsidRPr="28D940A9">
        <w:rPr>
          <w:lang w:val="en-GB"/>
        </w:rPr>
        <w:t>, Lower Lea Valley and City Fringe areas, although the entire borough experiences the cumulative impacts of construction</w:t>
      </w:r>
      <w:r w:rsidR="00CA20D9" w:rsidRPr="28D940A9">
        <w:rPr>
          <w:lang w:val="en-GB"/>
        </w:rPr>
        <w:t>, such as impacts to travel routes resulting from multiple development sites requiring deliveries and undertaking utilities, street and highways works. The high levels of growth and development are expected to continue over the next decade especially given the 10</w:t>
      </w:r>
      <w:r w:rsidR="00B859CB" w:rsidRPr="28D940A9">
        <w:rPr>
          <w:lang w:val="en-GB"/>
        </w:rPr>
        <w:t>-</w:t>
      </w:r>
      <w:r w:rsidR="00CA20D9" w:rsidRPr="28D940A9">
        <w:rPr>
          <w:lang w:val="en-GB"/>
        </w:rPr>
        <w:t>year target for net housing completions of 34,730 for Tower Hamlets</w:t>
      </w:r>
      <w:r w:rsidR="007B0821" w:rsidRPr="28D940A9">
        <w:rPr>
          <w:lang w:val="en-GB"/>
        </w:rPr>
        <w:t xml:space="preserve"> set</w:t>
      </w:r>
      <w:r w:rsidR="00CA20D9" w:rsidRPr="28D940A9">
        <w:rPr>
          <w:lang w:val="en-GB"/>
        </w:rPr>
        <w:t xml:space="preserve"> in the Intend to Publish London Plan.  </w:t>
      </w:r>
    </w:p>
    <w:p w14:paraId="71D8F1F2" w14:textId="597415A7" w:rsidR="00066668" w:rsidRPr="000D65CE" w:rsidRDefault="00DB568C" w:rsidP="003B280C">
      <w:pPr>
        <w:pStyle w:val="Paragraphs"/>
        <w:rPr>
          <w:lang w:val="en-GB"/>
        </w:rPr>
      </w:pPr>
      <w:r w:rsidRPr="28D940A9">
        <w:rPr>
          <w:lang w:val="en-GB"/>
        </w:rPr>
        <w:t xml:space="preserve">A proactive, cross-departmental </w:t>
      </w:r>
      <w:r w:rsidR="00531C1C" w:rsidRPr="28D940A9">
        <w:rPr>
          <w:lang w:val="en-GB"/>
        </w:rPr>
        <w:t>approach</w:t>
      </w:r>
      <w:r w:rsidRPr="28D940A9">
        <w:rPr>
          <w:lang w:val="en-GB"/>
        </w:rPr>
        <w:t xml:space="preserve"> </w:t>
      </w:r>
      <w:r w:rsidR="00FA75E3" w:rsidRPr="28D940A9">
        <w:rPr>
          <w:lang w:val="en-GB"/>
        </w:rPr>
        <w:t xml:space="preserve">will </w:t>
      </w:r>
      <w:r w:rsidRPr="28D940A9">
        <w:rPr>
          <w:lang w:val="en-GB"/>
        </w:rPr>
        <w:t xml:space="preserve">be funded by </w:t>
      </w:r>
      <w:r w:rsidR="4FEF0022" w:rsidRPr="28D940A9">
        <w:rPr>
          <w:lang w:val="en-GB"/>
        </w:rPr>
        <w:t>the required</w:t>
      </w:r>
      <w:r w:rsidR="00FA75E3" w:rsidRPr="28D940A9">
        <w:rPr>
          <w:lang w:val="en-GB"/>
        </w:rPr>
        <w:t xml:space="preserve"> contributions from all </w:t>
      </w:r>
      <w:r w:rsidRPr="28D940A9">
        <w:rPr>
          <w:lang w:val="en-GB"/>
        </w:rPr>
        <w:t>M</w:t>
      </w:r>
      <w:r w:rsidR="00BC1321" w:rsidRPr="28D940A9">
        <w:rPr>
          <w:lang w:val="en-GB"/>
        </w:rPr>
        <w:t>ajor</w:t>
      </w:r>
      <w:r w:rsidR="00FA75E3" w:rsidRPr="28D940A9">
        <w:rPr>
          <w:lang w:val="en-GB"/>
        </w:rPr>
        <w:t xml:space="preserve"> </w:t>
      </w:r>
      <w:r w:rsidRPr="28D940A9">
        <w:rPr>
          <w:lang w:val="en-GB"/>
        </w:rPr>
        <w:t>Developments</w:t>
      </w:r>
      <w:r w:rsidR="00FA75E3" w:rsidRPr="28D940A9">
        <w:rPr>
          <w:lang w:val="en-GB"/>
        </w:rPr>
        <w:t>.</w:t>
      </w:r>
      <w:r w:rsidR="007B047C" w:rsidRPr="28D940A9">
        <w:rPr>
          <w:lang w:val="en-GB"/>
        </w:rPr>
        <w:t xml:space="preserve"> The financial contributions collected will be used over the </w:t>
      </w:r>
      <w:r w:rsidR="0F4277D2" w:rsidRPr="28D940A9">
        <w:rPr>
          <w:lang w:val="en-GB"/>
        </w:rPr>
        <w:t>entire</w:t>
      </w:r>
      <w:r w:rsidR="007B047C" w:rsidRPr="28D940A9">
        <w:rPr>
          <w:lang w:val="en-GB"/>
        </w:rPr>
        <w:t xml:space="preserve"> construction period of a given scheme, including for large developments which will be delivered over a long period</w:t>
      </w:r>
      <w:r w:rsidR="5E9CBABD" w:rsidRPr="28D940A9">
        <w:rPr>
          <w:lang w:val="en-GB"/>
        </w:rPr>
        <w:t xml:space="preserve"> of time</w:t>
      </w:r>
      <w:r w:rsidR="007B047C" w:rsidRPr="28D940A9">
        <w:rPr>
          <w:lang w:val="en-GB"/>
        </w:rPr>
        <w:t xml:space="preserve">. </w:t>
      </w:r>
      <w:r w:rsidR="00066668" w:rsidRPr="28D940A9">
        <w:rPr>
          <w:lang w:val="en-GB"/>
        </w:rPr>
        <w:t xml:space="preserve">Representatives from across Highways, Environmental Protection, Clean and Green, Parking and Planning Compliance will share information and calibrate approaches to deal with </w:t>
      </w:r>
      <w:r w:rsidR="748BC4CA" w:rsidRPr="28D940A9">
        <w:rPr>
          <w:lang w:val="en-GB"/>
        </w:rPr>
        <w:t xml:space="preserve">cumulative </w:t>
      </w:r>
      <w:r w:rsidR="00066668" w:rsidRPr="28D940A9">
        <w:rPr>
          <w:lang w:val="en-GB"/>
        </w:rPr>
        <w:t>construction issues. The funding will enable collaborative and active co-operation between the Council, developers,</w:t>
      </w:r>
      <w:r w:rsidR="00EE390E" w:rsidRPr="28D940A9">
        <w:rPr>
          <w:lang w:val="en-GB"/>
        </w:rPr>
        <w:t xml:space="preserve"> utility providers,</w:t>
      </w:r>
      <w:r w:rsidR="00066668" w:rsidRPr="28D940A9">
        <w:rPr>
          <w:lang w:val="en-GB"/>
        </w:rPr>
        <w:t xml:space="preserve"> contractors and their supply chain.</w:t>
      </w:r>
      <w:r w:rsidR="56B11492" w:rsidRPr="28D940A9">
        <w:rPr>
          <w:lang w:val="en-GB"/>
        </w:rPr>
        <w:t xml:space="preserve"> All partners are expected to benefit from coordination, maximising opportunities to create economies of scale, share best practice, </w:t>
      </w:r>
      <w:r w:rsidR="1B20B83D" w:rsidRPr="28D940A9">
        <w:rPr>
          <w:lang w:val="en-GB"/>
        </w:rPr>
        <w:t>reduce unknowns and risk</w:t>
      </w:r>
      <w:r w:rsidR="4453B536" w:rsidRPr="28D940A9">
        <w:rPr>
          <w:lang w:val="en-GB"/>
        </w:rPr>
        <w:t xml:space="preserve"> to development</w:t>
      </w:r>
      <w:r w:rsidR="1B20B83D" w:rsidRPr="28D940A9">
        <w:rPr>
          <w:lang w:val="en-GB"/>
        </w:rPr>
        <w:t>, and establish effective and efficient delivery processes with a</w:t>
      </w:r>
      <w:r w:rsidR="38420F76" w:rsidRPr="28D940A9">
        <w:rPr>
          <w:lang w:val="en-GB"/>
        </w:rPr>
        <w:t>ssociated</w:t>
      </w:r>
      <w:r w:rsidR="1B20B83D" w:rsidRPr="28D940A9">
        <w:rPr>
          <w:lang w:val="en-GB"/>
        </w:rPr>
        <w:t xml:space="preserve"> stake</w:t>
      </w:r>
      <w:r w:rsidR="29B72FF3" w:rsidRPr="28D940A9">
        <w:rPr>
          <w:lang w:val="en-GB"/>
        </w:rPr>
        <w:t>holders</w:t>
      </w:r>
      <w:r w:rsidR="1B20B83D" w:rsidRPr="28D940A9">
        <w:rPr>
          <w:lang w:val="en-GB"/>
        </w:rPr>
        <w:t>.</w:t>
      </w:r>
      <w:r w:rsidR="17875862" w:rsidRPr="28D940A9">
        <w:rPr>
          <w:lang w:val="en-GB"/>
        </w:rPr>
        <w:t xml:space="preserve"> The Council will also seek pro-active opportunities to support local developers with best practice from across London and beyo</w:t>
      </w:r>
      <w:r w:rsidR="3E658E23" w:rsidRPr="28D940A9">
        <w:rPr>
          <w:lang w:val="en-GB"/>
        </w:rPr>
        <w:t>nd.</w:t>
      </w:r>
    </w:p>
    <w:p w14:paraId="2AC6B52B" w14:textId="5AE67B23" w:rsidR="005A6217" w:rsidRPr="000D65CE" w:rsidRDefault="003C24FF" w:rsidP="003B280C">
      <w:pPr>
        <w:pStyle w:val="Paragraphs"/>
        <w:rPr>
          <w:lang w:val="en-GB"/>
        </w:rPr>
      </w:pPr>
      <w:r w:rsidRPr="28D940A9">
        <w:rPr>
          <w:lang w:val="en-GB"/>
        </w:rPr>
        <w:t>Th</w:t>
      </w:r>
      <w:r w:rsidR="00066668" w:rsidRPr="28D940A9">
        <w:rPr>
          <w:lang w:val="en-GB"/>
        </w:rPr>
        <w:t>is</w:t>
      </w:r>
      <w:r w:rsidRPr="28D940A9">
        <w:rPr>
          <w:lang w:val="en-GB"/>
        </w:rPr>
        <w:t xml:space="preserve"> </w:t>
      </w:r>
      <w:r w:rsidR="00DB14D5" w:rsidRPr="28D940A9">
        <w:rPr>
          <w:lang w:val="en-GB"/>
        </w:rPr>
        <w:t>co</w:t>
      </w:r>
      <w:r w:rsidR="00AA45DF" w:rsidRPr="28D940A9">
        <w:rPr>
          <w:lang w:val="en-GB"/>
        </w:rPr>
        <w:t>-</w:t>
      </w:r>
      <w:r w:rsidR="00DB14D5" w:rsidRPr="28D940A9">
        <w:rPr>
          <w:lang w:val="en-GB"/>
        </w:rPr>
        <w:t>ordination and integration</w:t>
      </w:r>
      <w:r w:rsidR="009600B6" w:rsidRPr="28D940A9">
        <w:rPr>
          <w:lang w:val="en-GB"/>
        </w:rPr>
        <w:t xml:space="preserve"> of developments</w:t>
      </w:r>
      <w:r w:rsidR="00DB14D5" w:rsidRPr="28D940A9">
        <w:rPr>
          <w:lang w:val="en-GB"/>
        </w:rPr>
        <w:t xml:space="preserve"> </w:t>
      </w:r>
      <w:r w:rsidR="00EE390E" w:rsidRPr="28D940A9">
        <w:rPr>
          <w:lang w:val="en-GB"/>
        </w:rPr>
        <w:t>may</w:t>
      </w:r>
      <w:r w:rsidRPr="28D940A9">
        <w:rPr>
          <w:lang w:val="en-GB"/>
        </w:rPr>
        <w:t xml:space="preserve"> </w:t>
      </w:r>
      <w:r w:rsidR="009600B6" w:rsidRPr="28D940A9">
        <w:rPr>
          <w:lang w:val="en-GB"/>
        </w:rPr>
        <w:t xml:space="preserve">occur </w:t>
      </w:r>
      <w:r w:rsidRPr="28D940A9">
        <w:rPr>
          <w:lang w:val="en-GB"/>
        </w:rPr>
        <w:t xml:space="preserve">at a </w:t>
      </w:r>
      <w:r w:rsidR="00C44288" w:rsidRPr="28D940A9">
        <w:rPr>
          <w:lang w:val="en-GB"/>
        </w:rPr>
        <w:t>b</w:t>
      </w:r>
      <w:r w:rsidR="00747592" w:rsidRPr="28D940A9">
        <w:rPr>
          <w:lang w:val="en-GB"/>
        </w:rPr>
        <w:t>orough</w:t>
      </w:r>
      <w:r w:rsidRPr="28D940A9">
        <w:rPr>
          <w:lang w:val="en-GB"/>
        </w:rPr>
        <w:t xml:space="preserve">-wide level </w:t>
      </w:r>
      <w:r w:rsidR="4C8BA1B6" w:rsidRPr="28D940A9">
        <w:rPr>
          <w:lang w:val="en-GB"/>
        </w:rPr>
        <w:t>or within specific locations of high activity</w:t>
      </w:r>
      <w:r w:rsidR="6D7FC3EE" w:rsidRPr="28D940A9">
        <w:rPr>
          <w:lang w:val="en-GB"/>
        </w:rPr>
        <w:t>. Local Development Forums will be established, facilitated and run by the Council, to support the identification of areas for improvement and opportunities for col</w:t>
      </w:r>
      <w:r w:rsidR="277C6ECA" w:rsidRPr="28D940A9">
        <w:rPr>
          <w:lang w:val="en-GB"/>
        </w:rPr>
        <w:t>laboration. Exact outputs and outcomes</w:t>
      </w:r>
      <w:r w:rsidR="30454A85" w:rsidRPr="28D940A9">
        <w:rPr>
          <w:lang w:val="en-GB"/>
        </w:rPr>
        <w:t xml:space="preserve"> of Council coordination</w:t>
      </w:r>
      <w:r w:rsidR="277C6ECA" w:rsidRPr="28D940A9">
        <w:rPr>
          <w:lang w:val="en-GB"/>
        </w:rPr>
        <w:t xml:space="preserve"> will vary dependent on the local identified needs, but</w:t>
      </w:r>
      <w:r w:rsidR="00E57A52" w:rsidRPr="28D940A9">
        <w:rPr>
          <w:lang w:val="en-GB"/>
        </w:rPr>
        <w:t xml:space="preserve"> </w:t>
      </w:r>
      <w:r w:rsidR="78E8DE7C" w:rsidRPr="28D940A9">
        <w:rPr>
          <w:lang w:val="en-GB"/>
        </w:rPr>
        <w:t>may</w:t>
      </w:r>
      <w:r w:rsidR="009E6A72" w:rsidRPr="28D940A9">
        <w:rPr>
          <w:lang w:val="en-GB"/>
        </w:rPr>
        <w:t xml:space="preserve"> include</w:t>
      </w:r>
      <w:r w:rsidRPr="28D940A9">
        <w:rPr>
          <w:lang w:val="en-GB"/>
        </w:rPr>
        <w:t xml:space="preserve"> the following</w:t>
      </w:r>
      <w:r w:rsidR="004D3CDC" w:rsidRPr="28D940A9">
        <w:rPr>
          <w:lang w:val="en-GB"/>
        </w:rPr>
        <w:t>:</w:t>
      </w:r>
      <w:r w:rsidR="00DB568C" w:rsidRPr="28D940A9">
        <w:rPr>
          <w:lang w:val="en-GB"/>
        </w:rPr>
        <w:t xml:space="preserve"> </w:t>
      </w:r>
    </w:p>
    <w:p w14:paraId="41082DB6" w14:textId="24B4E61C" w:rsidR="00DB33E1" w:rsidRPr="000D65CE" w:rsidRDefault="2A025F8E" w:rsidP="003B280C">
      <w:pPr>
        <w:pStyle w:val="ListBullet4"/>
        <w:jc w:val="both"/>
        <w:rPr>
          <w:rFonts w:asciiTheme="minorHAnsi" w:hAnsiTheme="minorHAnsi"/>
          <w:szCs w:val="22"/>
        </w:rPr>
      </w:pPr>
      <w:r>
        <w:t xml:space="preserve">Organisation and management of local construction forums with all relevant parties. This may include developers, building contractors, utility providers, the Environment Agency, the Canal and River Trust, Transport for London and relevant Council representatives. These forums will focus on sharing issues, best </w:t>
      </w:r>
      <w:r>
        <w:lastRenderedPageBreak/>
        <w:t xml:space="preserve">practice and communicating and scheduling works to minimise possible disruptions to services and local residents. </w:t>
      </w:r>
    </w:p>
    <w:p w14:paraId="24210DF6" w14:textId="5299536B" w:rsidR="00DB33E1" w:rsidRPr="000D65CE" w:rsidRDefault="00DB33E1" w:rsidP="003B280C">
      <w:pPr>
        <w:pStyle w:val="ListBullet4"/>
        <w:jc w:val="both"/>
      </w:pPr>
      <w:r>
        <w:t>Co-ordination of different construction timeframes, logistics and resources required for sites, as well as planned utility and highways works within the wider area</w:t>
      </w:r>
      <w:r w:rsidR="00BC1321">
        <w:t>.</w:t>
      </w:r>
    </w:p>
    <w:p w14:paraId="7E7B659E" w14:textId="3EC16EF0" w:rsidR="00DB33E1" w:rsidRPr="000D65CE" w:rsidRDefault="00DB33E1" w:rsidP="003B280C">
      <w:pPr>
        <w:pStyle w:val="ListBullet4"/>
        <w:jc w:val="both"/>
      </w:pPr>
      <w:r>
        <w:t>Assessment of construction management plans</w:t>
      </w:r>
      <w:r w:rsidR="00E40409">
        <w:t xml:space="preserve"> against other construction management plans for developments </w:t>
      </w:r>
      <w:r w:rsidR="004779DD">
        <w:t>in the</w:t>
      </w:r>
      <w:r w:rsidR="00E40409">
        <w:t xml:space="preserve"> vicinity</w:t>
      </w:r>
      <w:r w:rsidR="00EE390E">
        <w:t xml:space="preserve"> to identify opportunities</w:t>
      </w:r>
      <w:r w:rsidR="00AA45DF">
        <w:t xml:space="preserve"> for co-ordination and integration</w:t>
      </w:r>
      <w:r w:rsidR="00BC1321">
        <w:t>.</w:t>
      </w:r>
    </w:p>
    <w:p w14:paraId="232159F4" w14:textId="570ED44A" w:rsidR="00DB33E1" w:rsidRPr="000D65CE" w:rsidRDefault="29F708F2" w:rsidP="003B280C">
      <w:pPr>
        <w:pStyle w:val="ListBullet4"/>
        <w:jc w:val="both"/>
      </w:pPr>
      <w:r>
        <w:t xml:space="preserve">Identifying opportunities for meanwhile interventions to be delivered by the Council or other partners to maximise opportunities and minimise </w:t>
      </w:r>
      <w:r w:rsidR="42A99AC8">
        <w:t>negative impacts during construction periods.</w:t>
      </w:r>
    </w:p>
    <w:p w14:paraId="6BC6EDF5" w14:textId="77777777" w:rsidR="00E92A42" w:rsidRPr="000D65CE" w:rsidRDefault="00E92A42" w:rsidP="003B280C">
      <w:pPr>
        <w:pStyle w:val="ListBullet4"/>
        <w:jc w:val="both"/>
      </w:pPr>
      <w:r>
        <w:t>Community liaison duties, including out-of-hours meetings and forums</w:t>
      </w:r>
      <w:r w:rsidR="00F1411A">
        <w:t>.</w:t>
      </w:r>
    </w:p>
    <w:p w14:paraId="73858FD9" w14:textId="20AAD7BD" w:rsidR="0097263D" w:rsidRPr="000A57A6" w:rsidRDefault="00DB33E1" w:rsidP="000A57A6">
      <w:pPr>
        <w:pStyle w:val="ListBullet4"/>
        <w:jc w:val="both"/>
      </w:pPr>
      <w:r w:rsidRPr="000D65CE">
        <w:t>Monitoring adherence to relevant safety and compliance schemes</w:t>
      </w:r>
      <w:r w:rsidR="00AF7DF3" w:rsidRPr="000D65CE">
        <w:t xml:space="preserve"> in line with the latest guidance at the time of submission</w:t>
      </w:r>
      <w:r w:rsidRPr="000D65CE">
        <w:t>,</w:t>
      </w:r>
      <w:r w:rsidR="00AF7DF3" w:rsidRPr="000D65CE">
        <w:t xml:space="preserve"> as amended from time to time</w:t>
      </w:r>
      <w:r w:rsidR="00AF7DF3" w:rsidRPr="7A52AF77">
        <w:rPr>
          <w:rStyle w:val="FootnoteReference"/>
          <w:rFonts w:cs="Arial"/>
        </w:rPr>
        <w:footnoteReference w:id="14"/>
      </w:r>
      <w:r w:rsidR="00F1411A" w:rsidRPr="000D65CE">
        <w:t>.</w:t>
      </w:r>
      <w:bookmarkEnd w:id="25"/>
      <w:bookmarkEnd w:id="27"/>
    </w:p>
    <w:p w14:paraId="6F483E14" w14:textId="65EC6DD8" w:rsidR="00E57A52" w:rsidRPr="0097263D" w:rsidRDefault="00C34C90" w:rsidP="0097263D">
      <w:pPr>
        <w:pStyle w:val="Paragraphs"/>
        <w:numPr>
          <w:ilvl w:val="0"/>
          <w:numId w:val="0"/>
        </w:numPr>
        <w:rPr>
          <w:b/>
        </w:rPr>
      </w:pPr>
      <w:r w:rsidRPr="003D2BA4">
        <w:rPr>
          <w:b/>
        </w:rPr>
        <w:t xml:space="preserve">Text Box </w:t>
      </w:r>
      <w:r>
        <w:rPr>
          <w:b/>
        </w:rPr>
        <w:t>25</w:t>
      </w:r>
      <w:r w:rsidRPr="003D2BA4">
        <w:rPr>
          <w:b/>
        </w:rPr>
        <w:t xml:space="preserve">: </w:t>
      </w:r>
      <w:r>
        <w:rPr>
          <w:b/>
        </w:rPr>
        <w:t>Development Co-ordination and Integration</w:t>
      </w:r>
    </w:p>
    <w:p w14:paraId="12EB6ECC" w14:textId="77777777" w:rsidR="000029AD" w:rsidRPr="000D65CE" w:rsidRDefault="000029AD" w:rsidP="003B280C">
      <w:pPr>
        <w:pStyle w:val="Paragraphs"/>
        <w:numPr>
          <w:ilvl w:val="0"/>
          <w:numId w:val="0"/>
        </w:numPr>
        <w:rPr>
          <w:lang w:val="en-GB"/>
        </w:rPr>
      </w:pPr>
      <w:r w:rsidRPr="000D65CE">
        <w:rPr>
          <w:noProof/>
          <w:lang w:val="en-GB" w:eastAsia="en-GB"/>
        </w:rPr>
        <mc:AlternateContent>
          <mc:Choice Requires="wps">
            <w:drawing>
              <wp:inline distT="0" distB="0" distL="0" distR="0" wp14:anchorId="766B0781" wp14:editId="651E4302">
                <wp:extent cx="5715000" cy="2533650"/>
                <wp:effectExtent l="0" t="0" r="0" b="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533650"/>
                        </a:xfrm>
                        <a:prstGeom prst="rect">
                          <a:avLst/>
                        </a:prstGeom>
                        <a:solidFill>
                          <a:schemeClr val="accent1">
                            <a:lumMod val="20000"/>
                            <a:lumOff val="80000"/>
                          </a:schemeClr>
                        </a:solidFill>
                        <a:ln>
                          <a:noFill/>
                        </a:ln>
                        <a:effectLst/>
                      </wps:spPr>
                      <wps:txbx>
                        <w:txbxContent>
                          <w:p w14:paraId="4376EA9D"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Threshold and Contribution Requirements</w:t>
                            </w:r>
                          </w:p>
                          <w:p w14:paraId="44136EB7" w14:textId="6FBD4075"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development co-ordination and integration</w:t>
                            </w:r>
                            <w:r w:rsidRPr="002748AE">
                              <w:rPr>
                                <w:rFonts w:cs="Arial"/>
                                <w:szCs w:val="22"/>
                              </w:rPr>
                              <w:t xml:space="preserve"> will be sought for:</w:t>
                            </w:r>
                          </w:p>
                          <w:p w14:paraId="388B289D" w14:textId="77777777" w:rsidR="00EB3B59" w:rsidRPr="00043531" w:rsidRDefault="00EB3B59" w:rsidP="0055222C">
                            <w:pPr>
                              <w:pStyle w:val="ListParagraph"/>
                              <w:numPr>
                                <w:ilvl w:val="0"/>
                                <w:numId w:val="5"/>
                              </w:numPr>
                              <w:autoSpaceDE w:val="0"/>
                              <w:autoSpaceDN w:val="0"/>
                              <w:adjustRightInd w:val="0"/>
                              <w:jc w:val="both"/>
                              <w:rPr>
                                <w:rFonts w:cs="Arial"/>
                                <w:szCs w:val="22"/>
                              </w:rPr>
                            </w:pPr>
                            <w:r>
                              <w:rPr>
                                <w:rFonts w:cs="Arial"/>
                                <w:szCs w:val="22"/>
                              </w:rPr>
                              <w:t>All major</w:t>
                            </w:r>
                            <w:r w:rsidRPr="002748AE">
                              <w:rPr>
                                <w:rFonts w:cs="Arial"/>
                                <w:szCs w:val="22"/>
                              </w:rPr>
                              <w:t xml:space="preserve"> </w:t>
                            </w:r>
                            <w:r>
                              <w:rPr>
                                <w:rFonts w:cs="Arial"/>
                                <w:szCs w:val="22"/>
                              </w:rPr>
                              <w:t>planning applications.</w:t>
                            </w:r>
                          </w:p>
                          <w:p w14:paraId="4DA1E979" w14:textId="4A5EB4A0" w:rsidR="00EB3B59" w:rsidRPr="002748AE" w:rsidRDefault="00EB3B59" w:rsidP="00316854">
                            <w:pPr>
                              <w:autoSpaceDE w:val="0"/>
                              <w:autoSpaceDN w:val="0"/>
                              <w:adjustRightInd w:val="0"/>
                              <w:jc w:val="both"/>
                              <w:rPr>
                                <w:rFonts w:cs="Arial"/>
                                <w:b/>
                                <w:szCs w:val="22"/>
                              </w:rPr>
                            </w:pPr>
                            <w:r>
                              <w:rPr>
                                <w:rFonts w:cs="Arial"/>
                                <w:b/>
                                <w:szCs w:val="22"/>
                              </w:rPr>
                              <w:t xml:space="preserve">Development Co-ordination and Integration Financial Contribution </w:t>
                            </w:r>
                          </w:p>
                          <w:p w14:paraId="5786AA03" w14:textId="77777777" w:rsidR="00EB3B59" w:rsidRDefault="00EB3B59" w:rsidP="00316854">
                            <w:pPr>
                              <w:jc w:val="both"/>
                              <w:rPr>
                                <w:rFonts w:cs="Arial"/>
                                <w:szCs w:val="22"/>
                              </w:rPr>
                            </w:pPr>
                            <w:r>
                              <w:rPr>
                                <w:rFonts w:cs="Arial"/>
                                <w:szCs w:val="22"/>
                              </w:rPr>
                              <w:t>A financial contribution must be paid on all Major Developments, calculated as:</w:t>
                            </w:r>
                          </w:p>
                          <w:p w14:paraId="643513DF" w14:textId="49BD3FEB" w:rsidR="00EB3B59" w:rsidRDefault="00EB3B59" w:rsidP="0055222C">
                            <w:pPr>
                              <w:pStyle w:val="ListParagraph"/>
                              <w:numPr>
                                <w:ilvl w:val="0"/>
                                <w:numId w:val="5"/>
                              </w:numPr>
                              <w:autoSpaceDE w:val="0"/>
                              <w:autoSpaceDN w:val="0"/>
                              <w:adjustRightInd w:val="0"/>
                              <w:jc w:val="both"/>
                              <w:rPr>
                                <w:rFonts w:cs="Arial"/>
                                <w:szCs w:val="22"/>
                              </w:rPr>
                            </w:pPr>
                            <w:r>
                              <w:rPr>
                                <w:rFonts w:cs="Arial"/>
                                <w:szCs w:val="22"/>
                              </w:rPr>
                              <w:t>£100 per residential unit.</w:t>
                            </w:r>
                          </w:p>
                          <w:p w14:paraId="63484998" w14:textId="6E09A55A" w:rsidR="00EB3B59" w:rsidRPr="002748AE" w:rsidRDefault="00EB3B59" w:rsidP="0055222C">
                            <w:pPr>
                              <w:pStyle w:val="ListParagraph"/>
                              <w:numPr>
                                <w:ilvl w:val="0"/>
                                <w:numId w:val="5"/>
                              </w:numPr>
                              <w:autoSpaceDE w:val="0"/>
                              <w:autoSpaceDN w:val="0"/>
                              <w:adjustRightInd w:val="0"/>
                              <w:jc w:val="both"/>
                            </w:pPr>
                            <w:r w:rsidRPr="00532159">
                              <w:rPr>
                                <w:rFonts w:cs="Arial"/>
                                <w:szCs w:val="22"/>
                              </w:rPr>
                              <w:t>£1 per sqm</w:t>
                            </w:r>
                            <w:r>
                              <w:rPr>
                                <w:rFonts w:cs="Arial"/>
                                <w:szCs w:val="22"/>
                              </w:rPr>
                              <w:t xml:space="preserve"> of non-residential floorspace.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6B0781" id="Text Box 28" o:spid="_x0000_s1053" type="#_x0000_t202" style="width:450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" fillcolor="#dbe5f1 [660]" stroked="f">
                <v:textbox>
                  <w:txbxContent>
                    <w:p w14:paraId="4376EA9D"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Threshold and Contribution Requirements</w:t>
                      </w:r>
                    </w:p>
                    <w:p w14:paraId="44136EB7" w14:textId="6FBD4075"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development co-ordination and integration</w:t>
                      </w:r>
                      <w:r w:rsidRPr="002748AE">
                        <w:rPr>
                          <w:rFonts w:cs="Arial"/>
                          <w:szCs w:val="22"/>
                        </w:rPr>
                        <w:t xml:space="preserve"> will be sought for:</w:t>
                      </w:r>
                    </w:p>
                    <w:p w14:paraId="388B289D" w14:textId="77777777" w:rsidR="00EB3B59" w:rsidRPr="00043531" w:rsidRDefault="00EB3B59" w:rsidP="0055222C">
                      <w:pPr>
                        <w:pStyle w:val="ListParagraph"/>
                        <w:numPr>
                          <w:ilvl w:val="0"/>
                          <w:numId w:val="5"/>
                        </w:numPr>
                        <w:autoSpaceDE w:val="0"/>
                        <w:autoSpaceDN w:val="0"/>
                        <w:adjustRightInd w:val="0"/>
                        <w:jc w:val="both"/>
                        <w:rPr>
                          <w:rFonts w:cs="Arial"/>
                          <w:szCs w:val="22"/>
                        </w:rPr>
                      </w:pPr>
                      <w:r>
                        <w:rPr>
                          <w:rFonts w:cs="Arial"/>
                          <w:szCs w:val="22"/>
                        </w:rPr>
                        <w:t>All major</w:t>
                      </w:r>
                      <w:r w:rsidRPr="002748AE">
                        <w:rPr>
                          <w:rFonts w:cs="Arial"/>
                          <w:szCs w:val="22"/>
                        </w:rPr>
                        <w:t xml:space="preserve"> </w:t>
                      </w:r>
                      <w:r>
                        <w:rPr>
                          <w:rFonts w:cs="Arial"/>
                          <w:szCs w:val="22"/>
                        </w:rPr>
                        <w:t>planning applications.</w:t>
                      </w:r>
                    </w:p>
                    <w:p w14:paraId="4DA1E979" w14:textId="4A5EB4A0" w:rsidR="00EB3B59" w:rsidRPr="002748AE" w:rsidRDefault="00EB3B59" w:rsidP="00316854">
                      <w:pPr>
                        <w:autoSpaceDE w:val="0"/>
                        <w:autoSpaceDN w:val="0"/>
                        <w:adjustRightInd w:val="0"/>
                        <w:jc w:val="both"/>
                        <w:rPr>
                          <w:rFonts w:cs="Arial"/>
                          <w:b/>
                          <w:szCs w:val="22"/>
                        </w:rPr>
                      </w:pPr>
                      <w:r>
                        <w:rPr>
                          <w:rFonts w:cs="Arial"/>
                          <w:b/>
                          <w:szCs w:val="22"/>
                        </w:rPr>
                        <w:t xml:space="preserve">Development Co-ordination and Integration Financial Contribution </w:t>
                      </w:r>
                    </w:p>
                    <w:p w14:paraId="5786AA03" w14:textId="77777777" w:rsidR="00EB3B59" w:rsidRDefault="00EB3B59" w:rsidP="00316854">
                      <w:pPr>
                        <w:jc w:val="both"/>
                        <w:rPr>
                          <w:rFonts w:cs="Arial"/>
                          <w:szCs w:val="22"/>
                        </w:rPr>
                      </w:pPr>
                      <w:r>
                        <w:rPr>
                          <w:rFonts w:cs="Arial"/>
                          <w:szCs w:val="22"/>
                        </w:rPr>
                        <w:t>A financial contribution must be paid on all Major Developments, calculated as:</w:t>
                      </w:r>
                    </w:p>
                    <w:p w14:paraId="643513DF" w14:textId="49BD3FEB" w:rsidR="00EB3B59" w:rsidRDefault="00EB3B59" w:rsidP="0055222C">
                      <w:pPr>
                        <w:pStyle w:val="ListParagraph"/>
                        <w:numPr>
                          <w:ilvl w:val="0"/>
                          <w:numId w:val="5"/>
                        </w:numPr>
                        <w:autoSpaceDE w:val="0"/>
                        <w:autoSpaceDN w:val="0"/>
                        <w:adjustRightInd w:val="0"/>
                        <w:jc w:val="both"/>
                        <w:rPr>
                          <w:rFonts w:cs="Arial"/>
                          <w:szCs w:val="22"/>
                        </w:rPr>
                      </w:pPr>
                      <w:r>
                        <w:rPr>
                          <w:rFonts w:cs="Arial"/>
                          <w:szCs w:val="22"/>
                        </w:rPr>
                        <w:t>£100 per residential unit.</w:t>
                      </w:r>
                    </w:p>
                    <w:p w14:paraId="63484998" w14:textId="6E09A55A" w:rsidR="00EB3B59" w:rsidRPr="002748AE" w:rsidRDefault="00EB3B59" w:rsidP="0055222C">
                      <w:pPr>
                        <w:pStyle w:val="ListParagraph"/>
                        <w:numPr>
                          <w:ilvl w:val="0"/>
                          <w:numId w:val="5"/>
                        </w:numPr>
                        <w:autoSpaceDE w:val="0"/>
                        <w:autoSpaceDN w:val="0"/>
                        <w:adjustRightInd w:val="0"/>
                        <w:jc w:val="both"/>
                      </w:pPr>
                      <w:r w:rsidRPr="00532159">
                        <w:rPr>
                          <w:rFonts w:cs="Arial"/>
                          <w:szCs w:val="22"/>
                        </w:rPr>
                        <w:t>£1 per sqm</w:t>
                      </w:r>
                      <w:r>
                        <w:rPr>
                          <w:rFonts w:cs="Arial"/>
                          <w:szCs w:val="22"/>
                        </w:rPr>
                        <w:t xml:space="preserve"> of non-residential floorspace.</w:t>
                      </w:r>
                    </w:p>
                  </w:txbxContent>
                </v:textbox>
                <w10:anchorlock/>
              </v:shape>
            </w:pict>
          </mc:Fallback>
        </mc:AlternateContent>
      </w:r>
    </w:p>
    <w:p w14:paraId="6D064B2B" w14:textId="77777777" w:rsidR="00F74116" w:rsidRPr="000D65CE" w:rsidRDefault="00F74116" w:rsidP="003B280C">
      <w:pPr>
        <w:spacing w:after="0" w:line="240" w:lineRule="auto"/>
        <w:jc w:val="both"/>
        <w:rPr>
          <w:rFonts w:cs="Arial"/>
          <w:szCs w:val="22"/>
        </w:rPr>
      </w:pPr>
    </w:p>
    <w:p w14:paraId="257EA044" w14:textId="0B6584AE" w:rsidR="005F7A6D" w:rsidRPr="000D65CE" w:rsidRDefault="00A80644" w:rsidP="00721B10">
      <w:pPr>
        <w:pStyle w:val="Heading2"/>
      </w:pPr>
      <w:bookmarkStart w:id="28" w:name="_Toc69374684"/>
      <w:r w:rsidRPr="000D65CE">
        <w:t>Air Quality</w:t>
      </w:r>
      <w:bookmarkEnd w:id="28"/>
    </w:p>
    <w:tbl>
      <w:tblPr>
        <w:tblStyle w:val="TableGrid"/>
        <w:tblW w:w="0" w:type="auto"/>
        <w:tblInd w:w="780"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BF60B2" w:rsidRPr="000D65CE" w14:paraId="31601EB1" w14:textId="77777777" w:rsidTr="00921BA6">
        <w:tc>
          <w:tcPr>
            <w:tcW w:w="3119" w:type="dxa"/>
            <w:tcBorders>
              <w:bottom w:val="single" w:sz="8" w:space="0" w:color="006BB6"/>
            </w:tcBorders>
            <w:shd w:val="clear" w:color="auto" w:fill="F2F2F2" w:themeFill="background1" w:themeFillShade="F2"/>
          </w:tcPr>
          <w:p w14:paraId="05D71D0F" w14:textId="77777777" w:rsidR="00BF60B2" w:rsidRPr="000D65CE" w:rsidRDefault="00BF60B2"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28827F73" w14:textId="77777777" w:rsidR="00BF60B2" w:rsidRPr="000D65CE" w:rsidRDefault="00BF60B2" w:rsidP="003B280C">
            <w:pPr>
              <w:autoSpaceDE w:val="0"/>
              <w:autoSpaceDN w:val="0"/>
              <w:adjustRightInd w:val="0"/>
              <w:spacing w:before="180" w:after="180"/>
              <w:jc w:val="both"/>
              <w:rPr>
                <w:rFonts w:cs="Arial"/>
                <w:szCs w:val="22"/>
              </w:rPr>
            </w:pPr>
            <w:r w:rsidRPr="000D65CE">
              <w:rPr>
                <w:rFonts w:cs="Arial"/>
                <w:szCs w:val="22"/>
              </w:rPr>
              <w:t>S.SG2, D.SG3, S.ES1, D.ES2</w:t>
            </w:r>
          </w:p>
        </w:tc>
      </w:tr>
    </w:tbl>
    <w:p w14:paraId="4F8643D1" w14:textId="77777777" w:rsidR="00A80644" w:rsidRPr="000D65CE" w:rsidRDefault="0052380B" w:rsidP="003B280C">
      <w:pPr>
        <w:jc w:val="both"/>
        <w:rPr>
          <w:rFonts w:cs="Arial"/>
          <w:color w:val="000000"/>
          <w:szCs w:val="22"/>
        </w:rPr>
      </w:pPr>
      <w:r w:rsidRPr="000D65CE" w:rsidDel="0052380B">
        <w:rPr>
          <w:rFonts w:cs="Arial"/>
          <w:color w:val="000000"/>
          <w:szCs w:val="22"/>
          <w:u w:val="single"/>
        </w:rPr>
        <w:t xml:space="preserve"> </w:t>
      </w:r>
    </w:p>
    <w:p w14:paraId="6CE488C2" w14:textId="77777777" w:rsidR="00192F7E" w:rsidRPr="000D65CE" w:rsidRDefault="00192F7E" w:rsidP="003B280C">
      <w:pPr>
        <w:pStyle w:val="Paragraphs"/>
        <w:rPr>
          <w:lang w:val="en-GB"/>
        </w:rPr>
      </w:pPr>
      <w:r w:rsidRPr="28D940A9">
        <w:rPr>
          <w:lang w:val="en-GB"/>
        </w:rPr>
        <w:t xml:space="preserve">Tower Hamlets residents are already affected by </w:t>
      </w:r>
      <w:r w:rsidR="00C44288" w:rsidRPr="28D940A9">
        <w:rPr>
          <w:lang w:val="en-GB"/>
        </w:rPr>
        <w:t>poor air quality and the whole b</w:t>
      </w:r>
      <w:r w:rsidRPr="28D940A9">
        <w:rPr>
          <w:lang w:val="en-GB"/>
        </w:rPr>
        <w:t>orough is currently designated as an Air Quality Management Area. With</w:t>
      </w:r>
      <w:r w:rsidR="007C2CBA" w:rsidRPr="28D940A9">
        <w:rPr>
          <w:lang w:val="en-GB"/>
        </w:rPr>
        <w:t xml:space="preserve"> the</w:t>
      </w:r>
      <w:r w:rsidRPr="28D940A9">
        <w:rPr>
          <w:lang w:val="en-GB"/>
        </w:rPr>
        <w:t xml:space="preserve"> population forecast to continue</w:t>
      </w:r>
      <w:r w:rsidR="007C2CBA" w:rsidRPr="28D940A9">
        <w:rPr>
          <w:lang w:val="en-GB"/>
        </w:rPr>
        <w:t xml:space="preserve"> to</w:t>
      </w:r>
      <w:r w:rsidRPr="28D940A9">
        <w:rPr>
          <w:lang w:val="en-GB"/>
        </w:rPr>
        <w:t xml:space="preserve"> increas</w:t>
      </w:r>
      <w:r w:rsidR="007C2CBA" w:rsidRPr="28D940A9">
        <w:rPr>
          <w:lang w:val="en-GB"/>
        </w:rPr>
        <w:t>e</w:t>
      </w:r>
      <w:r w:rsidRPr="28D940A9">
        <w:rPr>
          <w:lang w:val="en-GB"/>
        </w:rPr>
        <w:t>, it is critical that air quality is not worsened</w:t>
      </w:r>
      <w:r w:rsidR="007C2CBA" w:rsidRPr="28D940A9">
        <w:rPr>
          <w:lang w:val="en-GB"/>
        </w:rPr>
        <w:t xml:space="preserve"> </w:t>
      </w:r>
      <w:r w:rsidR="007C2CBA" w:rsidRPr="28D940A9">
        <w:rPr>
          <w:lang w:val="en-GB"/>
        </w:rPr>
        <w:lastRenderedPageBreak/>
        <w:t>and</w:t>
      </w:r>
      <w:r w:rsidR="00C71CD3" w:rsidRPr="28D940A9">
        <w:rPr>
          <w:lang w:val="en-GB"/>
        </w:rPr>
        <w:t xml:space="preserve"> is</w:t>
      </w:r>
      <w:r w:rsidR="007C2CBA" w:rsidRPr="28D940A9">
        <w:rPr>
          <w:lang w:val="en-GB"/>
        </w:rPr>
        <w:t xml:space="preserve"> improved wherever possible</w:t>
      </w:r>
      <w:r w:rsidRPr="28D940A9">
        <w:rPr>
          <w:lang w:val="en-GB"/>
        </w:rPr>
        <w:t xml:space="preserve"> for current and future occup</w:t>
      </w:r>
      <w:r w:rsidR="007C2CBA" w:rsidRPr="28D940A9">
        <w:rPr>
          <w:lang w:val="en-GB"/>
        </w:rPr>
        <w:t>iers</w:t>
      </w:r>
      <w:r w:rsidRPr="28D940A9">
        <w:rPr>
          <w:lang w:val="en-GB"/>
        </w:rPr>
        <w:t xml:space="preserve">. </w:t>
      </w:r>
    </w:p>
    <w:p w14:paraId="165F6088" w14:textId="487BCB2A" w:rsidR="00192F7E" w:rsidRPr="000D65CE" w:rsidRDefault="002F044E" w:rsidP="003B280C">
      <w:pPr>
        <w:pStyle w:val="Paragraphs"/>
        <w:rPr>
          <w:lang w:val="en-GB"/>
        </w:rPr>
      </w:pPr>
      <w:r>
        <w:t xml:space="preserve">Improving the borough’s poor air quality is a key priority. Levels of nitrogen dioxide and fine particulate matter are of particular concern in Tower Hamlets based on current levels and  </w:t>
      </w:r>
      <w:r w:rsidR="00192F7E" w:rsidRPr="000D65CE">
        <w:rPr>
          <w:lang w:val="en-GB"/>
        </w:rPr>
        <w:t xml:space="preserve"> the significant evidence demonstrating the negative effects on health.</w:t>
      </w:r>
      <w:r w:rsidR="00856C52" w:rsidRPr="000D65CE">
        <w:rPr>
          <w:lang w:val="en-GB"/>
        </w:rPr>
        <w:t xml:space="preserve"> </w:t>
      </w:r>
      <w:r w:rsidR="00131818" w:rsidRPr="000D65CE">
        <w:rPr>
          <w:lang w:val="en-GB"/>
        </w:rPr>
        <w:t>Tower Hamlets</w:t>
      </w:r>
      <w:r w:rsidR="00856C52" w:rsidRPr="000D65CE">
        <w:rPr>
          <w:lang w:val="en-GB"/>
        </w:rPr>
        <w:t xml:space="preserve"> has </w:t>
      </w:r>
      <w:r w:rsidR="00192F7E" w:rsidRPr="000D65CE">
        <w:rPr>
          <w:lang w:val="en-GB"/>
        </w:rPr>
        <w:t>the highest level of hospital admissions related to poor air quality</w:t>
      </w:r>
      <w:r w:rsidR="00131818" w:rsidRPr="000D65CE">
        <w:rPr>
          <w:lang w:val="en-GB"/>
        </w:rPr>
        <w:t xml:space="preserve"> in London</w:t>
      </w:r>
      <w:r w:rsidR="00192F7E" w:rsidRPr="000D65CE">
        <w:rPr>
          <w:rStyle w:val="FootnoteReference"/>
          <w:lang w:val="en-GB"/>
        </w:rPr>
        <w:footnoteReference w:id="15"/>
      </w:r>
      <w:r w:rsidR="00192F7E" w:rsidRPr="000D65CE">
        <w:rPr>
          <w:lang w:val="en-GB"/>
        </w:rPr>
        <w:t xml:space="preserve">, and one of the highest proportions of the most deprived populations (top 30% deprived) in London’s worst air quality areas. </w:t>
      </w:r>
    </w:p>
    <w:p w14:paraId="6407042A" w14:textId="77777777" w:rsidR="00192F7E" w:rsidRPr="000D65CE" w:rsidRDefault="00192F7E" w:rsidP="003B280C">
      <w:pPr>
        <w:pStyle w:val="Paragraphs"/>
        <w:rPr>
          <w:sz w:val="20"/>
          <w:szCs w:val="20"/>
          <w:lang w:val="en-GB"/>
        </w:rPr>
      </w:pPr>
      <w:r w:rsidRPr="28D940A9">
        <w:rPr>
          <w:lang w:val="en-GB"/>
        </w:rPr>
        <w:t xml:space="preserve">Air pollution is regulated under the EU Air Quality Directive which has been transposed into UK law by the Environment Act and the Air Quality Standards Regulations. </w:t>
      </w:r>
      <w:r w:rsidR="007C2CBA" w:rsidRPr="28D940A9">
        <w:rPr>
          <w:lang w:val="en-GB"/>
        </w:rPr>
        <w:t>Central</w:t>
      </w:r>
      <w:r w:rsidRPr="28D940A9">
        <w:rPr>
          <w:lang w:val="en-GB"/>
        </w:rPr>
        <w:t xml:space="preserve"> </w:t>
      </w:r>
      <w:r w:rsidR="007C2CBA" w:rsidRPr="28D940A9">
        <w:rPr>
          <w:lang w:val="en-GB"/>
        </w:rPr>
        <w:t>G</w:t>
      </w:r>
      <w:r w:rsidRPr="28D940A9">
        <w:rPr>
          <w:lang w:val="en-GB"/>
        </w:rPr>
        <w:t xml:space="preserve">overnment has made </w:t>
      </w:r>
      <w:r w:rsidR="007C2CBA" w:rsidRPr="28D940A9">
        <w:rPr>
          <w:lang w:val="en-GB"/>
        </w:rPr>
        <w:t xml:space="preserve">a </w:t>
      </w:r>
      <w:r w:rsidRPr="28D940A9">
        <w:rPr>
          <w:lang w:val="en-GB"/>
        </w:rPr>
        <w:t>commitment</w:t>
      </w:r>
      <w:r w:rsidR="0092756E" w:rsidRPr="28D940A9">
        <w:rPr>
          <w:lang w:val="en-GB"/>
        </w:rPr>
        <w:t xml:space="preserve"> to continue to enforce</w:t>
      </w:r>
      <w:r w:rsidRPr="28D940A9">
        <w:rPr>
          <w:lang w:val="en-GB"/>
        </w:rPr>
        <w:t xml:space="preserve"> these standards following </w:t>
      </w:r>
      <w:r w:rsidR="007C2CBA" w:rsidRPr="28D940A9">
        <w:rPr>
          <w:lang w:val="en-GB"/>
        </w:rPr>
        <w:t xml:space="preserve">the </w:t>
      </w:r>
      <w:r w:rsidRPr="28D940A9">
        <w:rPr>
          <w:lang w:val="en-GB"/>
        </w:rPr>
        <w:t>departure from the EU.  Local authorities have a duty to improve air quality where National Objectives are being breached.</w:t>
      </w:r>
      <w:r w:rsidR="00856C52" w:rsidRPr="28D940A9">
        <w:rPr>
          <w:lang w:val="en-GB"/>
        </w:rPr>
        <w:t xml:space="preserve"> In Tower Hamlets, t</w:t>
      </w:r>
      <w:r w:rsidRPr="28D940A9">
        <w:rPr>
          <w:lang w:val="en-GB"/>
        </w:rPr>
        <w:t xml:space="preserve">here </w:t>
      </w:r>
      <w:r w:rsidR="007C2CBA" w:rsidRPr="28D940A9">
        <w:rPr>
          <w:lang w:val="en-GB"/>
        </w:rPr>
        <w:t>are numerous areas of</w:t>
      </w:r>
      <w:r w:rsidRPr="28D940A9">
        <w:rPr>
          <w:lang w:val="en-GB"/>
        </w:rPr>
        <w:t xml:space="preserve"> exceedance of the objective for nitrogen dioxide</w:t>
      </w:r>
      <w:r w:rsidR="001C249A" w:rsidRPr="28D940A9">
        <w:rPr>
          <w:lang w:val="en-GB"/>
        </w:rPr>
        <w:t>. In addition, the World Health Organisation guidance levels</w:t>
      </w:r>
      <w:r w:rsidRPr="28D940A9">
        <w:rPr>
          <w:lang w:val="en-GB"/>
        </w:rPr>
        <w:t xml:space="preserve"> for fine particulate matter (PM2.5)</w:t>
      </w:r>
      <w:r w:rsidR="001C249A" w:rsidRPr="28D940A9">
        <w:rPr>
          <w:lang w:val="en-GB"/>
        </w:rPr>
        <w:t xml:space="preserve"> are bein</w:t>
      </w:r>
      <w:r w:rsidR="00C44288" w:rsidRPr="28D940A9">
        <w:rPr>
          <w:lang w:val="en-GB"/>
        </w:rPr>
        <w:t>g exceeded in all parts of the b</w:t>
      </w:r>
      <w:r w:rsidR="001C249A" w:rsidRPr="28D940A9">
        <w:rPr>
          <w:lang w:val="en-GB"/>
        </w:rPr>
        <w:t>orough</w:t>
      </w:r>
      <w:r w:rsidRPr="28D940A9">
        <w:rPr>
          <w:lang w:val="en-GB"/>
        </w:rPr>
        <w:t xml:space="preserve">.  </w:t>
      </w:r>
    </w:p>
    <w:p w14:paraId="7C37B963" w14:textId="77777777" w:rsidR="00192F7E" w:rsidRPr="000D65CE" w:rsidRDefault="00192F7E" w:rsidP="003B280C">
      <w:pPr>
        <w:pStyle w:val="Paragraphs"/>
        <w:rPr>
          <w:lang w:val="en-GB"/>
        </w:rPr>
      </w:pPr>
      <w:r w:rsidRPr="28D940A9">
        <w:rPr>
          <w:lang w:val="en-GB"/>
        </w:rPr>
        <w:t xml:space="preserve">The Council is required to review and assess air quality (including air quality monitoring) </w:t>
      </w:r>
      <w:r w:rsidR="00C44288" w:rsidRPr="28D940A9">
        <w:rPr>
          <w:lang w:val="en-GB"/>
        </w:rPr>
        <w:t>in the b</w:t>
      </w:r>
      <w:r w:rsidRPr="28D940A9">
        <w:rPr>
          <w:lang w:val="en-GB"/>
        </w:rPr>
        <w:t>orough, including for new development</w:t>
      </w:r>
      <w:r w:rsidR="007E6AEA" w:rsidRPr="28D940A9">
        <w:rPr>
          <w:lang w:val="en-GB"/>
        </w:rPr>
        <w:t xml:space="preserve">. </w:t>
      </w:r>
      <w:r w:rsidRPr="28D940A9">
        <w:rPr>
          <w:lang w:val="en-GB"/>
        </w:rPr>
        <w:t>The Council has produced an ‘Air Quality Action Plan’ (AQAP), adopted in 2017, which outlines how the Council will address air quality issues within our control.</w:t>
      </w:r>
    </w:p>
    <w:p w14:paraId="00D00E05" w14:textId="0A0FA051" w:rsidR="007E6AEA" w:rsidRPr="000D65CE" w:rsidRDefault="00192F7E" w:rsidP="003B280C">
      <w:pPr>
        <w:pStyle w:val="Paragraphs"/>
        <w:rPr>
          <w:lang w:val="en-GB"/>
        </w:rPr>
      </w:pPr>
      <w:r w:rsidRPr="28D940A9">
        <w:rPr>
          <w:lang w:val="en-GB"/>
        </w:rPr>
        <w:t xml:space="preserve">Local Plan Policy S.ES1 </w:t>
      </w:r>
      <w:r w:rsidR="002246B9">
        <w:t xml:space="preserve">states that developments which reduce the areas of sub-standard air quality in the borough and contribute towards delivering the objectives of the latest Tower Hamlets Air Quality Action Plan will be supported. </w:t>
      </w:r>
      <w:r w:rsidRPr="28D940A9">
        <w:rPr>
          <w:lang w:val="en-GB"/>
        </w:rPr>
        <w:t xml:space="preserve"> Local Plan Policy D.ES2 requires all development to meet or exceed the ‘Air Quality Neutral’ standard and specifies which developments are required to prepare an Air Quality Impact Assessment. This policy also requires new developments which include private, communal or public </w:t>
      </w:r>
      <w:r w:rsidR="0096593F" w:rsidRPr="28D940A9">
        <w:rPr>
          <w:lang w:val="en-GB"/>
        </w:rPr>
        <w:t>Open Space</w:t>
      </w:r>
      <w:r w:rsidRPr="28D940A9">
        <w:rPr>
          <w:lang w:val="en-GB"/>
        </w:rPr>
        <w:t xml:space="preserve"> in areas of sub-standard air quality to incorporate design measures to minimise exposure of future users.</w:t>
      </w:r>
    </w:p>
    <w:p w14:paraId="1BF7A85B" w14:textId="5081E1DE" w:rsidR="00856C52" w:rsidRPr="000D65CE" w:rsidRDefault="00856C52" w:rsidP="003B280C">
      <w:pPr>
        <w:spacing w:before="360" w:after="120"/>
        <w:jc w:val="both"/>
        <w:rPr>
          <w:b/>
          <w:color w:val="00477E"/>
          <w:sz w:val="24"/>
        </w:rPr>
      </w:pPr>
      <w:r w:rsidRPr="000D65CE">
        <w:rPr>
          <w:b/>
          <w:color w:val="00477E"/>
          <w:sz w:val="24"/>
        </w:rPr>
        <w:t xml:space="preserve">How the Council will </w:t>
      </w:r>
      <w:r w:rsidR="006D1037" w:rsidRPr="000D65CE">
        <w:rPr>
          <w:b/>
          <w:color w:val="00477E"/>
          <w:sz w:val="24"/>
        </w:rPr>
        <w:t xml:space="preserve">Address Air Quality Through </w:t>
      </w:r>
      <w:r w:rsidR="00573583">
        <w:rPr>
          <w:b/>
          <w:color w:val="00477E"/>
          <w:sz w:val="24"/>
        </w:rPr>
        <w:t>Planning Obligations</w:t>
      </w:r>
    </w:p>
    <w:p w14:paraId="07026881" w14:textId="04EFB66C" w:rsidR="002246B9" w:rsidRDefault="002246B9" w:rsidP="00E418C7">
      <w:pPr>
        <w:pStyle w:val="Paragraphs"/>
      </w:pPr>
      <w:r>
        <w:t xml:space="preserve">Developments are required to meet or exceed the ‘Air Quality Neutral’ standard.  Developments which do not meet this standard </w:t>
      </w:r>
      <w:r w:rsidR="00EA1EB2">
        <w:t>may</w:t>
      </w:r>
      <w:r>
        <w:t xml:space="preserve"> be required to pay a financial contribution.</w:t>
      </w:r>
    </w:p>
    <w:p w14:paraId="026FCE3F" w14:textId="21C2EE5F" w:rsidR="00DC1D8F" w:rsidRPr="000D65CE" w:rsidRDefault="00DC1D8F" w:rsidP="003B280C">
      <w:pPr>
        <w:pStyle w:val="Paragraphs"/>
        <w:rPr>
          <w:lang w:val="en-GB"/>
        </w:rPr>
      </w:pPr>
      <w:r w:rsidRPr="28D940A9">
        <w:rPr>
          <w:lang w:val="en-GB"/>
        </w:rPr>
        <w:t xml:space="preserve">Developments are </w:t>
      </w:r>
      <w:r w:rsidR="002246B9" w:rsidRPr="28D940A9">
        <w:rPr>
          <w:lang w:val="en-GB"/>
        </w:rPr>
        <w:t xml:space="preserve">expected </w:t>
      </w:r>
      <w:r w:rsidRPr="28D940A9">
        <w:rPr>
          <w:lang w:val="en-GB"/>
        </w:rPr>
        <w:t xml:space="preserve">to mitigate their air quality impact on-site. Off-site measures will only be acceptable where it can be demonstrated that no further on-site measures are possible. </w:t>
      </w:r>
    </w:p>
    <w:p w14:paraId="1008FDCA" w14:textId="1D2BA53A" w:rsidR="000A57A6" w:rsidRPr="005C4E45" w:rsidRDefault="00294993" w:rsidP="005C4E45">
      <w:pPr>
        <w:pStyle w:val="Paragraphs"/>
        <w:rPr>
          <w:lang w:val="en-GB"/>
        </w:rPr>
      </w:pPr>
      <w:r w:rsidRPr="28D940A9">
        <w:rPr>
          <w:lang w:val="en-GB"/>
        </w:rPr>
        <w:t>T</w:t>
      </w:r>
      <w:r w:rsidR="00BA2366" w:rsidRPr="28D940A9">
        <w:rPr>
          <w:lang w:val="en-GB"/>
        </w:rPr>
        <w:t>he impact of poor air quality can be felt beyond the immediate vicinity of a development</w:t>
      </w:r>
      <w:r w:rsidRPr="28D940A9">
        <w:rPr>
          <w:lang w:val="en-GB"/>
        </w:rPr>
        <w:t>. As such,</w:t>
      </w:r>
      <w:r w:rsidR="00DA4011" w:rsidRPr="28D940A9">
        <w:rPr>
          <w:lang w:val="en-GB"/>
        </w:rPr>
        <w:t xml:space="preserve"> </w:t>
      </w:r>
      <w:r w:rsidR="00C42F1C" w:rsidRPr="28D940A9">
        <w:rPr>
          <w:lang w:val="en-GB"/>
        </w:rPr>
        <w:t>financial contributions</w:t>
      </w:r>
      <w:r w:rsidR="00BA2366" w:rsidRPr="28D940A9">
        <w:rPr>
          <w:lang w:val="en-GB"/>
        </w:rPr>
        <w:t xml:space="preserve"> will be spent on</w:t>
      </w:r>
      <w:r w:rsidRPr="28D940A9">
        <w:rPr>
          <w:lang w:val="en-GB"/>
        </w:rPr>
        <w:t xml:space="preserve"> the implementation of</w:t>
      </w:r>
      <w:r w:rsidR="00BA2366" w:rsidRPr="28D940A9">
        <w:rPr>
          <w:lang w:val="en-GB"/>
        </w:rPr>
        <w:t xml:space="preserve"> </w:t>
      </w:r>
      <w:r w:rsidR="00C44288" w:rsidRPr="28D940A9">
        <w:rPr>
          <w:lang w:val="en-GB"/>
        </w:rPr>
        <w:t>b</w:t>
      </w:r>
      <w:r w:rsidR="00747592" w:rsidRPr="28D940A9">
        <w:rPr>
          <w:lang w:val="en-GB"/>
        </w:rPr>
        <w:t>orough</w:t>
      </w:r>
      <w:r w:rsidR="00BA2366" w:rsidRPr="28D940A9">
        <w:rPr>
          <w:lang w:val="en-GB"/>
        </w:rPr>
        <w:t xml:space="preserve">-wide initiatives </w:t>
      </w:r>
      <w:r w:rsidRPr="28D940A9">
        <w:rPr>
          <w:lang w:val="en-GB"/>
        </w:rPr>
        <w:t>identified in</w:t>
      </w:r>
      <w:r w:rsidR="00BA2366" w:rsidRPr="28D940A9">
        <w:rPr>
          <w:lang w:val="en-GB"/>
        </w:rPr>
        <w:t xml:space="preserve"> the Air Quality Action Plan 2017-2022.</w:t>
      </w:r>
    </w:p>
    <w:p w14:paraId="42AB50B1" w14:textId="2F349A1C" w:rsidR="00EA1516" w:rsidRPr="00EA1516" w:rsidRDefault="00EA1516" w:rsidP="00EA1516">
      <w:pPr>
        <w:spacing w:after="120"/>
        <w:rPr>
          <w:b/>
        </w:rPr>
      </w:pPr>
      <w:r w:rsidRPr="00EA1516">
        <w:rPr>
          <w:b/>
        </w:rPr>
        <w:lastRenderedPageBreak/>
        <w:t>Text Box 2</w:t>
      </w:r>
      <w:r>
        <w:rPr>
          <w:b/>
        </w:rPr>
        <w:t>6</w:t>
      </w:r>
      <w:r w:rsidRPr="00EA1516">
        <w:rPr>
          <w:b/>
        </w:rPr>
        <w:t>: Air Quality</w:t>
      </w:r>
    </w:p>
    <w:p w14:paraId="4143649A" w14:textId="77777777" w:rsidR="00362CC2" w:rsidRPr="000D65CE" w:rsidRDefault="00362CC2" w:rsidP="003B280C">
      <w:pPr>
        <w:pStyle w:val="Paragraphs"/>
        <w:numPr>
          <w:ilvl w:val="0"/>
          <w:numId w:val="0"/>
        </w:numPr>
        <w:rPr>
          <w:lang w:val="en-GB"/>
        </w:rPr>
      </w:pPr>
      <w:r w:rsidRPr="000D65CE">
        <w:rPr>
          <w:noProof/>
          <w:lang w:val="en-GB" w:eastAsia="en-GB"/>
        </w:rPr>
        <mc:AlternateContent>
          <mc:Choice Requires="wps">
            <w:drawing>
              <wp:inline distT="0" distB="0" distL="0" distR="0" wp14:anchorId="78580CAA" wp14:editId="38E7854E">
                <wp:extent cx="5715000" cy="4918841"/>
                <wp:effectExtent l="0" t="0" r="0" b="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918841"/>
                        </a:xfrm>
                        <a:prstGeom prst="rect">
                          <a:avLst/>
                        </a:prstGeom>
                        <a:solidFill>
                          <a:schemeClr val="accent1">
                            <a:lumMod val="20000"/>
                            <a:lumOff val="80000"/>
                          </a:schemeClr>
                        </a:solidFill>
                        <a:ln>
                          <a:noFill/>
                        </a:ln>
                        <a:effectLst/>
                      </wps:spPr>
                      <wps:txbx>
                        <w:txbxContent>
                          <w:p w14:paraId="22DEC75C"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Threshold and Contribution Requirements</w:t>
                            </w:r>
                          </w:p>
                          <w:p w14:paraId="5792CF2A" w14:textId="0AC4C92A"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air quality</w:t>
                            </w:r>
                            <w:r w:rsidRPr="002748AE">
                              <w:rPr>
                                <w:rFonts w:cs="Arial"/>
                                <w:szCs w:val="22"/>
                              </w:rPr>
                              <w:t xml:space="preserve"> </w:t>
                            </w:r>
                            <w:r w:rsidRPr="00CF4CB8">
                              <w:rPr>
                                <w:rFonts w:cs="Arial"/>
                                <w:szCs w:val="22"/>
                              </w:rPr>
                              <w:t>may</w:t>
                            </w:r>
                            <w:r w:rsidRPr="002748AE">
                              <w:rPr>
                                <w:rFonts w:cs="Arial"/>
                                <w:szCs w:val="22"/>
                              </w:rPr>
                              <w:t xml:space="preserve"> be sought for:</w:t>
                            </w:r>
                          </w:p>
                          <w:p w14:paraId="128EFFBB" w14:textId="77777777" w:rsidR="003A541D" w:rsidRPr="003A541D" w:rsidRDefault="00EB3B59" w:rsidP="00C62C36">
                            <w:pPr>
                              <w:pStyle w:val="ListParagraph"/>
                              <w:numPr>
                                <w:ilvl w:val="0"/>
                                <w:numId w:val="5"/>
                              </w:numPr>
                              <w:autoSpaceDE w:val="0"/>
                              <w:autoSpaceDN w:val="0"/>
                              <w:adjustRightInd w:val="0"/>
                              <w:jc w:val="both"/>
                              <w:rPr>
                                <w:rFonts w:cs="Arial"/>
                                <w:szCs w:val="22"/>
                              </w:rPr>
                            </w:pPr>
                            <w:r w:rsidRPr="00133A14">
                              <w:rPr>
                                <w:rFonts w:cs="Arial"/>
                                <w:szCs w:val="28"/>
                              </w:rPr>
                              <w:t>Development which does not meet the ‘air quality neutral’ standard</w:t>
                            </w:r>
                            <w:r w:rsidRPr="00133A14" w:rsidDel="00005D12">
                              <w:rPr>
                                <w:rFonts w:cs="Arial"/>
                                <w:sz w:val="24"/>
                              </w:rPr>
                              <w:t xml:space="preserve"> </w:t>
                            </w:r>
                          </w:p>
                          <w:p w14:paraId="60F06DDA" w14:textId="49E5DE53" w:rsidR="00EB3B59" w:rsidRPr="00043531" w:rsidRDefault="00EB3B59" w:rsidP="00C62C36">
                            <w:pPr>
                              <w:pStyle w:val="ListParagraph"/>
                              <w:numPr>
                                <w:ilvl w:val="0"/>
                                <w:numId w:val="5"/>
                              </w:numPr>
                              <w:autoSpaceDE w:val="0"/>
                              <w:autoSpaceDN w:val="0"/>
                              <w:adjustRightInd w:val="0"/>
                              <w:jc w:val="both"/>
                              <w:rPr>
                                <w:rFonts w:cs="Arial"/>
                                <w:szCs w:val="22"/>
                              </w:rPr>
                            </w:pPr>
                            <w:r>
                              <w:rPr>
                                <w:rFonts w:cs="Arial"/>
                                <w:szCs w:val="22"/>
                              </w:rPr>
                              <w:t>Any development required to prepare an air quality impact assessment in accordance with Local Plan Policy D.ES2.</w:t>
                            </w:r>
                          </w:p>
                          <w:p w14:paraId="02B336C4" w14:textId="77777777" w:rsidR="00EB3B59" w:rsidRPr="00005D12" w:rsidRDefault="00EB3B59" w:rsidP="00005D12">
                            <w:pPr>
                              <w:autoSpaceDE w:val="0"/>
                              <w:autoSpaceDN w:val="0"/>
                              <w:adjustRightInd w:val="0"/>
                              <w:jc w:val="both"/>
                              <w:rPr>
                                <w:rFonts w:cs="Arial"/>
                                <w:b/>
                              </w:rPr>
                            </w:pPr>
                            <w:r w:rsidRPr="00005D12">
                              <w:rPr>
                                <w:rFonts w:cs="Arial"/>
                                <w:b/>
                              </w:rPr>
                              <w:t>Air Quality Mitigation Measures</w:t>
                            </w:r>
                          </w:p>
                          <w:p w14:paraId="3048A644" w14:textId="0B7D018D" w:rsidR="00EB3B59" w:rsidRPr="00005D12" w:rsidRDefault="00EB3B59" w:rsidP="00316854">
                            <w:pPr>
                              <w:autoSpaceDE w:val="0"/>
                              <w:autoSpaceDN w:val="0"/>
                              <w:adjustRightInd w:val="0"/>
                              <w:jc w:val="both"/>
                              <w:rPr>
                                <w:rFonts w:cs="Arial"/>
                              </w:rPr>
                            </w:pPr>
                            <w:r w:rsidRPr="00005D12">
                              <w:rPr>
                                <w:rFonts w:cs="Arial"/>
                              </w:rPr>
                              <w:t>In some cases, a planning obligation may be sought to secure mitigation measures for a development where these cannot be addressed through other means (e.g. conditions or travel plans</w:t>
                            </w:r>
                            <w:r>
                              <w:rPr>
                                <w:rFonts w:cs="Arial"/>
                              </w:rPr>
                              <w:t xml:space="preserve">. </w:t>
                            </w:r>
                            <w:r w:rsidRPr="00005D12">
                              <w:rPr>
                                <w:rFonts w:cs="Arial"/>
                              </w:rPr>
                              <w:t xml:space="preserve">This will be dependent on the </w:t>
                            </w:r>
                            <w:r>
                              <w:rPr>
                                <w:rFonts w:cs="Arial"/>
                              </w:rPr>
                              <w:t>impacts of the development and recommendations of the</w:t>
                            </w:r>
                            <w:r w:rsidRPr="00005D12">
                              <w:rPr>
                                <w:rFonts w:cs="Arial"/>
                              </w:rPr>
                              <w:t xml:space="preserve"> air quality impact assessment</w:t>
                            </w:r>
                            <w:r>
                              <w:rPr>
                                <w:rFonts w:cs="Arial"/>
                              </w:rPr>
                              <w:t xml:space="preserve"> for the scheme</w:t>
                            </w:r>
                            <w:r w:rsidRPr="00005D12">
                              <w:rPr>
                                <w:rFonts w:cs="Arial"/>
                              </w:rPr>
                              <w:t xml:space="preserve">.   </w:t>
                            </w:r>
                          </w:p>
                          <w:p w14:paraId="6E1F46DC" w14:textId="77777777" w:rsidR="00EB3B59" w:rsidRPr="002748AE" w:rsidRDefault="00EB3B59" w:rsidP="00316854">
                            <w:pPr>
                              <w:autoSpaceDE w:val="0"/>
                              <w:autoSpaceDN w:val="0"/>
                              <w:adjustRightInd w:val="0"/>
                              <w:jc w:val="both"/>
                              <w:rPr>
                                <w:rFonts w:cs="Arial"/>
                                <w:b/>
                                <w:szCs w:val="22"/>
                              </w:rPr>
                            </w:pPr>
                            <w:r>
                              <w:rPr>
                                <w:rFonts w:cs="Arial"/>
                                <w:b/>
                                <w:szCs w:val="22"/>
                              </w:rPr>
                              <w:t xml:space="preserve">Air Quality Financial Contribution </w:t>
                            </w:r>
                          </w:p>
                          <w:p w14:paraId="40EE53B1" w14:textId="77777777" w:rsidR="00EB3B59" w:rsidRPr="00005D12" w:rsidRDefault="00EB3B59" w:rsidP="00005D12">
                            <w:pPr>
                              <w:jc w:val="both"/>
                              <w:rPr>
                                <w:rFonts w:cs="Arial"/>
                              </w:rPr>
                            </w:pPr>
                            <w:r w:rsidRPr="00005D12">
                              <w:rPr>
                                <w:rFonts w:cs="Arial"/>
                              </w:rPr>
                              <w:t>In instances where a development does not meet the ‘air quality neutral’ standard a financial contribution may be sought. This will be at the discretion of the Council and will be calculated as:</w:t>
                            </w:r>
                          </w:p>
                          <w:p w14:paraId="2CA17AC5" w14:textId="77777777" w:rsidR="00EB3B59" w:rsidRDefault="00EB3B59" w:rsidP="0055222C">
                            <w:pPr>
                              <w:pStyle w:val="ListParagraph"/>
                              <w:numPr>
                                <w:ilvl w:val="0"/>
                                <w:numId w:val="5"/>
                              </w:numPr>
                              <w:autoSpaceDE w:val="0"/>
                              <w:autoSpaceDN w:val="0"/>
                              <w:adjustRightInd w:val="0"/>
                              <w:jc w:val="both"/>
                              <w:rPr>
                                <w:rFonts w:cs="Arial"/>
                                <w:szCs w:val="22"/>
                              </w:rPr>
                            </w:pPr>
                            <w:r>
                              <w:rPr>
                                <w:rFonts w:cs="Arial"/>
                                <w:szCs w:val="22"/>
                              </w:rPr>
                              <w:t xml:space="preserve">£100 per residential unit. </w:t>
                            </w:r>
                          </w:p>
                          <w:p w14:paraId="49EF923C" w14:textId="22351A8C" w:rsidR="00EB3B59" w:rsidRDefault="00EB3B59" w:rsidP="0055222C">
                            <w:pPr>
                              <w:pStyle w:val="ListParagraph"/>
                              <w:numPr>
                                <w:ilvl w:val="0"/>
                                <w:numId w:val="5"/>
                              </w:numPr>
                              <w:autoSpaceDE w:val="0"/>
                              <w:autoSpaceDN w:val="0"/>
                              <w:adjustRightInd w:val="0"/>
                              <w:jc w:val="both"/>
                              <w:rPr>
                                <w:rFonts w:cs="Arial"/>
                                <w:szCs w:val="22"/>
                              </w:rPr>
                            </w:pPr>
                            <w:r>
                              <w:rPr>
                                <w:rFonts w:cs="Arial"/>
                                <w:szCs w:val="22"/>
                              </w:rPr>
                              <w:t>£1 per sqm of additional non-residential floorspace.</w:t>
                            </w:r>
                          </w:p>
                          <w:p w14:paraId="06C9EA42" w14:textId="3DFAF80F" w:rsidR="00EB3B59" w:rsidRPr="002748AE" w:rsidRDefault="00EB3B59" w:rsidP="0055222C">
                            <w:pPr>
                              <w:pStyle w:val="ListParagraph"/>
                              <w:numPr>
                                <w:ilvl w:val="0"/>
                                <w:numId w:val="5"/>
                              </w:numPr>
                              <w:autoSpaceDE w:val="0"/>
                              <w:autoSpaceDN w:val="0"/>
                              <w:adjustRightInd w:val="0"/>
                              <w:jc w:val="both"/>
                            </w:pPr>
                            <w:r>
                              <w:rPr>
                                <w:rFonts w:cs="Arial"/>
                                <w:szCs w:val="22"/>
                              </w:rPr>
                              <w:t>£50 per student housing and/or hotel bedroom.</w:t>
                            </w:r>
                          </w:p>
                          <w:p w14:paraId="0B2C8D05" w14:textId="77777777" w:rsidR="00EB3B59" w:rsidRPr="002748AE" w:rsidRDefault="00EB3B59" w:rsidP="00316854">
                            <w:pPr>
                              <w:jc w:val="both"/>
                              <w:rPr>
                                <w:rFonts w:cs="Arial"/>
                                <w:szCs w:val="22"/>
                              </w:rPr>
                            </w:pPr>
                            <w:r>
                              <w:rPr>
                                <w:rFonts w:cs="Arial"/>
                                <w:szCs w:val="22"/>
                              </w:rPr>
                              <w:t>The contribution will be calculated by use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580CAA" id="Text Box 26" o:spid="_x0000_s1054" type="#_x0000_t202" style="width:450pt;height:38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" fillcolor="#dbe5f1 [660]" stroked="f">
                <v:textbox>
                  <w:txbxContent>
                    <w:p w14:paraId="22DEC75C" w14:textId="77777777" w:rsidR="00EB3B59" w:rsidRPr="002748AE" w:rsidRDefault="00EB3B59" w:rsidP="00316854">
                      <w:pPr>
                        <w:autoSpaceDE w:val="0"/>
                        <w:autoSpaceDN w:val="0"/>
                        <w:adjustRightInd w:val="0"/>
                        <w:jc w:val="both"/>
                        <w:rPr>
                          <w:rFonts w:cs="Arial"/>
                          <w:b/>
                          <w:bCs/>
                          <w:szCs w:val="22"/>
                        </w:rPr>
                      </w:pPr>
                      <w:r w:rsidRPr="002748AE">
                        <w:rPr>
                          <w:rFonts w:cs="Arial"/>
                          <w:b/>
                          <w:bCs/>
                          <w:szCs w:val="22"/>
                        </w:rPr>
                        <w:t>Threshold and Contribution Requirements</w:t>
                      </w:r>
                    </w:p>
                    <w:p w14:paraId="5792CF2A" w14:textId="0AC4C92A" w:rsidR="00EB3B59" w:rsidRPr="002748AE" w:rsidRDefault="00EB3B59" w:rsidP="00316854">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air quality</w:t>
                      </w:r>
                      <w:r w:rsidRPr="002748AE">
                        <w:rPr>
                          <w:rFonts w:cs="Arial"/>
                          <w:szCs w:val="22"/>
                        </w:rPr>
                        <w:t xml:space="preserve"> </w:t>
                      </w:r>
                      <w:r w:rsidRPr="00CF4CB8">
                        <w:rPr>
                          <w:rFonts w:cs="Arial"/>
                          <w:szCs w:val="22"/>
                        </w:rPr>
                        <w:t>may</w:t>
                      </w:r>
                      <w:r w:rsidRPr="002748AE">
                        <w:rPr>
                          <w:rFonts w:cs="Arial"/>
                          <w:szCs w:val="22"/>
                        </w:rPr>
                        <w:t xml:space="preserve"> be sought for:</w:t>
                      </w:r>
                    </w:p>
                    <w:p w14:paraId="128EFFBB" w14:textId="77777777" w:rsidR="003A541D" w:rsidRPr="003A541D" w:rsidRDefault="00EB3B59" w:rsidP="00C62C36">
                      <w:pPr>
                        <w:pStyle w:val="ListParagraph"/>
                        <w:numPr>
                          <w:ilvl w:val="0"/>
                          <w:numId w:val="5"/>
                        </w:numPr>
                        <w:autoSpaceDE w:val="0"/>
                        <w:autoSpaceDN w:val="0"/>
                        <w:adjustRightInd w:val="0"/>
                        <w:jc w:val="both"/>
                        <w:rPr>
                          <w:rFonts w:cs="Arial"/>
                          <w:szCs w:val="22"/>
                        </w:rPr>
                      </w:pPr>
                      <w:r w:rsidRPr="00133A14">
                        <w:rPr>
                          <w:rFonts w:cs="Arial"/>
                          <w:szCs w:val="28"/>
                        </w:rPr>
                        <w:t>Development which does not meet the ‘air quality neutral’ standard</w:t>
                      </w:r>
                      <w:r w:rsidRPr="00133A14" w:rsidDel="00005D12">
                        <w:rPr>
                          <w:rFonts w:cs="Arial"/>
                          <w:sz w:val="24"/>
                        </w:rPr>
                        <w:t xml:space="preserve"> </w:t>
                      </w:r>
                    </w:p>
                    <w:p w14:paraId="60F06DDA" w14:textId="49E5DE53" w:rsidR="00EB3B59" w:rsidRPr="00043531" w:rsidRDefault="00EB3B59" w:rsidP="00C62C36">
                      <w:pPr>
                        <w:pStyle w:val="ListParagraph"/>
                        <w:numPr>
                          <w:ilvl w:val="0"/>
                          <w:numId w:val="5"/>
                        </w:numPr>
                        <w:autoSpaceDE w:val="0"/>
                        <w:autoSpaceDN w:val="0"/>
                        <w:adjustRightInd w:val="0"/>
                        <w:jc w:val="both"/>
                        <w:rPr>
                          <w:rFonts w:cs="Arial"/>
                          <w:szCs w:val="22"/>
                        </w:rPr>
                      </w:pPr>
                      <w:r>
                        <w:rPr>
                          <w:rFonts w:cs="Arial"/>
                          <w:szCs w:val="22"/>
                        </w:rPr>
                        <w:t>Any development required to prepare an air quality impact assessment in accordance with Local Plan Policy D.ES2.</w:t>
                      </w:r>
                    </w:p>
                    <w:p w14:paraId="02B336C4" w14:textId="77777777" w:rsidR="00EB3B59" w:rsidRPr="00005D12" w:rsidRDefault="00EB3B59" w:rsidP="00005D12">
                      <w:pPr>
                        <w:autoSpaceDE w:val="0"/>
                        <w:autoSpaceDN w:val="0"/>
                        <w:adjustRightInd w:val="0"/>
                        <w:jc w:val="both"/>
                        <w:rPr>
                          <w:rFonts w:cs="Arial"/>
                          <w:b/>
                        </w:rPr>
                      </w:pPr>
                      <w:r w:rsidRPr="00005D12">
                        <w:rPr>
                          <w:rFonts w:cs="Arial"/>
                          <w:b/>
                        </w:rPr>
                        <w:t>Air Quality Mitigation Measures</w:t>
                      </w:r>
                    </w:p>
                    <w:p w14:paraId="3048A644" w14:textId="0B7D018D" w:rsidR="00EB3B59" w:rsidRPr="00005D12" w:rsidRDefault="00EB3B59" w:rsidP="00316854">
                      <w:pPr>
                        <w:autoSpaceDE w:val="0"/>
                        <w:autoSpaceDN w:val="0"/>
                        <w:adjustRightInd w:val="0"/>
                        <w:jc w:val="both"/>
                        <w:rPr>
                          <w:rFonts w:cs="Arial"/>
                        </w:rPr>
                      </w:pPr>
                      <w:r w:rsidRPr="00005D12">
                        <w:rPr>
                          <w:rFonts w:cs="Arial"/>
                        </w:rPr>
                        <w:t>In some cases, a planning obligation may be sought to secure mitigation measures for a development where these cannot be addressed through other means (e.g. conditions or travel plans</w:t>
                      </w:r>
                      <w:r>
                        <w:rPr>
                          <w:rFonts w:cs="Arial"/>
                        </w:rPr>
                        <w:t xml:space="preserve">. </w:t>
                      </w:r>
                      <w:r w:rsidRPr="00005D12">
                        <w:rPr>
                          <w:rFonts w:cs="Arial"/>
                        </w:rPr>
                        <w:t xml:space="preserve">This will be dependent on the </w:t>
                      </w:r>
                      <w:r>
                        <w:rPr>
                          <w:rFonts w:cs="Arial"/>
                        </w:rPr>
                        <w:t>impacts of the development and recommendations of the</w:t>
                      </w:r>
                      <w:r w:rsidRPr="00005D12">
                        <w:rPr>
                          <w:rFonts w:cs="Arial"/>
                        </w:rPr>
                        <w:t xml:space="preserve"> air quality impact assessment</w:t>
                      </w:r>
                      <w:r>
                        <w:rPr>
                          <w:rFonts w:cs="Arial"/>
                        </w:rPr>
                        <w:t xml:space="preserve"> for the scheme</w:t>
                      </w:r>
                      <w:r w:rsidRPr="00005D12">
                        <w:rPr>
                          <w:rFonts w:cs="Arial"/>
                        </w:rPr>
                        <w:t xml:space="preserve">.   </w:t>
                      </w:r>
                    </w:p>
                    <w:p w14:paraId="6E1F46DC" w14:textId="77777777" w:rsidR="00EB3B59" w:rsidRPr="002748AE" w:rsidRDefault="00EB3B59" w:rsidP="00316854">
                      <w:pPr>
                        <w:autoSpaceDE w:val="0"/>
                        <w:autoSpaceDN w:val="0"/>
                        <w:adjustRightInd w:val="0"/>
                        <w:jc w:val="both"/>
                        <w:rPr>
                          <w:rFonts w:cs="Arial"/>
                          <w:b/>
                          <w:szCs w:val="22"/>
                        </w:rPr>
                      </w:pPr>
                      <w:r>
                        <w:rPr>
                          <w:rFonts w:cs="Arial"/>
                          <w:b/>
                          <w:szCs w:val="22"/>
                        </w:rPr>
                        <w:t xml:space="preserve">Air Quality Financial Contribution </w:t>
                      </w:r>
                    </w:p>
                    <w:p w14:paraId="40EE53B1" w14:textId="77777777" w:rsidR="00EB3B59" w:rsidRPr="00005D12" w:rsidRDefault="00EB3B59" w:rsidP="00005D12">
                      <w:pPr>
                        <w:jc w:val="both"/>
                        <w:rPr>
                          <w:rFonts w:cs="Arial"/>
                        </w:rPr>
                      </w:pPr>
                      <w:r w:rsidRPr="00005D12">
                        <w:rPr>
                          <w:rFonts w:cs="Arial"/>
                        </w:rPr>
                        <w:t>In instances where a development does not meet the ‘air quality neutral’ standard a financial contribution may be sought. This will be at the discretion of the Council and will be calculated as:</w:t>
                      </w:r>
                    </w:p>
                    <w:p w14:paraId="2CA17AC5" w14:textId="77777777" w:rsidR="00EB3B59" w:rsidRDefault="00EB3B59" w:rsidP="0055222C">
                      <w:pPr>
                        <w:pStyle w:val="ListParagraph"/>
                        <w:numPr>
                          <w:ilvl w:val="0"/>
                          <w:numId w:val="5"/>
                        </w:numPr>
                        <w:autoSpaceDE w:val="0"/>
                        <w:autoSpaceDN w:val="0"/>
                        <w:adjustRightInd w:val="0"/>
                        <w:jc w:val="both"/>
                        <w:rPr>
                          <w:rFonts w:cs="Arial"/>
                          <w:szCs w:val="22"/>
                        </w:rPr>
                      </w:pPr>
                      <w:r>
                        <w:rPr>
                          <w:rFonts w:cs="Arial"/>
                          <w:szCs w:val="22"/>
                        </w:rPr>
                        <w:t xml:space="preserve">£100 per residential unit. </w:t>
                      </w:r>
                    </w:p>
                    <w:p w14:paraId="49EF923C" w14:textId="22351A8C" w:rsidR="00EB3B59" w:rsidRDefault="00EB3B59" w:rsidP="0055222C">
                      <w:pPr>
                        <w:pStyle w:val="ListParagraph"/>
                        <w:numPr>
                          <w:ilvl w:val="0"/>
                          <w:numId w:val="5"/>
                        </w:numPr>
                        <w:autoSpaceDE w:val="0"/>
                        <w:autoSpaceDN w:val="0"/>
                        <w:adjustRightInd w:val="0"/>
                        <w:jc w:val="both"/>
                        <w:rPr>
                          <w:rFonts w:cs="Arial"/>
                          <w:szCs w:val="22"/>
                        </w:rPr>
                      </w:pPr>
                      <w:r>
                        <w:rPr>
                          <w:rFonts w:cs="Arial"/>
                          <w:szCs w:val="22"/>
                        </w:rPr>
                        <w:t>£1 per sqm of additional non-residential floorspace.</w:t>
                      </w:r>
                    </w:p>
                    <w:p w14:paraId="06C9EA42" w14:textId="3DFAF80F" w:rsidR="00EB3B59" w:rsidRPr="002748AE" w:rsidRDefault="00EB3B59" w:rsidP="0055222C">
                      <w:pPr>
                        <w:pStyle w:val="ListParagraph"/>
                        <w:numPr>
                          <w:ilvl w:val="0"/>
                          <w:numId w:val="5"/>
                        </w:numPr>
                        <w:autoSpaceDE w:val="0"/>
                        <w:autoSpaceDN w:val="0"/>
                        <w:adjustRightInd w:val="0"/>
                        <w:jc w:val="both"/>
                      </w:pPr>
                      <w:r>
                        <w:rPr>
                          <w:rFonts w:cs="Arial"/>
                          <w:szCs w:val="22"/>
                        </w:rPr>
                        <w:t>£50 per student housing and/or hotel bedroom.</w:t>
                      </w:r>
                    </w:p>
                    <w:p w14:paraId="0B2C8D05" w14:textId="77777777" w:rsidR="00EB3B59" w:rsidRPr="002748AE" w:rsidRDefault="00EB3B59" w:rsidP="00316854">
                      <w:pPr>
                        <w:jc w:val="both"/>
                        <w:rPr>
                          <w:rFonts w:cs="Arial"/>
                          <w:szCs w:val="22"/>
                        </w:rPr>
                      </w:pPr>
                      <w:r>
                        <w:rPr>
                          <w:rFonts w:cs="Arial"/>
                          <w:szCs w:val="22"/>
                        </w:rPr>
                        <w:t>The contribution will be calculated by use class.</w:t>
                      </w:r>
                    </w:p>
                  </w:txbxContent>
                </v:textbox>
                <w10:anchorlock/>
              </v:shape>
            </w:pict>
          </mc:Fallback>
        </mc:AlternateContent>
      </w:r>
    </w:p>
    <w:p w14:paraId="51773AAA" w14:textId="77777777" w:rsidR="00A80644" w:rsidRPr="000D65CE" w:rsidRDefault="00A80644" w:rsidP="003B280C">
      <w:pPr>
        <w:widowControl w:val="0"/>
        <w:autoSpaceDE w:val="0"/>
        <w:autoSpaceDN w:val="0"/>
        <w:adjustRightInd w:val="0"/>
        <w:jc w:val="both"/>
        <w:textAlignment w:val="center"/>
        <w:rPr>
          <w:rFonts w:cs="Arial"/>
          <w:b/>
          <w:bCs/>
          <w:color w:val="000000"/>
          <w:sz w:val="28"/>
          <w:szCs w:val="28"/>
        </w:rPr>
      </w:pPr>
    </w:p>
    <w:p w14:paraId="661279FA" w14:textId="4BCF6ABF" w:rsidR="00BE2EE4" w:rsidRPr="000D65CE" w:rsidRDefault="00BE2EE4" w:rsidP="00721B10">
      <w:pPr>
        <w:pStyle w:val="Heading2"/>
      </w:pPr>
      <w:bookmarkStart w:id="29" w:name="_Toc69374685"/>
      <w:r w:rsidRPr="000D65CE">
        <w:t xml:space="preserve">Design </w:t>
      </w:r>
      <w:r w:rsidR="00F40E40" w:rsidRPr="000D65CE">
        <w:t>Certification</w:t>
      </w:r>
      <w:bookmarkEnd w:id="29"/>
    </w:p>
    <w:tbl>
      <w:tblPr>
        <w:tblStyle w:val="TableGrid"/>
        <w:tblW w:w="0" w:type="auto"/>
        <w:tblInd w:w="840"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BE2EE4" w:rsidRPr="000D65CE" w14:paraId="1E18F6D1" w14:textId="77777777" w:rsidTr="00B3503B">
        <w:tc>
          <w:tcPr>
            <w:tcW w:w="3119" w:type="dxa"/>
            <w:tcBorders>
              <w:bottom w:val="single" w:sz="8" w:space="0" w:color="006BB6"/>
            </w:tcBorders>
            <w:shd w:val="clear" w:color="auto" w:fill="F2F2F2" w:themeFill="background1" w:themeFillShade="F2"/>
          </w:tcPr>
          <w:p w14:paraId="6DDE4D13" w14:textId="77777777" w:rsidR="00BE2EE4" w:rsidRPr="000D65CE" w:rsidRDefault="00BE2EE4"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043FC944" w14:textId="77777777" w:rsidR="00BE2EE4" w:rsidRPr="000D65CE" w:rsidRDefault="00E36678" w:rsidP="003B280C">
            <w:pPr>
              <w:autoSpaceDE w:val="0"/>
              <w:autoSpaceDN w:val="0"/>
              <w:adjustRightInd w:val="0"/>
              <w:spacing w:before="180" w:after="180"/>
              <w:jc w:val="both"/>
              <w:rPr>
                <w:rFonts w:cs="Arial"/>
                <w:szCs w:val="22"/>
              </w:rPr>
            </w:pPr>
            <w:r w:rsidRPr="000D65CE">
              <w:rPr>
                <w:rFonts w:cs="Arial"/>
                <w:szCs w:val="22"/>
              </w:rPr>
              <w:t>S.DH1</w:t>
            </w:r>
            <w:r w:rsidR="0093431E" w:rsidRPr="000D65CE">
              <w:rPr>
                <w:rFonts w:cs="Arial"/>
                <w:szCs w:val="22"/>
              </w:rPr>
              <w:t>, D.DH2</w:t>
            </w:r>
          </w:p>
        </w:tc>
      </w:tr>
    </w:tbl>
    <w:p w14:paraId="3EC183D9" w14:textId="77777777" w:rsidR="00BE2EE4" w:rsidRPr="000D65CE" w:rsidRDefault="00BE2EE4" w:rsidP="003B280C">
      <w:pPr>
        <w:widowControl w:val="0"/>
        <w:autoSpaceDE w:val="0"/>
        <w:autoSpaceDN w:val="0"/>
        <w:adjustRightInd w:val="0"/>
        <w:jc w:val="both"/>
        <w:textAlignment w:val="center"/>
        <w:rPr>
          <w:rFonts w:cs="Arial"/>
          <w:b/>
          <w:bCs/>
          <w:color w:val="000000"/>
          <w:sz w:val="28"/>
          <w:szCs w:val="28"/>
        </w:rPr>
      </w:pPr>
    </w:p>
    <w:p w14:paraId="20EBE018" w14:textId="3688AE30" w:rsidR="0075785A" w:rsidRPr="000D65CE" w:rsidRDefault="0093431E" w:rsidP="003B280C">
      <w:pPr>
        <w:pStyle w:val="Paragraphs"/>
        <w:rPr>
          <w:lang w:val="en-GB"/>
        </w:rPr>
      </w:pPr>
      <w:r w:rsidRPr="28D940A9">
        <w:rPr>
          <w:lang w:val="en-GB"/>
        </w:rPr>
        <w:t>Local Plan Policies S.DH1 and D.DH2 and the associated explanations outline the important role that high</w:t>
      </w:r>
      <w:r w:rsidR="00B859CB" w:rsidRPr="28D940A9">
        <w:rPr>
          <w:lang w:val="en-GB"/>
        </w:rPr>
        <w:t>-</w:t>
      </w:r>
      <w:r w:rsidRPr="28D940A9">
        <w:rPr>
          <w:lang w:val="en-GB"/>
        </w:rPr>
        <w:t>quality design plays in contributing to quality of life and the creation of</w:t>
      </w:r>
      <w:r w:rsidR="0075785A" w:rsidRPr="28D940A9">
        <w:rPr>
          <w:lang w:val="en-GB"/>
        </w:rPr>
        <w:t xml:space="preserve"> accessible, attractive and</w:t>
      </w:r>
      <w:r w:rsidRPr="28D940A9">
        <w:rPr>
          <w:lang w:val="en-GB"/>
        </w:rPr>
        <w:t xml:space="preserve"> in</w:t>
      </w:r>
      <w:r w:rsidR="0075785A" w:rsidRPr="28D940A9">
        <w:rPr>
          <w:lang w:val="en-GB"/>
        </w:rPr>
        <w:t>tegrated</w:t>
      </w:r>
      <w:r w:rsidRPr="28D940A9">
        <w:rPr>
          <w:lang w:val="en-GB"/>
        </w:rPr>
        <w:t xml:space="preserve"> spaces. </w:t>
      </w:r>
    </w:p>
    <w:p w14:paraId="1400BE68" w14:textId="77777777" w:rsidR="00E36678" w:rsidRPr="000D65CE" w:rsidRDefault="0093431E" w:rsidP="003B280C">
      <w:pPr>
        <w:pStyle w:val="Paragraphs"/>
        <w:rPr>
          <w:lang w:val="en-GB"/>
        </w:rPr>
      </w:pPr>
      <w:r w:rsidRPr="28D940A9">
        <w:rPr>
          <w:lang w:val="en-GB"/>
        </w:rPr>
        <w:t>High quality design is a key</w:t>
      </w:r>
      <w:r w:rsidR="0075785A" w:rsidRPr="28D940A9">
        <w:rPr>
          <w:lang w:val="en-GB"/>
        </w:rPr>
        <w:t xml:space="preserve"> consideration i</w:t>
      </w:r>
      <w:r w:rsidR="00A22FBA" w:rsidRPr="28D940A9">
        <w:rPr>
          <w:lang w:val="en-GB"/>
        </w:rPr>
        <w:t>n the planning permission process.</w:t>
      </w:r>
      <w:r w:rsidR="0075785A" w:rsidRPr="28D940A9">
        <w:rPr>
          <w:lang w:val="en-GB"/>
        </w:rPr>
        <w:t xml:space="preserve"> </w:t>
      </w:r>
      <w:r w:rsidR="00A22FBA" w:rsidRPr="28D940A9">
        <w:rPr>
          <w:lang w:val="en-GB"/>
        </w:rPr>
        <w:t>I</w:t>
      </w:r>
      <w:r w:rsidR="0075785A" w:rsidRPr="28D940A9">
        <w:rPr>
          <w:lang w:val="en-GB"/>
        </w:rPr>
        <w:t>t is important that design quality is maintained through the development process to completion.</w:t>
      </w:r>
      <w:r w:rsidR="00A22FBA" w:rsidRPr="28D940A9">
        <w:rPr>
          <w:lang w:val="en-GB"/>
        </w:rPr>
        <w:t xml:space="preserve"> Changes made after permission has been granted, including through minor amendments, can degrade the original approved design. This is of particular concern in instances where the original architectural design team</w:t>
      </w:r>
      <w:r w:rsidR="007E2A4F" w:rsidRPr="28D940A9">
        <w:rPr>
          <w:lang w:val="en-GB"/>
        </w:rPr>
        <w:t xml:space="preserve"> is not involved after permission has been granted. </w:t>
      </w:r>
    </w:p>
    <w:p w14:paraId="7B954C68" w14:textId="348F489F" w:rsidR="00E36678" w:rsidRPr="000D65CE" w:rsidRDefault="00E36678" w:rsidP="003B280C">
      <w:pPr>
        <w:spacing w:before="360" w:after="120"/>
        <w:jc w:val="both"/>
        <w:rPr>
          <w:b/>
          <w:color w:val="00477E"/>
          <w:sz w:val="24"/>
        </w:rPr>
      </w:pPr>
      <w:r w:rsidRPr="000D65CE">
        <w:rPr>
          <w:b/>
          <w:color w:val="00477E"/>
          <w:sz w:val="24"/>
        </w:rPr>
        <w:lastRenderedPageBreak/>
        <w:t xml:space="preserve">How the Council will </w:t>
      </w:r>
      <w:r w:rsidR="006D1037">
        <w:rPr>
          <w:b/>
          <w:color w:val="00477E"/>
          <w:sz w:val="24"/>
        </w:rPr>
        <w:t>Address Design Quality t</w:t>
      </w:r>
      <w:r w:rsidR="006D1037" w:rsidRPr="000D65CE">
        <w:rPr>
          <w:b/>
          <w:color w:val="00477E"/>
          <w:sz w:val="24"/>
        </w:rPr>
        <w:t xml:space="preserve">o Completion Through </w:t>
      </w:r>
      <w:r w:rsidR="00573583">
        <w:rPr>
          <w:b/>
          <w:color w:val="00477E"/>
          <w:sz w:val="24"/>
        </w:rPr>
        <w:t>Planning Obligation</w:t>
      </w:r>
      <w:r w:rsidR="006D1037" w:rsidRPr="000D65CE">
        <w:rPr>
          <w:b/>
          <w:color w:val="00477E"/>
          <w:sz w:val="24"/>
        </w:rPr>
        <w:t>s</w:t>
      </w:r>
    </w:p>
    <w:p w14:paraId="275DC9DA" w14:textId="3449C57A" w:rsidR="00A67F55" w:rsidRDefault="00BF7B04" w:rsidP="003B280C">
      <w:pPr>
        <w:pStyle w:val="Paragraphs"/>
        <w:rPr>
          <w:lang w:val="en-GB"/>
        </w:rPr>
      </w:pPr>
      <w:r w:rsidRPr="28D940A9">
        <w:rPr>
          <w:lang w:val="en-GB"/>
        </w:rPr>
        <w:t>In circumstances where there is uncertainty about whether the design</w:t>
      </w:r>
      <w:r w:rsidR="00BF7822" w:rsidRPr="28D940A9">
        <w:rPr>
          <w:lang w:val="en-GB"/>
        </w:rPr>
        <w:t xml:space="preserve"> quality and</w:t>
      </w:r>
      <w:r w:rsidRPr="28D940A9">
        <w:rPr>
          <w:lang w:val="en-GB"/>
        </w:rPr>
        <w:t xml:space="preserve"> intent</w:t>
      </w:r>
      <w:r w:rsidR="00BF7822" w:rsidRPr="28D940A9">
        <w:rPr>
          <w:lang w:val="en-GB"/>
        </w:rPr>
        <w:t xml:space="preserve"> of a scheme</w:t>
      </w:r>
      <w:r w:rsidRPr="28D940A9">
        <w:rPr>
          <w:lang w:val="en-GB"/>
        </w:rPr>
        <w:t xml:space="preserve"> will be </w:t>
      </w:r>
      <w:r w:rsidR="00BF7822" w:rsidRPr="28D940A9">
        <w:rPr>
          <w:lang w:val="en-GB"/>
        </w:rPr>
        <w:t xml:space="preserve">maintained from permission </w:t>
      </w:r>
      <w:r w:rsidR="003A541D">
        <w:rPr>
          <w:lang w:val="en-GB"/>
        </w:rPr>
        <w:t>to</w:t>
      </w:r>
      <w:r w:rsidR="00BF7822" w:rsidRPr="28D940A9">
        <w:rPr>
          <w:lang w:val="en-GB"/>
        </w:rPr>
        <w:t xml:space="preserve"> completion</w:t>
      </w:r>
      <w:r w:rsidRPr="28D940A9">
        <w:rPr>
          <w:lang w:val="en-GB"/>
        </w:rPr>
        <w:t xml:space="preserve"> and where this cannot be addressed via conditions, the Council will seek a clause in the </w:t>
      </w:r>
      <w:r w:rsidR="00032BFE" w:rsidRPr="28D940A9">
        <w:rPr>
          <w:lang w:val="en-GB"/>
        </w:rPr>
        <w:t>legal</w:t>
      </w:r>
      <w:r w:rsidRPr="28D940A9">
        <w:rPr>
          <w:lang w:val="en-GB"/>
        </w:rPr>
        <w:t xml:space="preserve"> agreement requiring design certification. This will be considered on a case by case basis and will be dependent on the specifics of the development</w:t>
      </w:r>
      <w:r w:rsidR="00E719CF" w:rsidRPr="28D940A9">
        <w:rPr>
          <w:lang w:val="en-GB"/>
        </w:rPr>
        <w:t>, including phasing</w:t>
      </w:r>
      <w:r w:rsidRPr="28D940A9">
        <w:rPr>
          <w:lang w:val="en-GB"/>
        </w:rPr>
        <w:t xml:space="preserve">.   </w:t>
      </w:r>
    </w:p>
    <w:p w14:paraId="5415702F" w14:textId="3476EE49" w:rsidR="004D5A8C" w:rsidRPr="000D65CE" w:rsidRDefault="00D77BCA" w:rsidP="003B280C">
      <w:pPr>
        <w:pStyle w:val="Paragraphs"/>
        <w:rPr>
          <w:lang w:val="en-GB"/>
        </w:rPr>
      </w:pPr>
      <w:r w:rsidRPr="28D940A9">
        <w:rPr>
          <w:lang w:val="en-GB"/>
        </w:rPr>
        <w:t xml:space="preserve">The </w:t>
      </w:r>
      <w:r w:rsidR="00BF7B04" w:rsidRPr="28D940A9">
        <w:rPr>
          <w:lang w:val="en-GB"/>
        </w:rPr>
        <w:t xml:space="preserve"> </w:t>
      </w:r>
      <w:r w:rsidR="00032BFE" w:rsidRPr="28D940A9">
        <w:rPr>
          <w:lang w:val="en-GB"/>
        </w:rPr>
        <w:t>planning</w:t>
      </w:r>
      <w:r w:rsidR="00BF7B04" w:rsidRPr="28D940A9">
        <w:rPr>
          <w:lang w:val="en-GB"/>
        </w:rPr>
        <w:t xml:space="preserve"> obligation will require </w:t>
      </w:r>
      <w:r w:rsidR="008C0460" w:rsidRPr="28D940A9">
        <w:rPr>
          <w:lang w:val="en-GB"/>
        </w:rPr>
        <w:t xml:space="preserve">the development  be subject to design certification through to completion of the project. This is to ensure </w:t>
      </w:r>
      <w:r w:rsidR="008C0460">
        <w:t>that the original design</w:t>
      </w:r>
      <w:r w:rsidR="00772A5B">
        <w:t xml:space="preserve"> intent</w:t>
      </w:r>
      <w:r w:rsidR="008C0460">
        <w:t xml:space="preserve"> for which planning permission was granted is achieved.</w:t>
      </w:r>
      <w:r w:rsidR="00431ED1">
        <w:t xml:space="preserve"> Further detailed guidance is being produced to assist developers and design certifiers, post-permission, to understand what the council expects.</w:t>
      </w:r>
      <w:r w:rsidR="008C0460" w:rsidRPr="28D940A9">
        <w:rPr>
          <w:lang w:val="en-GB"/>
        </w:rPr>
        <w:t xml:space="preserve"> </w:t>
      </w:r>
    </w:p>
    <w:p w14:paraId="557D998F" w14:textId="7CF95AFD" w:rsidR="00EA1516" w:rsidRPr="000A57A6" w:rsidRDefault="004D5A8C" w:rsidP="000A57A6">
      <w:pPr>
        <w:spacing w:after="120"/>
      </w:pPr>
      <w:r w:rsidRPr="000D65CE">
        <w:t xml:space="preserve"> </w:t>
      </w:r>
      <w:r w:rsidR="00EA1516" w:rsidRPr="00EA1516">
        <w:rPr>
          <w:b/>
        </w:rPr>
        <w:t>Text Box 2</w:t>
      </w:r>
      <w:r w:rsidR="00EA1516">
        <w:rPr>
          <w:b/>
        </w:rPr>
        <w:t>7</w:t>
      </w:r>
      <w:r w:rsidR="00EA1516" w:rsidRPr="00EA1516">
        <w:rPr>
          <w:b/>
        </w:rPr>
        <w:t xml:space="preserve">: </w:t>
      </w:r>
      <w:r w:rsidR="00EA1516">
        <w:rPr>
          <w:b/>
        </w:rPr>
        <w:t>Design Certification</w:t>
      </w:r>
    </w:p>
    <w:p w14:paraId="4E78DEA9" w14:textId="77777777" w:rsidR="00BD6F2C" w:rsidRPr="000D65CE" w:rsidRDefault="00BD6F2C" w:rsidP="003B280C">
      <w:pPr>
        <w:pStyle w:val="Paragraphs"/>
        <w:numPr>
          <w:ilvl w:val="0"/>
          <w:numId w:val="0"/>
        </w:numPr>
        <w:ind w:left="170"/>
        <w:rPr>
          <w:lang w:val="en-GB"/>
        </w:rPr>
      </w:pPr>
      <w:r w:rsidRPr="000D65CE">
        <w:rPr>
          <w:noProof/>
          <w:lang w:val="en-GB" w:eastAsia="en-GB"/>
        </w:rPr>
        <mc:AlternateContent>
          <mc:Choice Requires="wps">
            <w:drawing>
              <wp:inline distT="0" distB="0" distL="0" distR="0" wp14:anchorId="1CC3ADCA" wp14:editId="19EED3E2">
                <wp:extent cx="5715000" cy="4876800"/>
                <wp:effectExtent l="0" t="0" r="0" b="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876800"/>
                        </a:xfrm>
                        <a:prstGeom prst="rect">
                          <a:avLst/>
                        </a:prstGeom>
                        <a:solidFill>
                          <a:schemeClr val="accent1">
                            <a:lumMod val="20000"/>
                            <a:lumOff val="80000"/>
                          </a:schemeClr>
                        </a:solidFill>
                        <a:ln>
                          <a:noFill/>
                        </a:ln>
                        <a:effectLst/>
                      </wps:spPr>
                      <wps:txbx>
                        <w:txbxContent>
                          <w:p w14:paraId="4907031A" w14:textId="77777777" w:rsidR="00EB3B59" w:rsidRPr="002748AE" w:rsidRDefault="00EB3B59" w:rsidP="002E451A">
                            <w:pPr>
                              <w:autoSpaceDE w:val="0"/>
                              <w:autoSpaceDN w:val="0"/>
                              <w:adjustRightInd w:val="0"/>
                              <w:jc w:val="both"/>
                              <w:rPr>
                                <w:rFonts w:cs="Arial"/>
                                <w:b/>
                                <w:bCs/>
                                <w:szCs w:val="22"/>
                              </w:rPr>
                            </w:pPr>
                            <w:r w:rsidRPr="002748AE">
                              <w:rPr>
                                <w:rFonts w:cs="Arial"/>
                                <w:b/>
                                <w:bCs/>
                                <w:szCs w:val="22"/>
                              </w:rPr>
                              <w:t>Threshold and Contribution Requirements</w:t>
                            </w:r>
                          </w:p>
                          <w:p w14:paraId="2D0ED935" w14:textId="6A483C48" w:rsidR="00EB3B59" w:rsidRPr="002748AE" w:rsidRDefault="00EB3B59" w:rsidP="002E451A">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design quality</w:t>
                            </w:r>
                            <w:r w:rsidRPr="002748AE">
                              <w:rPr>
                                <w:rFonts w:cs="Arial"/>
                                <w:szCs w:val="22"/>
                              </w:rPr>
                              <w:t xml:space="preserve"> </w:t>
                            </w:r>
                            <w:r>
                              <w:rPr>
                                <w:rFonts w:cs="Arial"/>
                                <w:szCs w:val="22"/>
                              </w:rPr>
                              <w:t>may</w:t>
                            </w:r>
                            <w:r w:rsidRPr="002748AE">
                              <w:rPr>
                                <w:rFonts w:cs="Arial"/>
                                <w:szCs w:val="22"/>
                              </w:rPr>
                              <w:t xml:space="preserve"> be sought for:</w:t>
                            </w:r>
                          </w:p>
                          <w:p w14:paraId="2DAF9B26" w14:textId="77777777" w:rsidR="00EB3B59" w:rsidRPr="00392FB8" w:rsidRDefault="00EB3B59" w:rsidP="002E451A">
                            <w:pPr>
                              <w:pStyle w:val="ListBullet2"/>
                              <w:jc w:val="both"/>
                            </w:pPr>
                            <w:r w:rsidRPr="00392FB8">
                              <w:t>Major residential and commercial developments</w:t>
                            </w:r>
                            <w:r>
                              <w:t>.</w:t>
                            </w:r>
                            <w:r w:rsidRPr="00392FB8">
                              <w:t xml:space="preserve"> </w:t>
                            </w:r>
                          </w:p>
                          <w:p w14:paraId="44DFD2ED" w14:textId="77777777" w:rsidR="00EB3B59" w:rsidRDefault="00EB3B59" w:rsidP="002E451A">
                            <w:pPr>
                              <w:autoSpaceDE w:val="0"/>
                              <w:autoSpaceDN w:val="0"/>
                              <w:adjustRightInd w:val="0"/>
                              <w:jc w:val="both"/>
                              <w:rPr>
                                <w:rFonts w:cs="Arial"/>
                                <w:b/>
                                <w:szCs w:val="22"/>
                              </w:rPr>
                            </w:pPr>
                            <w:r>
                              <w:rPr>
                                <w:rFonts w:cs="Arial"/>
                                <w:b/>
                                <w:szCs w:val="22"/>
                              </w:rPr>
                              <w:t>Change in Architect and Design Certification</w:t>
                            </w:r>
                          </w:p>
                          <w:p w14:paraId="59ABAAEF" w14:textId="77777777" w:rsidR="00EB3B59" w:rsidRDefault="00EB3B59" w:rsidP="002E451A">
                            <w:pPr>
                              <w:autoSpaceDE w:val="0"/>
                              <w:autoSpaceDN w:val="0"/>
                              <w:adjustRightInd w:val="0"/>
                              <w:jc w:val="both"/>
                              <w:rPr>
                                <w:rFonts w:cs="Arial"/>
                                <w:szCs w:val="22"/>
                              </w:rPr>
                            </w:pPr>
                            <w:r>
                              <w:rPr>
                                <w:rFonts w:cs="Arial"/>
                                <w:szCs w:val="22"/>
                              </w:rPr>
                              <w:t xml:space="preserve">In instances where the original architect is not retained through to completion of the project the Council must be informed in writing, including the reason for change and the details of the replacement architect. The replacement architect should have appropriate expertise in the nature of the design and delivery of the development. </w:t>
                            </w:r>
                          </w:p>
                          <w:p w14:paraId="29C96EB0" w14:textId="77777777" w:rsidR="00EB3B59" w:rsidRDefault="00EB3B59" w:rsidP="002E451A">
                            <w:pPr>
                              <w:autoSpaceDE w:val="0"/>
                              <w:autoSpaceDN w:val="0"/>
                              <w:adjustRightInd w:val="0"/>
                              <w:jc w:val="both"/>
                              <w:rPr>
                                <w:rFonts w:cs="Arial"/>
                                <w:szCs w:val="22"/>
                              </w:rPr>
                            </w:pPr>
                            <w:r>
                              <w:rPr>
                                <w:rFonts w:cs="Arial"/>
                                <w:szCs w:val="22"/>
                              </w:rPr>
                              <w:t xml:space="preserve">Based on the information provided, the Council will recommend one of the following: </w:t>
                            </w:r>
                          </w:p>
                          <w:p w14:paraId="2FA823F0" w14:textId="77777777" w:rsidR="00EB3B59" w:rsidRDefault="00EB3B59" w:rsidP="002E451A">
                            <w:pPr>
                              <w:pStyle w:val="ListParagraph"/>
                              <w:numPr>
                                <w:ilvl w:val="0"/>
                                <w:numId w:val="42"/>
                              </w:numPr>
                              <w:autoSpaceDE w:val="0"/>
                              <w:autoSpaceDN w:val="0"/>
                              <w:adjustRightInd w:val="0"/>
                              <w:jc w:val="both"/>
                              <w:rPr>
                                <w:rFonts w:cs="Arial"/>
                                <w:szCs w:val="22"/>
                              </w:rPr>
                            </w:pPr>
                            <w:r>
                              <w:rPr>
                                <w:rFonts w:cs="Arial"/>
                                <w:szCs w:val="22"/>
                              </w:rPr>
                              <w:t xml:space="preserve">Original architect recommended to act as </w:t>
                            </w:r>
                            <w:r w:rsidRPr="00B52512">
                              <w:rPr>
                                <w:rFonts w:cs="Arial"/>
                                <w:szCs w:val="22"/>
                              </w:rPr>
                              <w:t>Design Certifier</w:t>
                            </w:r>
                            <w:r>
                              <w:rPr>
                                <w:rFonts w:cs="Arial"/>
                                <w:szCs w:val="22"/>
                              </w:rPr>
                              <w:t>,</w:t>
                            </w:r>
                          </w:p>
                          <w:p w14:paraId="60778B66" w14:textId="77777777" w:rsidR="00EB3B59" w:rsidRDefault="00EB3B59" w:rsidP="002E451A">
                            <w:pPr>
                              <w:pStyle w:val="ListParagraph"/>
                              <w:numPr>
                                <w:ilvl w:val="0"/>
                                <w:numId w:val="42"/>
                              </w:numPr>
                              <w:autoSpaceDE w:val="0"/>
                              <w:autoSpaceDN w:val="0"/>
                              <w:adjustRightInd w:val="0"/>
                              <w:jc w:val="both"/>
                              <w:rPr>
                                <w:rFonts w:cs="Arial"/>
                                <w:szCs w:val="22"/>
                              </w:rPr>
                            </w:pPr>
                            <w:r>
                              <w:rPr>
                                <w:rFonts w:cs="Arial"/>
                                <w:szCs w:val="22"/>
                              </w:rPr>
                              <w:t>Different architect recommended to act as Design Certifier, or</w:t>
                            </w:r>
                          </w:p>
                          <w:p w14:paraId="652BA065" w14:textId="77777777" w:rsidR="00EB3B59" w:rsidRPr="00F740F0" w:rsidRDefault="00EB3B59" w:rsidP="002E451A">
                            <w:pPr>
                              <w:pStyle w:val="ListParagraph"/>
                              <w:numPr>
                                <w:ilvl w:val="0"/>
                                <w:numId w:val="42"/>
                              </w:numPr>
                              <w:autoSpaceDE w:val="0"/>
                              <w:autoSpaceDN w:val="0"/>
                              <w:adjustRightInd w:val="0"/>
                              <w:jc w:val="both"/>
                              <w:rPr>
                                <w:rFonts w:cs="Arial"/>
                                <w:szCs w:val="22"/>
                              </w:rPr>
                            </w:pPr>
                            <w:r>
                              <w:rPr>
                                <w:rFonts w:cs="Arial"/>
                                <w:szCs w:val="22"/>
                              </w:rPr>
                              <w:t>Design Certifier not required.</w:t>
                            </w:r>
                          </w:p>
                          <w:p w14:paraId="55B52273" w14:textId="77777777" w:rsidR="00EB3B59" w:rsidRDefault="00EB3B59" w:rsidP="002E451A">
                            <w:pPr>
                              <w:autoSpaceDE w:val="0"/>
                              <w:autoSpaceDN w:val="0"/>
                              <w:adjustRightInd w:val="0"/>
                              <w:jc w:val="both"/>
                              <w:rPr>
                                <w:rFonts w:cs="Arial"/>
                                <w:szCs w:val="22"/>
                              </w:rPr>
                            </w:pPr>
                            <w:r>
                              <w:rPr>
                                <w:rFonts w:cs="Arial"/>
                                <w:szCs w:val="22"/>
                              </w:rPr>
                              <w:t>The developer will be required to engage the recommended architect as a Design Certifier for the remainder of the project. The Design Certifier should be adequately resourced by the developer to undertake the following:</w:t>
                            </w:r>
                          </w:p>
                          <w:p w14:paraId="20F774DD" w14:textId="77777777" w:rsidR="00EB3B59" w:rsidRDefault="00EB3B59" w:rsidP="002E451A">
                            <w:pPr>
                              <w:pStyle w:val="ListParagraph"/>
                              <w:numPr>
                                <w:ilvl w:val="0"/>
                                <w:numId w:val="41"/>
                              </w:numPr>
                              <w:autoSpaceDE w:val="0"/>
                              <w:autoSpaceDN w:val="0"/>
                              <w:adjustRightInd w:val="0"/>
                              <w:jc w:val="both"/>
                              <w:rPr>
                                <w:rFonts w:cs="Arial"/>
                                <w:szCs w:val="22"/>
                              </w:rPr>
                            </w:pPr>
                            <w:r>
                              <w:rPr>
                                <w:rFonts w:cs="Arial"/>
                                <w:szCs w:val="22"/>
                              </w:rPr>
                              <w:t>Reviewing construction drawings and material amendments</w:t>
                            </w:r>
                          </w:p>
                          <w:p w14:paraId="504B0904" w14:textId="77777777" w:rsidR="00EB3B59" w:rsidRDefault="00EB3B59" w:rsidP="002E451A">
                            <w:pPr>
                              <w:pStyle w:val="ListParagraph"/>
                              <w:numPr>
                                <w:ilvl w:val="0"/>
                                <w:numId w:val="41"/>
                              </w:numPr>
                              <w:autoSpaceDE w:val="0"/>
                              <w:autoSpaceDN w:val="0"/>
                              <w:adjustRightInd w:val="0"/>
                              <w:jc w:val="both"/>
                              <w:rPr>
                                <w:rFonts w:cs="Arial"/>
                                <w:szCs w:val="22"/>
                              </w:rPr>
                            </w:pPr>
                            <w:r>
                              <w:rPr>
                                <w:rFonts w:cs="Arial"/>
                                <w:szCs w:val="22"/>
                              </w:rPr>
                              <w:t>Site visits</w:t>
                            </w:r>
                          </w:p>
                          <w:p w14:paraId="69A5CA46" w14:textId="77777777" w:rsidR="00EB3B59" w:rsidRPr="00511830" w:rsidRDefault="00EB3B59" w:rsidP="002E451A">
                            <w:pPr>
                              <w:pStyle w:val="ListParagraph"/>
                              <w:numPr>
                                <w:ilvl w:val="0"/>
                                <w:numId w:val="41"/>
                              </w:numPr>
                              <w:autoSpaceDE w:val="0"/>
                              <w:autoSpaceDN w:val="0"/>
                              <w:adjustRightInd w:val="0"/>
                              <w:jc w:val="both"/>
                              <w:rPr>
                                <w:rFonts w:cs="Arial"/>
                                <w:szCs w:val="22"/>
                              </w:rPr>
                            </w:pPr>
                            <w:r>
                              <w:rPr>
                                <w:rFonts w:cs="Arial"/>
                                <w:szCs w:val="22"/>
                              </w:rPr>
                              <w:t>Regular submissions of design certification reports to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C3ADCA" id="Text Box 15" o:spid="_x0000_s1055" type="#_x0000_t202" style="width:450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" fillcolor="#dbe5f1 [660]" stroked="f">
                <v:textbox>
                  <w:txbxContent>
                    <w:p w14:paraId="4907031A" w14:textId="77777777" w:rsidR="00EB3B59" w:rsidRPr="002748AE" w:rsidRDefault="00EB3B59" w:rsidP="002E451A">
                      <w:pPr>
                        <w:autoSpaceDE w:val="0"/>
                        <w:autoSpaceDN w:val="0"/>
                        <w:adjustRightInd w:val="0"/>
                        <w:jc w:val="both"/>
                        <w:rPr>
                          <w:rFonts w:cs="Arial"/>
                          <w:b/>
                          <w:bCs/>
                          <w:szCs w:val="22"/>
                        </w:rPr>
                      </w:pPr>
                      <w:r w:rsidRPr="002748AE">
                        <w:rPr>
                          <w:rFonts w:cs="Arial"/>
                          <w:b/>
                          <w:bCs/>
                          <w:szCs w:val="22"/>
                        </w:rPr>
                        <w:t>Threshold and Contribution Requirements</w:t>
                      </w:r>
                    </w:p>
                    <w:p w14:paraId="2D0ED935" w14:textId="6A483C48" w:rsidR="00EB3B59" w:rsidRPr="002748AE" w:rsidRDefault="00EB3B59" w:rsidP="002E451A">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relating to </w:t>
                      </w:r>
                      <w:r>
                        <w:rPr>
                          <w:rFonts w:cs="Arial"/>
                          <w:szCs w:val="22"/>
                        </w:rPr>
                        <w:t>design quality</w:t>
                      </w:r>
                      <w:r w:rsidRPr="002748AE">
                        <w:rPr>
                          <w:rFonts w:cs="Arial"/>
                          <w:szCs w:val="22"/>
                        </w:rPr>
                        <w:t xml:space="preserve"> </w:t>
                      </w:r>
                      <w:r>
                        <w:rPr>
                          <w:rFonts w:cs="Arial"/>
                          <w:szCs w:val="22"/>
                        </w:rPr>
                        <w:t>may</w:t>
                      </w:r>
                      <w:r w:rsidRPr="002748AE">
                        <w:rPr>
                          <w:rFonts w:cs="Arial"/>
                          <w:szCs w:val="22"/>
                        </w:rPr>
                        <w:t xml:space="preserve"> be sought for:</w:t>
                      </w:r>
                    </w:p>
                    <w:p w14:paraId="2DAF9B26" w14:textId="77777777" w:rsidR="00EB3B59" w:rsidRPr="00392FB8" w:rsidRDefault="00EB3B59" w:rsidP="002E451A">
                      <w:pPr>
                        <w:pStyle w:val="ListBullet2"/>
                        <w:jc w:val="both"/>
                      </w:pPr>
                      <w:r w:rsidRPr="00392FB8">
                        <w:t>Major residential and commercial developments</w:t>
                      </w:r>
                      <w:r>
                        <w:t>.</w:t>
                      </w:r>
                      <w:r w:rsidRPr="00392FB8">
                        <w:t xml:space="preserve"> </w:t>
                      </w:r>
                    </w:p>
                    <w:p w14:paraId="44DFD2ED" w14:textId="77777777" w:rsidR="00EB3B59" w:rsidRDefault="00EB3B59" w:rsidP="002E451A">
                      <w:pPr>
                        <w:autoSpaceDE w:val="0"/>
                        <w:autoSpaceDN w:val="0"/>
                        <w:adjustRightInd w:val="0"/>
                        <w:jc w:val="both"/>
                        <w:rPr>
                          <w:rFonts w:cs="Arial"/>
                          <w:b/>
                          <w:szCs w:val="22"/>
                        </w:rPr>
                      </w:pPr>
                      <w:r>
                        <w:rPr>
                          <w:rFonts w:cs="Arial"/>
                          <w:b/>
                          <w:szCs w:val="22"/>
                        </w:rPr>
                        <w:t>Change in Architect and Design Certification</w:t>
                      </w:r>
                    </w:p>
                    <w:p w14:paraId="59ABAAEF" w14:textId="77777777" w:rsidR="00EB3B59" w:rsidRDefault="00EB3B59" w:rsidP="002E451A">
                      <w:pPr>
                        <w:autoSpaceDE w:val="0"/>
                        <w:autoSpaceDN w:val="0"/>
                        <w:adjustRightInd w:val="0"/>
                        <w:jc w:val="both"/>
                        <w:rPr>
                          <w:rFonts w:cs="Arial"/>
                          <w:szCs w:val="22"/>
                        </w:rPr>
                      </w:pPr>
                      <w:r>
                        <w:rPr>
                          <w:rFonts w:cs="Arial"/>
                          <w:szCs w:val="22"/>
                        </w:rPr>
                        <w:t xml:space="preserve">In instances where the original architect is not retained through to completion of the project the Council must be informed in writing, including the reason for change and the details of the replacement architect. The replacement architect should have appropriate expertise in the nature of the design and delivery of the development. </w:t>
                      </w:r>
                    </w:p>
                    <w:p w14:paraId="29C96EB0" w14:textId="77777777" w:rsidR="00EB3B59" w:rsidRDefault="00EB3B59" w:rsidP="002E451A">
                      <w:pPr>
                        <w:autoSpaceDE w:val="0"/>
                        <w:autoSpaceDN w:val="0"/>
                        <w:adjustRightInd w:val="0"/>
                        <w:jc w:val="both"/>
                        <w:rPr>
                          <w:rFonts w:cs="Arial"/>
                          <w:szCs w:val="22"/>
                        </w:rPr>
                      </w:pPr>
                      <w:r>
                        <w:rPr>
                          <w:rFonts w:cs="Arial"/>
                          <w:szCs w:val="22"/>
                        </w:rPr>
                        <w:t xml:space="preserve">Based on the information provided, the Council will recommend one of the following: </w:t>
                      </w:r>
                    </w:p>
                    <w:p w14:paraId="2FA823F0" w14:textId="77777777" w:rsidR="00EB3B59" w:rsidRDefault="00EB3B59" w:rsidP="002E451A">
                      <w:pPr>
                        <w:pStyle w:val="ListParagraph"/>
                        <w:numPr>
                          <w:ilvl w:val="0"/>
                          <w:numId w:val="42"/>
                        </w:numPr>
                        <w:autoSpaceDE w:val="0"/>
                        <w:autoSpaceDN w:val="0"/>
                        <w:adjustRightInd w:val="0"/>
                        <w:jc w:val="both"/>
                        <w:rPr>
                          <w:rFonts w:cs="Arial"/>
                          <w:szCs w:val="22"/>
                        </w:rPr>
                      </w:pPr>
                      <w:r>
                        <w:rPr>
                          <w:rFonts w:cs="Arial"/>
                          <w:szCs w:val="22"/>
                        </w:rPr>
                        <w:t xml:space="preserve">Original architect recommended to act as </w:t>
                      </w:r>
                      <w:r w:rsidRPr="00B52512">
                        <w:rPr>
                          <w:rFonts w:cs="Arial"/>
                          <w:szCs w:val="22"/>
                        </w:rPr>
                        <w:t>Design Certifier</w:t>
                      </w:r>
                      <w:r>
                        <w:rPr>
                          <w:rFonts w:cs="Arial"/>
                          <w:szCs w:val="22"/>
                        </w:rPr>
                        <w:t>,</w:t>
                      </w:r>
                    </w:p>
                    <w:p w14:paraId="60778B66" w14:textId="77777777" w:rsidR="00EB3B59" w:rsidRDefault="00EB3B59" w:rsidP="002E451A">
                      <w:pPr>
                        <w:pStyle w:val="ListParagraph"/>
                        <w:numPr>
                          <w:ilvl w:val="0"/>
                          <w:numId w:val="42"/>
                        </w:numPr>
                        <w:autoSpaceDE w:val="0"/>
                        <w:autoSpaceDN w:val="0"/>
                        <w:adjustRightInd w:val="0"/>
                        <w:jc w:val="both"/>
                        <w:rPr>
                          <w:rFonts w:cs="Arial"/>
                          <w:szCs w:val="22"/>
                        </w:rPr>
                      </w:pPr>
                      <w:r>
                        <w:rPr>
                          <w:rFonts w:cs="Arial"/>
                          <w:szCs w:val="22"/>
                        </w:rPr>
                        <w:t>Different architect recommended to act as Design Certifier, or</w:t>
                      </w:r>
                    </w:p>
                    <w:p w14:paraId="652BA065" w14:textId="77777777" w:rsidR="00EB3B59" w:rsidRPr="00F740F0" w:rsidRDefault="00EB3B59" w:rsidP="002E451A">
                      <w:pPr>
                        <w:pStyle w:val="ListParagraph"/>
                        <w:numPr>
                          <w:ilvl w:val="0"/>
                          <w:numId w:val="42"/>
                        </w:numPr>
                        <w:autoSpaceDE w:val="0"/>
                        <w:autoSpaceDN w:val="0"/>
                        <w:adjustRightInd w:val="0"/>
                        <w:jc w:val="both"/>
                        <w:rPr>
                          <w:rFonts w:cs="Arial"/>
                          <w:szCs w:val="22"/>
                        </w:rPr>
                      </w:pPr>
                      <w:r>
                        <w:rPr>
                          <w:rFonts w:cs="Arial"/>
                          <w:szCs w:val="22"/>
                        </w:rPr>
                        <w:t>Design Certifier not required.</w:t>
                      </w:r>
                    </w:p>
                    <w:p w14:paraId="55B52273" w14:textId="77777777" w:rsidR="00EB3B59" w:rsidRDefault="00EB3B59" w:rsidP="002E451A">
                      <w:pPr>
                        <w:autoSpaceDE w:val="0"/>
                        <w:autoSpaceDN w:val="0"/>
                        <w:adjustRightInd w:val="0"/>
                        <w:jc w:val="both"/>
                        <w:rPr>
                          <w:rFonts w:cs="Arial"/>
                          <w:szCs w:val="22"/>
                        </w:rPr>
                      </w:pPr>
                      <w:r>
                        <w:rPr>
                          <w:rFonts w:cs="Arial"/>
                          <w:szCs w:val="22"/>
                        </w:rPr>
                        <w:t>The developer will be required to engage the recommended architect as a Design Certifier for the remainder of the project. The Design Certifier should be adequately resourced by the developer to undertake the following:</w:t>
                      </w:r>
                    </w:p>
                    <w:p w14:paraId="20F774DD" w14:textId="77777777" w:rsidR="00EB3B59" w:rsidRDefault="00EB3B59" w:rsidP="002E451A">
                      <w:pPr>
                        <w:pStyle w:val="ListParagraph"/>
                        <w:numPr>
                          <w:ilvl w:val="0"/>
                          <w:numId w:val="41"/>
                        </w:numPr>
                        <w:autoSpaceDE w:val="0"/>
                        <w:autoSpaceDN w:val="0"/>
                        <w:adjustRightInd w:val="0"/>
                        <w:jc w:val="both"/>
                        <w:rPr>
                          <w:rFonts w:cs="Arial"/>
                          <w:szCs w:val="22"/>
                        </w:rPr>
                      </w:pPr>
                      <w:r>
                        <w:rPr>
                          <w:rFonts w:cs="Arial"/>
                          <w:szCs w:val="22"/>
                        </w:rPr>
                        <w:t>Reviewing construction drawings and material amendments</w:t>
                      </w:r>
                    </w:p>
                    <w:p w14:paraId="504B0904" w14:textId="77777777" w:rsidR="00EB3B59" w:rsidRDefault="00EB3B59" w:rsidP="002E451A">
                      <w:pPr>
                        <w:pStyle w:val="ListParagraph"/>
                        <w:numPr>
                          <w:ilvl w:val="0"/>
                          <w:numId w:val="41"/>
                        </w:numPr>
                        <w:autoSpaceDE w:val="0"/>
                        <w:autoSpaceDN w:val="0"/>
                        <w:adjustRightInd w:val="0"/>
                        <w:jc w:val="both"/>
                        <w:rPr>
                          <w:rFonts w:cs="Arial"/>
                          <w:szCs w:val="22"/>
                        </w:rPr>
                      </w:pPr>
                      <w:r>
                        <w:rPr>
                          <w:rFonts w:cs="Arial"/>
                          <w:szCs w:val="22"/>
                        </w:rPr>
                        <w:t>Site visits</w:t>
                      </w:r>
                    </w:p>
                    <w:p w14:paraId="69A5CA46" w14:textId="77777777" w:rsidR="00EB3B59" w:rsidRPr="00511830" w:rsidRDefault="00EB3B59" w:rsidP="002E451A">
                      <w:pPr>
                        <w:pStyle w:val="ListParagraph"/>
                        <w:numPr>
                          <w:ilvl w:val="0"/>
                          <w:numId w:val="41"/>
                        </w:numPr>
                        <w:autoSpaceDE w:val="0"/>
                        <w:autoSpaceDN w:val="0"/>
                        <w:adjustRightInd w:val="0"/>
                        <w:jc w:val="both"/>
                        <w:rPr>
                          <w:rFonts w:cs="Arial"/>
                          <w:szCs w:val="22"/>
                        </w:rPr>
                      </w:pPr>
                      <w:r>
                        <w:rPr>
                          <w:rFonts w:cs="Arial"/>
                          <w:szCs w:val="22"/>
                        </w:rPr>
                        <w:t>Regular submissions of design certification reports to the Council.</w:t>
                      </w:r>
                    </w:p>
                  </w:txbxContent>
                </v:textbox>
                <w10:anchorlock/>
              </v:shape>
            </w:pict>
          </mc:Fallback>
        </mc:AlternateContent>
      </w:r>
    </w:p>
    <w:p w14:paraId="529984DC" w14:textId="77777777" w:rsidR="000A57A6" w:rsidRDefault="000A57A6">
      <w:pPr>
        <w:spacing w:after="0" w:line="240" w:lineRule="auto"/>
        <w:rPr>
          <w:rFonts w:eastAsiaTheme="majorEastAsia" w:cstheme="majorBidi"/>
          <w:b/>
          <w:bCs/>
          <w:color w:val="00477E"/>
          <w:sz w:val="30"/>
          <w:szCs w:val="26"/>
        </w:rPr>
      </w:pPr>
      <w:r>
        <w:br w:type="page"/>
      </w:r>
    </w:p>
    <w:p w14:paraId="0E02DFD3" w14:textId="1B16BE91" w:rsidR="005A6217" w:rsidRPr="000D65CE" w:rsidRDefault="005A6217" w:rsidP="00721B10">
      <w:pPr>
        <w:pStyle w:val="Heading2"/>
      </w:pPr>
      <w:bookmarkStart w:id="30" w:name="_Toc69374686"/>
      <w:r w:rsidRPr="000D65CE">
        <w:lastRenderedPageBreak/>
        <w:t>Mansard Roof Conservation Area Contribution</w:t>
      </w:r>
      <w:bookmarkEnd w:id="30"/>
    </w:p>
    <w:tbl>
      <w:tblPr>
        <w:tblStyle w:val="TableGrid"/>
        <w:tblW w:w="0" w:type="auto"/>
        <w:tblInd w:w="795" w:type="dxa"/>
        <w:tblBorders>
          <w:top w:val="single" w:sz="8" w:space="0" w:color="006BB6"/>
          <w:left w:val="single" w:sz="8" w:space="0" w:color="006BB6"/>
          <w:bottom w:val="single" w:sz="8" w:space="0" w:color="006BB6"/>
          <w:right w:val="single" w:sz="8" w:space="0" w:color="006BB6"/>
          <w:insideH w:val="single" w:sz="8" w:space="0" w:color="006BB6"/>
          <w:insideV w:val="single" w:sz="8" w:space="0" w:color="006BB6"/>
        </w:tblBorders>
        <w:shd w:val="clear" w:color="auto" w:fill="D9D9D9" w:themeFill="background1" w:themeFillShade="D9"/>
        <w:tblLook w:val="04A0" w:firstRow="1" w:lastRow="0" w:firstColumn="1" w:lastColumn="0" w:noHBand="0" w:noVBand="1"/>
      </w:tblPr>
      <w:tblGrid>
        <w:gridCol w:w="3119"/>
        <w:gridCol w:w="3402"/>
      </w:tblGrid>
      <w:tr w:rsidR="00BF60B2" w:rsidRPr="000D65CE" w14:paraId="65CADDD6" w14:textId="77777777" w:rsidTr="00921BA6">
        <w:tc>
          <w:tcPr>
            <w:tcW w:w="3119" w:type="dxa"/>
            <w:tcBorders>
              <w:bottom w:val="single" w:sz="8" w:space="0" w:color="006BB6"/>
            </w:tcBorders>
            <w:shd w:val="clear" w:color="auto" w:fill="F2F2F2" w:themeFill="background1" w:themeFillShade="F2"/>
          </w:tcPr>
          <w:p w14:paraId="1F5160BF" w14:textId="77777777" w:rsidR="00BF60B2" w:rsidRPr="000D65CE" w:rsidRDefault="00BF60B2" w:rsidP="003B280C">
            <w:pPr>
              <w:autoSpaceDE w:val="0"/>
              <w:autoSpaceDN w:val="0"/>
              <w:adjustRightInd w:val="0"/>
              <w:spacing w:before="180" w:after="180"/>
              <w:jc w:val="both"/>
              <w:rPr>
                <w:rFonts w:cs="Arial"/>
                <w:szCs w:val="22"/>
              </w:rPr>
            </w:pPr>
            <w:r w:rsidRPr="000D65CE">
              <w:rPr>
                <w:rFonts w:cs="Arial"/>
                <w:szCs w:val="22"/>
              </w:rPr>
              <w:t>Relevant Local Plan Policies</w:t>
            </w:r>
          </w:p>
        </w:tc>
        <w:tc>
          <w:tcPr>
            <w:tcW w:w="3402" w:type="dxa"/>
            <w:tcBorders>
              <w:bottom w:val="single" w:sz="8" w:space="0" w:color="006BB6"/>
            </w:tcBorders>
            <w:shd w:val="clear" w:color="auto" w:fill="FFFFFF" w:themeFill="background1"/>
          </w:tcPr>
          <w:p w14:paraId="0FF9309E" w14:textId="77777777" w:rsidR="00BF60B2" w:rsidRPr="000D65CE" w:rsidRDefault="00BF60B2" w:rsidP="003B280C">
            <w:pPr>
              <w:autoSpaceDE w:val="0"/>
              <w:autoSpaceDN w:val="0"/>
              <w:adjustRightInd w:val="0"/>
              <w:spacing w:before="180" w:after="180"/>
              <w:jc w:val="both"/>
              <w:rPr>
                <w:rFonts w:cs="Arial"/>
                <w:szCs w:val="22"/>
              </w:rPr>
            </w:pPr>
            <w:r w:rsidRPr="000D65CE">
              <w:rPr>
                <w:rFonts w:cs="Arial"/>
                <w:szCs w:val="22"/>
              </w:rPr>
              <w:t>S.DH3</w:t>
            </w:r>
          </w:p>
        </w:tc>
      </w:tr>
    </w:tbl>
    <w:p w14:paraId="32AD3CAD" w14:textId="77777777" w:rsidR="000D2620" w:rsidRPr="000D65CE" w:rsidRDefault="000D2620" w:rsidP="003B280C">
      <w:pPr>
        <w:jc w:val="both"/>
      </w:pPr>
    </w:p>
    <w:p w14:paraId="3AFD7BD6" w14:textId="77777777" w:rsidR="00233053" w:rsidRPr="000D65CE" w:rsidRDefault="00233053" w:rsidP="003B280C">
      <w:pPr>
        <w:pStyle w:val="Paragraphs"/>
        <w:rPr>
          <w:lang w:val="en-GB"/>
        </w:rPr>
      </w:pPr>
      <w:r w:rsidRPr="28D940A9">
        <w:rPr>
          <w:lang w:val="en-GB"/>
        </w:rPr>
        <w:t>The National Planning Policy Framework requires</w:t>
      </w:r>
      <w:r w:rsidR="00CB1673" w:rsidRPr="28D940A9">
        <w:rPr>
          <w:lang w:val="en-GB"/>
        </w:rPr>
        <w:t xml:space="preserve"> that where</w:t>
      </w:r>
      <w:r w:rsidRPr="28D940A9">
        <w:rPr>
          <w:lang w:val="en-GB"/>
        </w:rPr>
        <w:t xml:space="preserve"> development proposals, such as mansard roof extensions,</w:t>
      </w:r>
      <w:r w:rsidR="00CB1673" w:rsidRPr="28D940A9">
        <w:rPr>
          <w:lang w:val="en-GB"/>
        </w:rPr>
        <w:t xml:space="preserve"> would</w:t>
      </w:r>
      <w:r w:rsidRPr="28D940A9">
        <w:rPr>
          <w:lang w:val="en-GB"/>
        </w:rPr>
        <w:t xml:space="preserve"> result in harm to a historic environment</w:t>
      </w:r>
      <w:r w:rsidR="00CB1673" w:rsidRPr="28D940A9">
        <w:rPr>
          <w:lang w:val="en-GB"/>
        </w:rPr>
        <w:t>, that harm must be weighed</w:t>
      </w:r>
      <w:r w:rsidRPr="28D940A9">
        <w:rPr>
          <w:lang w:val="en-GB"/>
        </w:rPr>
        <w:t xml:space="preserve"> against public benefits</w:t>
      </w:r>
      <w:r w:rsidR="00CB1673" w:rsidRPr="28D940A9">
        <w:rPr>
          <w:lang w:val="en-GB"/>
        </w:rPr>
        <w:t xml:space="preserve"> arising from the proposal</w:t>
      </w:r>
      <w:r w:rsidRPr="28D940A9">
        <w:rPr>
          <w:lang w:val="en-GB"/>
        </w:rPr>
        <w:t xml:space="preserve">. </w:t>
      </w:r>
    </w:p>
    <w:p w14:paraId="2984830E" w14:textId="77777777" w:rsidR="001F1F8C" w:rsidRPr="000D65CE" w:rsidRDefault="00A0142F" w:rsidP="003B280C">
      <w:pPr>
        <w:pStyle w:val="Paragraphs"/>
        <w:rPr>
          <w:lang w:val="en-GB"/>
        </w:rPr>
      </w:pPr>
      <w:r w:rsidRPr="28D940A9">
        <w:rPr>
          <w:lang w:val="en-GB"/>
        </w:rPr>
        <w:t xml:space="preserve">Local Plan Policy S.DH3 </w:t>
      </w:r>
      <w:r w:rsidR="00F42C83" w:rsidRPr="28D940A9">
        <w:rPr>
          <w:lang w:val="en-GB"/>
        </w:rPr>
        <w:t xml:space="preserve">recognises the importance of protecting and enhancing conservation areas while also managing change in a way that retains the character and appearance. </w:t>
      </w:r>
    </w:p>
    <w:p w14:paraId="5BA48068" w14:textId="51A045C1" w:rsidR="00233053" w:rsidRPr="000D65CE" w:rsidRDefault="00233053" w:rsidP="003B280C">
      <w:pPr>
        <w:spacing w:before="360" w:after="120"/>
        <w:jc w:val="both"/>
        <w:rPr>
          <w:b/>
          <w:color w:val="00477E"/>
          <w:sz w:val="24"/>
        </w:rPr>
      </w:pPr>
      <w:r w:rsidRPr="000D65CE">
        <w:rPr>
          <w:b/>
          <w:color w:val="00477E"/>
          <w:sz w:val="24"/>
        </w:rPr>
        <w:t>How the Council will</w:t>
      </w:r>
      <w:r w:rsidR="00CB1673" w:rsidRPr="000D65CE">
        <w:rPr>
          <w:b/>
          <w:color w:val="00477E"/>
          <w:sz w:val="24"/>
        </w:rPr>
        <w:t xml:space="preserve"> </w:t>
      </w:r>
      <w:r w:rsidR="006D1037">
        <w:rPr>
          <w:b/>
          <w:color w:val="00477E"/>
          <w:sz w:val="24"/>
        </w:rPr>
        <w:t>Address Harm f</w:t>
      </w:r>
      <w:r w:rsidR="006D1037" w:rsidRPr="000D65CE">
        <w:rPr>
          <w:b/>
          <w:color w:val="00477E"/>
          <w:sz w:val="24"/>
        </w:rPr>
        <w:t xml:space="preserve">rom Mansard Roof Extensions Through </w:t>
      </w:r>
      <w:r w:rsidR="00573583">
        <w:rPr>
          <w:b/>
          <w:color w:val="00477E"/>
          <w:sz w:val="24"/>
        </w:rPr>
        <w:t>Planning Obligations</w:t>
      </w:r>
    </w:p>
    <w:p w14:paraId="50DF0B31" w14:textId="77777777" w:rsidR="00CB1673" w:rsidRPr="000D65CE" w:rsidRDefault="009667DE" w:rsidP="003B280C">
      <w:pPr>
        <w:pStyle w:val="Paragraphs"/>
        <w:rPr>
          <w:lang w:val="en-GB"/>
        </w:rPr>
      </w:pPr>
      <w:r w:rsidRPr="28D940A9">
        <w:rPr>
          <w:lang w:val="en-GB"/>
        </w:rPr>
        <w:t>The C</w:t>
      </w:r>
      <w:r w:rsidR="00CB1673" w:rsidRPr="28D940A9">
        <w:rPr>
          <w:lang w:val="en-GB"/>
        </w:rPr>
        <w:t xml:space="preserve">ouncil has adopted revised character appraisals and management guidelines for Driffield Road and Medway conservation areas. These documents contain details on how a mansard roof can be sympathetically designed to ensure that harm to the special character and appearance of the conservation areas is minimised.  </w:t>
      </w:r>
    </w:p>
    <w:p w14:paraId="17BD48D8" w14:textId="77777777" w:rsidR="00CB1673" w:rsidRDefault="00CB1673" w:rsidP="003B280C">
      <w:pPr>
        <w:pStyle w:val="Paragraphs"/>
        <w:rPr>
          <w:lang w:val="en-GB"/>
        </w:rPr>
      </w:pPr>
      <w:r w:rsidRPr="28D940A9">
        <w:rPr>
          <w:lang w:val="en-GB"/>
        </w:rPr>
        <w:t xml:space="preserve">To help address residual harm arising from roof extensions, the council requires proposals to be accompanied by façade enhancements to host buildings and provide a financial contribution to help fund streetscape improvements in the conservation areas. The contributions will be used to help improve the character and appearance of the two conservation areas through heritage related interventions. </w:t>
      </w:r>
    </w:p>
    <w:p w14:paraId="53A04B7A" w14:textId="77777777" w:rsidR="00EA1516" w:rsidRPr="000D65CE" w:rsidRDefault="00EA1516" w:rsidP="00EA1516">
      <w:r w:rsidRPr="00EA1516">
        <w:rPr>
          <w:b/>
        </w:rPr>
        <w:t>Text Box 2</w:t>
      </w:r>
      <w:r>
        <w:rPr>
          <w:b/>
        </w:rPr>
        <w:t>8</w:t>
      </w:r>
      <w:r w:rsidRPr="00EA1516">
        <w:rPr>
          <w:b/>
        </w:rPr>
        <w:t xml:space="preserve">: </w:t>
      </w:r>
      <w:r>
        <w:rPr>
          <w:b/>
        </w:rPr>
        <w:t>Mansard Roof Extensions</w:t>
      </w:r>
    </w:p>
    <w:p w14:paraId="477C6C53" w14:textId="77777777" w:rsidR="005A6217" w:rsidRPr="000D65CE" w:rsidRDefault="00233053" w:rsidP="003B280C">
      <w:pPr>
        <w:jc w:val="both"/>
      </w:pPr>
      <w:r w:rsidRPr="000D65CE">
        <w:rPr>
          <w:noProof/>
          <w:lang w:eastAsia="en-GB"/>
        </w:rPr>
        <mc:AlternateContent>
          <mc:Choice Requires="wps">
            <w:drawing>
              <wp:inline distT="0" distB="0" distL="0" distR="0" wp14:anchorId="7A435319" wp14:editId="03D7E9A9">
                <wp:extent cx="5731510" cy="2242868"/>
                <wp:effectExtent l="0" t="0" r="2540" b="50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2242868"/>
                        </a:xfrm>
                        <a:prstGeom prst="rect">
                          <a:avLst/>
                        </a:prstGeom>
                        <a:solidFill>
                          <a:schemeClr val="accent1">
                            <a:lumMod val="20000"/>
                            <a:lumOff val="80000"/>
                          </a:schemeClr>
                        </a:solidFill>
                        <a:ln>
                          <a:noFill/>
                        </a:ln>
                        <a:effectLst/>
                      </wps:spPr>
                      <wps:txbx>
                        <w:txbxContent>
                          <w:p w14:paraId="7AF9E484" w14:textId="77777777" w:rsidR="00EB3B59" w:rsidRPr="002748AE" w:rsidRDefault="00EB3B59" w:rsidP="002E451A">
                            <w:pPr>
                              <w:autoSpaceDE w:val="0"/>
                              <w:autoSpaceDN w:val="0"/>
                              <w:adjustRightInd w:val="0"/>
                              <w:jc w:val="both"/>
                              <w:rPr>
                                <w:rFonts w:cs="Arial"/>
                                <w:b/>
                                <w:bCs/>
                                <w:szCs w:val="22"/>
                              </w:rPr>
                            </w:pPr>
                            <w:r w:rsidRPr="002748AE">
                              <w:rPr>
                                <w:rFonts w:cs="Arial"/>
                                <w:b/>
                                <w:bCs/>
                                <w:szCs w:val="22"/>
                              </w:rPr>
                              <w:t>Threshold and Contribution Requirements</w:t>
                            </w:r>
                          </w:p>
                          <w:p w14:paraId="5FC09DBA" w14:textId="77777777" w:rsidR="00EB3B59" w:rsidRPr="002748AE" w:rsidRDefault="00EB3B59" w:rsidP="002E451A">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w:t>
                            </w:r>
                            <w:r>
                              <w:rPr>
                                <w:rFonts w:cs="Arial"/>
                                <w:szCs w:val="22"/>
                              </w:rPr>
                              <w:t>for mansard roof proposals will be sought for</w:t>
                            </w:r>
                            <w:r w:rsidRPr="002748AE">
                              <w:rPr>
                                <w:rFonts w:cs="Arial"/>
                                <w:szCs w:val="22"/>
                              </w:rPr>
                              <w:t>:</w:t>
                            </w:r>
                          </w:p>
                          <w:p w14:paraId="7B6FD97C" w14:textId="77777777" w:rsidR="00EB3B59" w:rsidRDefault="00EB3B59" w:rsidP="002E451A">
                            <w:pPr>
                              <w:pStyle w:val="ListParagraph"/>
                              <w:numPr>
                                <w:ilvl w:val="0"/>
                                <w:numId w:val="5"/>
                              </w:numPr>
                              <w:autoSpaceDE w:val="0"/>
                              <w:autoSpaceDN w:val="0"/>
                              <w:adjustRightInd w:val="0"/>
                              <w:jc w:val="both"/>
                              <w:rPr>
                                <w:rFonts w:cs="Arial"/>
                                <w:szCs w:val="22"/>
                              </w:rPr>
                            </w:pPr>
                            <w:r>
                              <w:rPr>
                                <w:rFonts w:cs="Arial"/>
                                <w:szCs w:val="22"/>
                              </w:rPr>
                              <w:t xml:space="preserve">Mansard roof applications </w:t>
                            </w:r>
                            <w:r>
                              <w:t xml:space="preserve">in the </w:t>
                            </w:r>
                            <w:r w:rsidRPr="00470F08">
                              <w:t xml:space="preserve">Medway and Driffield Road </w:t>
                            </w:r>
                            <w:r>
                              <w:t>c</w:t>
                            </w:r>
                            <w:r w:rsidRPr="00470F08">
                              <w:t xml:space="preserve">onservation </w:t>
                            </w:r>
                            <w:r>
                              <w:t>a</w:t>
                            </w:r>
                            <w:r w:rsidRPr="00470F08">
                              <w:t>reas</w:t>
                            </w:r>
                            <w:r>
                              <w:t>.</w:t>
                            </w:r>
                          </w:p>
                          <w:p w14:paraId="0CF75FFD" w14:textId="77777777" w:rsidR="00EB3B59" w:rsidRDefault="00EB3B59" w:rsidP="002E451A">
                            <w:pPr>
                              <w:jc w:val="both"/>
                            </w:pPr>
                            <w:r w:rsidRPr="001F1F8C">
                              <w:rPr>
                                <w:rFonts w:cs="Arial"/>
                                <w:szCs w:val="22"/>
                              </w:rPr>
                              <w:t xml:space="preserve">The Council </w:t>
                            </w:r>
                            <w:r>
                              <w:rPr>
                                <w:rFonts w:cs="Arial"/>
                                <w:szCs w:val="22"/>
                              </w:rPr>
                              <w:t xml:space="preserve">will require a contribution of </w:t>
                            </w:r>
                            <w:r>
                              <w:t xml:space="preserve">£1,000 secured through a Unilateral Undertaking and payable at the time the Unilateral Agreement is signed.  </w:t>
                            </w:r>
                          </w:p>
                          <w:p w14:paraId="092A1CCB" w14:textId="77777777" w:rsidR="00EB3B59" w:rsidRPr="006A7F4D" w:rsidRDefault="00EB3B59" w:rsidP="002E451A">
                            <w:pPr>
                              <w:jc w:val="both"/>
                            </w:pPr>
                            <w:r>
                              <w:t>Where applications are more complex, or involve more than one property, a higher contribution may be sought where appropriate.</w:t>
                            </w:r>
                            <w:r w:rsidRPr="005D09E9">
                              <w:t xml:space="preserve"> </w:t>
                            </w:r>
                          </w:p>
                          <w:p w14:paraId="2F9F4DD8" w14:textId="77777777" w:rsidR="00EB3B59" w:rsidRPr="001F1F8C" w:rsidRDefault="00EB3B59" w:rsidP="00233053">
                            <w:pPr>
                              <w:jc w:val="both"/>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435319" id="Text Box 1" o:spid="_x0000_s1056" type="#_x0000_t202" style="width:451.3pt;height:1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" fillcolor="#dbe5f1 [660]" stroked="f">
                <v:textbox>
                  <w:txbxContent>
                    <w:p w14:paraId="7AF9E484" w14:textId="77777777" w:rsidR="00EB3B59" w:rsidRPr="002748AE" w:rsidRDefault="00EB3B59" w:rsidP="002E451A">
                      <w:pPr>
                        <w:autoSpaceDE w:val="0"/>
                        <w:autoSpaceDN w:val="0"/>
                        <w:adjustRightInd w:val="0"/>
                        <w:jc w:val="both"/>
                        <w:rPr>
                          <w:rFonts w:cs="Arial"/>
                          <w:b/>
                          <w:bCs/>
                          <w:szCs w:val="22"/>
                        </w:rPr>
                      </w:pPr>
                      <w:r w:rsidRPr="002748AE">
                        <w:rPr>
                          <w:rFonts w:cs="Arial"/>
                          <w:b/>
                          <w:bCs/>
                          <w:szCs w:val="22"/>
                        </w:rPr>
                        <w:t>Threshold and Contribution Requirements</w:t>
                      </w:r>
                    </w:p>
                    <w:p w14:paraId="5FC09DBA" w14:textId="77777777" w:rsidR="00EB3B59" w:rsidRPr="002748AE" w:rsidRDefault="00EB3B59" w:rsidP="002E451A">
                      <w:pPr>
                        <w:autoSpaceDE w:val="0"/>
                        <w:autoSpaceDN w:val="0"/>
                        <w:adjustRightInd w:val="0"/>
                        <w:jc w:val="both"/>
                        <w:rPr>
                          <w:rFonts w:cs="Arial"/>
                          <w:szCs w:val="22"/>
                        </w:rPr>
                      </w:pPr>
                      <w:r w:rsidRPr="002748AE">
                        <w:rPr>
                          <w:rFonts w:cs="Arial"/>
                          <w:szCs w:val="22"/>
                        </w:rPr>
                        <w:t xml:space="preserve">Planning </w:t>
                      </w:r>
                      <w:r>
                        <w:rPr>
                          <w:rFonts w:cs="Arial"/>
                          <w:szCs w:val="22"/>
                        </w:rPr>
                        <w:t>o</w:t>
                      </w:r>
                      <w:r w:rsidRPr="002748AE">
                        <w:rPr>
                          <w:rFonts w:cs="Arial"/>
                          <w:szCs w:val="22"/>
                        </w:rPr>
                        <w:t xml:space="preserve">bligations </w:t>
                      </w:r>
                      <w:r>
                        <w:rPr>
                          <w:rFonts w:cs="Arial"/>
                          <w:szCs w:val="22"/>
                        </w:rPr>
                        <w:t>for mansard roof proposals will be sought for</w:t>
                      </w:r>
                      <w:r w:rsidRPr="002748AE">
                        <w:rPr>
                          <w:rFonts w:cs="Arial"/>
                          <w:szCs w:val="22"/>
                        </w:rPr>
                        <w:t>:</w:t>
                      </w:r>
                    </w:p>
                    <w:p w14:paraId="7B6FD97C" w14:textId="77777777" w:rsidR="00EB3B59" w:rsidRDefault="00EB3B59" w:rsidP="002E451A">
                      <w:pPr>
                        <w:pStyle w:val="ListParagraph"/>
                        <w:numPr>
                          <w:ilvl w:val="0"/>
                          <w:numId w:val="5"/>
                        </w:numPr>
                        <w:autoSpaceDE w:val="0"/>
                        <w:autoSpaceDN w:val="0"/>
                        <w:adjustRightInd w:val="0"/>
                        <w:jc w:val="both"/>
                        <w:rPr>
                          <w:rFonts w:cs="Arial"/>
                          <w:szCs w:val="22"/>
                        </w:rPr>
                      </w:pPr>
                      <w:r>
                        <w:rPr>
                          <w:rFonts w:cs="Arial"/>
                          <w:szCs w:val="22"/>
                        </w:rPr>
                        <w:t xml:space="preserve">Mansard roof applications </w:t>
                      </w:r>
                      <w:r>
                        <w:t xml:space="preserve">in the </w:t>
                      </w:r>
                      <w:r w:rsidRPr="00470F08">
                        <w:t xml:space="preserve">Medway and Driffield Road </w:t>
                      </w:r>
                      <w:r>
                        <w:t>c</w:t>
                      </w:r>
                      <w:r w:rsidRPr="00470F08">
                        <w:t xml:space="preserve">onservation </w:t>
                      </w:r>
                      <w:r>
                        <w:t>a</w:t>
                      </w:r>
                      <w:r w:rsidRPr="00470F08">
                        <w:t>reas</w:t>
                      </w:r>
                      <w:r>
                        <w:t>.</w:t>
                      </w:r>
                    </w:p>
                    <w:p w14:paraId="0CF75FFD" w14:textId="77777777" w:rsidR="00EB3B59" w:rsidRDefault="00EB3B59" w:rsidP="002E451A">
                      <w:pPr>
                        <w:jc w:val="both"/>
                      </w:pPr>
                      <w:r w:rsidRPr="001F1F8C">
                        <w:rPr>
                          <w:rFonts w:cs="Arial"/>
                          <w:szCs w:val="22"/>
                        </w:rPr>
                        <w:t xml:space="preserve">The Council </w:t>
                      </w:r>
                      <w:r>
                        <w:rPr>
                          <w:rFonts w:cs="Arial"/>
                          <w:szCs w:val="22"/>
                        </w:rPr>
                        <w:t xml:space="preserve">will require a contribution of </w:t>
                      </w:r>
                      <w:r>
                        <w:t xml:space="preserve">£1,000 secured through a Unilateral Undertaking and payable at the time the Unilateral Agreement is signed.  </w:t>
                      </w:r>
                    </w:p>
                    <w:p w14:paraId="092A1CCB" w14:textId="77777777" w:rsidR="00EB3B59" w:rsidRPr="006A7F4D" w:rsidRDefault="00EB3B59" w:rsidP="002E451A">
                      <w:pPr>
                        <w:jc w:val="both"/>
                      </w:pPr>
                      <w:r>
                        <w:t>Where applications are more complex, or involve more than one property, a higher contribution may be sought where appropriate.</w:t>
                      </w:r>
                      <w:r w:rsidRPr="005D09E9">
                        <w:t xml:space="preserve"> </w:t>
                      </w:r>
                    </w:p>
                    <w:p w14:paraId="2F9F4DD8" w14:textId="77777777" w:rsidR="00EB3B59" w:rsidRPr="001F1F8C" w:rsidRDefault="00EB3B59" w:rsidP="00233053">
                      <w:pPr>
                        <w:jc w:val="both"/>
                        <w:rPr>
                          <w:rFonts w:cs="Arial"/>
                          <w:szCs w:val="22"/>
                        </w:rPr>
                      </w:pPr>
                    </w:p>
                  </w:txbxContent>
                </v:textbox>
                <w10:anchorlock/>
              </v:shape>
            </w:pict>
          </mc:Fallback>
        </mc:AlternateContent>
      </w:r>
    </w:p>
    <w:p w14:paraId="0B54804D" w14:textId="77777777" w:rsidR="00D56CB0" w:rsidRPr="000D65CE" w:rsidRDefault="00D56CB0" w:rsidP="003B280C">
      <w:pPr>
        <w:pStyle w:val="Paragraphs"/>
        <w:numPr>
          <w:ilvl w:val="0"/>
          <w:numId w:val="0"/>
        </w:numPr>
        <w:rPr>
          <w:lang w:val="en-GB"/>
        </w:rPr>
      </w:pPr>
    </w:p>
    <w:p w14:paraId="43CABCC6" w14:textId="77777777" w:rsidR="00F5437B" w:rsidRPr="000D65CE" w:rsidRDefault="00F5437B" w:rsidP="003B280C">
      <w:pPr>
        <w:spacing w:after="0" w:line="240" w:lineRule="auto"/>
        <w:jc w:val="both"/>
        <w:rPr>
          <w:rFonts w:eastAsia="Times" w:cs="Arial"/>
          <w:b/>
          <w:color w:val="006BB6"/>
          <w:sz w:val="44"/>
          <w:szCs w:val="44"/>
        </w:rPr>
      </w:pPr>
      <w:r w:rsidRPr="000D65CE">
        <w:br w:type="page"/>
      </w:r>
    </w:p>
    <w:p w14:paraId="53B8D79D" w14:textId="77777777" w:rsidR="003631C7" w:rsidRPr="000D65CE" w:rsidRDefault="00F56B56" w:rsidP="00721B10">
      <w:pPr>
        <w:pStyle w:val="Headers"/>
      </w:pPr>
      <w:bookmarkStart w:id="31" w:name="_Toc69374687"/>
      <w:r w:rsidRPr="000D65CE">
        <w:lastRenderedPageBreak/>
        <w:t>M</w:t>
      </w:r>
      <w:r w:rsidR="00DD02FF" w:rsidRPr="000D65CE">
        <w:t>onitoring and I</w:t>
      </w:r>
      <w:r w:rsidR="00263CED" w:rsidRPr="000D65CE">
        <w:t>mplementation</w:t>
      </w:r>
      <w:bookmarkEnd w:id="31"/>
    </w:p>
    <w:p w14:paraId="75347A26" w14:textId="74CA705F" w:rsidR="00574456" w:rsidRPr="000D65CE" w:rsidRDefault="00574456" w:rsidP="003B280C">
      <w:pPr>
        <w:pStyle w:val="Paragraphs"/>
        <w:rPr>
          <w:lang w:val="en-GB"/>
        </w:rPr>
      </w:pPr>
      <w:r w:rsidRPr="000D65CE">
        <w:rPr>
          <w:lang w:val="en-GB"/>
        </w:rPr>
        <w:t>The Community Infrastructure Levy</w:t>
      </w:r>
      <w:r w:rsidR="00FA0698" w:rsidRPr="000D65CE">
        <w:rPr>
          <w:lang w:val="en-GB"/>
        </w:rPr>
        <w:t xml:space="preserve"> (Amendment)</w:t>
      </w:r>
      <w:r w:rsidRPr="000D65CE">
        <w:rPr>
          <w:lang w:val="en-GB"/>
        </w:rPr>
        <w:t xml:space="preserve"> Regulations 2019 that </w:t>
      </w:r>
      <w:r w:rsidR="00335872" w:rsidRPr="000D65CE">
        <w:rPr>
          <w:lang w:val="en-GB"/>
        </w:rPr>
        <w:t xml:space="preserve">came </w:t>
      </w:r>
      <w:r w:rsidRPr="000D65CE">
        <w:rPr>
          <w:lang w:val="en-GB"/>
        </w:rPr>
        <w:t xml:space="preserve">into </w:t>
      </w:r>
      <w:r w:rsidR="00FA0698" w:rsidRPr="000D65CE">
        <w:rPr>
          <w:lang w:val="en-GB"/>
        </w:rPr>
        <w:t xml:space="preserve">effect </w:t>
      </w:r>
      <w:r w:rsidRPr="000D65CE">
        <w:rPr>
          <w:lang w:val="en-GB"/>
        </w:rPr>
        <w:t>on 1</w:t>
      </w:r>
      <w:r w:rsidRPr="000D65CE">
        <w:rPr>
          <w:vertAlign w:val="superscript"/>
          <w:lang w:val="en-GB"/>
        </w:rPr>
        <w:t>st</w:t>
      </w:r>
      <w:r w:rsidR="00335872" w:rsidRPr="000D65CE">
        <w:rPr>
          <w:lang w:val="en-GB"/>
        </w:rPr>
        <w:t xml:space="preserve"> </w:t>
      </w:r>
      <w:r w:rsidRPr="000D65CE">
        <w:rPr>
          <w:lang w:val="en-GB"/>
        </w:rPr>
        <w:t>September 2019</w:t>
      </w:r>
      <w:r w:rsidR="007566CA">
        <w:rPr>
          <w:lang w:val="en-GB"/>
        </w:rPr>
        <w:t>,</w:t>
      </w:r>
      <w:r w:rsidRPr="000D65CE">
        <w:rPr>
          <w:lang w:val="en-GB"/>
        </w:rPr>
        <w:t xml:space="preserve"> specifically </w:t>
      </w:r>
      <w:r w:rsidR="007566CA">
        <w:rPr>
          <w:lang w:val="en-GB"/>
        </w:rPr>
        <w:t>allow</w:t>
      </w:r>
      <w:r w:rsidR="007566CA" w:rsidRPr="000D65CE">
        <w:rPr>
          <w:lang w:val="en-GB"/>
        </w:rPr>
        <w:t xml:space="preserve"> </w:t>
      </w:r>
      <w:r w:rsidRPr="000D65CE">
        <w:rPr>
          <w:lang w:val="en-GB"/>
        </w:rPr>
        <w:t>authorities to seek a monitoring fee through planning obligations</w:t>
      </w:r>
      <w:r w:rsidR="003665D5" w:rsidRPr="000D65CE">
        <w:rPr>
          <w:lang w:val="en-GB"/>
        </w:rPr>
        <w:t xml:space="preserve">. </w:t>
      </w:r>
    </w:p>
    <w:p w14:paraId="793EF505" w14:textId="34CA5382" w:rsidR="00574456" w:rsidRPr="000D65CE" w:rsidRDefault="00574456" w:rsidP="7A52AF77">
      <w:pPr>
        <w:pStyle w:val="Paragraphs"/>
        <w:rPr>
          <w:rFonts w:asciiTheme="minorHAnsi" w:hAnsiTheme="minorHAnsi" w:cstheme="minorBidi"/>
          <w:lang w:val="en-GB"/>
        </w:rPr>
      </w:pPr>
      <w:r w:rsidRPr="7A52AF77">
        <w:rPr>
          <w:lang w:val="en-GB"/>
        </w:rPr>
        <w:t xml:space="preserve">In light of these changes, </w:t>
      </w:r>
      <w:r w:rsidR="00CE61CA" w:rsidRPr="7A52AF77">
        <w:rPr>
          <w:lang w:val="en-GB"/>
        </w:rPr>
        <w:t>monitoring fees have</w:t>
      </w:r>
      <w:r w:rsidRPr="7A52AF77">
        <w:rPr>
          <w:lang w:val="en-GB"/>
        </w:rPr>
        <w:t xml:space="preserve"> been reviewed to ensure the approach is consistent with</w:t>
      </w:r>
      <w:r w:rsidR="015CD5D3" w:rsidRPr="7A52AF77">
        <w:rPr>
          <w:lang w:val="en-GB"/>
        </w:rPr>
        <w:t xml:space="preserve"> the CIL regulations </w:t>
      </w:r>
      <w:r w:rsidR="4A1C41CF" w:rsidRPr="7A52AF77">
        <w:rPr>
          <w:lang w:val="en-GB"/>
        </w:rPr>
        <w:t>(</w:t>
      </w:r>
      <w:r w:rsidR="015CD5D3" w:rsidRPr="7A52AF77">
        <w:rPr>
          <w:lang w:val="en-GB"/>
        </w:rPr>
        <w:t xml:space="preserve">and associated </w:t>
      </w:r>
      <w:r w:rsidR="18D729D8" w:rsidRPr="7A52AF77">
        <w:rPr>
          <w:lang w:val="en-GB"/>
        </w:rPr>
        <w:t>G</w:t>
      </w:r>
      <w:r w:rsidR="015CD5D3" w:rsidRPr="7A52AF77">
        <w:rPr>
          <w:lang w:val="en-GB"/>
        </w:rPr>
        <w:t>overnment Guidance</w:t>
      </w:r>
      <w:r w:rsidR="38EFE66F" w:rsidRPr="7A52AF77">
        <w:rPr>
          <w:lang w:val="en-GB"/>
        </w:rPr>
        <w:t>),</w:t>
      </w:r>
      <w:r w:rsidRPr="7A52AF77">
        <w:rPr>
          <w:lang w:val="en-GB"/>
        </w:rPr>
        <w:t xml:space="preserve"> other local planning authorities in London and with CIL administrative charging. </w:t>
      </w:r>
    </w:p>
    <w:p w14:paraId="7F4AAC56" w14:textId="6FE24D25" w:rsidR="003665D5" w:rsidRPr="000D65CE" w:rsidRDefault="003631C7" w:rsidP="003B280C">
      <w:pPr>
        <w:pStyle w:val="Paragraphs"/>
        <w:rPr>
          <w:lang w:val="en-GB"/>
        </w:rPr>
      </w:pPr>
      <w:r w:rsidRPr="7A52AF77">
        <w:rPr>
          <w:lang w:val="en-GB"/>
        </w:rPr>
        <w:t>The requirement on</w:t>
      </w:r>
      <w:r w:rsidR="00151D31" w:rsidRPr="7A52AF77">
        <w:rPr>
          <w:lang w:val="en-GB"/>
        </w:rPr>
        <w:t xml:space="preserve"> the Council</w:t>
      </w:r>
      <w:r w:rsidRPr="7A52AF77">
        <w:rPr>
          <w:lang w:val="en-GB"/>
        </w:rPr>
        <w:t xml:space="preserve"> to monitor</w:t>
      </w:r>
      <w:r w:rsidR="000020E3" w:rsidRPr="7A52AF77">
        <w:rPr>
          <w:lang w:val="en-GB"/>
        </w:rPr>
        <w:t xml:space="preserve"> all aspects of </w:t>
      </w:r>
      <w:r w:rsidR="00032BFE">
        <w:rPr>
          <w:lang w:val="en-GB"/>
        </w:rPr>
        <w:t>legal</w:t>
      </w:r>
      <w:r w:rsidR="00032BFE" w:rsidRPr="7A52AF77">
        <w:rPr>
          <w:lang w:val="en-GB"/>
        </w:rPr>
        <w:t xml:space="preserve"> </w:t>
      </w:r>
      <w:r w:rsidRPr="7A52AF77">
        <w:rPr>
          <w:lang w:val="en-GB"/>
        </w:rPr>
        <w:t xml:space="preserve">agreements carries a financial cost that constitutes an impact from new development. </w:t>
      </w:r>
      <w:r w:rsidR="003665D5" w:rsidRPr="7A52AF77">
        <w:rPr>
          <w:lang w:val="en-GB"/>
        </w:rPr>
        <w:t>Monitoring work include</w:t>
      </w:r>
      <w:r w:rsidR="007317D4" w:rsidRPr="7A52AF77">
        <w:rPr>
          <w:lang w:val="en-GB"/>
        </w:rPr>
        <w:t>s</w:t>
      </w:r>
      <w:r w:rsidR="003665D5" w:rsidRPr="7A52AF77">
        <w:rPr>
          <w:lang w:val="en-GB"/>
        </w:rPr>
        <w:t xml:space="preserve"> </w:t>
      </w:r>
      <w:r w:rsidR="005358BC" w:rsidRPr="7A52AF77">
        <w:rPr>
          <w:lang w:val="en-GB"/>
        </w:rPr>
        <w:t>maintaining a planning obligations</w:t>
      </w:r>
      <w:r w:rsidR="003665D5" w:rsidRPr="7A52AF77">
        <w:rPr>
          <w:lang w:val="en-GB"/>
        </w:rPr>
        <w:t xml:space="preserve"> database, logging agreements</w:t>
      </w:r>
      <w:r w:rsidR="005358BC" w:rsidRPr="7A52AF77">
        <w:rPr>
          <w:lang w:val="en-GB"/>
        </w:rPr>
        <w:t>, checking trigger points</w:t>
      </w:r>
      <w:r w:rsidR="003665D5" w:rsidRPr="7A52AF77">
        <w:rPr>
          <w:lang w:val="en-GB"/>
        </w:rPr>
        <w:t xml:space="preserve">, </w:t>
      </w:r>
      <w:r w:rsidR="005358BC" w:rsidRPr="7A52AF77">
        <w:rPr>
          <w:lang w:val="en-GB"/>
        </w:rPr>
        <w:t>reviewing information</w:t>
      </w:r>
      <w:r w:rsidR="00CE61CA" w:rsidRPr="7A52AF77">
        <w:rPr>
          <w:lang w:val="en-GB"/>
        </w:rPr>
        <w:t xml:space="preserve"> that has been submitted</w:t>
      </w:r>
      <w:r w:rsidR="005358BC" w:rsidRPr="7A52AF77">
        <w:rPr>
          <w:lang w:val="en-GB"/>
        </w:rPr>
        <w:t>, consulting service areas, index</w:t>
      </w:r>
      <w:r w:rsidR="00FA0698" w:rsidRPr="7A52AF77">
        <w:rPr>
          <w:lang w:val="en-GB"/>
        </w:rPr>
        <w:t xml:space="preserve"> link</w:t>
      </w:r>
      <w:r w:rsidR="005358BC" w:rsidRPr="7A52AF77">
        <w:rPr>
          <w:lang w:val="en-GB"/>
        </w:rPr>
        <w:t>ing financial contributions</w:t>
      </w:r>
      <w:r w:rsidR="006C5931" w:rsidRPr="7A52AF77">
        <w:rPr>
          <w:lang w:val="en-GB"/>
        </w:rPr>
        <w:t xml:space="preserve"> and </w:t>
      </w:r>
      <w:r w:rsidR="005358BC" w:rsidRPr="7A52AF77">
        <w:rPr>
          <w:lang w:val="en-GB"/>
        </w:rPr>
        <w:t xml:space="preserve">recording </w:t>
      </w:r>
      <w:r w:rsidR="00DD556E" w:rsidRPr="7A52AF77">
        <w:rPr>
          <w:lang w:val="en-GB"/>
        </w:rPr>
        <w:t>compliance with</w:t>
      </w:r>
      <w:r w:rsidR="003665D5" w:rsidRPr="7A52AF77">
        <w:rPr>
          <w:lang w:val="en-GB"/>
        </w:rPr>
        <w:t xml:space="preserve"> clauses. The review</w:t>
      </w:r>
      <w:r w:rsidR="00151D31" w:rsidRPr="7A52AF77">
        <w:rPr>
          <w:lang w:val="en-GB"/>
        </w:rPr>
        <w:t xml:space="preserve"> and update</w:t>
      </w:r>
      <w:r w:rsidR="003665D5" w:rsidRPr="7A52AF77">
        <w:rPr>
          <w:lang w:val="en-GB"/>
        </w:rPr>
        <w:t xml:space="preserve"> of </w:t>
      </w:r>
      <w:r w:rsidR="00151D31" w:rsidRPr="7A52AF77">
        <w:rPr>
          <w:lang w:val="en-GB"/>
        </w:rPr>
        <w:t>this document</w:t>
      </w:r>
      <w:r w:rsidR="003665D5" w:rsidRPr="7A52AF77">
        <w:rPr>
          <w:lang w:val="en-GB"/>
        </w:rPr>
        <w:t xml:space="preserve"> also </w:t>
      </w:r>
      <w:r w:rsidR="006C5931" w:rsidRPr="7A52AF77">
        <w:rPr>
          <w:lang w:val="en-GB"/>
        </w:rPr>
        <w:t xml:space="preserve">forms part of </w:t>
      </w:r>
      <w:r w:rsidR="003665D5" w:rsidRPr="7A52AF77">
        <w:rPr>
          <w:lang w:val="en-GB"/>
        </w:rPr>
        <w:t>the</w:t>
      </w:r>
      <w:r w:rsidR="006C5931" w:rsidRPr="7A52AF77">
        <w:rPr>
          <w:lang w:val="en-GB"/>
        </w:rPr>
        <w:t xml:space="preserve"> monitoring</w:t>
      </w:r>
      <w:r w:rsidR="003665D5" w:rsidRPr="7A52AF77">
        <w:rPr>
          <w:lang w:val="en-GB"/>
        </w:rPr>
        <w:t xml:space="preserve"> administrative work.</w:t>
      </w:r>
    </w:p>
    <w:p w14:paraId="0FC05C45" w14:textId="5194F97A" w:rsidR="00CE32B9" w:rsidRDefault="00E418C7" w:rsidP="003B280C">
      <w:pPr>
        <w:pStyle w:val="Paragraphs"/>
        <w:rPr>
          <w:lang w:val="en-GB"/>
        </w:rPr>
      </w:pPr>
      <w:r w:rsidRPr="28D940A9">
        <w:rPr>
          <w:lang w:val="en-GB"/>
        </w:rPr>
        <w:t xml:space="preserve">All planning obligations, whether financial, non-financial or in-kind, require monitoring. </w:t>
      </w:r>
      <w:r w:rsidR="003631C7" w:rsidRPr="28D940A9">
        <w:rPr>
          <w:lang w:val="en-GB"/>
        </w:rPr>
        <w:t xml:space="preserve">Accordingly, </w:t>
      </w:r>
      <w:r w:rsidR="003E7AC4" w:rsidRPr="28D940A9">
        <w:rPr>
          <w:lang w:val="en-GB"/>
        </w:rPr>
        <w:t>we</w:t>
      </w:r>
      <w:r w:rsidR="00574456" w:rsidRPr="28D940A9">
        <w:rPr>
          <w:lang w:val="en-GB"/>
        </w:rPr>
        <w:t xml:space="preserve"> </w:t>
      </w:r>
      <w:r w:rsidR="003631C7" w:rsidRPr="28D940A9">
        <w:rPr>
          <w:lang w:val="en-GB"/>
        </w:rPr>
        <w:t xml:space="preserve">will require a monitoring fee as a financial contribution for each </w:t>
      </w:r>
      <w:r w:rsidR="00032BFE" w:rsidRPr="28D940A9">
        <w:rPr>
          <w:lang w:val="en-GB"/>
        </w:rPr>
        <w:t xml:space="preserve">legal </w:t>
      </w:r>
      <w:r w:rsidR="003631C7" w:rsidRPr="28D940A9">
        <w:rPr>
          <w:lang w:val="en-GB"/>
        </w:rPr>
        <w:t xml:space="preserve">agreement. </w:t>
      </w:r>
      <w:r w:rsidR="00CD21B5" w:rsidRPr="28D940A9">
        <w:rPr>
          <w:lang w:val="en-GB"/>
        </w:rPr>
        <w:t>This monitoring fee excludes all legal costs asso</w:t>
      </w:r>
      <w:r w:rsidR="000020E3" w:rsidRPr="28D940A9">
        <w:rPr>
          <w:lang w:val="en-GB"/>
        </w:rPr>
        <w:t xml:space="preserve">ciated with the preparation of </w:t>
      </w:r>
      <w:r w:rsidR="00032BFE" w:rsidRPr="28D940A9">
        <w:rPr>
          <w:lang w:val="en-GB"/>
        </w:rPr>
        <w:t xml:space="preserve">legal </w:t>
      </w:r>
      <w:r w:rsidR="00CD21B5" w:rsidRPr="28D940A9">
        <w:rPr>
          <w:lang w:val="en-GB"/>
        </w:rPr>
        <w:t>agreements.</w:t>
      </w:r>
      <w:r w:rsidR="001717CD" w:rsidRPr="28D940A9">
        <w:rPr>
          <w:lang w:val="en-GB"/>
        </w:rPr>
        <w:t xml:space="preserve"> </w:t>
      </w:r>
      <w:r w:rsidR="00CE32B9">
        <w:rPr>
          <w:lang w:val="en-GB"/>
        </w:rPr>
        <w:t xml:space="preserve">In accordance with </w:t>
      </w:r>
      <w:r w:rsidR="00CE32B9" w:rsidRPr="000D65CE">
        <w:rPr>
          <w:lang w:val="en-GB"/>
        </w:rPr>
        <w:t>CIL Regulation 121A</w:t>
      </w:r>
      <w:r w:rsidR="00CE32B9">
        <w:rPr>
          <w:lang w:val="en-GB"/>
        </w:rPr>
        <w:t xml:space="preserve">, the amount spent in respect of </w:t>
      </w:r>
      <w:r w:rsidR="00CE32B9" w:rsidRPr="28D940A9">
        <w:rPr>
          <w:lang w:val="en-GB"/>
        </w:rPr>
        <w:t>monitoring will be reported</w:t>
      </w:r>
      <w:r w:rsidR="00CE32B9">
        <w:rPr>
          <w:lang w:val="en-GB"/>
        </w:rPr>
        <w:t xml:space="preserve"> </w:t>
      </w:r>
      <w:r w:rsidR="00CE32B9" w:rsidRPr="28D940A9">
        <w:rPr>
          <w:lang w:val="en-GB"/>
        </w:rPr>
        <w:t>in the</w:t>
      </w:r>
      <w:r w:rsidR="00CE32B9">
        <w:rPr>
          <w:lang w:val="en-GB"/>
        </w:rPr>
        <w:t xml:space="preserve"> Annual</w:t>
      </w:r>
      <w:r w:rsidR="00CE32B9" w:rsidRPr="28D940A9">
        <w:rPr>
          <w:lang w:val="en-GB"/>
        </w:rPr>
        <w:t xml:space="preserve"> Infrastructure Funding Statement</w:t>
      </w:r>
      <w:r w:rsidR="00CE32B9">
        <w:rPr>
          <w:lang w:val="en-GB"/>
        </w:rPr>
        <w:t>.</w:t>
      </w:r>
    </w:p>
    <w:p w14:paraId="5B3390A4" w14:textId="77777777" w:rsidR="008018B9" w:rsidRDefault="008018B9" w:rsidP="008018B9">
      <w:pPr>
        <w:pStyle w:val="Paragraphs"/>
        <w:numPr>
          <w:ilvl w:val="0"/>
          <w:numId w:val="0"/>
        </w:numPr>
        <w:ind w:left="794" w:hanging="624"/>
        <w:rPr>
          <w:lang w:val="en-GB"/>
        </w:rPr>
      </w:pPr>
    </w:p>
    <w:p w14:paraId="6EC25241" w14:textId="1D18165C" w:rsidR="0033791C" w:rsidRPr="000D65CE" w:rsidRDefault="0033791C" w:rsidP="00CE32B9">
      <w:pPr>
        <w:pStyle w:val="Paragraphs"/>
        <w:numPr>
          <w:ilvl w:val="0"/>
          <w:numId w:val="0"/>
        </w:numPr>
        <w:ind w:left="794" w:hanging="624"/>
        <w:rPr>
          <w:lang w:val="en-GB"/>
        </w:rPr>
      </w:pPr>
      <w:r w:rsidRPr="28D940A9">
        <w:rPr>
          <w:lang w:val="en-GB"/>
        </w:rPr>
        <w:t xml:space="preserve"> </w:t>
      </w:r>
    </w:p>
    <w:p w14:paraId="6C90BA91" w14:textId="77777777" w:rsidR="00807A5F" w:rsidRPr="000D65CE" w:rsidRDefault="00807A5F" w:rsidP="003B280C">
      <w:pPr>
        <w:jc w:val="both"/>
      </w:pPr>
    </w:p>
    <w:p w14:paraId="07524EE8" w14:textId="77777777" w:rsidR="003631C7" w:rsidRPr="000D65CE" w:rsidRDefault="003631C7" w:rsidP="003B280C">
      <w:pPr>
        <w:pStyle w:val="Paragraphs"/>
        <w:numPr>
          <w:ilvl w:val="0"/>
          <w:numId w:val="0"/>
        </w:numPr>
        <w:rPr>
          <w:lang w:val="en-GB"/>
        </w:rPr>
      </w:pPr>
    </w:p>
    <w:p w14:paraId="7BA9C211" w14:textId="77777777" w:rsidR="00807A5F" w:rsidRPr="000D65CE" w:rsidRDefault="00807A5F" w:rsidP="003B280C">
      <w:pPr>
        <w:pStyle w:val="Paragraphs"/>
        <w:numPr>
          <w:ilvl w:val="0"/>
          <w:numId w:val="0"/>
        </w:numPr>
        <w:rPr>
          <w:lang w:val="en-GB"/>
        </w:rPr>
      </w:pPr>
    </w:p>
    <w:p w14:paraId="3A86F153" w14:textId="77777777" w:rsidR="00807A5F" w:rsidRPr="000D65CE" w:rsidRDefault="00807A5F" w:rsidP="003B280C">
      <w:pPr>
        <w:pStyle w:val="Paragraphs"/>
        <w:numPr>
          <w:ilvl w:val="0"/>
          <w:numId w:val="0"/>
        </w:numPr>
        <w:rPr>
          <w:lang w:val="en-GB"/>
        </w:rPr>
      </w:pPr>
    </w:p>
    <w:p w14:paraId="65E4CD66" w14:textId="77777777" w:rsidR="00807A5F" w:rsidRPr="000D65CE" w:rsidRDefault="00807A5F" w:rsidP="003B280C">
      <w:pPr>
        <w:pStyle w:val="Paragraphs"/>
        <w:numPr>
          <w:ilvl w:val="0"/>
          <w:numId w:val="0"/>
        </w:numPr>
        <w:rPr>
          <w:lang w:val="en-GB"/>
        </w:rPr>
      </w:pPr>
    </w:p>
    <w:p w14:paraId="15A8B080" w14:textId="77777777" w:rsidR="00807A5F" w:rsidRPr="000D65CE" w:rsidRDefault="00807A5F" w:rsidP="003B280C">
      <w:pPr>
        <w:pStyle w:val="Paragraphs"/>
        <w:numPr>
          <w:ilvl w:val="0"/>
          <w:numId w:val="0"/>
        </w:numPr>
        <w:rPr>
          <w:lang w:val="en-GB"/>
        </w:rPr>
      </w:pPr>
    </w:p>
    <w:p w14:paraId="0387EE4D" w14:textId="77777777" w:rsidR="00807A5F" w:rsidRPr="000D65CE" w:rsidRDefault="00807A5F" w:rsidP="003B280C">
      <w:pPr>
        <w:pStyle w:val="Paragraphs"/>
        <w:numPr>
          <w:ilvl w:val="0"/>
          <w:numId w:val="0"/>
        </w:numPr>
        <w:rPr>
          <w:lang w:val="en-GB"/>
        </w:rPr>
      </w:pPr>
    </w:p>
    <w:p w14:paraId="10CDC49C" w14:textId="77777777" w:rsidR="00807A5F" w:rsidRPr="000D65CE" w:rsidRDefault="00807A5F" w:rsidP="003B280C">
      <w:pPr>
        <w:pStyle w:val="Paragraphs"/>
        <w:numPr>
          <w:ilvl w:val="0"/>
          <w:numId w:val="0"/>
        </w:numPr>
        <w:rPr>
          <w:lang w:val="en-GB"/>
        </w:rPr>
      </w:pPr>
    </w:p>
    <w:p w14:paraId="40FC56D5" w14:textId="77777777" w:rsidR="00892950" w:rsidRPr="000D65CE" w:rsidRDefault="00892950" w:rsidP="003B280C">
      <w:pPr>
        <w:pStyle w:val="Paragraphs"/>
        <w:numPr>
          <w:ilvl w:val="0"/>
          <w:numId w:val="0"/>
        </w:numPr>
        <w:rPr>
          <w:lang w:val="en-GB"/>
        </w:rPr>
      </w:pPr>
    </w:p>
    <w:p w14:paraId="53A02D2A" w14:textId="77777777" w:rsidR="00807A5F" w:rsidRPr="000D65CE" w:rsidRDefault="00807A5F" w:rsidP="003B280C">
      <w:pPr>
        <w:pStyle w:val="Paragraphs"/>
        <w:numPr>
          <w:ilvl w:val="0"/>
          <w:numId w:val="0"/>
        </w:numPr>
        <w:rPr>
          <w:lang w:val="en-GB"/>
        </w:rPr>
      </w:pPr>
    </w:p>
    <w:p w14:paraId="42F18703" w14:textId="4C2461AF" w:rsidR="003631C7" w:rsidRPr="000D65CE" w:rsidRDefault="008018B9" w:rsidP="008018B9">
      <w:r w:rsidRPr="00EA1516">
        <w:rPr>
          <w:b/>
        </w:rPr>
        <w:lastRenderedPageBreak/>
        <w:t>Text Box 2</w:t>
      </w:r>
      <w:r>
        <w:rPr>
          <w:b/>
        </w:rPr>
        <w:t>9</w:t>
      </w:r>
      <w:r w:rsidRPr="00EA1516">
        <w:rPr>
          <w:b/>
        </w:rPr>
        <w:t xml:space="preserve">: </w:t>
      </w:r>
      <w:r>
        <w:rPr>
          <w:b/>
        </w:rPr>
        <w:t>Monitoring Fees</w:t>
      </w:r>
    </w:p>
    <w:p w14:paraId="46D5675D" w14:textId="77777777" w:rsidR="00263CED" w:rsidRPr="000D65CE" w:rsidRDefault="003631C7" w:rsidP="003B280C">
      <w:pPr>
        <w:jc w:val="both"/>
        <w:rPr>
          <w:rFonts w:cs="Arial"/>
          <w:color w:val="000000"/>
          <w:szCs w:val="22"/>
        </w:rPr>
      </w:pPr>
      <w:r w:rsidRPr="000D65CE">
        <w:rPr>
          <w:noProof/>
          <w:lang w:eastAsia="en-GB"/>
        </w:rPr>
        <mc:AlternateContent>
          <mc:Choice Requires="wps">
            <w:drawing>
              <wp:inline distT="0" distB="0" distL="0" distR="0" wp14:anchorId="0D2BAA60" wp14:editId="16B75FE2">
                <wp:extent cx="5731510" cy="7772400"/>
                <wp:effectExtent l="0" t="0" r="2540" b="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7772400"/>
                        </a:xfrm>
                        <a:prstGeom prst="rect">
                          <a:avLst/>
                        </a:prstGeom>
                        <a:solidFill>
                          <a:srgbClr val="4F81BD">
                            <a:lumMod val="20000"/>
                            <a:lumOff val="80000"/>
                          </a:srgbClr>
                        </a:solidFill>
                        <a:ln>
                          <a:noFill/>
                        </a:ln>
                        <a:effectLst/>
                      </wps:spPr>
                      <wps:txbx>
                        <w:txbxContent>
                          <w:p w14:paraId="24972BCE" w14:textId="77777777" w:rsidR="00EB3B59" w:rsidRDefault="00EB3B59" w:rsidP="00316854">
                            <w:pPr>
                              <w:widowControl w:val="0"/>
                              <w:autoSpaceDE w:val="0"/>
                              <w:autoSpaceDN w:val="0"/>
                              <w:adjustRightInd w:val="0"/>
                              <w:jc w:val="both"/>
                              <w:textAlignment w:val="center"/>
                              <w:rPr>
                                <w:rFonts w:cs="Arial"/>
                                <w:b/>
                                <w:color w:val="000000"/>
                                <w:szCs w:val="22"/>
                                <w:lang w:val="en-US"/>
                              </w:rPr>
                            </w:pPr>
                            <w:r w:rsidRPr="00316854">
                              <w:rPr>
                                <w:rFonts w:cs="Arial"/>
                                <w:b/>
                                <w:color w:val="000000"/>
                                <w:szCs w:val="22"/>
                                <w:lang w:val="en-US"/>
                              </w:rPr>
                              <w:t>Threshold and Contribution Requirements</w:t>
                            </w:r>
                          </w:p>
                          <w:p w14:paraId="567832CF" w14:textId="77777777" w:rsidR="00EB3B59" w:rsidRPr="003F36E1" w:rsidRDefault="00EB3B59" w:rsidP="00316854">
                            <w:pPr>
                              <w:widowControl w:val="0"/>
                              <w:autoSpaceDE w:val="0"/>
                              <w:autoSpaceDN w:val="0"/>
                              <w:adjustRightInd w:val="0"/>
                              <w:jc w:val="both"/>
                              <w:textAlignment w:val="center"/>
                              <w:rPr>
                                <w:rFonts w:cs="Arial"/>
                                <w:color w:val="000000"/>
                                <w:szCs w:val="22"/>
                                <w:lang w:val="en-US"/>
                              </w:rPr>
                            </w:pPr>
                            <w:r w:rsidRPr="00316854">
                              <w:rPr>
                                <w:rFonts w:cs="Arial"/>
                                <w:color w:val="000000"/>
                                <w:szCs w:val="22"/>
                                <w:lang w:val="en-US"/>
                              </w:rPr>
                              <w:t xml:space="preserve">Planning </w:t>
                            </w:r>
                            <w:r w:rsidRPr="0006185E">
                              <w:rPr>
                                <w:rFonts w:cs="Arial"/>
                                <w:color w:val="000000"/>
                                <w:szCs w:val="22"/>
                                <w:lang w:val="en-US"/>
                              </w:rPr>
                              <w:t>o</w:t>
                            </w:r>
                            <w:r w:rsidRPr="003F36E1">
                              <w:rPr>
                                <w:rFonts w:cs="Arial"/>
                                <w:color w:val="000000"/>
                                <w:szCs w:val="22"/>
                                <w:lang w:val="en-US"/>
                              </w:rPr>
                              <w:t>bligations relating to monitoring and implementation will be sought for:</w:t>
                            </w:r>
                          </w:p>
                          <w:p w14:paraId="5C421925" w14:textId="3FEBE910" w:rsidR="00EB3B59" w:rsidRPr="003F119C" w:rsidRDefault="00EB3B59" w:rsidP="0055222C">
                            <w:pPr>
                              <w:pStyle w:val="ListParagraph"/>
                              <w:widowControl w:val="0"/>
                              <w:numPr>
                                <w:ilvl w:val="0"/>
                                <w:numId w:val="11"/>
                              </w:numPr>
                              <w:autoSpaceDE w:val="0"/>
                              <w:autoSpaceDN w:val="0"/>
                              <w:adjustRightInd w:val="0"/>
                              <w:jc w:val="both"/>
                              <w:textAlignment w:val="center"/>
                              <w:rPr>
                                <w:rFonts w:cs="Arial"/>
                                <w:color w:val="000000"/>
                                <w:szCs w:val="22"/>
                                <w:lang w:val="en-US"/>
                              </w:rPr>
                            </w:pPr>
                            <w:r>
                              <w:rPr>
                                <w:rFonts w:cs="Arial"/>
                                <w:color w:val="000000"/>
                                <w:szCs w:val="22"/>
                                <w:lang w:val="en-US"/>
                              </w:rPr>
                              <w:t xml:space="preserve">All developments requiring a legal </w:t>
                            </w:r>
                            <w:r w:rsidRPr="00005D91">
                              <w:rPr>
                                <w:rFonts w:cs="Arial"/>
                                <w:color w:val="000000"/>
                                <w:szCs w:val="22"/>
                                <w:lang w:val="en-US"/>
                              </w:rPr>
                              <w:t>agreement except for proposals for Mansard Roof extensions and car free agreements</w:t>
                            </w:r>
                          </w:p>
                          <w:p w14:paraId="2C3A80AF" w14:textId="217B133C" w:rsidR="00EB3B59" w:rsidRDefault="00EB3B59" w:rsidP="00316854">
                            <w:pPr>
                              <w:widowControl w:val="0"/>
                              <w:autoSpaceDE w:val="0"/>
                              <w:autoSpaceDN w:val="0"/>
                              <w:adjustRightInd w:val="0"/>
                              <w:jc w:val="both"/>
                              <w:textAlignment w:val="center"/>
                              <w:rPr>
                                <w:rFonts w:cs="Arial"/>
                                <w:color w:val="000000"/>
                                <w:szCs w:val="22"/>
                                <w:lang w:val="en-US"/>
                              </w:rPr>
                            </w:pPr>
                            <w:r w:rsidRPr="003F36E1">
                              <w:rPr>
                                <w:rFonts w:cs="Arial"/>
                                <w:color w:val="000000"/>
                                <w:szCs w:val="22"/>
                                <w:lang w:val="en-US"/>
                              </w:rPr>
                              <w:t xml:space="preserve">The </w:t>
                            </w:r>
                            <w:r>
                              <w:rPr>
                                <w:rFonts w:cs="Arial"/>
                                <w:color w:val="000000"/>
                                <w:szCs w:val="22"/>
                                <w:lang w:val="en-US"/>
                              </w:rPr>
                              <w:t>approach set out in tables 2 and 3 below</w:t>
                            </w:r>
                            <w:r w:rsidRPr="003F36E1">
                              <w:rPr>
                                <w:rFonts w:cs="Arial"/>
                                <w:color w:val="000000"/>
                                <w:szCs w:val="22"/>
                                <w:lang w:val="en-US"/>
                              </w:rPr>
                              <w:t xml:space="preserve"> will be</w:t>
                            </w:r>
                            <w:r>
                              <w:rPr>
                                <w:rFonts w:cs="Arial"/>
                                <w:color w:val="000000"/>
                                <w:szCs w:val="22"/>
                                <w:lang w:val="en-US"/>
                              </w:rPr>
                              <w:t xml:space="preserve"> used</w:t>
                            </w:r>
                            <w:r w:rsidRPr="003F36E1">
                              <w:rPr>
                                <w:rFonts w:cs="Arial"/>
                                <w:color w:val="000000"/>
                                <w:szCs w:val="22"/>
                                <w:lang w:val="en-US"/>
                              </w:rPr>
                              <w:t xml:space="preserve"> to determine </w:t>
                            </w:r>
                            <w:r>
                              <w:rPr>
                                <w:rFonts w:cs="Arial"/>
                                <w:color w:val="000000"/>
                                <w:szCs w:val="22"/>
                                <w:lang w:val="en-US"/>
                              </w:rPr>
                              <w:t xml:space="preserve">the </w:t>
                            </w:r>
                            <w:r w:rsidRPr="003F36E1">
                              <w:rPr>
                                <w:rFonts w:cs="Arial"/>
                                <w:color w:val="000000"/>
                                <w:szCs w:val="22"/>
                                <w:lang w:val="en-US"/>
                              </w:rPr>
                              <w:t>monitoring fee</w:t>
                            </w:r>
                            <w:r>
                              <w:rPr>
                                <w:rFonts w:cs="Arial"/>
                                <w:color w:val="000000"/>
                                <w:szCs w:val="22"/>
                                <w:lang w:val="en-US"/>
                              </w:rPr>
                              <w:t>. The total</w:t>
                            </w:r>
                            <w:r w:rsidR="00E230C2">
                              <w:rPr>
                                <w:rFonts w:cs="Arial"/>
                                <w:color w:val="000000"/>
                                <w:szCs w:val="22"/>
                                <w:lang w:val="en-US"/>
                              </w:rPr>
                              <w:t xml:space="preserve"> monitoring fee</w:t>
                            </w:r>
                            <w:r>
                              <w:rPr>
                                <w:rFonts w:cs="Arial"/>
                                <w:color w:val="000000"/>
                                <w:szCs w:val="22"/>
                                <w:lang w:val="en-US"/>
                              </w:rPr>
                              <w:t xml:space="preserve"> from a development will be capped at £100,000 per legal agreement.</w:t>
                            </w:r>
                          </w:p>
                          <w:p w14:paraId="6F81187B" w14:textId="6EA78B29" w:rsidR="00EB3B59" w:rsidRPr="003F36E1" w:rsidRDefault="00EB3B59" w:rsidP="00D321E8">
                            <w:pPr>
                              <w:rPr>
                                <w:lang w:val="en-US"/>
                              </w:rPr>
                            </w:pPr>
                            <w:r>
                              <w:rPr>
                                <w:lang w:val="en-US"/>
                              </w:rPr>
                              <w:t>Table 2: Monitoring fees for non-financial contribution (per HoT)</w:t>
                            </w:r>
                          </w:p>
                          <w:tbl>
                            <w:tblPr>
                              <w:tblStyle w:val="TableGrid"/>
                              <w:tblW w:w="0" w:type="auto"/>
                              <w:tblLook w:val="04A0" w:firstRow="1" w:lastRow="0" w:firstColumn="1" w:lastColumn="0" w:noHBand="0" w:noVBand="1"/>
                            </w:tblPr>
                            <w:tblGrid>
                              <w:gridCol w:w="2867"/>
                              <w:gridCol w:w="2868"/>
                              <w:gridCol w:w="2868"/>
                            </w:tblGrid>
                            <w:tr w:rsidR="00EB3B59" w:rsidRPr="00574456" w14:paraId="024A82A8" w14:textId="77777777" w:rsidTr="000A57A6">
                              <w:trPr>
                                <w:trHeight w:val="875"/>
                              </w:trPr>
                              <w:tc>
                                <w:tcPr>
                                  <w:tcW w:w="2867" w:type="dxa"/>
                                  <w:shd w:val="clear" w:color="auto" w:fill="F2F2F2" w:themeFill="background1" w:themeFillShade="F2"/>
                                  <w:vAlign w:val="center"/>
                                </w:tcPr>
                                <w:p w14:paraId="6ADC9463" w14:textId="77777777" w:rsidR="00EB3B59" w:rsidRDefault="00EB3B59" w:rsidP="00E054AC">
                                  <w:pPr>
                                    <w:spacing w:before="120" w:after="120" w:line="240" w:lineRule="atLeast"/>
                                    <w:contextualSpacing/>
                                    <w:jc w:val="center"/>
                                    <w:rPr>
                                      <w:rFonts w:cs="Arial"/>
                                      <w:b/>
                                      <w:szCs w:val="22"/>
                                    </w:rPr>
                                  </w:pPr>
                                  <w:r w:rsidRPr="00F74116">
                                    <w:rPr>
                                      <w:rFonts w:cs="Arial"/>
                                      <w:b/>
                                      <w:szCs w:val="22"/>
                                    </w:rPr>
                                    <w:t xml:space="preserve">&lt;10 units or    </w:t>
                                  </w:r>
                                </w:p>
                                <w:p w14:paraId="2B359633" w14:textId="77777777" w:rsidR="00EB3B59" w:rsidRPr="00F74116" w:rsidRDefault="00EB3B59" w:rsidP="00601902">
                                  <w:pPr>
                                    <w:spacing w:before="120" w:after="120" w:line="240" w:lineRule="atLeast"/>
                                    <w:contextualSpacing/>
                                    <w:jc w:val="center"/>
                                    <w:rPr>
                                      <w:rFonts w:cs="Arial"/>
                                      <w:b/>
                                      <w:szCs w:val="22"/>
                                    </w:rPr>
                                  </w:pPr>
                                  <w:r w:rsidRPr="00F74116">
                                    <w:rPr>
                                      <w:rFonts w:cs="Arial"/>
                                      <w:b/>
                                      <w:szCs w:val="22"/>
                                    </w:rPr>
                                    <w:t>&lt;1000 sqm</w:t>
                                  </w:r>
                                </w:p>
                              </w:tc>
                              <w:tc>
                                <w:tcPr>
                                  <w:tcW w:w="2868" w:type="dxa"/>
                                  <w:shd w:val="clear" w:color="auto" w:fill="F2F2F2" w:themeFill="background1" w:themeFillShade="F2"/>
                                  <w:vAlign w:val="center"/>
                                </w:tcPr>
                                <w:p w14:paraId="41CFDC4C" w14:textId="77777777" w:rsidR="00EB3B59" w:rsidRPr="00F74116" w:rsidRDefault="00EB3B59" w:rsidP="00E054AC">
                                  <w:pPr>
                                    <w:spacing w:before="120" w:after="120" w:line="240" w:lineRule="atLeast"/>
                                    <w:jc w:val="center"/>
                                    <w:rPr>
                                      <w:rFonts w:cs="Arial"/>
                                      <w:b/>
                                      <w:szCs w:val="22"/>
                                    </w:rPr>
                                  </w:pPr>
                                  <w:r w:rsidRPr="00F74116">
                                    <w:rPr>
                                      <w:rFonts w:cs="Arial"/>
                                      <w:b/>
                                      <w:szCs w:val="22"/>
                                    </w:rPr>
                                    <w:t>10 - 100 units or 1,000 – 10,000 sqm</w:t>
                                  </w:r>
                                </w:p>
                              </w:tc>
                              <w:tc>
                                <w:tcPr>
                                  <w:tcW w:w="2868" w:type="dxa"/>
                                  <w:shd w:val="clear" w:color="auto" w:fill="F2F2F2" w:themeFill="background1" w:themeFillShade="F2"/>
                                  <w:vAlign w:val="center"/>
                                </w:tcPr>
                                <w:p w14:paraId="5E432B2C" w14:textId="77777777" w:rsidR="00EB3B59" w:rsidRDefault="00EB3B59" w:rsidP="00E054AC">
                                  <w:pPr>
                                    <w:spacing w:before="120" w:after="120" w:line="240" w:lineRule="atLeast"/>
                                    <w:contextualSpacing/>
                                    <w:jc w:val="center"/>
                                    <w:rPr>
                                      <w:rFonts w:cs="Arial"/>
                                      <w:b/>
                                      <w:szCs w:val="22"/>
                                    </w:rPr>
                                  </w:pPr>
                                  <w:r>
                                    <w:rPr>
                                      <w:rFonts w:cs="Arial"/>
                                      <w:b/>
                                      <w:szCs w:val="22"/>
                                    </w:rPr>
                                    <w:t>&gt;</w:t>
                                  </w:r>
                                  <w:r w:rsidRPr="00F74116">
                                    <w:rPr>
                                      <w:rFonts w:cs="Arial"/>
                                      <w:b/>
                                      <w:szCs w:val="22"/>
                                    </w:rPr>
                                    <w:t xml:space="preserve">100 units or </w:t>
                                  </w:r>
                                </w:p>
                                <w:p w14:paraId="51DC0F79" w14:textId="77777777" w:rsidR="00EB3B59" w:rsidRPr="00F74116" w:rsidRDefault="00EB3B59" w:rsidP="00E054AC">
                                  <w:pPr>
                                    <w:spacing w:before="120" w:after="120" w:line="240" w:lineRule="atLeast"/>
                                    <w:contextualSpacing/>
                                    <w:jc w:val="center"/>
                                    <w:rPr>
                                      <w:rFonts w:cs="Arial"/>
                                      <w:b/>
                                      <w:szCs w:val="22"/>
                                    </w:rPr>
                                  </w:pPr>
                                  <w:r>
                                    <w:rPr>
                                      <w:rFonts w:cs="Arial"/>
                                      <w:b/>
                                      <w:szCs w:val="22"/>
                                    </w:rPr>
                                    <w:t>&gt;</w:t>
                                  </w:r>
                                  <w:r w:rsidRPr="00F74116">
                                    <w:rPr>
                                      <w:rFonts w:cs="Arial"/>
                                      <w:b/>
                                      <w:szCs w:val="22"/>
                                    </w:rPr>
                                    <w:t>10,000 sqm</w:t>
                                  </w:r>
                                </w:p>
                              </w:tc>
                            </w:tr>
                            <w:tr w:rsidR="00EB3B59" w:rsidRPr="00574456" w14:paraId="5EDD0065" w14:textId="77777777" w:rsidTr="000A57A6">
                              <w:trPr>
                                <w:trHeight w:val="875"/>
                              </w:trPr>
                              <w:tc>
                                <w:tcPr>
                                  <w:tcW w:w="2867" w:type="dxa"/>
                                  <w:vAlign w:val="center"/>
                                </w:tcPr>
                                <w:p w14:paraId="6329C412" w14:textId="0FDA09D3" w:rsidR="00EB3B59" w:rsidRPr="00E054AC" w:rsidRDefault="00EB3B59" w:rsidP="00E054AC">
                                  <w:pPr>
                                    <w:spacing w:before="120" w:after="120" w:line="240" w:lineRule="atLeast"/>
                                    <w:jc w:val="center"/>
                                    <w:rPr>
                                      <w:rFonts w:cs="Arial"/>
                                      <w:szCs w:val="22"/>
                                    </w:rPr>
                                  </w:pPr>
                                  <w:r w:rsidRPr="0014110B">
                                    <w:rPr>
                                      <w:rFonts w:cs="Arial"/>
                                      <w:szCs w:val="22"/>
                                    </w:rPr>
                                    <w:t>£0</w:t>
                                  </w:r>
                                </w:p>
                              </w:tc>
                              <w:tc>
                                <w:tcPr>
                                  <w:tcW w:w="2868" w:type="dxa"/>
                                  <w:vAlign w:val="center"/>
                                </w:tcPr>
                                <w:p w14:paraId="5453E265" w14:textId="77777777" w:rsidR="00EB3B59" w:rsidRPr="00E054AC" w:rsidRDefault="00EB3B59" w:rsidP="00E054AC">
                                  <w:pPr>
                                    <w:spacing w:before="120" w:after="120" w:line="240" w:lineRule="atLeast"/>
                                    <w:jc w:val="center"/>
                                    <w:rPr>
                                      <w:rFonts w:cs="Arial"/>
                                      <w:szCs w:val="22"/>
                                    </w:rPr>
                                  </w:pPr>
                                  <w:r w:rsidRPr="00E054AC">
                                    <w:rPr>
                                      <w:rFonts w:cs="Arial"/>
                                      <w:szCs w:val="22"/>
                                    </w:rPr>
                                    <w:t>£750</w:t>
                                  </w:r>
                                </w:p>
                              </w:tc>
                              <w:tc>
                                <w:tcPr>
                                  <w:tcW w:w="2868" w:type="dxa"/>
                                  <w:vAlign w:val="center"/>
                                </w:tcPr>
                                <w:p w14:paraId="31212033" w14:textId="77777777" w:rsidR="00EB3B59" w:rsidRPr="00E054AC" w:rsidRDefault="00EB3B59" w:rsidP="00E054AC">
                                  <w:pPr>
                                    <w:spacing w:before="120" w:after="120" w:line="240" w:lineRule="atLeast"/>
                                    <w:jc w:val="center"/>
                                    <w:rPr>
                                      <w:rFonts w:cs="Arial"/>
                                      <w:szCs w:val="22"/>
                                    </w:rPr>
                                  </w:pPr>
                                  <w:r w:rsidRPr="00E054AC">
                                    <w:rPr>
                                      <w:rFonts w:cs="Arial"/>
                                      <w:szCs w:val="22"/>
                                    </w:rPr>
                                    <w:t>£1000</w:t>
                                  </w:r>
                                </w:p>
                              </w:tc>
                            </w:tr>
                          </w:tbl>
                          <w:p w14:paraId="67EF76F6" w14:textId="16B8A2EF" w:rsidR="00EB3B59" w:rsidRDefault="00EB3B59"/>
                          <w:p w14:paraId="444F7621" w14:textId="54AB6DCF" w:rsidR="00EB3B59" w:rsidRDefault="00EB3B59">
                            <w:r>
                              <w:t>Table 3: Monitoring fees for financial contributions</w:t>
                            </w:r>
                          </w:p>
                          <w:tbl>
                            <w:tblPr>
                              <w:tblStyle w:val="TableGrid"/>
                              <w:tblW w:w="0" w:type="auto"/>
                              <w:tblLook w:val="04A0" w:firstRow="1" w:lastRow="0" w:firstColumn="1" w:lastColumn="0" w:noHBand="0" w:noVBand="1"/>
                            </w:tblPr>
                            <w:tblGrid>
                              <w:gridCol w:w="2875"/>
                              <w:gridCol w:w="2876"/>
                              <w:gridCol w:w="2876"/>
                            </w:tblGrid>
                            <w:tr w:rsidR="00EB3B59" w:rsidRPr="00574456" w14:paraId="768121CA" w14:textId="77777777" w:rsidTr="000A57A6">
                              <w:trPr>
                                <w:trHeight w:val="968"/>
                              </w:trPr>
                              <w:tc>
                                <w:tcPr>
                                  <w:tcW w:w="2875" w:type="dxa"/>
                                  <w:shd w:val="clear" w:color="auto" w:fill="F2F2F2" w:themeFill="background1" w:themeFillShade="F2"/>
                                  <w:vAlign w:val="center"/>
                                </w:tcPr>
                                <w:p w14:paraId="3874F255" w14:textId="77777777" w:rsidR="00EB3B59" w:rsidRPr="00F74116" w:rsidRDefault="00EB3B59" w:rsidP="000A5804">
                                  <w:pPr>
                                    <w:spacing w:before="120" w:after="120" w:line="240" w:lineRule="atLeast"/>
                                    <w:jc w:val="center"/>
                                    <w:rPr>
                                      <w:rFonts w:cs="Arial"/>
                                      <w:b/>
                                      <w:szCs w:val="22"/>
                                    </w:rPr>
                                  </w:pPr>
                                  <w:r w:rsidRPr="00005D91">
                                    <w:rPr>
                                      <w:rFonts w:cs="Arial"/>
                                      <w:b/>
                                      <w:szCs w:val="22"/>
                                    </w:rPr>
                                    <w:t>The first £100,000 of a contribution</w:t>
                                  </w:r>
                                  <w:r>
                                    <w:rPr>
                                      <w:rFonts w:cs="Arial"/>
                                      <w:b/>
                                      <w:szCs w:val="22"/>
                                    </w:rPr>
                                    <w:t xml:space="preserve"> </w:t>
                                  </w:r>
                                </w:p>
                              </w:tc>
                              <w:tc>
                                <w:tcPr>
                                  <w:tcW w:w="2876" w:type="dxa"/>
                                  <w:shd w:val="clear" w:color="auto" w:fill="F2F2F2" w:themeFill="background1" w:themeFillShade="F2"/>
                                  <w:vAlign w:val="center"/>
                                </w:tcPr>
                                <w:p w14:paraId="798167D7" w14:textId="77777777" w:rsidR="00EB3B59" w:rsidRPr="00F74116" w:rsidRDefault="00EB3B59" w:rsidP="000A5804">
                                  <w:pPr>
                                    <w:spacing w:before="120" w:after="120" w:line="240" w:lineRule="atLeast"/>
                                    <w:jc w:val="center"/>
                                    <w:rPr>
                                      <w:rFonts w:cs="Arial"/>
                                      <w:b/>
                                      <w:szCs w:val="22"/>
                                    </w:rPr>
                                  </w:pPr>
                                  <w:r>
                                    <w:rPr>
                                      <w:rFonts w:cs="Arial"/>
                                      <w:b/>
                                      <w:szCs w:val="22"/>
                                    </w:rPr>
                                    <w:t xml:space="preserve">The part of the contribution between </w:t>
                                  </w:r>
                                  <w:r w:rsidRPr="00F74116">
                                    <w:rPr>
                                      <w:rFonts w:cs="Arial"/>
                                      <w:b/>
                                      <w:szCs w:val="22"/>
                                    </w:rPr>
                                    <w:t>£100,000 – £1 million</w:t>
                                  </w:r>
                                </w:p>
                              </w:tc>
                              <w:tc>
                                <w:tcPr>
                                  <w:tcW w:w="2876" w:type="dxa"/>
                                  <w:shd w:val="clear" w:color="auto" w:fill="F2F2F2" w:themeFill="background1" w:themeFillShade="F2"/>
                                  <w:vAlign w:val="center"/>
                                </w:tcPr>
                                <w:p w14:paraId="74798F73" w14:textId="77777777" w:rsidR="00EB3B59" w:rsidRPr="00F74116" w:rsidRDefault="00EB3B59" w:rsidP="00005D91">
                                  <w:pPr>
                                    <w:spacing w:before="120" w:after="120" w:line="240" w:lineRule="atLeast"/>
                                    <w:jc w:val="center"/>
                                    <w:rPr>
                                      <w:rFonts w:cs="Arial"/>
                                      <w:b/>
                                      <w:szCs w:val="22"/>
                                    </w:rPr>
                                  </w:pPr>
                                  <w:r>
                                    <w:rPr>
                                      <w:rFonts w:cs="Arial"/>
                                      <w:b/>
                                      <w:szCs w:val="22"/>
                                    </w:rPr>
                                    <w:t>The part of the financial</w:t>
                                  </w:r>
                                  <w:r w:rsidRPr="00F74116">
                                    <w:rPr>
                                      <w:rFonts w:cs="Arial"/>
                                      <w:b/>
                                      <w:szCs w:val="22"/>
                                    </w:rPr>
                                    <w:t xml:space="preserve"> contribution </w:t>
                                  </w:r>
                                  <w:r>
                                    <w:rPr>
                                      <w:rFonts w:cs="Arial"/>
                                      <w:b/>
                                      <w:szCs w:val="22"/>
                                    </w:rPr>
                                    <w:t xml:space="preserve">over </w:t>
                                  </w:r>
                                  <w:r w:rsidRPr="00F74116">
                                    <w:rPr>
                                      <w:rFonts w:cs="Arial"/>
                                      <w:b/>
                                      <w:szCs w:val="22"/>
                                    </w:rPr>
                                    <w:t>£1 million</w:t>
                                  </w:r>
                                </w:p>
                              </w:tc>
                            </w:tr>
                            <w:tr w:rsidR="00EB3B59" w:rsidRPr="00574456" w14:paraId="5EADEF6A" w14:textId="77777777" w:rsidTr="000A57A6">
                              <w:trPr>
                                <w:trHeight w:val="968"/>
                              </w:trPr>
                              <w:tc>
                                <w:tcPr>
                                  <w:tcW w:w="2875" w:type="dxa"/>
                                  <w:vAlign w:val="center"/>
                                </w:tcPr>
                                <w:p w14:paraId="64D0D223" w14:textId="77777777" w:rsidR="00EB3B59" w:rsidRPr="00574456" w:rsidRDefault="00EB3B59" w:rsidP="007F582F">
                                  <w:pPr>
                                    <w:spacing w:before="120" w:after="120" w:line="240" w:lineRule="atLeast"/>
                                    <w:jc w:val="center"/>
                                    <w:rPr>
                                      <w:rFonts w:cs="Arial"/>
                                      <w:szCs w:val="22"/>
                                    </w:rPr>
                                  </w:pPr>
                                  <w:r w:rsidRPr="00574456">
                                    <w:rPr>
                                      <w:rFonts w:cs="Arial"/>
                                      <w:szCs w:val="22"/>
                                    </w:rPr>
                                    <w:t>5% of</w:t>
                                  </w:r>
                                  <w:r>
                                    <w:rPr>
                                      <w:rFonts w:cs="Arial"/>
                                      <w:szCs w:val="22"/>
                                    </w:rPr>
                                    <w:t xml:space="preserve"> the</w:t>
                                  </w:r>
                                  <w:r w:rsidRPr="00574456">
                                    <w:rPr>
                                      <w:rFonts w:cs="Arial"/>
                                      <w:szCs w:val="22"/>
                                    </w:rPr>
                                    <w:t xml:space="preserve"> </w:t>
                                  </w:r>
                                  <w:r>
                                    <w:rPr>
                                      <w:rFonts w:cs="Arial"/>
                                      <w:szCs w:val="22"/>
                                    </w:rPr>
                                    <w:t>total financial contribution amount up to £100,000</w:t>
                                  </w:r>
                                </w:p>
                              </w:tc>
                              <w:tc>
                                <w:tcPr>
                                  <w:tcW w:w="2876" w:type="dxa"/>
                                  <w:vAlign w:val="center"/>
                                </w:tcPr>
                                <w:p w14:paraId="3A1A6494" w14:textId="77777777" w:rsidR="00EB3B59" w:rsidRPr="00574456" w:rsidRDefault="00EB3B59" w:rsidP="00B8323C">
                                  <w:pPr>
                                    <w:spacing w:before="120" w:after="120" w:line="240" w:lineRule="atLeast"/>
                                    <w:jc w:val="center"/>
                                    <w:rPr>
                                      <w:rFonts w:cs="Arial"/>
                                      <w:szCs w:val="22"/>
                                    </w:rPr>
                                  </w:pPr>
                                  <w:r>
                                    <w:rPr>
                                      <w:rFonts w:cs="Arial"/>
                                      <w:szCs w:val="22"/>
                                    </w:rPr>
                                    <w:t>3</w:t>
                                  </w:r>
                                  <w:r w:rsidRPr="00574456">
                                    <w:rPr>
                                      <w:rFonts w:cs="Arial"/>
                                      <w:szCs w:val="22"/>
                                    </w:rPr>
                                    <w:t>% of</w:t>
                                  </w:r>
                                  <w:r>
                                    <w:rPr>
                                      <w:rFonts w:cs="Arial"/>
                                      <w:szCs w:val="22"/>
                                    </w:rPr>
                                    <w:t xml:space="preserve"> the total financial</w:t>
                                  </w:r>
                                  <w:r w:rsidRPr="00574456">
                                    <w:rPr>
                                      <w:rFonts w:cs="Arial"/>
                                      <w:szCs w:val="22"/>
                                    </w:rPr>
                                    <w:t xml:space="preserve"> contribution</w:t>
                                  </w:r>
                                  <w:r>
                                    <w:rPr>
                                      <w:rFonts w:cs="Arial"/>
                                      <w:szCs w:val="22"/>
                                    </w:rPr>
                                    <w:t xml:space="preserve"> amount on the remainder of the contributions between £100,000 and £1 million</w:t>
                                  </w:r>
                                </w:p>
                              </w:tc>
                              <w:tc>
                                <w:tcPr>
                                  <w:tcW w:w="2876" w:type="dxa"/>
                                  <w:vAlign w:val="center"/>
                                </w:tcPr>
                                <w:p w14:paraId="21914FC5" w14:textId="77777777" w:rsidR="00EB3B59" w:rsidRPr="00574456" w:rsidRDefault="00EB3B59" w:rsidP="000A5804">
                                  <w:pPr>
                                    <w:spacing w:before="120" w:after="120" w:line="240" w:lineRule="atLeast"/>
                                    <w:jc w:val="center"/>
                                    <w:rPr>
                                      <w:rFonts w:cs="Arial"/>
                                      <w:szCs w:val="22"/>
                                    </w:rPr>
                                  </w:pPr>
                                  <w:r w:rsidRPr="00574456">
                                    <w:rPr>
                                      <w:rFonts w:cs="Arial"/>
                                      <w:szCs w:val="22"/>
                                    </w:rPr>
                                    <w:t>1%</w:t>
                                  </w:r>
                                  <w:r>
                                    <w:rPr>
                                      <w:rFonts w:cs="Arial"/>
                                      <w:szCs w:val="22"/>
                                    </w:rPr>
                                    <w:t xml:space="preserve"> of the total financial </w:t>
                                  </w:r>
                                  <w:r w:rsidRPr="00574456">
                                    <w:rPr>
                                      <w:rFonts w:cs="Arial"/>
                                      <w:szCs w:val="22"/>
                                    </w:rPr>
                                    <w:t>contribution</w:t>
                                  </w:r>
                                  <w:r>
                                    <w:rPr>
                                      <w:rFonts w:cs="Arial"/>
                                      <w:szCs w:val="22"/>
                                    </w:rPr>
                                    <w:t xml:space="preserve"> amount on the remainder of the contributions over £1 million</w:t>
                                  </w:r>
                                </w:p>
                              </w:tc>
                            </w:tr>
                          </w:tbl>
                          <w:p w14:paraId="51C68DD9" w14:textId="77777777" w:rsidR="00EB3B59" w:rsidRDefault="00EB3B59" w:rsidP="00CD46BC">
                            <w:pPr>
                              <w:jc w:val="both"/>
                              <w:rPr>
                                <w:rFonts w:cs="Arial"/>
                                <w:szCs w:val="22"/>
                              </w:rPr>
                            </w:pPr>
                          </w:p>
                          <w:p w14:paraId="493C9D97" w14:textId="77777777" w:rsidR="00EB3B59" w:rsidRDefault="00EB3B59" w:rsidP="00CD46BC">
                            <w:pPr>
                              <w:contextualSpacing/>
                              <w:jc w:val="both"/>
                              <w:rPr>
                                <w:rFonts w:cs="Arial"/>
                                <w:szCs w:val="22"/>
                              </w:rPr>
                            </w:pPr>
                            <w:r>
                              <w:rPr>
                                <w:rFonts w:cs="Arial"/>
                                <w:szCs w:val="22"/>
                              </w:rPr>
                              <w:t xml:space="preserve">For example: </w:t>
                            </w:r>
                          </w:p>
                          <w:p w14:paraId="357688F1" w14:textId="77777777" w:rsidR="00EB3B59" w:rsidRDefault="00EB3B59" w:rsidP="007F582F">
                            <w:pPr>
                              <w:pStyle w:val="ListParagraph"/>
                              <w:numPr>
                                <w:ilvl w:val="0"/>
                                <w:numId w:val="11"/>
                              </w:numPr>
                              <w:jc w:val="both"/>
                              <w:rPr>
                                <w:rFonts w:cs="Arial"/>
                                <w:szCs w:val="22"/>
                              </w:rPr>
                            </w:pPr>
                            <w:r>
                              <w:rPr>
                                <w:rFonts w:cs="Arial"/>
                                <w:szCs w:val="22"/>
                              </w:rPr>
                              <w:t xml:space="preserve">If the total financial contribution is £70,000, the monitoring fee will be: </w:t>
                            </w:r>
                          </w:p>
                          <w:p w14:paraId="1F704C49" w14:textId="77777777" w:rsidR="00EB3B59" w:rsidRDefault="00EB3B59" w:rsidP="00EC3FD7">
                            <w:pPr>
                              <w:pStyle w:val="ListParagraph"/>
                              <w:ind w:left="360"/>
                              <w:jc w:val="both"/>
                              <w:rPr>
                                <w:rFonts w:cs="Arial"/>
                                <w:szCs w:val="22"/>
                              </w:rPr>
                            </w:pPr>
                            <w:r>
                              <w:rPr>
                                <w:rFonts w:cs="Arial"/>
                                <w:szCs w:val="22"/>
                              </w:rPr>
                              <w:t>£70,000 x 0.05 = £3,500</w:t>
                            </w:r>
                          </w:p>
                          <w:p w14:paraId="322B51FB" w14:textId="77777777" w:rsidR="00EB3B59" w:rsidRDefault="00EB3B59" w:rsidP="007F582F">
                            <w:pPr>
                              <w:pStyle w:val="ListParagraph"/>
                              <w:numPr>
                                <w:ilvl w:val="0"/>
                                <w:numId w:val="11"/>
                              </w:numPr>
                              <w:jc w:val="both"/>
                              <w:rPr>
                                <w:rFonts w:cs="Arial"/>
                                <w:szCs w:val="22"/>
                              </w:rPr>
                            </w:pPr>
                            <w:r>
                              <w:rPr>
                                <w:rFonts w:cs="Arial"/>
                                <w:szCs w:val="22"/>
                              </w:rPr>
                              <w:t xml:space="preserve">If the total financial contribution is £500,000, the monitoring fee will be: </w:t>
                            </w:r>
                          </w:p>
                          <w:p w14:paraId="42F4CC45" w14:textId="77777777" w:rsidR="00EB3B59" w:rsidRDefault="00EB3B59" w:rsidP="00EC3FD7">
                            <w:pPr>
                              <w:pStyle w:val="ListParagraph"/>
                              <w:ind w:left="360"/>
                              <w:jc w:val="both"/>
                              <w:rPr>
                                <w:rFonts w:cs="Arial"/>
                                <w:szCs w:val="22"/>
                              </w:rPr>
                            </w:pPr>
                            <w:r>
                              <w:rPr>
                                <w:rFonts w:cs="Arial"/>
                                <w:szCs w:val="22"/>
                              </w:rPr>
                              <w:t>(£100,000 x 0.05) + (£400,000 x 0.03) = £17,000</w:t>
                            </w:r>
                          </w:p>
                          <w:p w14:paraId="444D54D9" w14:textId="77777777" w:rsidR="00EB3B59" w:rsidRDefault="00EB3B59" w:rsidP="007F582F">
                            <w:pPr>
                              <w:pStyle w:val="ListParagraph"/>
                              <w:numPr>
                                <w:ilvl w:val="0"/>
                                <w:numId w:val="11"/>
                              </w:numPr>
                              <w:jc w:val="both"/>
                              <w:rPr>
                                <w:rFonts w:cs="Arial"/>
                                <w:szCs w:val="22"/>
                              </w:rPr>
                            </w:pPr>
                            <w:r>
                              <w:rPr>
                                <w:rFonts w:cs="Arial"/>
                                <w:szCs w:val="22"/>
                              </w:rPr>
                              <w:t xml:space="preserve">If the total financial contribution is £1,500,000, the monitoring fee will be: </w:t>
                            </w:r>
                          </w:p>
                          <w:p w14:paraId="65BCE43E" w14:textId="77777777" w:rsidR="00EB3B59" w:rsidRPr="007F582F" w:rsidRDefault="00EB3B59" w:rsidP="00EC3FD7">
                            <w:pPr>
                              <w:pStyle w:val="ListParagraph"/>
                              <w:ind w:left="360"/>
                              <w:jc w:val="both"/>
                              <w:rPr>
                                <w:rFonts w:cs="Arial"/>
                                <w:szCs w:val="22"/>
                              </w:rPr>
                            </w:pPr>
                            <w:r>
                              <w:rPr>
                                <w:rFonts w:cs="Arial"/>
                                <w:szCs w:val="22"/>
                              </w:rPr>
                              <w:t xml:space="preserve">(£100,000 x 0.05) + (£900,000 x 0.03) + (£500,000 x 0.01) = £37,000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2BAA60" id="Text Box 29" o:spid="_x0000_s1057" type="#_x0000_t202" style="width:451.3pt;height:61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" fillcolor="#dce6f2" stroked="f">
                <v:textbox>
                  <w:txbxContent>
                    <w:p w14:paraId="24972BCE" w14:textId="77777777" w:rsidR="00EB3B59" w:rsidRDefault="00EB3B59" w:rsidP="00316854">
                      <w:pPr>
                        <w:widowControl w:val="0"/>
                        <w:autoSpaceDE w:val="0"/>
                        <w:autoSpaceDN w:val="0"/>
                        <w:adjustRightInd w:val="0"/>
                        <w:jc w:val="both"/>
                        <w:textAlignment w:val="center"/>
                        <w:rPr>
                          <w:rFonts w:cs="Arial"/>
                          <w:b/>
                          <w:color w:val="000000"/>
                          <w:szCs w:val="22"/>
                          <w:lang w:val="en-US"/>
                        </w:rPr>
                      </w:pPr>
                      <w:r w:rsidRPr="00316854">
                        <w:rPr>
                          <w:rFonts w:cs="Arial"/>
                          <w:b/>
                          <w:color w:val="000000"/>
                          <w:szCs w:val="22"/>
                          <w:lang w:val="en-US"/>
                        </w:rPr>
                        <w:t>Threshold and Contribution Requirements</w:t>
                      </w:r>
                    </w:p>
                    <w:p w14:paraId="567832CF" w14:textId="77777777" w:rsidR="00EB3B59" w:rsidRPr="003F36E1" w:rsidRDefault="00EB3B59" w:rsidP="00316854">
                      <w:pPr>
                        <w:widowControl w:val="0"/>
                        <w:autoSpaceDE w:val="0"/>
                        <w:autoSpaceDN w:val="0"/>
                        <w:adjustRightInd w:val="0"/>
                        <w:jc w:val="both"/>
                        <w:textAlignment w:val="center"/>
                        <w:rPr>
                          <w:rFonts w:cs="Arial"/>
                          <w:color w:val="000000"/>
                          <w:szCs w:val="22"/>
                          <w:lang w:val="en-US"/>
                        </w:rPr>
                      </w:pPr>
                      <w:r w:rsidRPr="00316854">
                        <w:rPr>
                          <w:rFonts w:cs="Arial"/>
                          <w:color w:val="000000"/>
                          <w:szCs w:val="22"/>
                          <w:lang w:val="en-US"/>
                        </w:rPr>
                        <w:t xml:space="preserve">Planning </w:t>
                      </w:r>
                      <w:r w:rsidRPr="0006185E">
                        <w:rPr>
                          <w:rFonts w:cs="Arial"/>
                          <w:color w:val="000000"/>
                          <w:szCs w:val="22"/>
                          <w:lang w:val="en-US"/>
                        </w:rPr>
                        <w:t>o</w:t>
                      </w:r>
                      <w:r w:rsidRPr="003F36E1">
                        <w:rPr>
                          <w:rFonts w:cs="Arial"/>
                          <w:color w:val="000000"/>
                          <w:szCs w:val="22"/>
                          <w:lang w:val="en-US"/>
                        </w:rPr>
                        <w:t>bligations relating to monitoring and implementation will be sought for:</w:t>
                      </w:r>
                    </w:p>
                    <w:p w14:paraId="5C421925" w14:textId="3FEBE910" w:rsidR="00EB3B59" w:rsidRPr="003F119C" w:rsidRDefault="00EB3B59" w:rsidP="0055222C">
                      <w:pPr>
                        <w:pStyle w:val="ListParagraph"/>
                        <w:widowControl w:val="0"/>
                        <w:numPr>
                          <w:ilvl w:val="0"/>
                          <w:numId w:val="11"/>
                        </w:numPr>
                        <w:autoSpaceDE w:val="0"/>
                        <w:autoSpaceDN w:val="0"/>
                        <w:adjustRightInd w:val="0"/>
                        <w:jc w:val="both"/>
                        <w:textAlignment w:val="center"/>
                        <w:rPr>
                          <w:rFonts w:cs="Arial"/>
                          <w:color w:val="000000"/>
                          <w:szCs w:val="22"/>
                          <w:lang w:val="en-US"/>
                        </w:rPr>
                      </w:pPr>
                      <w:r>
                        <w:rPr>
                          <w:rFonts w:cs="Arial"/>
                          <w:color w:val="000000"/>
                          <w:szCs w:val="22"/>
                          <w:lang w:val="en-US"/>
                        </w:rPr>
                        <w:t xml:space="preserve">All developments requiring a legal </w:t>
                      </w:r>
                      <w:r w:rsidRPr="00005D91">
                        <w:rPr>
                          <w:rFonts w:cs="Arial"/>
                          <w:color w:val="000000"/>
                          <w:szCs w:val="22"/>
                          <w:lang w:val="en-US"/>
                        </w:rPr>
                        <w:t>agreement except for proposals for Mansard Roof extensions and car free agreements</w:t>
                      </w:r>
                    </w:p>
                    <w:p w14:paraId="2C3A80AF" w14:textId="217B133C" w:rsidR="00EB3B59" w:rsidRDefault="00EB3B59" w:rsidP="00316854">
                      <w:pPr>
                        <w:widowControl w:val="0"/>
                        <w:autoSpaceDE w:val="0"/>
                        <w:autoSpaceDN w:val="0"/>
                        <w:adjustRightInd w:val="0"/>
                        <w:jc w:val="both"/>
                        <w:textAlignment w:val="center"/>
                        <w:rPr>
                          <w:rFonts w:cs="Arial"/>
                          <w:color w:val="000000"/>
                          <w:szCs w:val="22"/>
                          <w:lang w:val="en-US"/>
                        </w:rPr>
                      </w:pPr>
                      <w:r w:rsidRPr="003F36E1">
                        <w:rPr>
                          <w:rFonts w:cs="Arial"/>
                          <w:color w:val="000000"/>
                          <w:szCs w:val="22"/>
                          <w:lang w:val="en-US"/>
                        </w:rPr>
                        <w:t xml:space="preserve">The </w:t>
                      </w:r>
                      <w:r>
                        <w:rPr>
                          <w:rFonts w:cs="Arial"/>
                          <w:color w:val="000000"/>
                          <w:szCs w:val="22"/>
                          <w:lang w:val="en-US"/>
                        </w:rPr>
                        <w:t>approach set out in tables 2 and 3 below</w:t>
                      </w:r>
                      <w:r w:rsidRPr="003F36E1">
                        <w:rPr>
                          <w:rFonts w:cs="Arial"/>
                          <w:color w:val="000000"/>
                          <w:szCs w:val="22"/>
                          <w:lang w:val="en-US"/>
                        </w:rPr>
                        <w:t xml:space="preserve"> will be</w:t>
                      </w:r>
                      <w:r>
                        <w:rPr>
                          <w:rFonts w:cs="Arial"/>
                          <w:color w:val="000000"/>
                          <w:szCs w:val="22"/>
                          <w:lang w:val="en-US"/>
                        </w:rPr>
                        <w:t xml:space="preserve"> used</w:t>
                      </w:r>
                      <w:r w:rsidRPr="003F36E1">
                        <w:rPr>
                          <w:rFonts w:cs="Arial"/>
                          <w:color w:val="000000"/>
                          <w:szCs w:val="22"/>
                          <w:lang w:val="en-US"/>
                        </w:rPr>
                        <w:t xml:space="preserve"> to determine </w:t>
                      </w:r>
                      <w:r>
                        <w:rPr>
                          <w:rFonts w:cs="Arial"/>
                          <w:color w:val="000000"/>
                          <w:szCs w:val="22"/>
                          <w:lang w:val="en-US"/>
                        </w:rPr>
                        <w:t xml:space="preserve">the </w:t>
                      </w:r>
                      <w:r w:rsidRPr="003F36E1">
                        <w:rPr>
                          <w:rFonts w:cs="Arial"/>
                          <w:color w:val="000000"/>
                          <w:szCs w:val="22"/>
                          <w:lang w:val="en-US"/>
                        </w:rPr>
                        <w:t>monitoring fee</w:t>
                      </w:r>
                      <w:r>
                        <w:rPr>
                          <w:rFonts w:cs="Arial"/>
                          <w:color w:val="000000"/>
                          <w:szCs w:val="22"/>
                          <w:lang w:val="en-US"/>
                        </w:rPr>
                        <w:t>. The total</w:t>
                      </w:r>
                      <w:r w:rsidR="00E230C2">
                        <w:rPr>
                          <w:rFonts w:cs="Arial"/>
                          <w:color w:val="000000"/>
                          <w:szCs w:val="22"/>
                          <w:lang w:val="en-US"/>
                        </w:rPr>
                        <w:t xml:space="preserve"> monitoring fee</w:t>
                      </w:r>
                      <w:r>
                        <w:rPr>
                          <w:rFonts w:cs="Arial"/>
                          <w:color w:val="000000"/>
                          <w:szCs w:val="22"/>
                          <w:lang w:val="en-US"/>
                        </w:rPr>
                        <w:t xml:space="preserve"> from a development will be capped at £100,000 per legal agreement.</w:t>
                      </w:r>
                    </w:p>
                    <w:p w14:paraId="6F81187B" w14:textId="6EA78B29" w:rsidR="00EB3B59" w:rsidRPr="003F36E1" w:rsidRDefault="00EB3B59" w:rsidP="00D321E8">
                      <w:pPr>
                        <w:rPr>
                          <w:lang w:val="en-US"/>
                        </w:rPr>
                      </w:pPr>
                      <w:r>
                        <w:rPr>
                          <w:lang w:val="en-US"/>
                        </w:rPr>
                        <w:t>Table 2: Monitoring fees for non-financial contribution (per HoT)</w:t>
                      </w:r>
                    </w:p>
                    <w:tbl>
                      <w:tblPr>
                        <w:tblStyle w:val="TableGrid"/>
                        <w:tblW w:w="0" w:type="auto"/>
                        <w:tblLook w:val="04A0" w:firstRow="1" w:lastRow="0" w:firstColumn="1" w:lastColumn="0" w:noHBand="0" w:noVBand="1"/>
                      </w:tblPr>
                      <w:tblGrid>
                        <w:gridCol w:w="2867"/>
                        <w:gridCol w:w="2868"/>
                        <w:gridCol w:w="2868"/>
                      </w:tblGrid>
                      <w:tr w:rsidR="00EB3B59" w:rsidRPr="00574456" w14:paraId="024A82A8" w14:textId="77777777" w:rsidTr="000A57A6">
                        <w:trPr>
                          <w:trHeight w:val="875"/>
                        </w:trPr>
                        <w:tc>
                          <w:tcPr>
                            <w:tcW w:w="2867" w:type="dxa"/>
                            <w:shd w:val="clear" w:color="auto" w:fill="F2F2F2" w:themeFill="background1" w:themeFillShade="F2"/>
                            <w:vAlign w:val="center"/>
                          </w:tcPr>
                          <w:p w14:paraId="6ADC9463" w14:textId="77777777" w:rsidR="00EB3B59" w:rsidRDefault="00EB3B59" w:rsidP="00E054AC">
                            <w:pPr>
                              <w:spacing w:before="120" w:after="120" w:line="240" w:lineRule="atLeast"/>
                              <w:contextualSpacing/>
                              <w:jc w:val="center"/>
                              <w:rPr>
                                <w:rFonts w:cs="Arial"/>
                                <w:b/>
                                <w:szCs w:val="22"/>
                              </w:rPr>
                            </w:pPr>
                            <w:r w:rsidRPr="00F74116">
                              <w:rPr>
                                <w:rFonts w:cs="Arial"/>
                                <w:b/>
                                <w:szCs w:val="22"/>
                              </w:rPr>
                              <w:t xml:space="preserve">&lt;10 units or    </w:t>
                            </w:r>
                          </w:p>
                          <w:p w14:paraId="2B359633" w14:textId="77777777" w:rsidR="00EB3B59" w:rsidRPr="00F74116" w:rsidRDefault="00EB3B59" w:rsidP="00601902">
                            <w:pPr>
                              <w:spacing w:before="120" w:after="120" w:line="240" w:lineRule="atLeast"/>
                              <w:contextualSpacing/>
                              <w:jc w:val="center"/>
                              <w:rPr>
                                <w:rFonts w:cs="Arial"/>
                                <w:b/>
                                <w:szCs w:val="22"/>
                              </w:rPr>
                            </w:pPr>
                            <w:r w:rsidRPr="00F74116">
                              <w:rPr>
                                <w:rFonts w:cs="Arial"/>
                                <w:b/>
                                <w:szCs w:val="22"/>
                              </w:rPr>
                              <w:t>&lt;1000 sqm</w:t>
                            </w:r>
                          </w:p>
                        </w:tc>
                        <w:tc>
                          <w:tcPr>
                            <w:tcW w:w="2868" w:type="dxa"/>
                            <w:shd w:val="clear" w:color="auto" w:fill="F2F2F2" w:themeFill="background1" w:themeFillShade="F2"/>
                            <w:vAlign w:val="center"/>
                          </w:tcPr>
                          <w:p w14:paraId="41CFDC4C" w14:textId="77777777" w:rsidR="00EB3B59" w:rsidRPr="00F74116" w:rsidRDefault="00EB3B59" w:rsidP="00E054AC">
                            <w:pPr>
                              <w:spacing w:before="120" w:after="120" w:line="240" w:lineRule="atLeast"/>
                              <w:jc w:val="center"/>
                              <w:rPr>
                                <w:rFonts w:cs="Arial"/>
                                <w:b/>
                                <w:szCs w:val="22"/>
                              </w:rPr>
                            </w:pPr>
                            <w:r w:rsidRPr="00F74116">
                              <w:rPr>
                                <w:rFonts w:cs="Arial"/>
                                <w:b/>
                                <w:szCs w:val="22"/>
                              </w:rPr>
                              <w:t>10 - 100 units or 1,000 – 10,000 sqm</w:t>
                            </w:r>
                          </w:p>
                        </w:tc>
                        <w:tc>
                          <w:tcPr>
                            <w:tcW w:w="2868" w:type="dxa"/>
                            <w:shd w:val="clear" w:color="auto" w:fill="F2F2F2" w:themeFill="background1" w:themeFillShade="F2"/>
                            <w:vAlign w:val="center"/>
                          </w:tcPr>
                          <w:p w14:paraId="5E432B2C" w14:textId="77777777" w:rsidR="00EB3B59" w:rsidRDefault="00EB3B59" w:rsidP="00E054AC">
                            <w:pPr>
                              <w:spacing w:before="120" w:after="120" w:line="240" w:lineRule="atLeast"/>
                              <w:contextualSpacing/>
                              <w:jc w:val="center"/>
                              <w:rPr>
                                <w:rFonts w:cs="Arial"/>
                                <w:b/>
                                <w:szCs w:val="22"/>
                              </w:rPr>
                            </w:pPr>
                            <w:r>
                              <w:rPr>
                                <w:rFonts w:cs="Arial"/>
                                <w:b/>
                                <w:szCs w:val="22"/>
                              </w:rPr>
                              <w:t>&gt;</w:t>
                            </w:r>
                            <w:r w:rsidRPr="00F74116">
                              <w:rPr>
                                <w:rFonts w:cs="Arial"/>
                                <w:b/>
                                <w:szCs w:val="22"/>
                              </w:rPr>
                              <w:t xml:space="preserve">100 units or </w:t>
                            </w:r>
                          </w:p>
                          <w:p w14:paraId="51DC0F79" w14:textId="77777777" w:rsidR="00EB3B59" w:rsidRPr="00F74116" w:rsidRDefault="00EB3B59" w:rsidP="00E054AC">
                            <w:pPr>
                              <w:spacing w:before="120" w:after="120" w:line="240" w:lineRule="atLeast"/>
                              <w:contextualSpacing/>
                              <w:jc w:val="center"/>
                              <w:rPr>
                                <w:rFonts w:cs="Arial"/>
                                <w:b/>
                                <w:szCs w:val="22"/>
                              </w:rPr>
                            </w:pPr>
                            <w:r>
                              <w:rPr>
                                <w:rFonts w:cs="Arial"/>
                                <w:b/>
                                <w:szCs w:val="22"/>
                              </w:rPr>
                              <w:t>&gt;</w:t>
                            </w:r>
                            <w:r w:rsidRPr="00F74116">
                              <w:rPr>
                                <w:rFonts w:cs="Arial"/>
                                <w:b/>
                                <w:szCs w:val="22"/>
                              </w:rPr>
                              <w:t>10,000 sqm</w:t>
                            </w:r>
                          </w:p>
                        </w:tc>
                      </w:tr>
                      <w:tr w:rsidR="00EB3B59" w:rsidRPr="00574456" w14:paraId="5EDD0065" w14:textId="77777777" w:rsidTr="000A57A6">
                        <w:trPr>
                          <w:trHeight w:val="875"/>
                        </w:trPr>
                        <w:tc>
                          <w:tcPr>
                            <w:tcW w:w="2867" w:type="dxa"/>
                            <w:vAlign w:val="center"/>
                          </w:tcPr>
                          <w:p w14:paraId="6329C412" w14:textId="0FDA09D3" w:rsidR="00EB3B59" w:rsidRPr="00E054AC" w:rsidRDefault="00EB3B59" w:rsidP="00E054AC">
                            <w:pPr>
                              <w:spacing w:before="120" w:after="120" w:line="240" w:lineRule="atLeast"/>
                              <w:jc w:val="center"/>
                              <w:rPr>
                                <w:rFonts w:cs="Arial"/>
                                <w:szCs w:val="22"/>
                              </w:rPr>
                            </w:pPr>
                            <w:r w:rsidRPr="0014110B">
                              <w:rPr>
                                <w:rFonts w:cs="Arial"/>
                                <w:szCs w:val="22"/>
                              </w:rPr>
                              <w:t>£0</w:t>
                            </w:r>
                          </w:p>
                        </w:tc>
                        <w:tc>
                          <w:tcPr>
                            <w:tcW w:w="2868" w:type="dxa"/>
                            <w:vAlign w:val="center"/>
                          </w:tcPr>
                          <w:p w14:paraId="5453E265" w14:textId="77777777" w:rsidR="00EB3B59" w:rsidRPr="00E054AC" w:rsidRDefault="00EB3B59" w:rsidP="00E054AC">
                            <w:pPr>
                              <w:spacing w:before="120" w:after="120" w:line="240" w:lineRule="atLeast"/>
                              <w:jc w:val="center"/>
                              <w:rPr>
                                <w:rFonts w:cs="Arial"/>
                                <w:szCs w:val="22"/>
                              </w:rPr>
                            </w:pPr>
                            <w:r w:rsidRPr="00E054AC">
                              <w:rPr>
                                <w:rFonts w:cs="Arial"/>
                                <w:szCs w:val="22"/>
                              </w:rPr>
                              <w:t>£750</w:t>
                            </w:r>
                          </w:p>
                        </w:tc>
                        <w:tc>
                          <w:tcPr>
                            <w:tcW w:w="2868" w:type="dxa"/>
                            <w:vAlign w:val="center"/>
                          </w:tcPr>
                          <w:p w14:paraId="31212033" w14:textId="77777777" w:rsidR="00EB3B59" w:rsidRPr="00E054AC" w:rsidRDefault="00EB3B59" w:rsidP="00E054AC">
                            <w:pPr>
                              <w:spacing w:before="120" w:after="120" w:line="240" w:lineRule="atLeast"/>
                              <w:jc w:val="center"/>
                              <w:rPr>
                                <w:rFonts w:cs="Arial"/>
                                <w:szCs w:val="22"/>
                              </w:rPr>
                            </w:pPr>
                            <w:r w:rsidRPr="00E054AC">
                              <w:rPr>
                                <w:rFonts w:cs="Arial"/>
                                <w:szCs w:val="22"/>
                              </w:rPr>
                              <w:t>£1000</w:t>
                            </w:r>
                          </w:p>
                        </w:tc>
                      </w:tr>
                    </w:tbl>
                    <w:p w14:paraId="67EF76F6" w14:textId="16B8A2EF" w:rsidR="00EB3B59" w:rsidRDefault="00EB3B59"/>
                    <w:p w14:paraId="444F7621" w14:textId="54AB6DCF" w:rsidR="00EB3B59" w:rsidRDefault="00EB3B59">
                      <w:r>
                        <w:t>Table 3: Monitoring fees for financial contributions</w:t>
                      </w:r>
                    </w:p>
                    <w:tbl>
                      <w:tblPr>
                        <w:tblStyle w:val="TableGrid"/>
                        <w:tblW w:w="0" w:type="auto"/>
                        <w:tblLook w:val="04A0" w:firstRow="1" w:lastRow="0" w:firstColumn="1" w:lastColumn="0" w:noHBand="0" w:noVBand="1"/>
                      </w:tblPr>
                      <w:tblGrid>
                        <w:gridCol w:w="2875"/>
                        <w:gridCol w:w="2876"/>
                        <w:gridCol w:w="2876"/>
                      </w:tblGrid>
                      <w:tr w:rsidR="00EB3B59" w:rsidRPr="00574456" w14:paraId="768121CA" w14:textId="77777777" w:rsidTr="000A57A6">
                        <w:trPr>
                          <w:trHeight w:val="968"/>
                        </w:trPr>
                        <w:tc>
                          <w:tcPr>
                            <w:tcW w:w="2875" w:type="dxa"/>
                            <w:shd w:val="clear" w:color="auto" w:fill="F2F2F2" w:themeFill="background1" w:themeFillShade="F2"/>
                            <w:vAlign w:val="center"/>
                          </w:tcPr>
                          <w:p w14:paraId="3874F255" w14:textId="77777777" w:rsidR="00EB3B59" w:rsidRPr="00F74116" w:rsidRDefault="00EB3B59" w:rsidP="000A5804">
                            <w:pPr>
                              <w:spacing w:before="120" w:after="120" w:line="240" w:lineRule="atLeast"/>
                              <w:jc w:val="center"/>
                              <w:rPr>
                                <w:rFonts w:cs="Arial"/>
                                <w:b/>
                                <w:szCs w:val="22"/>
                              </w:rPr>
                            </w:pPr>
                            <w:r w:rsidRPr="00005D91">
                              <w:rPr>
                                <w:rFonts w:cs="Arial"/>
                                <w:b/>
                                <w:szCs w:val="22"/>
                              </w:rPr>
                              <w:t>The first £100,000 of a contribution</w:t>
                            </w:r>
                            <w:r>
                              <w:rPr>
                                <w:rFonts w:cs="Arial"/>
                                <w:b/>
                                <w:szCs w:val="22"/>
                              </w:rPr>
                              <w:t xml:space="preserve"> </w:t>
                            </w:r>
                          </w:p>
                        </w:tc>
                        <w:tc>
                          <w:tcPr>
                            <w:tcW w:w="2876" w:type="dxa"/>
                            <w:shd w:val="clear" w:color="auto" w:fill="F2F2F2" w:themeFill="background1" w:themeFillShade="F2"/>
                            <w:vAlign w:val="center"/>
                          </w:tcPr>
                          <w:p w14:paraId="798167D7" w14:textId="77777777" w:rsidR="00EB3B59" w:rsidRPr="00F74116" w:rsidRDefault="00EB3B59" w:rsidP="000A5804">
                            <w:pPr>
                              <w:spacing w:before="120" w:after="120" w:line="240" w:lineRule="atLeast"/>
                              <w:jc w:val="center"/>
                              <w:rPr>
                                <w:rFonts w:cs="Arial"/>
                                <w:b/>
                                <w:szCs w:val="22"/>
                              </w:rPr>
                            </w:pPr>
                            <w:r>
                              <w:rPr>
                                <w:rFonts w:cs="Arial"/>
                                <w:b/>
                                <w:szCs w:val="22"/>
                              </w:rPr>
                              <w:t xml:space="preserve">The part of the contribution between </w:t>
                            </w:r>
                            <w:r w:rsidRPr="00F74116">
                              <w:rPr>
                                <w:rFonts w:cs="Arial"/>
                                <w:b/>
                                <w:szCs w:val="22"/>
                              </w:rPr>
                              <w:t>£100,000 – £1 million</w:t>
                            </w:r>
                          </w:p>
                        </w:tc>
                        <w:tc>
                          <w:tcPr>
                            <w:tcW w:w="2876" w:type="dxa"/>
                            <w:shd w:val="clear" w:color="auto" w:fill="F2F2F2" w:themeFill="background1" w:themeFillShade="F2"/>
                            <w:vAlign w:val="center"/>
                          </w:tcPr>
                          <w:p w14:paraId="74798F73" w14:textId="77777777" w:rsidR="00EB3B59" w:rsidRPr="00F74116" w:rsidRDefault="00EB3B59" w:rsidP="00005D91">
                            <w:pPr>
                              <w:spacing w:before="120" w:after="120" w:line="240" w:lineRule="atLeast"/>
                              <w:jc w:val="center"/>
                              <w:rPr>
                                <w:rFonts w:cs="Arial"/>
                                <w:b/>
                                <w:szCs w:val="22"/>
                              </w:rPr>
                            </w:pPr>
                            <w:r>
                              <w:rPr>
                                <w:rFonts w:cs="Arial"/>
                                <w:b/>
                                <w:szCs w:val="22"/>
                              </w:rPr>
                              <w:t>The part of the financial</w:t>
                            </w:r>
                            <w:r w:rsidRPr="00F74116">
                              <w:rPr>
                                <w:rFonts w:cs="Arial"/>
                                <w:b/>
                                <w:szCs w:val="22"/>
                              </w:rPr>
                              <w:t xml:space="preserve"> contribution </w:t>
                            </w:r>
                            <w:r>
                              <w:rPr>
                                <w:rFonts w:cs="Arial"/>
                                <w:b/>
                                <w:szCs w:val="22"/>
                              </w:rPr>
                              <w:t xml:space="preserve">over </w:t>
                            </w:r>
                            <w:r w:rsidRPr="00F74116">
                              <w:rPr>
                                <w:rFonts w:cs="Arial"/>
                                <w:b/>
                                <w:szCs w:val="22"/>
                              </w:rPr>
                              <w:t>£1 million</w:t>
                            </w:r>
                          </w:p>
                        </w:tc>
                      </w:tr>
                      <w:tr w:rsidR="00EB3B59" w:rsidRPr="00574456" w14:paraId="5EADEF6A" w14:textId="77777777" w:rsidTr="000A57A6">
                        <w:trPr>
                          <w:trHeight w:val="968"/>
                        </w:trPr>
                        <w:tc>
                          <w:tcPr>
                            <w:tcW w:w="2875" w:type="dxa"/>
                            <w:vAlign w:val="center"/>
                          </w:tcPr>
                          <w:p w14:paraId="64D0D223" w14:textId="77777777" w:rsidR="00EB3B59" w:rsidRPr="00574456" w:rsidRDefault="00EB3B59" w:rsidP="007F582F">
                            <w:pPr>
                              <w:spacing w:before="120" w:after="120" w:line="240" w:lineRule="atLeast"/>
                              <w:jc w:val="center"/>
                              <w:rPr>
                                <w:rFonts w:cs="Arial"/>
                                <w:szCs w:val="22"/>
                              </w:rPr>
                            </w:pPr>
                            <w:r w:rsidRPr="00574456">
                              <w:rPr>
                                <w:rFonts w:cs="Arial"/>
                                <w:szCs w:val="22"/>
                              </w:rPr>
                              <w:t>5% of</w:t>
                            </w:r>
                            <w:r>
                              <w:rPr>
                                <w:rFonts w:cs="Arial"/>
                                <w:szCs w:val="22"/>
                              </w:rPr>
                              <w:t xml:space="preserve"> the</w:t>
                            </w:r>
                            <w:r w:rsidRPr="00574456">
                              <w:rPr>
                                <w:rFonts w:cs="Arial"/>
                                <w:szCs w:val="22"/>
                              </w:rPr>
                              <w:t xml:space="preserve"> </w:t>
                            </w:r>
                            <w:r>
                              <w:rPr>
                                <w:rFonts w:cs="Arial"/>
                                <w:szCs w:val="22"/>
                              </w:rPr>
                              <w:t>total financial contribution amount up to £100,000</w:t>
                            </w:r>
                          </w:p>
                        </w:tc>
                        <w:tc>
                          <w:tcPr>
                            <w:tcW w:w="2876" w:type="dxa"/>
                            <w:vAlign w:val="center"/>
                          </w:tcPr>
                          <w:p w14:paraId="3A1A6494" w14:textId="77777777" w:rsidR="00EB3B59" w:rsidRPr="00574456" w:rsidRDefault="00EB3B59" w:rsidP="00B8323C">
                            <w:pPr>
                              <w:spacing w:before="120" w:after="120" w:line="240" w:lineRule="atLeast"/>
                              <w:jc w:val="center"/>
                              <w:rPr>
                                <w:rFonts w:cs="Arial"/>
                                <w:szCs w:val="22"/>
                              </w:rPr>
                            </w:pPr>
                            <w:r>
                              <w:rPr>
                                <w:rFonts w:cs="Arial"/>
                                <w:szCs w:val="22"/>
                              </w:rPr>
                              <w:t>3</w:t>
                            </w:r>
                            <w:r w:rsidRPr="00574456">
                              <w:rPr>
                                <w:rFonts w:cs="Arial"/>
                                <w:szCs w:val="22"/>
                              </w:rPr>
                              <w:t>% of</w:t>
                            </w:r>
                            <w:r>
                              <w:rPr>
                                <w:rFonts w:cs="Arial"/>
                                <w:szCs w:val="22"/>
                              </w:rPr>
                              <w:t xml:space="preserve"> the total financial</w:t>
                            </w:r>
                            <w:r w:rsidRPr="00574456">
                              <w:rPr>
                                <w:rFonts w:cs="Arial"/>
                                <w:szCs w:val="22"/>
                              </w:rPr>
                              <w:t xml:space="preserve"> contribution</w:t>
                            </w:r>
                            <w:r>
                              <w:rPr>
                                <w:rFonts w:cs="Arial"/>
                                <w:szCs w:val="22"/>
                              </w:rPr>
                              <w:t xml:space="preserve"> amount on the remainder of the contributions between £100,000 and £1 million</w:t>
                            </w:r>
                          </w:p>
                        </w:tc>
                        <w:tc>
                          <w:tcPr>
                            <w:tcW w:w="2876" w:type="dxa"/>
                            <w:vAlign w:val="center"/>
                          </w:tcPr>
                          <w:p w14:paraId="21914FC5" w14:textId="77777777" w:rsidR="00EB3B59" w:rsidRPr="00574456" w:rsidRDefault="00EB3B59" w:rsidP="000A5804">
                            <w:pPr>
                              <w:spacing w:before="120" w:after="120" w:line="240" w:lineRule="atLeast"/>
                              <w:jc w:val="center"/>
                              <w:rPr>
                                <w:rFonts w:cs="Arial"/>
                                <w:szCs w:val="22"/>
                              </w:rPr>
                            </w:pPr>
                            <w:r w:rsidRPr="00574456">
                              <w:rPr>
                                <w:rFonts w:cs="Arial"/>
                                <w:szCs w:val="22"/>
                              </w:rPr>
                              <w:t>1%</w:t>
                            </w:r>
                            <w:r>
                              <w:rPr>
                                <w:rFonts w:cs="Arial"/>
                                <w:szCs w:val="22"/>
                              </w:rPr>
                              <w:t xml:space="preserve"> of the total financial </w:t>
                            </w:r>
                            <w:r w:rsidRPr="00574456">
                              <w:rPr>
                                <w:rFonts w:cs="Arial"/>
                                <w:szCs w:val="22"/>
                              </w:rPr>
                              <w:t>contribution</w:t>
                            </w:r>
                            <w:r>
                              <w:rPr>
                                <w:rFonts w:cs="Arial"/>
                                <w:szCs w:val="22"/>
                              </w:rPr>
                              <w:t xml:space="preserve"> amount on the remainder of the contributions over £1 million</w:t>
                            </w:r>
                          </w:p>
                        </w:tc>
                      </w:tr>
                    </w:tbl>
                    <w:p w14:paraId="51C68DD9" w14:textId="77777777" w:rsidR="00EB3B59" w:rsidRDefault="00EB3B59" w:rsidP="00CD46BC">
                      <w:pPr>
                        <w:jc w:val="both"/>
                        <w:rPr>
                          <w:rFonts w:cs="Arial"/>
                          <w:szCs w:val="22"/>
                        </w:rPr>
                      </w:pPr>
                    </w:p>
                    <w:p w14:paraId="493C9D97" w14:textId="77777777" w:rsidR="00EB3B59" w:rsidRDefault="00EB3B59" w:rsidP="00CD46BC">
                      <w:pPr>
                        <w:contextualSpacing/>
                        <w:jc w:val="both"/>
                        <w:rPr>
                          <w:rFonts w:cs="Arial"/>
                          <w:szCs w:val="22"/>
                        </w:rPr>
                      </w:pPr>
                      <w:r>
                        <w:rPr>
                          <w:rFonts w:cs="Arial"/>
                          <w:szCs w:val="22"/>
                        </w:rPr>
                        <w:t xml:space="preserve">For example: </w:t>
                      </w:r>
                    </w:p>
                    <w:p w14:paraId="357688F1" w14:textId="77777777" w:rsidR="00EB3B59" w:rsidRDefault="00EB3B59" w:rsidP="007F582F">
                      <w:pPr>
                        <w:pStyle w:val="ListParagraph"/>
                        <w:numPr>
                          <w:ilvl w:val="0"/>
                          <w:numId w:val="11"/>
                        </w:numPr>
                        <w:jc w:val="both"/>
                        <w:rPr>
                          <w:rFonts w:cs="Arial"/>
                          <w:szCs w:val="22"/>
                        </w:rPr>
                      </w:pPr>
                      <w:r>
                        <w:rPr>
                          <w:rFonts w:cs="Arial"/>
                          <w:szCs w:val="22"/>
                        </w:rPr>
                        <w:t xml:space="preserve">If the total financial contribution is £70,000, the monitoring fee will be: </w:t>
                      </w:r>
                    </w:p>
                    <w:p w14:paraId="1F704C49" w14:textId="77777777" w:rsidR="00EB3B59" w:rsidRDefault="00EB3B59" w:rsidP="00EC3FD7">
                      <w:pPr>
                        <w:pStyle w:val="ListParagraph"/>
                        <w:ind w:left="360"/>
                        <w:jc w:val="both"/>
                        <w:rPr>
                          <w:rFonts w:cs="Arial"/>
                          <w:szCs w:val="22"/>
                        </w:rPr>
                      </w:pPr>
                      <w:r>
                        <w:rPr>
                          <w:rFonts w:cs="Arial"/>
                          <w:szCs w:val="22"/>
                        </w:rPr>
                        <w:t>£70,000 x 0.05 = £3,500</w:t>
                      </w:r>
                    </w:p>
                    <w:p w14:paraId="322B51FB" w14:textId="77777777" w:rsidR="00EB3B59" w:rsidRDefault="00EB3B59" w:rsidP="007F582F">
                      <w:pPr>
                        <w:pStyle w:val="ListParagraph"/>
                        <w:numPr>
                          <w:ilvl w:val="0"/>
                          <w:numId w:val="11"/>
                        </w:numPr>
                        <w:jc w:val="both"/>
                        <w:rPr>
                          <w:rFonts w:cs="Arial"/>
                          <w:szCs w:val="22"/>
                        </w:rPr>
                      </w:pPr>
                      <w:r>
                        <w:rPr>
                          <w:rFonts w:cs="Arial"/>
                          <w:szCs w:val="22"/>
                        </w:rPr>
                        <w:t xml:space="preserve">If the total financial contribution is £500,000, the monitoring fee will be: </w:t>
                      </w:r>
                    </w:p>
                    <w:p w14:paraId="42F4CC45" w14:textId="77777777" w:rsidR="00EB3B59" w:rsidRDefault="00EB3B59" w:rsidP="00EC3FD7">
                      <w:pPr>
                        <w:pStyle w:val="ListParagraph"/>
                        <w:ind w:left="360"/>
                        <w:jc w:val="both"/>
                        <w:rPr>
                          <w:rFonts w:cs="Arial"/>
                          <w:szCs w:val="22"/>
                        </w:rPr>
                      </w:pPr>
                      <w:r>
                        <w:rPr>
                          <w:rFonts w:cs="Arial"/>
                          <w:szCs w:val="22"/>
                        </w:rPr>
                        <w:t>(£100,000 x 0.05) + (£400,000 x 0.03) = £17,000</w:t>
                      </w:r>
                    </w:p>
                    <w:p w14:paraId="444D54D9" w14:textId="77777777" w:rsidR="00EB3B59" w:rsidRDefault="00EB3B59" w:rsidP="007F582F">
                      <w:pPr>
                        <w:pStyle w:val="ListParagraph"/>
                        <w:numPr>
                          <w:ilvl w:val="0"/>
                          <w:numId w:val="11"/>
                        </w:numPr>
                        <w:jc w:val="both"/>
                        <w:rPr>
                          <w:rFonts w:cs="Arial"/>
                          <w:szCs w:val="22"/>
                        </w:rPr>
                      </w:pPr>
                      <w:r>
                        <w:rPr>
                          <w:rFonts w:cs="Arial"/>
                          <w:szCs w:val="22"/>
                        </w:rPr>
                        <w:t xml:space="preserve">If the total financial contribution is £1,500,000, the monitoring fee will be: </w:t>
                      </w:r>
                    </w:p>
                    <w:p w14:paraId="65BCE43E" w14:textId="77777777" w:rsidR="00EB3B59" w:rsidRPr="007F582F" w:rsidRDefault="00EB3B59" w:rsidP="00EC3FD7">
                      <w:pPr>
                        <w:pStyle w:val="ListParagraph"/>
                        <w:ind w:left="360"/>
                        <w:jc w:val="both"/>
                        <w:rPr>
                          <w:rFonts w:cs="Arial"/>
                          <w:szCs w:val="22"/>
                        </w:rPr>
                      </w:pPr>
                      <w:r>
                        <w:rPr>
                          <w:rFonts w:cs="Arial"/>
                          <w:szCs w:val="22"/>
                        </w:rPr>
                        <w:t xml:space="preserve">(£100,000 x 0.05) + (£900,000 x 0.03) + (£500,000 x 0.01) = £37,000 </w:t>
                      </w:r>
                    </w:p>
                  </w:txbxContent>
                </v:textbox>
                <w10:anchorlock/>
              </v:shape>
            </w:pict>
          </mc:Fallback>
        </mc:AlternateContent>
      </w:r>
    </w:p>
    <w:p w14:paraId="03EB3C7F" w14:textId="77777777" w:rsidR="00EC3FD7" w:rsidRPr="000D65CE" w:rsidRDefault="00EC3FD7" w:rsidP="003B280C">
      <w:pPr>
        <w:spacing w:after="0" w:line="240" w:lineRule="auto"/>
        <w:jc w:val="both"/>
        <w:rPr>
          <w:rFonts w:eastAsia="Times" w:cs="Arial"/>
          <w:b/>
          <w:color w:val="006BB6"/>
          <w:sz w:val="44"/>
          <w:szCs w:val="44"/>
        </w:rPr>
      </w:pPr>
      <w:r w:rsidRPr="000D65CE">
        <w:br w:type="page"/>
      </w:r>
    </w:p>
    <w:p w14:paraId="727C8237" w14:textId="77777777" w:rsidR="00D8652A" w:rsidRPr="000D65CE" w:rsidRDefault="00D8652A" w:rsidP="00721B10">
      <w:pPr>
        <w:pStyle w:val="Headers"/>
        <w:rPr>
          <w:bCs/>
          <w:szCs w:val="22"/>
        </w:rPr>
      </w:pPr>
      <w:bookmarkStart w:id="32" w:name="_Toc69374688"/>
      <w:r w:rsidRPr="000D65CE">
        <w:lastRenderedPageBreak/>
        <w:t>Procedure &amp; Management</w:t>
      </w:r>
      <w:bookmarkEnd w:id="32"/>
    </w:p>
    <w:p w14:paraId="2D9C6D05" w14:textId="73521221" w:rsidR="00263CED" w:rsidRPr="000D65CE" w:rsidRDefault="00C421AA" w:rsidP="003B280C">
      <w:pPr>
        <w:pStyle w:val="Paragraphs"/>
        <w:rPr>
          <w:lang w:val="en-GB"/>
        </w:rPr>
      </w:pPr>
      <w:r w:rsidRPr="7A52AF77">
        <w:rPr>
          <w:lang w:val="en-GB"/>
        </w:rPr>
        <w:t>The management</w:t>
      </w:r>
      <w:r w:rsidR="00263CED" w:rsidRPr="7A52AF77">
        <w:rPr>
          <w:lang w:val="en-GB"/>
        </w:rPr>
        <w:t xml:space="preserve"> and monitoring</w:t>
      </w:r>
      <w:r w:rsidRPr="7A52AF77">
        <w:rPr>
          <w:lang w:val="en-GB"/>
        </w:rPr>
        <w:t xml:space="preserve"> of</w:t>
      </w:r>
      <w:r w:rsidR="00263CED" w:rsidRPr="7A52AF77">
        <w:rPr>
          <w:lang w:val="en-GB"/>
        </w:rPr>
        <w:t xml:space="preserve"> each </w:t>
      </w:r>
      <w:r w:rsidR="00032BFE">
        <w:rPr>
          <w:lang w:val="en-GB"/>
        </w:rPr>
        <w:t>legal</w:t>
      </w:r>
      <w:r w:rsidR="00032BFE" w:rsidRPr="7A52AF77">
        <w:rPr>
          <w:lang w:val="en-GB"/>
        </w:rPr>
        <w:t xml:space="preserve"> </w:t>
      </w:r>
      <w:r w:rsidR="00263CED" w:rsidRPr="7A52AF77">
        <w:rPr>
          <w:lang w:val="en-GB"/>
        </w:rPr>
        <w:t>agreement</w:t>
      </w:r>
      <w:r w:rsidRPr="7A52AF77">
        <w:rPr>
          <w:lang w:val="en-GB"/>
        </w:rPr>
        <w:t xml:space="preserve"> </w:t>
      </w:r>
      <w:r w:rsidR="373FCBA5" w:rsidRPr="7A52AF77">
        <w:rPr>
          <w:lang w:val="en-GB"/>
        </w:rPr>
        <w:t xml:space="preserve">is a complex process and </w:t>
      </w:r>
      <w:r w:rsidRPr="7A52AF77">
        <w:rPr>
          <w:lang w:val="en-GB"/>
        </w:rPr>
        <w:t xml:space="preserve">commences from the moment it is signed. </w:t>
      </w:r>
      <w:r w:rsidR="00263CED" w:rsidRPr="7A52AF77">
        <w:rPr>
          <w:lang w:val="en-GB"/>
        </w:rPr>
        <w:t xml:space="preserve"> </w:t>
      </w:r>
      <w:r w:rsidR="00E762BA" w:rsidRPr="7A52AF77">
        <w:rPr>
          <w:lang w:val="en-GB"/>
        </w:rPr>
        <w:t xml:space="preserve">The </w:t>
      </w:r>
      <w:r w:rsidR="00EC415E" w:rsidRPr="7A52AF77">
        <w:rPr>
          <w:lang w:val="en-GB"/>
        </w:rPr>
        <w:t>Council</w:t>
      </w:r>
      <w:r w:rsidR="00263CED" w:rsidRPr="7A52AF77">
        <w:rPr>
          <w:lang w:val="en-GB"/>
        </w:rPr>
        <w:t xml:space="preserve"> employ</w:t>
      </w:r>
      <w:r w:rsidR="00621D58" w:rsidRPr="7A52AF77">
        <w:rPr>
          <w:lang w:val="en-GB"/>
        </w:rPr>
        <w:t>s</w:t>
      </w:r>
      <w:r w:rsidR="00263CED" w:rsidRPr="7A52AF77">
        <w:rPr>
          <w:lang w:val="en-GB"/>
        </w:rPr>
        <w:t xml:space="preserve"> officers dedicated to overseeing this </w:t>
      </w:r>
      <w:r w:rsidR="007C2CBA" w:rsidRPr="7A52AF77">
        <w:rPr>
          <w:lang w:val="en-GB"/>
        </w:rPr>
        <w:t xml:space="preserve">process to ensure </w:t>
      </w:r>
      <w:r w:rsidR="00263CED" w:rsidRPr="7A52AF77">
        <w:rPr>
          <w:lang w:val="en-GB"/>
        </w:rPr>
        <w:t xml:space="preserve">the successful delivery of </w:t>
      </w:r>
      <w:r w:rsidR="2C5A001A" w:rsidRPr="7A52AF77">
        <w:rPr>
          <w:lang w:val="en-GB"/>
        </w:rPr>
        <w:t xml:space="preserve">planning </w:t>
      </w:r>
      <w:r w:rsidR="00263CED" w:rsidRPr="7A52AF77">
        <w:rPr>
          <w:lang w:val="en-GB"/>
        </w:rPr>
        <w:t>obligations.</w:t>
      </w:r>
    </w:p>
    <w:p w14:paraId="01C89C80" w14:textId="010195C0" w:rsidR="00FA3976" w:rsidRPr="000D65CE" w:rsidRDefault="00D8652A" w:rsidP="003B280C">
      <w:pPr>
        <w:pStyle w:val="Heading1"/>
        <w:jc w:val="both"/>
        <w:rPr>
          <w:lang w:val="en-GB"/>
        </w:rPr>
      </w:pPr>
      <w:r w:rsidRPr="000D65CE">
        <w:rPr>
          <w:lang w:val="en-GB"/>
        </w:rPr>
        <w:t>Trigger Points</w:t>
      </w:r>
    </w:p>
    <w:p w14:paraId="08287A33" w14:textId="5F7BE33C" w:rsidR="00263CED" w:rsidRPr="000D65CE" w:rsidRDefault="00263CED" w:rsidP="003B280C">
      <w:pPr>
        <w:pStyle w:val="Paragraphs"/>
        <w:rPr>
          <w:lang w:val="en-GB"/>
        </w:rPr>
      </w:pPr>
      <w:r w:rsidRPr="7A52AF77">
        <w:rPr>
          <w:lang w:val="en-GB"/>
        </w:rPr>
        <w:t>During the negotiation process, trigger points for each obligation will be agreed upon between</w:t>
      </w:r>
      <w:r w:rsidR="006B2759" w:rsidRPr="7A52AF77">
        <w:rPr>
          <w:lang w:val="en-GB"/>
        </w:rPr>
        <w:t xml:space="preserve"> </w:t>
      </w:r>
      <w:r w:rsidRPr="7A52AF77">
        <w:rPr>
          <w:lang w:val="en-GB"/>
        </w:rPr>
        <w:t xml:space="preserve">the developer and the </w:t>
      </w:r>
      <w:r w:rsidR="00AD1FB6" w:rsidRPr="7A52AF77">
        <w:rPr>
          <w:lang w:val="en-GB"/>
        </w:rPr>
        <w:t>Council</w:t>
      </w:r>
      <w:r w:rsidRPr="7A52AF77">
        <w:rPr>
          <w:lang w:val="en-GB"/>
        </w:rPr>
        <w:t>. The</w:t>
      </w:r>
      <w:r w:rsidR="00526510" w:rsidRPr="7A52AF77">
        <w:rPr>
          <w:lang w:val="en-GB"/>
        </w:rPr>
        <w:t xml:space="preserve"> </w:t>
      </w:r>
      <w:r w:rsidR="723897F6" w:rsidRPr="7A52AF77">
        <w:rPr>
          <w:lang w:val="en-GB"/>
        </w:rPr>
        <w:t>t</w:t>
      </w:r>
      <w:r w:rsidR="00526510" w:rsidRPr="7A52AF77">
        <w:rPr>
          <w:lang w:val="en-GB"/>
        </w:rPr>
        <w:t>riggers</w:t>
      </w:r>
      <w:r w:rsidRPr="7A52AF77">
        <w:rPr>
          <w:lang w:val="en-GB"/>
        </w:rPr>
        <w:t xml:space="preserve"> selected in each case will be based on the nature of the obligation</w:t>
      </w:r>
      <w:r w:rsidR="006F37F3" w:rsidRPr="7A52AF77">
        <w:rPr>
          <w:lang w:val="en-GB"/>
        </w:rPr>
        <w:t>,</w:t>
      </w:r>
      <w:r w:rsidRPr="7A52AF77">
        <w:rPr>
          <w:lang w:val="en-GB"/>
        </w:rPr>
        <w:t xml:space="preserve"> the stage at which the mitigation is required</w:t>
      </w:r>
      <w:r w:rsidR="006F37F3" w:rsidRPr="7A52AF77">
        <w:rPr>
          <w:lang w:val="en-GB"/>
        </w:rPr>
        <w:t xml:space="preserve"> and phasing of development (if relevant)</w:t>
      </w:r>
      <w:r w:rsidRPr="7A52AF77">
        <w:rPr>
          <w:lang w:val="en-GB"/>
        </w:rPr>
        <w:t xml:space="preserve">. The </w:t>
      </w:r>
      <w:r w:rsidR="04799CF0" w:rsidRPr="7A52AF77">
        <w:rPr>
          <w:lang w:val="en-GB"/>
        </w:rPr>
        <w:t>Council’s standard</w:t>
      </w:r>
      <w:r w:rsidRPr="7A52AF77">
        <w:rPr>
          <w:lang w:val="en-GB"/>
        </w:rPr>
        <w:t xml:space="preserve"> trigger points are</w:t>
      </w:r>
      <w:r w:rsidR="00742258">
        <w:rPr>
          <w:lang w:val="en-GB"/>
        </w:rPr>
        <w:t xml:space="preserve"> included below with the </w:t>
      </w:r>
      <w:r w:rsidR="00742258" w:rsidRPr="7A52AF77">
        <w:rPr>
          <w:lang w:val="en-GB"/>
        </w:rPr>
        <w:t>commencement of the development being the preferred point for an obligation to be delivered upon</w:t>
      </w:r>
      <w:r w:rsidRPr="7A52AF77">
        <w:rPr>
          <w:lang w:val="en-GB"/>
        </w:rPr>
        <w:t>:</w:t>
      </w:r>
    </w:p>
    <w:p w14:paraId="13E4A3A4" w14:textId="77777777" w:rsidR="00263CED" w:rsidRPr="000D65CE" w:rsidRDefault="00263CED" w:rsidP="003B280C">
      <w:pPr>
        <w:pStyle w:val="ListBullet4"/>
        <w:jc w:val="both"/>
      </w:pPr>
      <w:r>
        <w:t xml:space="preserve">Upon the date that the agreement is </w:t>
      </w:r>
      <w:r w:rsidR="00892950">
        <w:t>executed</w:t>
      </w:r>
    </w:p>
    <w:p w14:paraId="45667C05" w14:textId="77777777" w:rsidR="00263CED" w:rsidRPr="000D65CE" w:rsidRDefault="00263CED" w:rsidP="003B280C">
      <w:pPr>
        <w:pStyle w:val="ListBullet4"/>
        <w:jc w:val="both"/>
      </w:pPr>
      <w:r>
        <w:t>Upon or prior to</w:t>
      </w:r>
      <w:r w:rsidR="007B2E02">
        <w:t xml:space="preserve"> </w:t>
      </w:r>
      <w:r>
        <w:t>commencement of the development</w:t>
      </w:r>
    </w:p>
    <w:p w14:paraId="07B0B847" w14:textId="77777777" w:rsidR="00263CED" w:rsidRPr="000D65CE" w:rsidRDefault="00263CED" w:rsidP="003B280C">
      <w:pPr>
        <w:pStyle w:val="ListBullet4"/>
        <w:jc w:val="both"/>
      </w:pPr>
      <w:r>
        <w:t>Upon or prior to completion of the development</w:t>
      </w:r>
    </w:p>
    <w:p w14:paraId="219A3F88" w14:textId="77777777" w:rsidR="0054447A" w:rsidRPr="000D65CE" w:rsidRDefault="00263CED" w:rsidP="003B280C">
      <w:pPr>
        <w:pStyle w:val="ListBullet4"/>
        <w:jc w:val="both"/>
        <w:rPr>
          <w:rFonts w:cs="Arial"/>
        </w:rPr>
      </w:pPr>
      <w:r>
        <w:t>Upon or prior to</w:t>
      </w:r>
      <w:r w:rsidR="0054447A">
        <w:t xml:space="preserve"> occupation of the development</w:t>
      </w:r>
    </w:p>
    <w:p w14:paraId="23F45D53" w14:textId="63B7D16E" w:rsidR="00FA3976" w:rsidRPr="000D65CE" w:rsidRDefault="00E23DF0" w:rsidP="003B280C">
      <w:pPr>
        <w:pStyle w:val="Paragraphs"/>
        <w:rPr>
          <w:lang w:val="en-GB"/>
        </w:rPr>
      </w:pPr>
      <w:r w:rsidRPr="7A52AF77">
        <w:rPr>
          <w:lang w:val="en-GB"/>
        </w:rPr>
        <w:t>A</w:t>
      </w:r>
      <w:r w:rsidR="00DC77A1" w:rsidRPr="7A52AF77">
        <w:rPr>
          <w:lang w:val="en-GB"/>
        </w:rPr>
        <w:t xml:space="preserve"> Section 73 application</w:t>
      </w:r>
      <w:r w:rsidR="00C17EAD" w:rsidRPr="7A52AF77">
        <w:rPr>
          <w:lang w:val="en-GB"/>
        </w:rPr>
        <w:t xml:space="preserve"> for a minor material amendment</w:t>
      </w:r>
      <w:r w:rsidRPr="7A52AF77">
        <w:rPr>
          <w:lang w:val="en-GB"/>
        </w:rPr>
        <w:t xml:space="preserve"> </w:t>
      </w:r>
      <w:r w:rsidR="3EB6CAA4" w:rsidRPr="7A52AF77">
        <w:rPr>
          <w:lang w:val="en-GB"/>
        </w:rPr>
        <w:t xml:space="preserve">to </w:t>
      </w:r>
      <w:r w:rsidRPr="7A52AF77">
        <w:rPr>
          <w:lang w:val="en-GB"/>
        </w:rPr>
        <w:t xml:space="preserve"> remov</w:t>
      </w:r>
      <w:r w:rsidR="2EDEC60C" w:rsidRPr="7A52AF77">
        <w:rPr>
          <w:lang w:val="en-GB"/>
        </w:rPr>
        <w:t>e</w:t>
      </w:r>
      <w:r w:rsidRPr="7A52AF77">
        <w:rPr>
          <w:lang w:val="en-GB"/>
        </w:rPr>
        <w:t xml:space="preserve"> or change the requirements of a condition on a planning permission  </w:t>
      </w:r>
      <w:r w:rsidR="00DC77A1" w:rsidRPr="7A52AF77">
        <w:rPr>
          <w:lang w:val="en-GB"/>
        </w:rPr>
        <w:t xml:space="preserve">requires a Deed of Variation to the </w:t>
      </w:r>
      <w:r w:rsidR="00032BFE">
        <w:rPr>
          <w:lang w:val="en-GB"/>
        </w:rPr>
        <w:t>legal</w:t>
      </w:r>
      <w:r w:rsidR="00032BFE" w:rsidRPr="7A52AF77">
        <w:rPr>
          <w:lang w:val="en-GB"/>
        </w:rPr>
        <w:t xml:space="preserve"> </w:t>
      </w:r>
      <w:r w:rsidR="00DC77A1" w:rsidRPr="7A52AF77">
        <w:rPr>
          <w:lang w:val="en-GB"/>
        </w:rPr>
        <w:t>agreement</w:t>
      </w:r>
      <w:r w:rsidRPr="7A52AF77">
        <w:rPr>
          <w:lang w:val="en-GB"/>
        </w:rPr>
        <w:t>. Where</w:t>
      </w:r>
      <w:r w:rsidR="00C17EAD" w:rsidRPr="7A52AF77">
        <w:rPr>
          <w:lang w:val="en-GB"/>
        </w:rPr>
        <w:t xml:space="preserve"> a</w:t>
      </w:r>
      <w:r w:rsidRPr="7A52AF77">
        <w:rPr>
          <w:lang w:val="en-GB"/>
        </w:rPr>
        <w:t xml:space="preserve"> development has not yet commenced</w:t>
      </w:r>
      <w:r w:rsidR="00C17EAD" w:rsidRPr="7A52AF77">
        <w:rPr>
          <w:lang w:val="en-GB"/>
        </w:rPr>
        <w:t>, the</w:t>
      </w:r>
      <w:r w:rsidR="00DC77A1" w:rsidRPr="7A52AF77">
        <w:rPr>
          <w:lang w:val="en-GB"/>
        </w:rPr>
        <w:t xml:space="preserve"> triggers will</w:t>
      </w:r>
      <w:r w:rsidR="3B02FB59" w:rsidRPr="7A52AF77">
        <w:rPr>
          <w:lang w:val="en-GB"/>
        </w:rPr>
        <w:t xml:space="preserve"> usually</w:t>
      </w:r>
      <w:r w:rsidR="00DC77A1" w:rsidRPr="7A52AF77">
        <w:rPr>
          <w:lang w:val="en-GB"/>
        </w:rPr>
        <w:t xml:space="preserve"> remain. Where the permission has been implemented, it is imperative that </w:t>
      </w:r>
      <w:r w:rsidR="00235968" w:rsidRPr="7A52AF77">
        <w:rPr>
          <w:lang w:val="en-GB"/>
        </w:rPr>
        <w:t>any additional obligations are linked to appropriate trigger points, i.e. making a distinction between the implementation of the original permission and the recommencement of works under the new permission.</w:t>
      </w:r>
    </w:p>
    <w:p w14:paraId="70AD0BF2" w14:textId="180784CE" w:rsidR="00FA3976" w:rsidRPr="000D65CE" w:rsidRDefault="00263CED" w:rsidP="003B280C">
      <w:pPr>
        <w:pStyle w:val="Heading1"/>
        <w:jc w:val="both"/>
        <w:rPr>
          <w:lang w:val="en-GB"/>
        </w:rPr>
      </w:pPr>
      <w:r w:rsidRPr="000D65CE">
        <w:rPr>
          <w:lang w:val="en-GB"/>
        </w:rPr>
        <w:t>Interest Bearing Accounts</w:t>
      </w:r>
    </w:p>
    <w:p w14:paraId="39B0381A" w14:textId="2CB7BB73" w:rsidR="00FA3976" w:rsidRPr="000D65CE" w:rsidRDefault="00643628" w:rsidP="003B280C">
      <w:pPr>
        <w:pStyle w:val="Paragraphs"/>
        <w:rPr>
          <w:lang w:val="en-GB"/>
        </w:rPr>
      </w:pPr>
      <w:r w:rsidRPr="28D940A9">
        <w:rPr>
          <w:lang w:val="en-GB"/>
        </w:rPr>
        <w:t>W</w:t>
      </w:r>
      <w:r w:rsidR="00263CED" w:rsidRPr="28D940A9">
        <w:rPr>
          <w:lang w:val="en-GB"/>
        </w:rPr>
        <w:t>hen a financial contribution is received it will be placed within an interest</w:t>
      </w:r>
      <w:r w:rsidR="00B859CB" w:rsidRPr="28D940A9">
        <w:rPr>
          <w:lang w:val="en-GB"/>
        </w:rPr>
        <w:t>-</w:t>
      </w:r>
      <w:r w:rsidR="00263CED" w:rsidRPr="28D940A9">
        <w:rPr>
          <w:lang w:val="en-GB"/>
        </w:rPr>
        <w:t xml:space="preserve">bearing account from the date of its receipt. </w:t>
      </w:r>
    </w:p>
    <w:p w14:paraId="38651A95" w14:textId="4303072B" w:rsidR="00FA3976" w:rsidRPr="000D65CE" w:rsidRDefault="0044252A" w:rsidP="003B280C">
      <w:pPr>
        <w:pStyle w:val="Heading1"/>
        <w:jc w:val="both"/>
        <w:rPr>
          <w:lang w:val="en-GB"/>
        </w:rPr>
      </w:pPr>
      <w:r w:rsidRPr="000D65CE">
        <w:rPr>
          <w:lang w:val="en-GB"/>
        </w:rPr>
        <w:t xml:space="preserve">Liquidated Damages </w:t>
      </w:r>
      <w:r w:rsidR="00263CED" w:rsidRPr="000D65CE">
        <w:rPr>
          <w:lang w:val="en-GB"/>
        </w:rPr>
        <w:t>Clause and Enforcement of Obligations</w:t>
      </w:r>
    </w:p>
    <w:p w14:paraId="19B99781" w14:textId="58BA3762" w:rsidR="00C63A16" w:rsidRPr="000D65CE" w:rsidRDefault="00263CED" w:rsidP="003B280C">
      <w:pPr>
        <w:pStyle w:val="Paragraphs"/>
        <w:rPr>
          <w:lang w:val="en-GB"/>
        </w:rPr>
      </w:pPr>
      <w:r w:rsidRPr="7A52AF77">
        <w:rPr>
          <w:lang w:val="en-GB"/>
        </w:rPr>
        <w:t xml:space="preserve">Trigger points will vary for each individual obligation within the </w:t>
      </w:r>
      <w:r w:rsidR="00032BFE">
        <w:rPr>
          <w:lang w:val="en-GB"/>
        </w:rPr>
        <w:t>legal</w:t>
      </w:r>
      <w:r w:rsidR="00032BFE" w:rsidRPr="7A52AF77">
        <w:rPr>
          <w:lang w:val="en-GB"/>
        </w:rPr>
        <w:t xml:space="preserve"> </w:t>
      </w:r>
      <w:r w:rsidRPr="7A52AF77">
        <w:rPr>
          <w:lang w:val="en-GB"/>
        </w:rPr>
        <w:t xml:space="preserve">agreement. The developer is bound within each </w:t>
      </w:r>
      <w:r w:rsidR="00032BFE">
        <w:rPr>
          <w:lang w:val="en-GB"/>
        </w:rPr>
        <w:t>legal</w:t>
      </w:r>
      <w:r w:rsidR="00032BFE" w:rsidRPr="7A52AF77">
        <w:rPr>
          <w:lang w:val="en-GB"/>
        </w:rPr>
        <w:t xml:space="preserve"> </w:t>
      </w:r>
      <w:r w:rsidRPr="7A52AF77">
        <w:rPr>
          <w:lang w:val="en-GB"/>
        </w:rPr>
        <w:t>agreement to notify the Council upon commencement of the development. Where</w:t>
      </w:r>
      <w:r w:rsidR="0068711C" w:rsidRPr="7A52AF77">
        <w:rPr>
          <w:lang w:val="en-GB"/>
        </w:rPr>
        <w:t xml:space="preserve"> the Council</w:t>
      </w:r>
      <w:r w:rsidRPr="7A52AF77">
        <w:rPr>
          <w:lang w:val="en-GB"/>
        </w:rPr>
        <w:t xml:space="preserve"> </w:t>
      </w:r>
      <w:r w:rsidR="0068711C" w:rsidRPr="7A52AF77">
        <w:rPr>
          <w:lang w:val="en-GB"/>
        </w:rPr>
        <w:t xml:space="preserve">is </w:t>
      </w:r>
      <w:r w:rsidR="006B2759" w:rsidRPr="7A52AF77">
        <w:rPr>
          <w:lang w:val="en-GB"/>
        </w:rPr>
        <w:t>n</w:t>
      </w:r>
      <w:r w:rsidRPr="7A52AF77">
        <w:rPr>
          <w:lang w:val="en-GB"/>
        </w:rPr>
        <w:t>ot notified</w:t>
      </w:r>
      <w:r w:rsidR="00B859CB">
        <w:rPr>
          <w:lang w:val="en-GB"/>
        </w:rPr>
        <w:t>,</w:t>
      </w:r>
      <w:r w:rsidRPr="7A52AF77">
        <w:rPr>
          <w:lang w:val="en-GB"/>
        </w:rPr>
        <w:t xml:space="preserve"> and obligations become overdue </w:t>
      </w:r>
      <w:r w:rsidR="0068711C" w:rsidRPr="7A52AF77">
        <w:rPr>
          <w:lang w:val="en-GB"/>
        </w:rPr>
        <w:t>the Council</w:t>
      </w:r>
      <w:r w:rsidRPr="7A52AF77">
        <w:rPr>
          <w:lang w:val="en-GB"/>
        </w:rPr>
        <w:t xml:space="preserve"> will seek to enforce the obligation</w:t>
      </w:r>
      <w:r w:rsidR="00C63A16" w:rsidRPr="7A52AF77">
        <w:rPr>
          <w:lang w:val="en-GB"/>
        </w:rPr>
        <w:t xml:space="preserve"> and will activate</w:t>
      </w:r>
      <w:r w:rsidR="0044252A" w:rsidRPr="7A52AF77">
        <w:rPr>
          <w:lang w:val="en-GB"/>
        </w:rPr>
        <w:t xml:space="preserve"> a liquidated damages clause.</w:t>
      </w:r>
      <w:r w:rsidR="00C63A16" w:rsidRPr="7A52AF77">
        <w:rPr>
          <w:lang w:val="en-GB"/>
        </w:rPr>
        <w:t xml:space="preserve"> </w:t>
      </w:r>
    </w:p>
    <w:p w14:paraId="7FF5ED60" w14:textId="1A238F99" w:rsidR="00FA3976" w:rsidRPr="000D65CE" w:rsidRDefault="00C63A16" w:rsidP="003B280C">
      <w:pPr>
        <w:pStyle w:val="Paragraphs"/>
        <w:rPr>
          <w:lang w:val="en-GB"/>
        </w:rPr>
      </w:pPr>
      <w:r w:rsidRPr="7A52AF77">
        <w:rPr>
          <w:lang w:val="en-GB"/>
        </w:rPr>
        <w:t xml:space="preserve">A clause included in the </w:t>
      </w:r>
      <w:r w:rsidR="00032BFE">
        <w:rPr>
          <w:lang w:val="en-GB"/>
        </w:rPr>
        <w:t>legal</w:t>
      </w:r>
      <w:r w:rsidR="00032BFE" w:rsidRPr="7A52AF77">
        <w:rPr>
          <w:lang w:val="en-GB"/>
        </w:rPr>
        <w:t xml:space="preserve"> </w:t>
      </w:r>
      <w:r w:rsidRPr="7A52AF77">
        <w:rPr>
          <w:lang w:val="en-GB"/>
        </w:rPr>
        <w:t xml:space="preserve">agreement will ensure prompt payment by </w:t>
      </w:r>
      <w:r w:rsidR="009A3E14" w:rsidRPr="7A52AF77">
        <w:rPr>
          <w:lang w:val="en-GB"/>
        </w:rPr>
        <w:t>requiring interest to be paid</w:t>
      </w:r>
      <w:r w:rsidRPr="7A52AF77">
        <w:rPr>
          <w:lang w:val="en-GB"/>
        </w:rPr>
        <w:t xml:space="preserve"> where payments are overdue.</w:t>
      </w:r>
      <w:r w:rsidR="007B2E02" w:rsidRPr="7A52AF77">
        <w:rPr>
          <w:lang w:val="en-GB"/>
        </w:rPr>
        <w:t xml:space="preserve"> </w:t>
      </w:r>
      <w:r w:rsidRPr="7A52AF77">
        <w:rPr>
          <w:lang w:val="en-GB"/>
        </w:rPr>
        <w:t xml:space="preserve">As a final recourse, where obligations are not subsequently </w:t>
      </w:r>
      <w:r w:rsidR="009A3E14" w:rsidRPr="7A52AF77">
        <w:rPr>
          <w:lang w:val="en-GB"/>
        </w:rPr>
        <w:t>complied with</w:t>
      </w:r>
      <w:r w:rsidRPr="7A52AF77">
        <w:rPr>
          <w:lang w:val="en-GB"/>
        </w:rPr>
        <w:t xml:space="preserve">, </w:t>
      </w:r>
      <w:r w:rsidR="00C17EAD" w:rsidRPr="7A52AF77">
        <w:rPr>
          <w:lang w:val="en-GB"/>
        </w:rPr>
        <w:t xml:space="preserve">the Council </w:t>
      </w:r>
      <w:r w:rsidRPr="7A52AF77">
        <w:rPr>
          <w:lang w:val="en-GB"/>
        </w:rPr>
        <w:t xml:space="preserve">will take legal action against those in breach of a </w:t>
      </w:r>
      <w:r w:rsidR="00032BFE">
        <w:rPr>
          <w:lang w:val="en-GB"/>
        </w:rPr>
        <w:t>legal</w:t>
      </w:r>
      <w:r w:rsidR="00032BFE" w:rsidRPr="7A52AF77">
        <w:rPr>
          <w:lang w:val="en-GB"/>
        </w:rPr>
        <w:t xml:space="preserve"> </w:t>
      </w:r>
      <w:r w:rsidRPr="7A52AF77">
        <w:rPr>
          <w:lang w:val="en-GB"/>
        </w:rPr>
        <w:t>agreement. Non-financial obligations are also legally binding and where</w:t>
      </w:r>
      <w:r w:rsidR="00C17EAD" w:rsidRPr="7A52AF77">
        <w:rPr>
          <w:lang w:val="en-GB"/>
        </w:rPr>
        <w:t xml:space="preserve"> these have not been met the</w:t>
      </w:r>
      <w:r w:rsidR="00892950" w:rsidRPr="7A52AF77">
        <w:rPr>
          <w:lang w:val="en-GB"/>
        </w:rPr>
        <w:t xml:space="preserve"> Council</w:t>
      </w:r>
      <w:r w:rsidR="00C17EAD" w:rsidRPr="7A52AF77">
        <w:rPr>
          <w:lang w:val="en-GB"/>
        </w:rPr>
        <w:t xml:space="preserve"> </w:t>
      </w:r>
      <w:r w:rsidR="00AE0CFB" w:rsidRPr="7A52AF77">
        <w:rPr>
          <w:lang w:val="en-GB"/>
        </w:rPr>
        <w:t xml:space="preserve">will seek to </w:t>
      </w:r>
      <w:r w:rsidRPr="7A52AF77">
        <w:rPr>
          <w:lang w:val="en-GB"/>
        </w:rPr>
        <w:t>legally enforce</w:t>
      </w:r>
      <w:r w:rsidR="006B2759" w:rsidRPr="7A52AF77">
        <w:rPr>
          <w:lang w:val="en-GB"/>
        </w:rPr>
        <w:t xml:space="preserve"> them</w:t>
      </w:r>
      <w:r w:rsidR="00F305A6" w:rsidRPr="7A52AF77">
        <w:rPr>
          <w:lang w:val="en-GB"/>
        </w:rPr>
        <w:t>.</w:t>
      </w:r>
    </w:p>
    <w:p w14:paraId="18A080F3" w14:textId="2E1DBAD6" w:rsidR="00C63A16" w:rsidRPr="000D65CE" w:rsidRDefault="00C63A16" w:rsidP="003B280C">
      <w:pPr>
        <w:pStyle w:val="Heading1"/>
        <w:jc w:val="both"/>
        <w:rPr>
          <w:lang w:val="en-GB"/>
        </w:rPr>
      </w:pPr>
      <w:r w:rsidRPr="000D65CE">
        <w:rPr>
          <w:lang w:val="en-GB"/>
        </w:rPr>
        <w:lastRenderedPageBreak/>
        <w:t>Complying with Planning Obligations – the Developer’s Role</w:t>
      </w:r>
    </w:p>
    <w:p w14:paraId="607FB488" w14:textId="77777777" w:rsidR="004E05EE" w:rsidRPr="000D65CE" w:rsidRDefault="00C63A16" w:rsidP="003B280C">
      <w:pPr>
        <w:spacing w:before="360" w:after="120"/>
        <w:jc w:val="both"/>
        <w:rPr>
          <w:rFonts w:cs="Arial"/>
          <w:b/>
          <w:bCs/>
        </w:rPr>
      </w:pPr>
      <w:r w:rsidRPr="000D65CE">
        <w:rPr>
          <w:rStyle w:val="Strong"/>
        </w:rPr>
        <w:t>Complying with Financial Obligations</w:t>
      </w:r>
    </w:p>
    <w:p w14:paraId="3D1BA52C" w14:textId="0862CECD" w:rsidR="00C63A16" w:rsidRPr="00495411" w:rsidRDefault="00C63A16" w:rsidP="003A3E01">
      <w:pPr>
        <w:pStyle w:val="Paragraphs"/>
        <w:contextualSpacing/>
        <w:rPr>
          <w:color w:val="000000"/>
          <w:lang w:val="en-GB"/>
        </w:rPr>
      </w:pPr>
      <w:r w:rsidRPr="28D940A9">
        <w:rPr>
          <w:lang w:val="en-GB"/>
        </w:rPr>
        <w:t xml:space="preserve">Where a </w:t>
      </w:r>
      <w:r w:rsidR="00032BFE" w:rsidRPr="28D940A9">
        <w:rPr>
          <w:lang w:val="en-GB"/>
        </w:rPr>
        <w:t xml:space="preserve">legal </w:t>
      </w:r>
      <w:r w:rsidRPr="28D940A9">
        <w:rPr>
          <w:lang w:val="en-GB"/>
        </w:rPr>
        <w:t>agreement contains a financial obligation, details of how to make the payment to the Council are</w:t>
      </w:r>
      <w:r w:rsidR="00033232" w:rsidRPr="28D940A9">
        <w:rPr>
          <w:lang w:val="en-GB"/>
        </w:rPr>
        <w:t xml:space="preserve"> set out in the agreement</w:t>
      </w:r>
      <w:r w:rsidRPr="28D940A9">
        <w:rPr>
          <w:lang w:val="en-GB"/>
        </w:rPr>
        <w:t>. A</w:t>
      </w:r>
      <w:r w:rsidR="00C17EAD" w:rsidRPr="28D940A9">
        <w:rPr>
          <w:lang w:val="en-GB"/>
        </w:rPr>
        <w:t xml:space="preserve"> standard</w:t>
      </w:r>
      <w:r w:rsidRPr="28D940A9">
        <w:rPr>
          <w:lang w:val="en-GB"/>
        </w:rPr>
        <w:t xml:space="preserve"> payment form will be appended to the agreement and any payments should be made using this form, following the instructions provided</w:t>
      </w:r>
      <w:r w:rsidR="00487B14" w:rsidRPr="28D940A9">
        <w:rPr>
          <w:lang w:val="en-GB"/>
        </w:rPr>
        <w:t>, including providing the calculation used for</w:t>
      </w:r>
      <w:r w:rsidR="00B556CD" w:rsidRPr="28D940A9">
        <w:rPr>
          <w:lang w:val="en-GB"/>
        </w:rPr>
        <w:t xml:space="preserve"> the</w:t>
      </w:r>
      <w:r w:rsidR="00487B14" w:rsidRPr="28D940A9">
        <w:rPr>
          <w:lang w:val="en-GB"/>
        </w:rPr>
        <w:t xml:space="preserve"> </w:t>
      </w:r>
      <w:r w:rsidR="5AA0111E" w:rsidRPr="28D940A9">
        <w:rPr>
          <w:lang w:val="en-GB"/>
        </w:rPr>
        <w:t>i</w:t>
      </w:r>
      <w:r w:rsidR="00487B14" w:rsidRPr="28D940A9">
        <w:rPr>
          <w:lang w:val="en-GB"/>
        </w:rPr>
        <w:t xml:space="preserve">ndex </w:t>
      </w:r>
      <w:r w:rsidR="24A5FF7C" w:rsidRPr="28D940A9">
        <w:rPr>
          <w:lang w:val="en-GB"/>
        </w:rPr>
        <w:t>c</w:t>
      </w:r>
      <w:r w:rsidR="00487B14" w:rsidRPr="28D940A9">
        <w:rPr>
          <w:lang w:val="en-GB"/>
        </w:rPr>
        <w:t xml:space="preserve">alculation and </w:t>
      </w:r>
      <w:r w:rsidR="00B556CD" w:rsidRPr="28D940A9">
        <w:rPr>
          <w:lang w:val="en-GB"/>
        </w:rPr>
        <w:t>planning application reference</w:t>
      </w:r>
      <w:r w:rsidRPr="28D940A9">
        <w:rPr>
          <w:lang w:val="en-GB"/>
        </w:rPr>
        <w:t>. The payment can be made through BACS/CHAPS.</w:t>
      </w:r>
      <w:r w:rsidR="1CB920EE" w:rsidRPr="28D940A9">
        <w:rPr>
          <w:lang w:val="en-GB"/>
        </w:rPr>
        <w:t xml:space="preserve"> Please ensure that you notify the Council once the payment has been made.</w:t>
      </w:r>
      <w:r w:rsidRPr="28D940A9">
        <w:rPr>
          <w:lang w:val="en-GB"/>
        </w:rPr>
        <w:t xml:space="preserve"> Once received, the payment will be logged onto the Council’s </w:t>
      </w:r>
      <w:r w:rsidR="54F76FBB" w:rsidRPr="28D940A9">
        <w:rPr>
          <w:lang w:val="en-GB"/>
        </w:rPr>
        <w:t xml:space="preserve">section 106 monitoring and finance </w:t>
      </w:r>
      <w:r w:rsidRPr="28D940A9">
        <w:rPr>
          <w:lang w:val="en-GB"/>
        </w:rPr>
        <w:t xml:space="preserve">systems. </w:t>
      </w:r>
      <w:r w:rsidR="00451E2A" w:rsidRPr="28D940A9">
        <w:rPr>
          <w:lang w:val="en-GB"/>
        </w:rPr>
        <w:t xml:space="preserve"> A summary of received and negotiated financial contributions is included in the </w:t>
      </w:r>
      <w:hyperlink r:id="rId20">
        <w:r w:rsidR="00451E2A" w:rsidRPr="28D940A9">
          <w:rPr>
            <w:rStyle w:val="Hyperlink"/>
            <w:lang w:val="en-GB"/>
          </w:rPr>
          <w:t>Annual Monitoring Report</w:t>
        </w:r>
      </w:hyperlink>
      <w:r w:rsidR="00451E2A" w:rsidRPr="28D940A9">
        <w:rPr>
          <w:lang w:val="en-GB"/>
        </w:rPr>
        <w:t xml:space="preserve">. </w:t>
      </w:r>
    </w:p>
    <w:p w14:paraId="689C5602" w14:textId="77777777" w:rsidR="004E05EE" w:rsidRPr="000D65CE" w:rsidRDefault="00946703" w:rsidP="003B280C">
      <w:pPr>
        <w:spacing w:before="360" w:after="120"/>
        <w:jc w:val="both"/>
        <w:rPr>
          <w:rFonts w:cs="Arial"/>
          <w:b/>
          <w:bCs/>
        </w:rPr>
      </w:pPr>
      <w:r w:rsidRPr="000D65CE">
        <w:rPr>
          <w:rStyle w:val="Strong"/>
        </w:rPr>
        <w:t xml:space="preserve">Index </w:t>
      </w:r>
      <w:r w:rsidR="00C63A16" w:rsidRPr="000D65CE">
        <w:rPr>
          <w:rStyle w:val="Strong"/>
        </w:rPr>
        <w:t>Linking Payments</w:t>
      </w:r>
    </w:p>
    <w:p w14:paraId="509C8070" w14:textId="01DB07F4" w:rsidR="00700D78" w:rsidRPr="000D65CE" w:rsidRDefault="00C63A16" w:rsidP="003B280C">
      <w:pPr>
        <w:pStyle w:val="Paragraphs"/>
        <w:rPr>
          <w:lang w:val="en-GB"/>
        </w:rPr>
      </w:pPr>
      <w:r w:rsidRPr="7A52AF77">
        <w:rPr>
          <w:lang w:val="en-GB"/>
        </w:rPr>
        <w:t>Financ</w:t>
      </w:r>
      <w:r w:rsidR="00946703" w:rsidRPr="7A52AF77">
        <w:rPr>
          <w:lang w:val="en-GB"/>
        </w:rPr>
        <w:t>ial contributions will be index</w:t>
      </w:r>
      <w:r w:rsidR="004654ED" w:rsidRPr="7A52AF77">
        <w:rPr>
          <w:lang w:val="en-GB"/>
        </w:rPr>
        <w:t>-</w:t>
      </w:r>
      <w:r w:rsidRPr="7A52AF77">
        <w:rPr>
          <w:lang w:val="en-GB"/>
        </w:rPr>
        <w:t xml:space="preserve">linked to allow for the fluctuation of prices between the date the agreement is signed and the date the payment is made. This is calculated based on the indexation adjustment of the relevant index, from the date the </w:t>
      </w:r>
      <w:r w:rsidR="00032BFE">
        <w:rPr>
          <w:lang w:val="en-GB"/>
        </w:rPr>
        <w:t>legal</w:t>
      </w:r>
      <w:r w:rsidR="00032BFE" w:rsidRPr="7A52AF77">
        <w:rPr>
          <w:lang w:val="en-GB"/>
        </w:rPr>
        <w:t xml:space="preserve"> </w:t>
      </w:r>
      <w:r w:rsidRPr="7A52AF77">
        <w:rPr>
          <w:lang w:val="en-GB"/>
        </w:rPr>
        <w:t xml:space="preserve">agreement is signed to the  date of payment. </w:t>
      </w:r>
    </w:p>
    <w:p w14:paraId="1EF8303E" w14:textId="6D2B8B64" w:rsidR="00C63A16" w:rsidRPr="000D65CE" w:rsidRDefault="00C63A16" w:rsidP="003B280C">
      <w:pPr>
        <w:pStyle w:val="Paragraphs"/>
        <w:rPr>
          <w:lang w:val="en-GB"/>
        </w:rPr>
      </w:pPr>
      <w:r w:rsidRPr="7A52AF77">
        <w:rPr>
          <w:lang w:val="en-GB"/>
        </w:rPr>
        <w:t xml:space="preserve">The method of indexation </w:t>
      </w:r>
      <w:r w:rsidR="1186187E" w:rsidRPr="7A52AF77">
        <w:rPr>
          <w:lang w:val="en-GB"/>
        </w:rPr>
        <w:t>will</w:t>
      </w:r>
      <w:r w:rsidRPr="7A52AF77">
        <w:rPr>
          <w:lang w:val="en-GB"/>
        </w:rPr>
        <w:t xml:space="preserve"> be specified within the legal agreement and will usually either be the Retail Price Index (RPI) published by the Departmen</w:t>
      </w:r>
      <w:r w:rsidR="00EB4EFF" w:rsidRPr="7A52AF77">
        <w:rPr>
          <w:lang w:val="en-GB"/>
        </w:rPr>
        <w:t>t of Trade and Industry (DTI),</w:t>
      </w:r>
      <w:r w:rsidRPr="7A52AF77">
        <w:rPr>
          <w:lang w:val="en-GB"/>
        </w:rPr>
        <w:t xml:space="preserve"> the Building Cost Information Service Index (BCIS) published by the Royal Institution of Chartered Surveyors (RICS)</w:t>
      </w:r>
      <w:r w:rsidR="008655B1" w:rsidRPr="7A52AF77">
        <w:rPr>
          <w:lang w:val="en-GB"/>
        </w:rPr>
        <w:t xml:space="preserve"> or the </w:t>
      </w:r>
      <w:r w:rsidR="00EB4EFF" w:rsidRPr="7A52AF77">
        <w:rPr>
          <w:lang w:val="en-GB"/>
        </w:rPr>
        <w:t xml:space="preserve">Consumer </w:t>
      </w:r>
      <w:r w:rsidR="004654ED" w:rsidRPr="7A52AF77">
        <w:rPr>
          <w:lang w:val="en-GB"/>
        </w:rPr>
        <w:t>P</w:t>
      </w:r>
      <w:r w:rsidR="00EB4EFF" w:rsidRPr="7A52AF77">
        <w:rPr>
          <w:lang w:val="en-GB"/>
        </w:rPr>
        <w:t xml:space="preserve">rice </w:t>
      </w:r>
      <w:r w:rsidR="004654ED" w:rsidRPr="7A52AF77">
        <w:rPr>
          <w:lang w:val="en-GB"/>
        </w:rPr>
        <w:t>I</w:t>
      </w:r>
      <w:r w:rsidR="00EB4EFF" w:rsidRPr="7A52AF77">
        <w:rPr>
          <w:lang w:val="en-GB"/>
        </w:rPr>
        <w:t>ndex (CPI)</w:t>
      </w:r>
      <w:r w:rsidR="0088422C" w:rsidRPr="7A52AF77">
        <w:rPr>
          <w:lang w:val="en-GB"/>
        </w:rPr>
        <w:t xml:space="preserve"> published by the Office for National Statistics, </w:t>
      </w:r>
      <w:r w:rsidRPr="7A52AF77">
        <w:rPr>
          <w:lang w:val="en-GB"/>
        </w:rPr>
        <w:t>depending on the nature of the contribution.</w:t>
      </w:r>
      <w:r w:rsidR="00DA4033" w:rsidRPr="7A52AF77">
        <w:rPr>
          <w:lang w:val="en-GB"/>
        </w:rPr>
        <w:t xml:space="preserve"> In the event that the index decrease</w:t>
      </w:r>
      <w:r w:rsidR="00C17EAD" w:rsidRPr="7A52AF77">
        <w:rPr>
          <w:lang w:val="en-GB"/>
        </w:rPr>
        <w:t>s</w:t>
      </w:r>
      <w:r w:rsidR="00DA4033" w:rsidRPr="7A52AF77">
        <w:rPr>
          <w:lang w:val="en-GB"/>
        </w:rPr>
        <w:t xml:space="preserve">, the </w:t>
      </w:r>
      <w:r w:rsidR="003C5C32" w:rsidRPr="7A52AF77">
        <w:rPr>
          <w:lang w:val="en-GB"/>
        </w:rPr>
        <w:t>contribution</w:t>
      </w:r>
      <w:r w:rsidR="00DA4033" w:rsidRPr="7A52AF77">
        <w:rPr>
          <w:lang w:val="en-GB"/>
        </w:rPr>
        <w:t xml:space="preserve"> shall not fall below the figure set out in the </w:t>
      </w:r>
      <w:r w:rsidR="00032BFE">
        <w:rPr>
          <w:lang w:val="en-GB"/>
        </w:rPr>
        <w:t>legal</w:t>
      </w:r>
      <w:r w:rsidR="00032BFE" w:rsidRPr="7A52AF77">
        <w:rPr>
          <w:lang w:val="en-GB"/>
        </w:rPr>
        <w:t xml:space="preserve"> </w:t>
      </w:r>
      <w:r w:rsidR="00DA4033" w:rsidRPr="7A52AF77">
        <w:rPr>
          <w:lang w:val="en-GB"/>
        </w:rPr>
        <w:t>agreement.</w:t>
      </w:r>
    </w:p>
    <w:p w14:paraId="325F6F0D" w14:textId="77777777" w:rsidR="00F0458D" w:rsidRPr="000D65CE" w:rsidRDefault="006B2759" w:rsidP="003B280C">
      <w:pPr>
        <w:pStyle w:val="Paragraphs"/>
        <w:rPr>
          <w:lang w:val="en-GB"/>
        </w:rPr>
      </w:pPr>
      <w:r w:rsidRPr="7A52AF77">
        <w:rPr>
          <w:lang w:val="en-GB"/>
        </w:rPr>
        <w:t xml:space="preserve">We </w:t>
      </w:r>
      <w:r w:rsidR="00C63A16" w:rsidRPr="7A52AF77">
        <w:rPr>
          <w:lang w:val="en-GB"/>
        </w:rPr>
        <w:t xml:space="preserve">will endeavour to provide updated costs for the standard charges provided throughout </w:t>
      </w:r>
      <w:r w:rsidR="00C17EAD" w:rsidRPr="7A52AF77">
        <w:rPr>
          <w:lang w:val="en-GB"/>
        </w:rPr>
        <w:t>this SPD</w:t>
      </w:r>
      <w:r w:rsidR="00C63A16" w:rsidRPr="7A52AF77">
        <w:rPr>
          <w:lang w:val="en-GB"/>
        </w:rPr>
        <w:t xml:space="preserve"> as and when necessary. </w:t>
      </w:r>
    </w:p>
    <w:p w14:paraId="123405DD" w14:textId="77777777" w:rsidR="004E05EE" w:rsidRPr="000D65CE" w:rsidRDefault="00C63A16" w:rsidP="003B280C">
      <w:pPr>
        <w:spacing w:before="360" w:after="120"/>
        <w:jc w:val="both"/>
        <w:rPr>
          <w:rFonts w:cs="Arial"/>
          <w:b/>
          <w:bCs/>
        </w:rPr>
      </w:pPr>
      <w:r w:rsidRPr="000D65CE">
        <w:rPr>
          <w:rStyle w:val="Strong"/>
        </w:rPr>
        <w:t>Complying with In-kind Contributions</w:t>
      </w:r>
    </w:p>
    <w:p w14:paraId="70D1B557" w14:textId="47CF35A2" w:rsidR="005F6317" w:rsidRDefault="00C63A16" w:rsidP="003B280C">
      <w:pPr>
        <w:pStyle w:val="Paragraphs"/>
        <w:rPr>
          <w:lang w:val="en-GB"/>
        </w:rPr>
      </w:pPr>
      <w:r w:rsidRPr="7A52AF77">
        <w:rPr>
          <w:lang w:val="en-GB"/>
        </w:rPr>
        <w:t xml:space="preserve">Where an in-kind obligation is required through a </w:t>
      </w:r>
      <w:r w:rsidR="00032BFE">
        <w:rPr>
          <w:lang w:val="en-GB"/>
        </w:rPr>
        <w:t>legal</w:t>
      </w:r>
      <w:r w:rsidR="00032BFE" w:rsidRPr="7A52AF77">
        <w:rPr>
          <w:lang w:val="en-GB"/>
        </w:rPr>
        <w:t xml:space="preserve"> </w:t>
      </w:r>
      <w:r w:rsidRPr="7A52AF77">
        <w:rPr>
          <w:lang w:val="en-GB"/>
        </w:rPr>
        <w:t>agreement</w:t>
      </w:r>
      <w:r w:rsidR="004654ED" w:rsidRPr="7A52AF77">
        <w:rPr>
          <w:lang w:val="en-GB"/>
        </w:rPr>
        <w:t>,</w:t>
      </w:r>
      <w:r w:rsidRPr="7A52AF77">
        <w:rPr>
          <w:lang w:val="en-GB"/>
        </w:rPr>
        <w:t xml:space="preserve"> the developer </w:t>
      </w:r>
      <w:r w:rsidR="00C17EAD" w:rsidRPr="7A52AF77">
        <w:rPr>
          <w:lang w:val="en-GB"/>
        </w:rPr>
        <w:t xml:space="preserve">will need to </w:t>
      </w:r>
      <w:r w:rsidRPr="7A52AF77">
        <w:rPr>
          <w:lang w:val="en-GB"/>
        </w:rPr>
        <w:t xml:space="preserve">provide evidence of compliance with the obligation to the Council, </w:t>
      </w:r>
      <w:r w:rsidR="00C17EAD" w:rsidRPr="7A52AF77">
        <w:rPr>
          <w:lang w:val="en-GB"/>
        </w:rPr>
        <w:t>in accordance with the</w:t>
      </w:r>
      <w:r w:rsidRPr="7A52AF77">
        <w:rPr>
          <w:lang w:val="en-GB"/>
        </w:rPr>
        <w:t xml:space="preserve"> terms of the</w:t>
      </w:r>
      <w:r w:rsidR="00C17EAD" w:rsidRPr="7A52AF77">
        <w:rPr>
          <w:lang w:val="en-GB"/>
        </w:rPr>
        <w:t xml:space="preserve"> </w:t>
      </w:r>
      <w:r w:rsidR="5F45DEA5" w:rsidRPr="7A52AF77">
        <w:rPr>
          <w:lang w:val="en-GB"/>
        </w:rPr>
        <w:t>relevant agreement</w:t>
      </w:r>
      <w:r w:rsidRPr="7A52AF77">
        <w:rPr>
          <w:lang w:val="en-GB"/>
        </w:rPr>
        <w:t xml:space="preserve">. This evidence should be provided to the Council’s </w:t>
      </w:r>
      <w:r w:rsidR="006B2759" w:rsidRPr="7A52AF77">
        <w:rPr>
          <w:lang w:val="en-GB"/>
        </w:rPr>
        <w:t>p</w:t>
      </w:r>
      <w:r w:rsidRPr="7A52AF77">
        <w:rPr>
          <w:lang w:val="en-GB"/>
        </w:rPr>
        <w:t xml:space="preserve">lanning </w:t>
      </w:r>
      <w:r w:rsidR="006B2759" w:rsidRPr="7A52AF77">
        <w:rPr>
          <w:lang w:val="en-GB"/>
        </w:rPr>
        <w:t>o</w:t>
      </w:r>
      <w:r w:rsidRPr="7A52AF77">
        <w:rPr>
          <w:lang w:val="en-GB"/>
        </w:rPr>
        <w:t xml:space="preserve">bligations </w:t>
      </w:r>
      <w:r w:rsidR="006B2759" w:rsidRPr="7A52AF77">
        <w:rPr>
          <w:lang w:val="en-GB"/>
        </w:rPr>
        <w:t>o</w:t>
      </w:r>
      <w:r w:rsidRPr="7A52AF77">
        <w:rPr>
          <w:lang w:val="en-GB"/>
        </w:rPr>
        <w:t>fficer</w:t>
      </w:r>
      <w:r w:rsidR="006E3650" w:rsidRPr="7A52AF77">
        <w:rPr>
          <w:lang w:val="en-GB"/>
        </w:rPr>
        <w:t xml:space="preserve"> (</w:t>
      </w:r>
      <w:hyperlink r:id="rId21">
        <w:r w:rsidR="00C17EAD" w:rsidRPr="7A52AF77">
          <w:rPr>
            <w:rStyle w:val="Hyperlink"/>
            <w:lang w:val="en-GB"/>
          </w:rPr>
          <w:t>s106@towerhamlets.gov.uk</w:t>
        </w:r>
      </w:hyperlink>
      <w:r w:rsidR="006E3650" w:rsidRPr="7A52AF77">
        <w:rPr>
          <w:lang w:val="en-GB"/>
        </w:rPr>
        <w:t>)</w:t>
      </w:r>
      <w:r w:rsidR="00C17EAD" w:rsidRPr="7A52AF77">
        <w:rPr>
          <w:lang w:val="en-GB"/>
        </w:rPr>
        <w:t xml:space="preserve"> as soon as it has been satisfied. Failure to do so may result in the Council taking enforcement and/or legal action against a developer</w:t>
      </w:r>
      <w:r w:rsidRPr="7A52AF77">
        <w:rPr>
          <w:lang w:val="en-GB"/>
        </w:rPr>
        <w:t>. If approval is required from the Council on an element of the in-kind obligation,</w:t>
      </w:r>
      <w:r w:rsidR="00144FCB">
        <w:rPr>
          <w:lang w:val="en-GB"/>
        </w:rPr>
        <w:t xml:space="preserve"> details of who to contact will be set out in the legal agreement, however, the Council’s planning obligations officer is also available to answer any questions that may arise.</w:t>
      </w:r>
      <w:r w:rsidRPr="7A52AF77">
        <w:rPr>
          <w:lang w:val="en-GB"/>
        </w:rPr>
        <w:t xml:space="preserve">  </w:t>
      </w:r>
    </w:p>
    <w:p w14:paraId="73495939" w14:textId="77777777" w:rsidR="00151103" w:rsidRPr="000D65CE" w:rsidRDefault="00151103" w:rsidP="00151103">
      <w:pPr>
        <w:pStyle w:val="Paragraphs"/>
        <w:numPr>
          <w:ilvl w:val="0"/>
          <w:numId w:val="0"/>
        </w:numPr>
        <w:ind w:left="794"/>
        <w:rPr>
          <w:lang w:val="en-GB"/>
        </w:rPr>
      </w:pPr>
    </w:p>
    <w:p w14:paraId="3826C471" w14:textId="645B988B" w:rsidR="00C63A16" w:rsidRPr="000D65CE" w:rsidRDefault="00C63A16" w:rsidP="003B280C">
      <w:pPr>
        <w:pStyle w:val="Heading1"/>
        <w:jc w:val="both"/>
        <w:rPr>
          <w:lang w:val="en-GB"/>
        </w:rPr>
      </w:pPr>
      <w:r w:rsidRPr="000D65CE">
        <w:rPr>
          <w:lang w:val="en-GB"/>
        </w:rPr>
        <w:lastRenderedPageBreak/>
        <w:t>Monitoring and Delivery of Planning Obligations – the Council’s Role</w:t>
      </w:r>
    </w:p>
    <w:p w14:paraId="424AE404" w14:textId="77777777" w:rsidR="00282B6B" w:rsidRPr="000D65CE" w:rsidRDefault="00282B6B" w:rsidP="003B280C">
      <w:pPr>
        <w:jc w:val="both"/>
        <w:rPr>
          <w:rStyle w:val="Strong"/>
        </w:rPr>
      </w:pPr>
      <w:r w:rsidRPr="000D65CE">
        <w:rPr>
          <w:rStyle w:val="Strong"/>
        </w:rPr>
        <w:t>Compliance and Monitoring</w:t>
      </w:r>
    </w:p>
    <w:p w14:paraId="4E1A3370" w14:textId="50E3A24D" w:rsidR="00130839" w:rsidRPr="000D65CE" w:rsidRDefault="002F47DB" w:rsidP="003B280C">
      <w:pPr>
        <w:pStyle w:val="Paragraphs"/>
        <w:rPr>
          <w:rStyle w:val="Strong"/>
          <w:b w:val="0"/>
          <w:bCs w:val="0"/>
          <w:sz w:val="22"/>
          <w:lang w:val="en-GB"/>
        </w:rPr>
      </w:pPr>
      <w:r w:rsidRPr="7A52AF77">
        <w:rPr>
          <w:rStyle w:val="Strong"/>
          <w:b w:val="0"/>
          <w:bCs w:val="0"/>
          <w:sz w:val="22"/>
          <w:lang w:val="en-GB"/>
        </w:rPr>
        <w:t>The Council</w:t>
      </w:r>
      <w:r w:rsidR="00130839" w:rsidRPr="7A52AF77">
        <w:rPr>
          <w:rStyle w:val="Strong"/>
          <w:b w:val="0"/>
          <w:bCs w:val="0"/>
          <w:sz w:val="22"/>
          <w:lang w:val="en-GB"/>
        </w:rPr>
        <w:t xml:space="preserve"> monitors compliance with planning obligations in accordance with the relevant triggers in the </w:t>
      </w:r>
      <w:r w:rsidR="00032BFE">
        <w:rPr>
          <w:rStyle w:val="Strong"/>
          <w:b w:val="0"/>
          <w:bCs w:val="0"/>
          <w:sz w:val="22"/>
          <w:lang w:val="en-GB"/>
        </w:rPr>
        <w:t>legal</w:t>
      </w:r>
      <w:r w:rsidR="00032BFE" w:rsidRPr="7A52AF77">
        <w:rPr>
          <w:rStyle w:val="Strong"/>
          <w:b w:val="0"/>
          <w:bCs w:val="0"/>
          <w:sz w:val="22"/>
          <w:lang w:val="en-GB"/>
        </w:rPr>
        <w:t xml:space="preserve"> </w:t>
      </w:r>
      <w:r w:rsidR="00130839" w:rsidRPr="7A52AF77">
        <w:rPr>
          <w:rStyle w:val="Strong"/>
          <w:b w:val="0"/>
          <w:bCs w:val="0"/>
          <w:sz w:val="22"/>
          <w:lang w:val="en-GB"/>
        </w:rPr>
        <w:t xml:space="preserve">agreement. </w:t>
      </w:r>
    </w:p>
    <w:p w14:paraId="5E341C30" w14:textId="68B97EF7" w:rsidR="00D73DB5" w:rsidRPr="000D65CE" w:rsidRDefault="00282B6B" w:rsidP="7A52AF77">
      <w:pPr>
        <w:pStyle w:val="Paragraphs"/>
        <w:rPr>
          <w:rStyle w:val="Strong"/>
          <w:b w:val="0"/>
          <w:bCs w:val="0"/>
          <w:sz w:val="22"/>
          <w:lang w:val="en-GB"/>
        </w:rPr>
      </w:pPr>
      <w:r w:rsidRPr="7A52AF77">
        <w:rPr>
          <w:rStyle w:val="Strong"/>
          <w:b w:val="0"/>
          <w:bCs w:val="0"/>
          <w:sz w:val="22"/>
          <w:lang w:val="en-GB"/>
        </w:rPr>
        <w:t>When i</w:t>
      </w:r>
      <w:r w:rsidR="002F47DB" w:rsidRPr="7A52AF77">
        <w:rPr>
          <w:rStyle w:val="Strong"/>
          <w:b w:val="0"/>
          <w:bCs w:val="0"/>
          <w:sz w:val="22"/>
          <w:lang w:val="en-GB"/>
        </w:rPr>
        <w:t>nformation</w:t>
      </w:r>
      <w:r w:rsidRPr="7A52AF77">
        <w:rPr>
          <w:rStyle w:val="Strong"/>
          <w:b w:val="0"/>
          <w:bCs w:val="0"/>
          <w:sz w:val="22"/>
          <w:lang w:val="en-GB"/>
        </w:rPr>
        <w:t xml:space="preserve"> relating to a </w:t>
      </w:r>
      <w:r w:rsidR="00032BFE">
        <w:rPr>
          <w:rStyle w:val="Strong"/>
          <w:b w:val="0"/>
          <w:bCs w:val="0"/>
          <w:sz w:val="22"/>
          <w:lang w:val="en-GB"/>
        </w:rPr>
        <w:t>legal</w:t>
      </w:r>
      <w:r w:rsidR="00032BFE" w:rsidRPr="7A52AF77">
        <w:rPr>
          <w:rStyle w:val="Strong"/>
          <w:b w:val="0"/>
          <w:bCs w:val="0"/>
          <w:sz w:val="22"/>
          <w:lang w:val="en-GB"/>
        </w:rPr>
        <w:t xml:space="preserve"> </w:t>
      </w:r>
      <w:r w:rsidRPr="7A52AF77">
        <w:rPr>
          <w:rStyle w:val="Strong"/>
          <w:b w:val="0"/>
          <w:bCs w:val="0"/>
          <w:sz w:val="22"/>
          <w:lang w:val="en-GB"/>
        </w:rPr>
        <w:t>agreement</w:t>
      </w:r>
      <w:r w:rsidR="002F47DB" w:rsidRPr="7A52AF77">
        <w:rPr>
          <w:rStyle w:val="Strong"/>
          <w:b w:val="0"/>
          <w:bCs w:val="0"/>
          <w:sz w:val="22"/>
          <w:lang w:val="en-GB"/>
        </w:rPr>
        <w:t xml:space="preserve"> is submitted to the Council</w:t>
      </w:r>
      <w:r w:rsidRPr="7A52AF77">
        <w:rPr>
          <w:rStyle w:val="Strong"/>
          <w:b w:val="0"/>
          <w:bCs w:val="0"/>
          <w:sz w:val="22"/>
          <w:lang w:val="en-GB"/>
        </w:rPr>
        <w:t>, it is first</w:t>
      </w:r>
      <w:r w:rsidR="002F47DB" w:rsidRPr="7A52AF77">
        <w:rPr>
          <w:rStyle w:val="Strong"/>
          <w:b w:val="0"/>
          <w:bCs w:val="0"/>
          <w:sz w:val="22"/>
          <w:lang w:val="en-GB"/>
        </w:rPr>
        <w:t xml:space="preserve"> registered</w:t>
      </w:r>
      <w:r w:rsidR="00D73DB5" w:rsidRPr="7A52AF77">
        <w:rPr>
          <w:rStyle w:val="Strong"/>
          <w:b w:val="0"/>
          <w:bCs w:val="0"/>
          <w:sz w:val="22"/>
          <w:lang w:val="en-GB"/>
        </w:rPr>
        <w:t xml:space="preserve"> and validated and then passed on to the Infrastructure Planning Team. A </w:t>
      </w:r>
      <w:bookmarkStart w:id="33" w:name="_Hlk48923919"/>
      <w:r w:rsidR="00144FCB">
        <w:rPr>
          <w:rStyle w:val="Strong"/>
          <w:b w:val="0"/>
          <w:bCs w:val="0"/>
          <w:sz w:val="22"/>
          <w:lang w:val="en-GB"/>
        </w:rPr>
        <w:t xml:space="preserve">planning obligations </w:t>
      </w:r>
      <w:r w:rsidR="00C771A8" w:rsidRPr="7A52AF77">
        <w:rPr>
          <w:rStyle w:val="Strong"/>
          <w:b w:val="0"/>
          <w:bCs w:val="0"/>
          <w:sz w:val="22"/>
          <w:lang w:val="en-GB"/>
        </w:rPr>
        <w:t>officer</w:t>
      </w:r>
      <w:r w:rsidR="00D73DB5" w:rsidRPr="7A52AF77">
        <w:rPr>
          <w:rStyle w:val="Strong"/>
          <w:b w:val="0"/>
          <w:bCs w:val="0"/>
          <w:sz w:val="22"/>
          <w:lang w:val="en-GB"/>
        </w:rPr>
        <w:t xml:space="preserve"> </w:t>
      </w:r>
      <w:bookmarkEnd w:id="33"/>
      <w:r w:rsidR="00130839" w:rsidRPr="7A52AF77">
        <w:rPr>
          <w:rStyle w:val="Strong"/>
          <w:b w:val="0"/>
          <w:bCs w:val="0"/>
          <w:sz w:val="22"/>
          <w:lang w:val="en-GB"/>
        </w:rPr>
        <w:t>is</w:t>
      </w:r>
      <w:r w:rsidR="00D73DB5" w:rsidRPr="7A52AF77">
        <w:rPr>
          <w:rStyle w:val="Strong"/>
          <w:b w:val="0"/>
          <w:bCs w:val="0"/>
          <w:sz w:val="22"/>
          <w:lang w:val="en-GB"/>
        </w:rPr>
        <w:t xml:space="preserve"> responsibl</w:t>
      </w:r>
      <w:r w:rsidR="00130839" w:rsidRPr="7A52AF77">
        <w:rPr>
          <w:rStyle w:val="Strong"/>
          <w:b w:val="0"/>
          <w:bCs w:val="0"/>
          <w:sz w:val="22"/>
          <w:lang w:val="en-GB"/>
        </w:rPr>
        <w:t>e for managing</w:t>
      </w:r>
      <w:r w:rsidR="00D73DB5" w:rsidRPr="7A52AF77">
        <w:rPr>
          <w:rStyle w:val="Strong"/>
          <w:b w:val="0"/>
          <w:bCs w:val="0"/>
          <w:sz w:val="22"/>
          <w:lang w:val="en-GB"/>
        </w:rPr>
        <w:t xml:space="preserve"> internal </w:t>
      </w:r>
      <w:r w:rsidR="00340794" w:rsidRPr="7A52AF77">
        <w:rPr>
          <w:rStyle w:val="Strong"/>
          <w:b w:val="0"/>
          <w:bCs w:val="0"/>
          <w:sz w:val="22"/>
          <w:lang w:val="en-GB"/>
        </w:rPr>
        <w:t>consultation</w:t>
      </w:r>
      <w:r w:rsidR="00D73DB5" w:rsidRPr="7A52AF77">
        <w:rPr>
          <w:rStyle w:val="Strong"/>
          <w:b w:val="0"/>
          <w:bCs w:val="0"/>
          <w:sz w:val="22"/>
          <w:lang w:val="en-GB"/>
        </w:rPr>
        <w:t xml:space="preserve"> with relevant</w:t>
      </w:r>
      <w:r w:rsidR="00110368" w:rsidRPr="7A52AF77">
        <w:rPr>
          <w:rStyle w:val="Strong"/>
          <w:b w:val="0"/>
          <w:bCs w:val="0"/>
          <w:sz w:val="22"/>
          <w:lang w:val="en-GB"/>
        </w:rPr>
        <w:t xml:space="preserve"> Council</w:t>
      </w:r>
      <w:r w:rsidR="00D73DB5" w:rsidRPr="7A52AF77">
        <w:rPr>
          <w:rStyle w:val="Strong"/>
          <w:b w:val="0"/>
          <w:bCs w:val="0"/>
          <w:sz w:val="22"/>
          <w:lang w:val="en-GB"/>
        </w:rPr>
        <w:t xml:space="preserve"> service areas</w:t>
      </w:r>
      <w:r w:rsidR="00C771A8" w:rsidRPr="7A52AF77">
        <w:rPr>
          <w:rStyle w:val="Strong"/>
          <w:b w:val="0"/>
          <w:bCs w:val="0"/>
          <w:sz w:val="22"/>
          <w:lang w:val="en-GB"/>
        </w:rPr>
        <w:t>,</w:t>
      </w:r>
      <w:r w:rsidR="00340794" w:rsidRPr="7A52AF77">
        <w:rPr>
          <w:rStyle w:val="Strong"/>
          <w:b w:val="0"/>
          <w:bCs w:val="0"/>
          <w:sz w:val="22"/>
          <w:lang w:val="en-GB"/>
        </w:rPr>
        <w:t xml:space="preserve"> </w:t>
      </w:r>
      <w:r w:rsidR="00C771A8" w:rsidRPr="7A52AF77">
        <w:rPr>
          <w:rStyle w:val="Strong"/>
          <w:b w:val="0"/>
          <w:bCs w:val="0"/>
          <w:sz w:val="22"/>
          <w:lang w:val="en-GB"/>
        </w:rPr>
        <w:t xml:space="preserve">including </w:t>
      </w:r>
      <w:r w:rsidR="00340794" w:rsidRPr="7A52AF77">
        <w:rPr>
          <w:rStyle w:val="Strong"/>
          <w:b w:val="0"/>
          <w:bCs w:val="0"/>
          <w:sz w:val="22"/>
          <w:lang w:val="en-GB"/>
        </w:rPr>
        <w:t>assessment of the information submitted</w:t>
      </w:r>
      <w:r w:rsidR="00D73DB5" w:rsidRPr="7A52AF77">
        <w:rPr>
          <w:rStyle w:val="Strong"/>
          <w:b w:val="0"/>
          <w:bCs w:val="0"/>
          <w:sz w:val="22"/>
          <w:lang w:val="en-GB"/>
        </w:rPr>
        <w:t xml:space="preserve"> to </w:t>
      </w:r>
      <w:r w:rsidR="00340794" w:rsidRPr="7A52AF77">
        <w:rPr>
          <w:rStyle w:val="Strong"/>
          <w:b w:val="0"/>
          <w:bCs w:val="0"/>
          <w:sz w:val="22"/>
          <w:lang w:val="en-GB"/>
        </w:rPr>
        <w:t>confirm that the</w:t>
      </w:r>
      <w:r w:rsidR="002F0ED0" w:rsidRPr="7A52AF77">
        <w:rPr>
          <w:rStyle w:val="Strong"/>
          <w:b w:val="0"/>
          <w:bCs w:val="0"/>
          <w:sz w:val="22"/>
          <w:lang w:val="en-GB"/>
        </w:rPr>
        <w:t xml:space="preserve"> obligation has been complied with.</w:t>
      </w:r>
    </w:p>
    <w:p w14:paraId="102A48BD" w14:textId="2877C7A5" w:rsidR="00340794" w:rsidRPr="000D65CE" w:rsidRDefault="00340794" w:rsidP="7A52AF77">
      <w:pPr>
        <w:pStyle w:val="Paragraphs"/>
        <w:rPr>
          <w:rStyle w:val="Strong"/>
          <w:b w:val="0"/>
          <w:bCs w:val="0"/>
          <w:sz w:val="22"/>
          <w:lang w:val="en-GB"/>
        </w:rPr>
      </w:pPr>
      <w:r w:rsidRPr="7A52AF77">
        <w:rPr>
          <w:rStyle w:val="Strong"/>
          <w:b w:val="0"/>
          <w:bCs w:val="0"/>
          <w:sz w:val="22"/>
          <w:lang w:val="en-GB"/>
        </w:rPr>
        <w:t xml:space="preserve">Following confirmation of compliance, a </w:t>
      </w:r>
      <w:r w:rsidR="00144FCB">
        <w:rPr>
          <w:rStyle w:val="Strong"/>
          <w:b w:val="0"/>
          <w:bCs w:val="0"/>
          <w:sz w:val="22"/>
          <w:lang w:val="en-GB"/>
        </w:rPr>
        <w:t>formal response</w:t>
      </w:r>
      <w:r w:rsidRPr="7A52AF77">
        <w:rPr>
          <w:rStyle w:val="Strong"/>
          <w:b w:val="0"/>
          <w:bCs w:val="0"/>
          <w:sz w:val="22"/>
          <w:lang w:val="en-GB"/>
        </w:rPr>
        <w:t xml:space="preserve"> is issued </w:t>
      </w:r>
      <w:r w:rsidR="005864EE" w:rsidRPr="7A52AF77">
        <w:rPr>
          <w:rStyle w:val="Strong"/>
          <w:b w:val="0"/>
          <w:bCs w:val="0"/>
          <w:sz w:val="22"/>
          <w:lang w:val="en-GB"/>
        </w:rPr>
        <w:t xml:space="preserve">to the applicant to </w:t>
      </w:r>
      <w:r w:rsidR="00C771A8" w:rsidRPr="7A52AF77">
        <w:rPr>
          <w:rStyle w:val="Strong"/>
          <w:b w:val="0"/>
          <w:bCs w:val="0"/>
          <w:sz w:val="22"/>
          <w:lang w:val="en-GB"/>
        </w:rPr>
        <w:t>verify</w:t>
      </w:r>
      <w:r w:rsidR="0DC3E2FC" w:rsidRPr="7A52AF77">
        <w:rPr>
          <w:rStyle w:val="Strong"/>
          <w:b w:val="0"/>
          <w:bCs w:val="0"/>
          <w:sz w:val="22"/>
          <w:lang w:val="en-GB"/>
        </w:rPr>
        <w:t xml:space="preserve"> whether or not</w:t>
      </w:r>
      <w:r w:rsidR="005864EE" w:rsidRPr="7A52AF77">
        <w:rPr>
          <w:rStyle w:val="Strong"/>
          <w:b w:val="0"/>
          <w:bCs w:val="0"/>
          <w:sz w:val="22"/>
          <w:lang w:val="en-GB"/>
        </w:rPr>
        <w:t xml:space="preserve"> the planning obligation has been complied with. </w:t>
      </w:r>
      <w:r w:rsidRPr="7A52AF77">
        <w:rPr>
          <w:rStyle w:val="Strong"/>
          <w:b w:val="0"/>
          <w:bCs w:val="0"/>
          <w:sz w:val="22"/>
          <w:lang w:val="en-GB"/>
        </w:rPr>
        <w:t xml:space="preserve"> </w:t>
      </w:r>
    </w:p>
    <w:p w14:paraId="41353255" w14:textId="77777777" w:rsidR="00A7732B" w:rsidRPr="000D65CE" w:rsidRDefault="00C63A16" w:rsidP="003B280C">
      <w:pPr>
        <w:spacing w:before="360" w:after="120"/>
        <w:jc w:val="both"/>
        <w:rPr>
          <w:rFonts w:cs="Arial"/>
          <w:b/>
          <w:bCs/>
        </w:rPr>
      </w:pPr>
      <w:r w:rsidRPr="000D65CE">
        <w:rPr>
          <w:rStyle w:val="Strong"/>
        </w:rPr>
        <w:t>Non-Financial Obligations</w:t>
      </w:r>
    </w:p>
    <w:p w14:paraId="30D8BF25" w14:textId="35BF512E" w:rsidR="007F3EF2" w:rsidRPr="000D65CE" w:rsidRDefault="00C63A16" w:rsidP="003B280C">
      <w:pPr>
        <w:pStyle w:val="Paragraphs"/>
        <w:rPr>
          <w:lang w:val="en-GB"/>
        </w:rPr>
      </w:pPr>
      <w:r w:rsidRPr="7A52AF77">
        <w:rPr>
          <w:lang w:val="en-GB"/>
        </w:rPr>
        <w:t>The</w:t>
      </w:r>
      <w:r w:rsidR="006E3650" w:rsidRPr="7A52AF77">
        <w:rPr>
          <w:lang w:val="en-GB"/>
        </w:rPr>
        <w:t xml:space="preserve"> implementation/</w:t>
      </w:r>
      <w:r w:rsidRPr="7A52AF77">
        <w:rPr>
          <w:lang w:val="en-GB"/>
        </w:rPr>
        <w:t>delivery of non-financial contributions, or in-kind obligations, will</w:t>
      </w:r>
      <w:r w:rsidR="56AC5E53" w:rsidRPr="7A52AF77">
        <w:rPr>
          <w:lang w:val="en-GB"/>
        </w:rPr>
        <w:t xml:space="preserve"> in some cases</w:t>
      </w:r>
      <w:r w:rsidRPr="7A52AF77">
        <w:rPr>
          <w:lang w:val="en-GB"/>
        </w:rPr>
        <w:t xml:space="preserve"> be monitored by the </w:t>
      </w:r>
      <w:r w:rsidR="00C17EAD" w:rsidRPr="7A52AF77">
        <w:rPr>
          <w:lang w:val="en-GB"/>
        </w:rPr>
        <w:t xml:space="preserve">relevant </w:t>
      </w:r>
      <w:r w:rsidRPr="7A52AF77">
        <w:rPr>
          <w:lang w:val="en-GB"/>
        </w:rPr>
        <w:t>service areas</w:t>
      </w:r>
      <w:r w:rsidR="006E3650" w:rsidRPr="7A52AF77">
        <w:rPr>
          <w:lang w:val="en-GB"/>
        </w:rPr>
        <w:t xml:space="preserve"> within the Council</w:t>
      </w:r>
      <w:r w:rsidRPr="7A52AF77">
        <w:rPr>
          <w:lang w:val="en-GB"/>
        </w:rPr>
        <w:t xml:space="preserve">. For example, where there is an </w:t>
      </w:r>
      <w:r w:rsidR="00892A5D" w:rsidRPr="7A52AF77">
        <w:rPr>
          <w:lang w:val="en-GB"/>
        </w:rPr>
        <w:t>Affordable Housing</w:t>
      </w:r>
      <w:r w:rsidRPr="7A52AF77">
        <w:rPr>
          <w:lang w:val="en-GB"/>
        </w:rPr>
        <w:t xml:space="preserve"> element to a </w:t>
      </w:r>
      <w:r w:rsidR="00032BFE">
        <w:rPr>
          <w:lang w:val="en-GB"/>
        </w:rPr>
        <w:t>legal</w:t>
      </w:r>
      <w:r w:rsidR="00032BFE" w:rsidRPr="7A52AF77">
        <w:rPr>
          <w:lang w:val="en-GB"/>
        </w:rPr>
        <w:t xml:space="preserve"> </w:t>
      </w:r>
      <w:r w:rsidRPr="7A52AF77">
        <w:rPr>
          <w:lang w:val="en-GB"/>
        </w:rPr>
        <w:t>agreement, the</w:t>
      </w:r>
      <w:r w:rsidR="006E3650" w:rsidRPr="7A52AF77">
        <w:rPr>
          <w:lang w:val="en-GB"/>
        </w:rPr>
        <w:t xml:space="preserve"> Council’s</w:t>
      </w:r>
      <w:r w:rsidRPr="7A52AF77">
        <w:rPr>
          <w:lang w:val="en-GB"/>
        </w:rPr>
        <w:t xml:space="preserve"> Affordable Housing Team will monitor this section of the agreement to ensure that it is complied with.</w:t>
      </w:r>
      <w:r w:rsidR="007F3EF2" w:rsidRPr="7A52AF77">
        <w:rPr>
          <w:lang w:val="en-GB"/>
        </w:rPr>
        <w:t xml:space="preserve"> </w:t>
      </w:r>
    </w:p>
    <w:p w14:paraId="0629C73C" w14:textId="77777777" w:rsidR="00A7732B" w:rsidRPr="000D65CE" w:rsidRDefault="0089637F" w:rsidP="003B280C">
      <w:pPr>
        <w:spacing w:before="360" w:after="120"/>
        <w:jc w:val="both"/>
        <w:rPr>
          <w:rFonts w:cs="Arial"/>
          <w:b/>
          <w:bCs/>
        </w:rPr>
      </w:pPr>
      <w:r w:rsidRPr="000D65CE">
        <w:rPr>
          <w:rStyle w:val="Strong"/>
        </w:rPr>
        <w:t>Financial Contributions</w:t>
      </w:r>
    </w:p>
    <w:p w14:paraId="0BCD05A4" w14:textId="514E9958" w:rsidR="0089637F" w:rsidRPr="0001334B" w:rsidRDefault="00386642" w:rsidP="003B280C">
      <w:pPr>
        <w:pStyle w:val="Paragraphs"/>
        <w:rPr>
          <w:lang w:val="en-GB"/>
        </w:rPr>
      </w:pPr>
      <w:r w:rsidRPr="0001334B">
        <w:rPr>
          <w:lang w:val="en-GB"/>
        </w:rPr>
        <w:t>F</w:t>
      </w:r>
      <w:r w:rsidR="0089637F" w:rsidRPr="0001334B">
        <w:rPr>
          <w:lang w:val="en-GB"/>
        </w:rPr>
        <w:t>inancial contribution</w:t>
      </w:r>
      <w:r w:rsidRPr="0001334B">
        <w:rPr>
          <w:lang w:val="en-GB"/>
        </w:rPr>
        <w:t>s are</w:t>
      </w:r>
      <w:r w:rsidR="00C17EAD" w:rsidRPr="0001334B">
        <w:rPr>
          <w:lang w:val="en-GB"/>
        </w:rPr>
        <w:t xml:space="preserve"> </w:t>
      </w:r>
      <w:r w:rsidR="00C44288" w:rsidRPr="0001334B">
        <w:rPr>
          <w:lang w:val="en-GB"/>
        </w:rPr>
        <w:t>used to fund projects in the b</w:t>
      </w:r>
      <w:r w:rsidRPr="0001334B">
        <w:rPr>
          <w:lang w:val="en-GB"/>
        </w:rPr>
        <w:t>orough</w:t>
      </w:r>
      <w:r w:rsidR="00C17EAD" w:rsidRPr="0001334B">
        <w:rPr>
          <w:lang w:val="en-GB"/>
        </w:rPr>
        <w:t xml:space="preserve"> that mitigate identified impacts</w:t>
      </w:r>
      <w:r w:rsidRPr="0001334B">
        <w:rPr>
          <w:lang w:val="en-GB"/>
        </w:rPr>
        <w:t>.</w:t>
      </w:r>
      <w:r w:rsidR="0089637F" w:rsidRPr="0001334B">
        <w:rPr>
          <w:lang w:val="en-GB"/>
        </w:rPr>
        <w:t xml:space="preserve"> </w:t>
      </w:r>
      <w:r w:rsidRPr="0001334B">
        <w:rPr>
          <w:lang w:val="en-GB"/>
        </w:rPr>
        <w:t>The</w:t>
      </w:r>
      <w:r w:rsidR="00C17EAD" w:rsidRPr="0001334B">
        <w:rPr>
          <w:lang w:val="en-GB"/>
        </w:rPr>
        <w:t>se</w:t>
      </w:r>
      <w:r w:rsidRPr="0001334B">
        <w:rPr>
          <w:lang w:val="en-GB"/>
        </w:rPr>
        <w:t xml:space="preserve"> p</w:t>
      </w:r>
      <w:r w:rsidR="0089637F" w:rsidRPr="0001334B">
        <w:rPr>
          <w:lang w:val="en-GB"/>
        </w:rPr>
        <w:t>rojects</w:t>
      </w:r>
      <w:r w:rsidRPr="0001334B">
        <w:rPr>
          <w:lang w:val="en-GB"/>
        </w:rPr>
        <w:t xml:space="preserve"> </w:t>
      </w:r>
      <w:r w:rsidR="00C17EAD" w:rsidRPr="0001334B">
        <w:rPr>
          <w:lang w:val="en-GB"/>
        </w:rPr>
        <w:t>are</w:t>
      </w:r>
      <w:r w:rsidRPr="0001334B">
        <w:rPr>
          <w:lang w:val="en-GB"/>
        </w:rPr>
        <w:t xml:space="preserve"> selected</w:t>
      </w:r>
      <w:r w:rsidR="00C17EAD" w:rsidRPr="0001334B">
        <w:rPr>
          <w:lang w:val="en-GB"/>
        </w:rPr>
        <w:t xml:space="preserve"> for delivery</w:t>
      </w:r>
      <w:r w:rsidRPr="0001334B">
        <w:rPr>
          <w:lang w:val="en-GB"/>
        </w:rPr>
        <w:t xml:space="preserve"> </w:t>
      </w:r>
      <w:r w:rsidR="0089637F" w:rsidRPr="0001334B">
        <w:rPr>
          <w:lang w:val="en-GB"/>
        </w:rPr>
        <w:t>through</w:t>
      </w:r>
      <w:r w:rsidR="00C17EAD" w:rsidRPr="0001334B">
        <w:rPr>
          <w:lang w:val="en-GB"/>
        </w:rPr>
        <w:t xml:space="preserve"> the Council’s Capital Programme</w:t>
      </w:r>
      <w:r w:rsidR="0001334B" w:rsidRPr="0001334B">
        <w:rPr>
          <w:lang w:val="en-GB"/>
        </w:rPr>
        <w:t>.</w:t>
      </w:r>
      <w:r w:rsidR="00C17EAD" w:rsidRPr="0001334B">
        <w:rPr>
          <w:lang w:val="en-GB"/>
        </w:rPr>
        <w:t xml:space="preserve"> </w:t>
      </w:r>
      <w:r w:rsidR="005528C2" w:rsidRPr="0001334B">
        <w:rPr>
          <w:lang w:val="en-GB"/>
        </w:rPr>
        <w:t>The Council’s Capital Programme is informed by the</w:t>
      </w:r>
      <w:r w:rsidR="006C4650" w:rsidRPr="0001334B">
        <w:rPr>
          <w:lang w:val="en-GB"/>
        </w:rPr>
        <w:t xml:space="preserve"> Council’s Strategic Plan,</w:t>
      </w:r>
      <w:r w:rsidR="005528C2" w:rsidRPr="0001334B">
        <w:rPr>
          <w:lang w:val="en-GB"/>
        </w:rPr>
        <w:t xml:space="preserve"> Local Plan and Infrastructure Delivery Plan.</w:t>
      </w:r>
      <w:r w:rsidR="006C4650" w:rsidRPr="0001334B">
        <w:rPr>
          <w:lang w:val="en-GB"/>
        </w:rPr>
        <w:t xml:space="preserve"> The Capital Programme is set during the Council’s annual budget process. </w:t>
      </w:r>
      <w:r w:rsidR="005528C2" w:rsidRPr="0001334B">
        <w:rPr>
          <w:lang w:val="en-GB"/>
        </w:rPr>
        <w:t xml:space="preserve"> </w:t>
      </w:r>
    </w:p>
    <w:p w14:paraId="535E2AEF" w14:textId="4F5D9F8E" w:rsidR="006C4650" w:rsidRDefault="006C4650" w:rsidP="003B280C">
      <w:pPr>
        <w:pStyle w:val="Paragraphs"/>
        <w:rPr>
          <w:lang w:val="en-GB"/>
        </w:rPr>
      </w:pPr>
      <w:r>
        <w:rPr>
          <w:lang w:val="en-GB"/>
        </w:rPr>
        <w:t xml:space="preserve">The Capital </w:t>
      </w:r>
      <w:r w:rsidR="00AE6780">
        <w:rPr>
          <w:lang w:val="en-GB"/>
        </w:rPr>
        <w:t>Delivery Team is made up of specialist project and programme professionals who are</w:t>
      </w:r>
      <w:r>
        <w:rPr>
          <w:lang w:val="en-GB"/>
        </w:rPr>
        <w:t xml:space="preserve"> responsible for the delivery of the</w:t>
      </w:r>
      <w:r w:rsidR="00AE6780">
        <w:rPr>
          <w:lang w:val="en-GB"/>
        </w:rPr>
        <w:t xml:space="preserve"> Capital Programme, including</w:t>
      </w:r>
      <w:r w:rsidR="00E418C7" w:rsidRPr="7A52AF77">
        <w:rPr>
          <w:lang w:val="en-GB"/>
        </w:rPr>
        <w:t xml:space="preserve"> the expenditure of </w:t>
      </w:r>
      <w:r w:rsidR="00E418C7">
        <w:rPr>
          <w:lang w:val="en-GB"/>
        </w:rPr>
        <w:t>planning obligation</w:t>
      </w:r>
      <w:r w:rsidR="00E418C7" w:rsidRPr="7A52AF77">
        <w:rPr>
          <w:lang w:val="en-GB"/>
        </w:rPr>
        <w:t xml:space="preserve"> monies and CIL funding</w:t>
      </w:r>
      <w:r w:rsidR="00E418C7">
        <w:rPr>
          <w:lang w:val="en-GB"/>
        </w:rPr>
        <w:t>.</w:t>
      </w:r>
      <w:r>
        <w:rPr>
          <w:lang w:val="en-GB"/>
        </w:rPr>
        <w:t xml:space="preserve"> </w:t>
      </w:r>
      <w:r w:rsidR="002F7CF8">
        <w:rPr>
          <w:lang w:val="en-GB"/>
        </w:rPr>
        <w:t>Projects follow the Office of Government Commerce</w:t>
      </w:r>
      <w:r w:rsidR="00B27373">
        <w:rPr>
          <w:lang w:val="en-GB"/>
        </w:rPr>
        <w:t xml:space="preserve"> gateway approval process</w:t>
      </w:r>
      <w:r w:rsidR="00197F85">
        <w:rPr>
          <w:lang w:val="en-GB"/>
        </w:rPr>
        <w:t xml:space="preserve"> through a number of boards responsible for </w:t>
      </w:r>
      <w:r w:rsidR="001F0F57">
        <w:rPr>
          <w:lang w:val="en-GB"/>
        </w:rPr>
        <w:t>strategy, delivery and support</w:t>
      </w:r>
      <w:r w:rsidR="00D37536">
        <w:rPr>
          <w:lang w:val="en-GB"/>
        </w:rPr>
        <w:t xml:space="preserve">. </w:t>
      </w:r>
      <w:r w:rsidR="00805D6D">
        <w:rPr>
          <w:lang w:val="en-GB"/>
        </w:rPr>
        <w:t>Approval to proceed with the</w:t>
      </w:r>
      <w:r w:rsidR="00FC085B">
        <w:rPr>
          <w:lang w:val="en-GB"/>
        </w:rPr>
        <w:t xml:space="preserve"> investment is made</w:t>
      </w:r>
      <w:r w:rsidR="00006E79">
        <w:rPr>
          <w:lang w:val="en-GB"/>
        </w:rPr>
        <w:t xml:space="preserve"> by the Mayor in Cabinet, </w:t>
      </w:r>
      <w:r w:rsidR="00515DF0">
        <w:rPr>
          <w:lang w:val="en-GB"/>
        </w:rPr>
        <w:t>after which</w:t>
      </w:r>
      <w:r w:rsidR="00813885">
        <w:rPr>
          <w:lang w:val="en-GB"/>
        </w:rPr>
        <w:t xml:space="preserve"> delivery of the infrastructure will</w:t>
      </w:r>
      <w:r w:rsidR="00813885" w:rsidRPr="00813885">
        <w:rPr>
          <w:lang w:val="en-GB"/>
        </w:rPr>
        <w:t xml:space="preserve"> </w:t>
      </w:r>
      <w:r w:rsidR="00813885">
        <w:rPr>
          <w:lang w:val="en-GB"/>
        </w:rPr>
        <w:t>happen</w:t>
      </w:r>
      <w:r w:rsidR="006C0833">
        <w:rPr>
          <w:lang w:val="en-GB"/>
        </w:rPr>
        <w:t xml:space="preserve">. </w:t>
      </w:r>
      <w:r w:rsidR="00FC085B">
        <w:rPr>
          <w:lang w:val="en-GB"/>
        </w:rPr>
        <w:t xml:space="preserve"> </w:t>
      </w:r>
    </w:p>
    <w:p w14:paraId="5EA2022B" w14:textId="0FB4FA42" w:rsidR="006C4650" w:rsidRPr="0097263D" w:rsidRDefault="6BE4D881" w:rsidP="003B280C">
      <w:pPr>
        <w:pStyle w:val="Paragraphs"/>
        <w:rPr>
          <w:lang w:val="en-GB"/>
        </w:rPr>
      </w:pPr>
      <w:r w:rsidRPr="0097263D">
        <w:rPr>
          <w:lang w:val="en-GB"/>
        </w:rPr>
        <w:t>Revenue spend, such as for employment and enterprise initiatives</w:t>
      </w:r>
      <w:r w:rsidR="009415A7" w:rsidRPr="0097263D">
        <w:rPr>
          <w:lang w:val="en-GB"/>
        </w:rPr>
        <w:t>, is</w:t>
      </w:r>
      <w:r w:rsidRPr="0097263D">
        <w:rPr>
          <w:lang w:val="en-GB"/>
        </w:rPr>
        <w:t xml:space="preserve"> approved through internal delegated processes</w:t>
      </w:r>
      <w:r w:rsidR="009415A7" w:rsidRPr="0097263D">
        <w:rPr>
          <w:lang w:val="en-GB"/>
        </w:rPr>
        <w:t>. This process ensures</w:t>
      </w:r>
      <w:r w:rsidRPr="0097263D">
        <w:rPr>
          <w:lang w:val="en-GB"/>
        </w:rPr>
        <w:t xml:space="preserve"> delivery is in line with Co</w:t>
      </w:r>
      <w:r w:rsidR="00776129" w:rsidRPr="0097263D">
        <w:rPr>
          <w:lang w:val="en-GB"/>
        </w:rPr>
        <w:t>uncil objectives and meet</w:t>
      </w:r>
      <w:r w:rsidR="009415A7" w:rsidRPr="0097263D">
        <w:rPr>
          <w:lang w:val="en-GB"/>
        </w:rPr>
        <w:t>s</w:t>
      </w:r>
      <w:r w:rsidR="00776129" w:rsidRPr="0097263D">
        <w:rPr>
          <w:lang w:val="en-GB"/>
        </w:rPr>
        <w:t xml:space="preserve"> the policy direction of the Local Plan.</w:t>
      </w:r>
    </w:p>
    <w:p w14:paraId="083A0251" w14:textId="77777777" w:rsidR="00B50272" w:rsidRPr="000D65CE" w:rsidRDefault="00B50272" w:rsidP="003B280C">
      <w:pPr>
        <w:jc w:val="both"/>
        <w:rPr>
          <w:rFonts w:cs="Arial"/>
          <w:szCs w:val="22"/>
        </w:rPr>
      </w:pPr>
    </w:p>
    <w:p w14:paraId="347796F9" w14:textId="77777777" w:rsidR="00897650" w:rsidRPr="000D65CE" w:rsidRDefault="00897650" w:rsidP="003B280C">
      <w:pPr>
        <w:jc w:val="both"/>
        <w:rPr>
          <w:rFonts w:cs="Arial"/>
          <w:b/>
          <w:bCs/>
          <w:color w:val="365F91" w:themeColor="accent1" w:themeShade="BF"/>
          <w:sz w:val="44"/>
          <w:szCs w:val="44"/>
        </w:rPr>
      </w:pPr>
      <w:r w:rsidRPr="000D65CE">
        <w:rPr>
          <w:rFonts w:cs="Arial"/>
          <w:b/>
          <w:bCs/>
          <w:color w:val="365F91" w:themeColor="accent1" w:themeShade="BF"/>
          <w:sz w:val="44"/>
          <w:szCs w:val="44"/>
        </w:rPr>
        <w:br w:type="page"/>
      </w:r>
    </w:p>
    <w:p w14:paraId="293FE5F9" w14:textId="4EF53A72" w:rsidR="007760DD" w:rsidRDefault="007760DD" w:rsidP="007760DD">
      <w:pPr>
        <w:pStyle w:val="Headingnonumber"/>
      </w:pPr>
      <w:bookmarkStart w:id="34" w:name="_Toc69374689"/>
      <w:r>
        <w:lastRenderedPageBreak/>
        <w:t>Abbreviations</w:t>
      </w:r>
      <w:bookmarkEnd w:id="34"/>
    </w:p>
    <w:tbl>
      <w:tblPr>
        <w:tblStyle w:val="TableGrid"/>
        <w:tblW w:w="0" w:type="auto"/>
        <w:tblLook w:val="04A0" w:firstRow="1" w:lastRow="0" w:firstColumn="1" w:lastColumn="0" w:noHBand="0" w:noVBand="1"/>
      </w:tblPr>
      <w:tblGrid>
        <w:gridCol w:w="2405"/>
        <w:gridCol w:w="6611"/>
      </w:tblGrid>
      <w:tr w:rsidR="007760DD" w14:paraId="7972F7E8" w14:textId="77777777" w:rsidTr="0072082B">
        <w:tc>
          <w:tcPr>
            <w:tcW w:w="2405" w:type="dxa"/>
            <w:shd w:val="clear" w:color="auto" w:fill="002060"/>
            <w:vAlign w:val="center"/>
          </w:tcPr>
          <w:p w14:paraId="31AFFF14" w14:textId="4D1621E7" w:rsidR="007760DD" w:rsidRPr="007760DD" w:rsidRDefault="007760DD" w:rsidP="0072082B">
            <w:pPr>
              <w:spacing w:before="120" w:after="120"/>
              <w:rPr>
                <w:rStyle w:val="Strong"/>
              </w:rPr>
            </w:pPr>
            <w:r>
              <w:rPr>
                <w:rStyle w:val="Strong"/>
              </w:rPr>
              <w:t>Abbreviation</w:t>
            </w:r>
          </w:p>
        </w:tc>
        <w:tc>
          <w:tcPr>
            <w:tcW w:w="6611" w:type="dxa"/>
            <w:shd w:val="clear" w:color="auto" w:fill="002060"/>
            <w:vAlign w:val="center"/>
          </w:tcPr>
          <w:p w14:paraId="47D96135" w14:textId="3F41177F" w:rsidR="007760DD" w:rsidRPr="007760DD" w:rsidRDefault="0072082B" w:rsidP="0072082B">
            <w:pPr>
              <w:spacing w:before="120" w:after="120"/>
              <w:rPr>
                <w:rStyle w:val="Strong"/>
              </w:rPr>
            </w:pPr>
            <w:r>
              <w:rPr>
                <w:rStyle w:val="Strong"/>
              </w:rPr>
              <w:t>Description</w:t>
            </w:r>
          </w:p>
        </w:tc>
      </w:tr>
      <w:tr w:rsidR="007760DD" w14:paraId="17293804" w14:textId="77777777" w:rsidTr="0072082B">
        <w:tc>
          <w:tcPr>
            <w:tcW w:w="2405" w:type="dxa"/>
          </w:tcPr>
          <w:p w14:paraId="4A9D6E53" w14:textId="3C8DBF21" w:rsidR="007760DD" w:rsidRDefault="0072082B" w:rsidP="0072082B">
            <w:pPr>
              <w:spacing w:before="120" w:after="120" w:line="240" w:lineRule="atLeast"/>
            </w:pPr>
            <w:r>
              <w:t>AQAP</w:t>
            </w:r>
          </w:p>
        </w:tc>
        <w:tc>
          <w:tcPr>
            <w:tcW w:w="6611" w:type="dxa"/>
          </w:tcPr>
          <w:p w14:paraId="149E477D" w14:textId="0A86015F" w:rsidR="007760DD" w:rsidRDefault="0072082B" w:rsidP="0072082B">
            <w:pPr>
              <w:spacing w:before="120" w:after="120" w:line="240" w:lineRule="atLeast"/>
            </w:pPr>
            <w:r>
              <w:t>Air Quality Action Plan</w:t>
            </w:r>
          </w:p>
        </w:tc>
      </w:tr>
      <w:tr w:rsidR="007760DD" w14:paraId="06D9DFF8" w14:textId="77777777" w:rsidTr="0072082B">
        <w:tc>
          <w:tcPr>
            <w:tcW w:w="2405" w:type="dxa"/>
          </w:tcPr>
          <w:p w14:paraId="2356AE5F" w14:textId="674376BB" w:rsidR="007760DD" w:rsidRDefault="0072082B" w:rsidP="0072082B">
            <w:pPr>
              <w:spacing w:before="120" w:after="120" w:line="240" w:lineRule="atLeast"/>
            </w:pPr>
            <w:r>
              <w:t>BCIS</w:t>
            </w:r>
          </w:p>
        </w:tc>
        <w:tc>
          <w:tcPr>
            <w:tcW w:w="6611" w:type="dxa"/>
          </w:tcPr>
          <w:p w14:paraId="4F6C3FD6" w14:textId="724DAF9C" w:rsidR="007760DD" w:rsidRDefault="0072082B" w:rsidP="0072082B">
            <w:pPr>
              <w:spacing w:before="120" w:after="120" w:line="240" w:lineRule="atLeast"/>
            </w:pPr>
            <w:r>
              <w:t>Building Cost Information Service Index</w:t>
            </w:r>
          </w:p>
        </w:tc>
      </w:tr>
      <w:tr w:rsidR="007760DD" w14:paraId="5FCA5BA0" w14:textId="77777777" w:rsidTr="0072082B">
        <w:tc>
          <w:tcPr>
            <w:tcW w:w="2405" w:type="dxa"/>
          </w:tcPr>
          <w:p w14:paraId="6F71DDCB" w14:textId="7D95299E" w:rsidR="007760DD" w:rsidRDefault="0072082B" w:rsidP="0072082B">
            <w:pPr>
              <w:spacing w:before="120" w:after="120" w:line="240" w:lineRule="atLeast"/>
            </w:pPr>
            <w:r>
              <w:t>CCS</w:t>
            </w:r>
          </w:p>
        </w:tc>
        <w:tc>
          <w:tcPr>
            <w:tcW w:w="6611" w:type="dxa"/>
          </w:tcPr>
          <w:p w14:paraId="7E56B77E" w14:textId="294FAF07" w:rsidR="007760DD" w:rsidRDefault="0072082B" w:rsidP="0072082B">
            <w:pPr>
              <w:spacing w:before="120" w:after="120" w:line="240" w:lineRule="atLeast"/>
            </w:pPr>
            <w:r>
              <w:t>Considerate Constructors Scheme</w:t>
            </w:r>
          </w:p>
        </w:tc>
      </w:tr>
      <w:tr w:rsidR="007760DD" w14:paraId="5ABB22B9" w14:textId="77777777" w:rsidTr="0072082B">
        <w:tc>
          <w:tcPr>
            <w:tcW w:w="2405" w:type="dxa"/>
          </w:tcPr>
          <w:p w14:paraId="7129F6E4" w14:textId="64F4D339" w:rsidR="007760DD" w:rsidRDefault="0072082B" w:rsidP="0072082B">
            <w:pPr>
              <w:spacing w:before="120" w:after="120" w:line="240" w:lineRule="atLeast"/>
            </w:pPr>
            <w:r>
              <w:t>CIL</w:t>
            </w:r>
          </w:p>
        </w:tc>
        <w:tc>
          <w:tcPr>
            <w:tcW w:w="6611" w:type="dxa"/>
          </w:tcPr>
          <w:p w14:paraId="71F18D00" w14:textId="1955E0BA" w:rsidR="007760DD" w:rsidRDefault="0072082B" w:rsidP="0072082B">
            <w:pPr>
              <w:spacing w:before="120" w:after="120" w:line="240" w:lineRule="atLeast"/>
            </w:pPr>
            <w:r>
              <w:t>Community Infrastructure Levy</w:t>
            </w:r>
          </w:p>
        </w:tc>
      </w:tr>
      <w:tr w:rsidR="007760DD" w14:paraId="073A66AE" w14:textId="77777777" w:rsidTr="0072082B">
        <w:tc>
          <w:tcPr>
            <w:tcW w:w="2405" w:type="dxa"/>
          </w:tcPr>
          <w:p w14:paraId="582FF86F" w14:textId="2215A40B" w:rsidR="007760DD" w:rsidRDefault="0072082B" w:rsidP="0072082B">
            <w:pPr>
              <w:spacing w:before="120" w:after="120" w:line="240" w:lineRule="atLeast"/>
            </w:pPr>
            <w:r>
              <w:t>CLOCS</w:t>
            </w:r>
          </w:p>
        </w:tc>
        <w:tc>
          <w:tcPr>
            <w:tcW w:w="6611" w:type="dxa"/>
          </w:tcPr>
          <w:p w14:paraId="435AA360" w14:textId="28CA081F" w:rsidR="007760DD" w:rsidRDefault="0072082B" w:rsidP="0072082B">
            <w:pPr>
              <w:spacing w:before="120" w:after="120" w:line="240" w:lineRule="atLeast"/>
            </w:pPr>
            <w:r>
              <w:t>Construction Logistics and Cyclist Safety</w:t>
            </w:r>
          </w:p>
        </w:tc>
      </w:tr>
      <w:tr w:rsidR="007760DD" w14:paraId="5AAEF2E4" w14:textId="77777777" w:rsidTr="0072082B">
        <w:tc>
          <w:tcPr>
            <w:tcW w:w="2405" w:type="dxa"/>
          </w:tcPr>
          <w:p w14:paraId="6681DBA7" w14:textId="3B474B4A" w:rsidR="007760DD" w:rsidRDefault="0072082B" w:rsidP="0072082B">
            <w:pPr>
              <w:spacing w:before="120" w:after="120" w:line="240" w:lineRule="atLeast"/>
            </w:pPr>
            <w:r>
              <w:t>CLP</w:t>
            </w:r>
          </w:p>
        </w:tc>
        <w:tc>
          <w:tcPr>
            <w:tcW w:w="6611" w:type="dxa"/>
          </w:tcPr>
          <w:p w14:paraId="1ED48996" w14:textId="2513C89C" w:rsidR="007760DD" w:rsidRDefault="0072082B" w:rsidP="0072082B">
            <w:pPr>
              <w:spacing w:before="120" w:after="120" w:line="240" w:lineRule="atLeast"/>
            </w:pPr>
            <w:r>
              <w:t>Construction Logistics Plans</w:t>
            </w:r>
          </w:p>
        </w:tc>
      </w:tr>
      <w:tr w:rsidR="007760DD" w14:paraId="28856A3E" w14:textId="77777777" w:rsidTr="0072082B">
        <w:tc>
          <w:tcPr>
            <w:tcW w:w="2405" w:type="dxa"/>
          </w:tcPr>
          <w:p w14:paraId="04A905E6" w14:textId="22186006" w:rsidR="007760DD" w:rsidRDefault="0072082B" w:rsidP="0072082B">
            <w:pPr>
              <w:spacing w:before="120" w:after="120" w:line="240" w:lineRule="atLeast"/>
            </w:pPr>
            <w:r>
              <w:t>CMP</w:t>
            </w:r>
          </w:p>
        </w:tc>
        <w:tc>
          <w:tcPr>
            <w:tcW w:w="6611" w:type="dxa"/>
          </w:tcPr>
          <w:p w14:paraId="6353FFB3" w14:textId="0FDB61A3" w:rsidR="007760DD" w:rsidRDefault="0072082B" w:rsidP="0072082B">
            <w:pPr>
              <w:spacing w:before="120" w:after="120" w:line="240" w:lineRule="atLeast"/>
            </w:pPr>
            <w:r>
              <w:t>Construction Management Plan</w:t>
            </w:r>
          </w:p>
        </w:tc>
      </w:tr>
      <w:tr w:rsidR="0072082B" w14:paraId="0A4E2700" w14:textId="77777777" w:rsidTr="0072082B">
        <w:tc>
          <w:tcPr>
            <w:tcW w:w="2405" w:type="dxa"/>
          </w:tcPr>
          <w:p w14:paraId="0A6CDD65" w14:textId="12BA516F" w:rsidR="0072082B" w:rsidRDefault="0072082B" w:rsidP="00EB3B59">
            <w:pPr>
              <w:spacing w:before="120" w:after="120" w:line="240" w:lineRule="atLeast"/>
            </w:pPr>
            <w:r>
              <w:t>COPA</w:t>
            </w:r>
          </w:p>
        </w:tc>
        <w:tc>
          <w:tcPr>
            <w:tcW w:w="6611" w:type="dxa"/>
          </w:tcPr>
          <w:p w14:paraId="0D76314E" w14:textId="57E7AE3B" w:rsidR="0072082B" w:rsidRDefault="0072082B" w:rsidP="00EB3B59">
            <w:pPr>
              <w:spacing w:before="120" w:after="120" w:line="240" w:lineRule="atLeast"/>
            </w:pPr>
            <w:r>
              <w:t>Control of Pollution Act</w:t>
            </w:r>
          </w:p>
        </w:tc>
      </w:tr>
      <w:tr w:rsidR="0072082B" w14:paraId="6B39A53F" w14:textId="77777777" w:rsidTr="0072082B">
        <w:tc>
          <w:tcPr>
            <w:tcW w:w="2405" w:type="dxa"/>
          </w:tcPr>
          <w:p w14:paraId="733ADE2C" w14:textId="4BB4DEA1" w:rsidR="0072082B" w:rsidRDefault="0072082B" w:rsidP="00EB3B59">
            <w:pPr>
              <w:spacing w:before="120" w:after="120" w:line="240" w:lineRule="atLeast"/>
            </w:pPr>
            <w:r>
              <w:t>CPI</w:t>
            </w:r>
          </w:p>
        </w:tc>
        <w:tc>
          <w:tcPr>
            <w:tcW w:w="6611" w:type="dxa"/>
          </w:tcPr>
          <w:p w14:paraId="346A4083" w14:textId="173B60AF" w:rsidR="0072082B" w:rsidRDefault="0072082B" w:rsidP="00EB3B59">
            <w:pPr>
              <w:spacing w:before="120" w:after="120" w:line="240" w:lineRule="atLeast"/>
            </w:pPr>
            <w:r>
              <w:t>Consumer Price Index</w:t>
            </w:r>
          </w:p>
        </w:tc>
      </w:tr>
      <w:tr w:rsidR="0072082B" w14:paraId="5C2ED878" w14:textId="77777777" w:rsidTr="0072082B">
        <w:tc>
          <w:tcPr>
            <w:tcW w:w="2405" w:type="dxa"/>
          </w:tcPr>
          <w:p w14:paraId="1D8562EA" w14:textId="638C3F0F" w:rsidR="0072082B" w:rsidRDefault="0072082B" w:rsidP="00EB3B59">
            <w:pPr>
              <w:spacing w:before="120" w:after="120" w:line="240" w:lineRule="atLeast"/>
            </w:pPr>
            <w:r>
              <w:t>DTI</w:t>
            </w:r>
          </w:p>
        </w:tc>
        <w:tc>
          <w:tcPr>
            <w:tcW w:w="6611" w:type="dxa"/>
          </w:tcPr>
          <w:p w14:paraId="21307CC2" w14:textId="4B8296CB" w:rsidR="0072082B" w:rsidRDefault="0072082B" w:rsidP="00EB3B59">
            <w:pPr>
              <w:spacing w:before="120" w:after="120" w:line="240" w:lineRule="atLeast"/>
            </w:pPr>
            <w:r>
              <w:t>Department of Trade and Industry</w:t>
            </w:r>
          </w:p>
        </w:tc>
      </w:tr>
      <w:tr w:rsidR="0072082B" w14:paraId="52293701" w14:textId="77777777" w:rsidTr="0072082B">
        <w:tc>
          <w:tcPr>
            <w:tcW w:w="2405" w:type="dxa"/>
          </w:tcPr>
          <w:p w14:paraId="0C336411" w14:textId="7363E67B" w:rsidR="0072082B" w:rsidRDefault="0072082B" w:rsidP="00EB3B59">
            <w:pPr>
              <w:spacing w:before="120" w:after="120" w:line="240" w:lineRule="atLeast"/>
            </w:pPr>
            <w:r>
              <w:t>EYFS</w:t>
            </w:r>
          </w:p>
        </w:tc>
        <w:tc>
          <w:tcPr>
            <w:tcW w:w="6611" w:type="dxa"/>
          </w:tcPr>
          <w:p w14:paraId="2A9285F1" w14:textId="28EBD865" w:rsidR="0072082B" w:rsidRDefault="0072082B" w:rsidP="00EB3B59">
            <w:pPr>
              <w:spacing w:before="120" w:after="120" w:line="240" w:lineRule="atLeast"/>
            </w:pPr>
            <w:r>
              <w:t>Early Years Foundation Stage</w:t>
            </w:r>
          </w:p>
        </w:tc>
      </w:tr>
      <w:tr w:rsidR="0072082B" w14:paraId="0ECD1684" w14:textId="77777777" w:rsidTr="0072082B">
        <w:tc>
          <w:tcPr>
            <w:tcW w:w="2405" w:type="dxa"/>
          </w:tcPr>
          <w:p w14:paraId="12301402" w14:textId="1DC71C2E" w:rsidR="0072082B" w:rsidRDefault="0072082B" w:rsidP="00EB3B59">
            <w:pPr>
              <w:spacing w:before="120" w:after="120" w:line="240" w:lineRule="atLeast"/>
            </w:pPr>
            <w:r>
              <w:t>GIA</w:t>
            </w:r>
          </w:p>
        </w:tc>
        <w:tc>
          <w:tcPr>
            <w:tcW w:w="6611" w:type="dxa"/>
          </w:tcPr>
          <w:p w14:paraId="597C40C1" w14:textId="1843F355" w:rsidR="0072082B" w:rsidRDefault="0072082B" w:rsidP="00EB3B59">
            <w:pPr>
              <w:spacing w:before="120" w:after="120" w:line="240" w:lineRule="atLeast"/>
            </w:pPr>
            <w:r>
              <w:t>Gross Internal Area</w:t>
            </w:r>
          </w:p>
        </w:tc>
      </w:tr>
      <w:tr w:rsidR="0072082B" w14:paraId="7DD23653" w14:textId="77777777" w:rsidTr="0072082B">
        <w:tc>
          <w:tcPr>
            <w:tcW w:w="2405" w:type="dxa"/>
          </w:tcPr>
          <w:p w14:paraId="6CE576BB" w14:textId="2FEFFC1A" w:rsidR="0072082B" w:rsidRDefault="0072082B" w:rsidP="00EB3B59">
            <w:pPr>
              <w:spacing w:before="120" w:after="120" w:line="240" w:lineRule="atLeast"/>
            </w:pPr>
            <w:r>
              <w:t>IFS</w:t>
            </w:r>
          </w:p>
        </w:tc>
        <w:tc>
          <w:tcPr>
            <w:tcW w:w="6611" w:type="dxa"/>
          </w:tcPr>
          <w:p w14:paraId="3A08C74A" w14:textId="49241C9B" w:rsidR="0072082B" w:rsidRDefault="0072082B" w:rsidP="00EB3B59">
            <w:pPr>
              <w:spacing w:before="120" w:after="120" w:line="240" w:lineRule="atLeast"/>
            </w:pPr>
            <w:r>
              <w:t>Infrastructure Funding Statement</w:t>
            </w:r>
          </w:p>
        </w:tc>
      </w:tr>
      <w:tr w:rsidR="0072082B" w14:paraId="01FB1F5C" w14:textId="77777777" w:rsidTr="0072082B">
        <w:tc>
          <w:tcPr>
            <w:tcW w:w="2405" w:type="dxa"/>
          </w:tcPr>
          <w:p w14:paraId="047B0332" w14:textId="7315F09D" w:rsidR="0072082B" w:rsidRDefault="0072082B" w:rsidP="00EB3B59">
            <w:pPr>
              <w:spacing w:before="120" w:after="120" w:line="240" w:lineRule="atLeast"/>
            </w:pPr>
            <w:r>
              <w:t>LBTH</w:t>
            </w:r>
          </w:p>
        </w:tc>
        <w:tc>
          <w:tcPr>
            <w:tcW w:w="6611" w:type="dxa"/>
          </w:tcPr>
          <w:p w14:paraId="7E363E25" w14:textId="27ED2A0D" w:rsidR="0072082B" w:rsidRDefault="0072082B" w:rsidP="00EB3B59">
            <w:pPr>
              <w:spacing w:before="120" w:after="120" w:line="240" w:lineRule="atLeast"/>
            </w:pPr>
            <w:r>
              <w:t>London Borough of Tower Hamlets</w:t>
            </w:r>
          </w:p>
        </w:tc>
      </w:tr>
      <w:tr w:rsidR="0072082B" w14:paraId="1700781E" w14:textId="77777777" w:rsidTr="0072082B">
        <w:tc>
          <w:tcPr>
            <w:tcW w:w="2405" w:type="dxa"/>
          </w:tcPr>
          <w:p w14:paraId="47DD600C" w14:textId="193C7134" w:rsidR="0072082B" w:rsidRDefault="0072082B" w:rsidP="00EB3B59">
            <w:pPr>
              <w:spacing w:before="120" w:after="120" w:line="240" w:lineRule="atLeast"/>
            </w:pPr>
            <w:r>
              <w:t>LIF</w:t>
            </w:r>
          </w:p>
        </w:tc>
        <w:tc>
          <w:tcPr>
            <w:tcW w:w="6611" w:type="dxa"/>
          </w:tcPr>
          <w:p w14:paraId="12BA7AAA" w14:textId="5940A471" w:rsidR="0072082B" w:rsidRDefault="0072082B" w:rsidP="00EB3B59">
            <w:pPr>
              <w:spacing w:before="120" w:after="120" w:line="240" w:lineRule="atLeast"/>
            </w:pPr>
            <w:r>
              <w:t>Local Infrastructure Fund</w:t>
            </w:r>
          </w:p>
        </w:tc>
      </w:tr>
      <w:tr w:rsidR="0072082B" w14:paraId="21B8D483" w14:textId="77777777" w:rsidTr="0072082B">
        <w:tc>
          <w:tcPr>
            <w:tcW w:w="2405" w:type="dxa"/>
          </w:tcPr>
          <w:p w14:paraId="080CDEC2" w14:textId="4A6777FA" w:rsidR="0072082B" w:rsidRDefault="0072082B" w:rsidP="00EB3B59">
            <w:pPr>
              <w:spacing w:before="120" w:after="120" w:line="240" w:lineRule="atLeast"/>
            </w:pPr>
            <w:r>
              <w:t>LLDC</w:t>
            </w:r>
          </w:p>
        </w:tc>
        <w:tc>
          <w:tcPr>
            <w:tcW w:w="6611" w:type="dxa"/>
          </w:tcPr>
          <w:p w14:paraId="70CA735E" w14:textId="23BE1AED" w:rsidR="0072082B" w:rsidRDefault="0072082B" w:rsidP="00EB3B59">
            <w:pPr>
              <w:spacing w:before="120" w:after="120" w:line="240" w:lineRule="atLeast"/>
            </w:pPr>
            <w:r>
              <w:t>London Legacy Development Corporation</w:t>
            </w:r>
          </w:p>
        </w:tc>
      </w:tr>
      <w:tr w:rsidR="0072082B" w14:paraId="7DFF5052" w14:textId="77777777" w:rsidTr="0072082B">
        <w:tc>
          <w:tcPr>
            <w:tcW w:w="2405" w:type="dxa"/>
          </w:tcPr>
          <w:p w14:paraId="4ABD66B4" w14:textId="548F4436" w:rsidR="0072082B" w:rsidRDefault="0072082B" w:rsidP="00EB3B59">
            <w:pPr>
              <w:spacing w:before="120" w:after="120" w:line="240" w:lineRule="atLeast"/>
            </w:pPr>
            <w:r>
              <w:t>LPA</w:t>
            </w:r>
          </w:p>
        </w:tc>
        <w:tc>
          <w:tcPr>
            <w:tcW w:w="6611" w:type="dxa"/>
          </w:tcPr>
          <w:p w14:paraId="5F19DB4F" w14:textId="7A6E705D" w:rsidR="0072082B" w:rsidRDefault="0072082B" w:rsidP="00EB3B59">
            <w:pPr>
              <w:spacing w:before="120" w:after="120" w:line="240" w:lineRule="atLeast"/>
            </w:pPr>
            <w:r>
              <w:t>Local Planning Authority</w:t>
            </w:r>
          </w:p>
        </w:tc>
      </w:tr>
      <w:tr w:rsidR="0072082B" w14:paraId="6F573674" w14:textId="77777777" w:rsidTr="0072082B">
        <w:tc>
          <w:tcPr>
            <w:tcW w:w="2405" w:type="dxa"/>
          </w:tcPr>
          <w:p w14:paraId="46B945D6" w14:textId="36C29BA9" w:rsidR="0072082B" w:rsidRDefault="0072082B" w:rsidP="00EB3B59">
            <w:pPr>
              <w:spacing w:before="120" w:after="120" w:line="240" w:lineRule="atLeast"/>
            </w:pPr>
            <w:r>
              <w:t>MCIL</w:t>
            </w:r>
          </w:p>
        </w:tc>
        <w:tc>
          <w:tcPr>
            <w:tcW w:w="6611" w:type="dxa"/>
          </w:tcPr>
          <w:p w14:paraId="4CB8F9E2" w14:textId="2220EF24" w:rsidR="0072082B" w:rsidRDefault="0072082B" w:rsidP="00EB3B59">
            <w:pPr>
              <w:spacing w:before="120" w:after="120" w:line="240" w:lineRule="atLeast"/>
            </w:pPr>
            <w:r>
              <w:t>Mayoral CIL charge</w:t>
            </w:r>
          </w:p>
        </w:tc>
      </w:tr>
      <w:tr w:rsidR="0072082B" w14:paraId="177F0E02" w14:textId="77777777" w:rsidTr="0072082B">
        <w:tc>
          <w:tcPr>
            <w:tcW w:w="2405" w:type="dxa"/>
          </w:tcPr>
          <w:p w14:paraId="7FD0FACB" w14:textId="2D006929" w:rsidR="0072082B" w:rsidRDefault="0072082B" w:rsidP="00EB3B59">
            <w:pPr>
              <w:spacing w:before="120" w:after="120" w:line="240" w:lineRule="atLeast"/>
            </w:pPr>
            <w:r>
              <w:t>NPPF</w:t>
            </w:r>
          </w:p>
        </w:tc>
        <w:tc>
          <w:tcPr>
            <w:tcW w:w="6611" w:type="dxa"/>
          </w:tcPr>
          <w:p w14:paraId="0F324B4A" w14:textId="2296C24F" w:rsidR="0072082B" w:rsidRDefault="0072082B" w:rsidP="00EB3B59">
            <w:pPr>
              <w:spacing w:before="120" w:after="120" w:line="240" w:lineRule="atLeast"/>
            </w:pPr>
            <w:r>
              <w:t>National Planning Policy Framework</w:t>
            </w:r>
          </w:p>
        </w:tc>
      </w:tr>
      <w:tr w:rsidR="0072082B" w14:paraId="5E47B6F8" w14:textId="77777777" w:rsidTr="0072082B">
        <w:tc>
          <w:tcPr>
            <w:tcW w:w="2405" w:type="dxa"/>
          </w:tcPr>
          <w:p w14:paraId="00491814" w14:textId="0BC82F74" w:rsidR="0072082B" w:rsidRDefault="0072082B" w:rsidP="00EB3B59">
            <w:pPr>
              <w:spacing w:before="120" w:after="120" w:line="240" w:lineRule="atLeast"/>
            </w:pPr>
            <w:r>
              <w:t>NPPG</w:t>
            </w:r>
          </w:p>
        </w:tc>
        <w:tc>
          <w:tcPr>
            <w:tcW w:w="6611" w:type="dxa"/>
          </w:tcPr>
          <w:p w14:paraId="0F2D7755" w14:textId="408634C3" w:rsidR="0072082B" w:rsidRDefault="0072082B" w:rsidP="00EB3B59">
            <w:pPr>
              <w:spacing w:before="120" w:after="120" w:line="240" w:lineRule="atLeast"/>
            </w:pPr>
            <w:r>
              <w:t>National Planning Practice Guidance</w:t>
            </w:r>
          </w:p>
        </w:tc>
      </w:tr>
      <w:tr w:rsidR="0072082B" w14:paraId="43E6C44F" w14:textId="77777777" w:rsidTr="0072082B">
        <w:tc>
          <w:tcPr>
            <w:tcW w:w="2405" w:type="dxa"/>
          </w:tcPr>
          <w:p w14:paraId="00432E0E" w14:textId="79CD2D12" w:rsidR="0072082B" w:rsidRDefault="0072082B" w:rsidP="00EB3B59">
            <w:pPr>
              <w:spacing w:before="120" w:after="120" w:line="240" w:lineRule="atLeast"/>
            </w:pPr>
            <w:r>
              <w:t>NRMM</w:t>
            </w:r>
          </w:p>
        </w:tc>
        <w:tc>
          <w:tcPr>
            <w:tcW w:w="6611" w:type="dxa"/>
          </w:tcPr>
          <w:p w14:paraId="2C4A9299" w14:textId="4CF45B83" w:rsidR="0072082B" w:rsidRDefault="0072082B" w:rsidP="00EB3B59">
            <w:pPr>
              <w:spacing w:before="120" w:after="120" w:line="240" w:lineRule="atLeast"/>
            </w:pPr>
            <w:r>
              <w:t>Non-Road Mobile Machinery</w:t>
            </w:r>
          </w:p>
        </w:tc>
      </w:tr>
      <w:tr w:rsidR="0072082B" w14:paraId="1CF44A3C" w14:textId="77777777" w:rsidTr="0072082B">
        <w:tc>
          <w:tcPr>
            <w:tcW w:w="2405" w:type="dxa"/>
          </w:tcPr>
          <w:p w14:paraId="0705F2EE" w14:textId="1DC47D1B" w:rsidR="0072082B" w:rsidRDefault="0072082B" w:rsidP="00EB3B59">
            <w:pPr>
              <w:spacing w:before="120" w:after="120" w:line="240" w:lineRule="atLeast"/>
            </w:pPr>
            <w:r>
              <w:t>PPA</w:t>
            </w:r>
          </w:p>
        </w:tc>
        <w:tc>
          <w:tcPr>
            <w:tcW w:w="6611" w:type="dxa"/>
          </w:tcPr>
          <w:p w14:paraId="0A453AFA" w14:textId="3031047E" w:rsidR="0072082B" w:rsidRDefault="0072082B" w:rsidP="00EB3B59">
            <w:pPr>
              <w:spacing w:before="120" w:after="120" w:line="240" w:lineRule="atLeast"/>
            </w:pPr>
            <w:r>
              <w:t>Planning Performance Agreement</w:t>
            </w:r>
          </w:p>
        </w:tc>
      </w:tr>
      <w:tr w:rsidR="0072082B" w14:paraId="5E240ECC" w14:textId="77777777" w:rsidTr="0072082B">
        <w:tc>
          <w:tcPr>
            <w:tcW w:w="2405" w:type="dxa"/>
          </w:tcPr>
          <w:p w14:paraId="62D0A93A" w14:textId="45C85115" w:rsidR="0072082B" w:rsidRDefault="0072082B" w:rsidP="00EB3B59">
            <w:pPr>
              <w:spacing w:before="120" w:after="120" w:line="240" w:lineRule="atLeast"/>
            </w:pPr>
            <w:r>
              <w:t>RICS</w:t>
            </w:r>
          </w:p>
        </w:tc>
        <w:tc>
          <w:tcPr>
            <w:tcW w:w="6611" w:type="dxa"/>
          </w:tcPr>
          <w:p w14:paraId="79F8F035" w14:textId="0928413E" w:rsidR="0072082B" w:rsidRDefault="0072082B" w:rsidP="00EB3B59">
            <w:pPr>
              <w:spacing w:before="120" w:after="120" w:line="240" w:lineRule="atLeast"/>
            </w:pPr>
            <w:r>
              <w:t>Royal Institute of Chartered Surveyors</w:t>
            </w:r>
          </w:p>
        </w:tc>
      </w:tr>
      <w:tr w:rsidR="0072082B" w14:paraId="37083A79" w14:textId="77777777" w:rsidTr="0072082B">
        <w:tc>
          <w:tcPr>
            <w:tcW w:w="2405" w:type="dxa"/>
          </w:tcPr>
          <w:p w14:paraId="4CA9FB3F" w14:textId="2A1E4A77" w:rsidR="0072082B" w:rsidRDefault="0072082B" w:rsidP="00EB3B59">
            <w:pPr>
              <w:spacing w:before="120" w:after="120" w:line="240" w:lineRule="atLeast"/>
            </w:pPr>
            <w:r>
              <w:t>RPI</w:t>
            </w:r>
          </w:p>
        </w:tc>
        <w:tc>
          <w:tcPr>
            <w:tcW w:w="6611" w:type="dxa"/>
          </w:tcPr>
          <w:p w14:paraId="3018808C" w14:textId="5B4CF8E3" w:rsidR="0072082B" w:rsidRDefault="0072082B" w:rsidP="00EB3B59">
            <w:pPr>
              <w:spacing w:before="120" w:after="120" w:line="240" w:lineRule="atLeast"/>
            </w:pPr>
            <w:r>
              <w:t>Retail Price Index</w:t>
            </w:r>
          </w:p>
        </w:tc>
      </w:tr>
      <w:tr w:rsidR="0072082B" w14:paraId="1CB61421" w14:textId="77777777" w:rsidTr="0072082B">
        <w:tc>
          <w:tcPr>
            <w:tcW w:w="2405" w:type="dxa"/>
          </w:tcPr>
          <w:p w14:paraId="51B815F6" w14:textId="7272BBB7" w:rsidR="0072082B" w:rsidRDefault="0072082B" w:rsidP="00EB3B59">
            <w:pPr>
              <w:spacing w:before="120" w:after="120" w:line="240" w:lineRule="atLeast"/>
            </w:pPr>
            <w:r>
              <w:t>SME</w:t>
            </w:r>
          </w:p>
        </w:tc>
        <w:tc>
          <w:tcPr>
            <w:tcW w:w="6611" w:type="dxa"/>
          </w:tcPr>
          <w:p w14:paraId="1E2F6EB0" w14:textId="4185F68D" w:rsidR="0072082B" w:rsidRDefault="0072082B" w:rsidP="00EB3B59">
            <w:pPr>
              <w:spacing w:before="120" w:after="120" w:line="240" w:lineRule="atLeast"/>
            </w:pPr>
            <w:r>
              <w:t>Small and Medium Enterprise</w:t>
            </w:r>
          </w:p>
        </w:tc>
      </w:tr>
      <w:tr w:rsidR="0072082B" w14:paraId="2F1507AB" w14:textId="77777777" w:rsidTr="0072082B">
        <w:tc>
          <w:tcPr>
            <w:tcW w:w="2405" w:type="dxa"/>
          </w:tcPr>
          <w:p w14:paraId="102F06B0" w14:textId="6BF5E390" w:rsidR="0072082B" w:rsidRDefault="0072082B" w:rsidP="00EB3B59">
            <w:pPr>
              <w:spacing w:before="120" w:after="120" w:line="240" w:lineRule="atLeast"/>
            </w:pPr>
            <w:r>
              <w:lastRenderedPageBreak/>
              <w:t>SPD</w:t>
            </w:r>
          </w:p>
        </w:tc>
        <w:tc>
          <w:tcPr>
            <w:tcW w:w="6611" w:type="dxa"/>
          </w:tcPr>
          <w:p w14:paraId="77205976" w14:textId="31C8E021" w:rsidR="0072082B" w:rsidRDefault="0072082B" w:rsidP="00EB3B59">
            <w:pPr>
              <w:spacing w:before="120" w:after="120" w:line="240" w:lineRule="atLeast"/>
            </w:pPr>
            <w:r>
              <w:t>Supplementary Planning Document</w:t>
            </w:r>
          </w:p>
        </w:tc>
      </w:tr>
      <w:tr w:rsidR="0072082B" w14:paraId="6C2FD393" w14:textId="77777777" w:rsidTr="0072082B">
        <w:tc>
          <w:tcPr>
            <w:tcW w:w="2405" w:type="dxa"/>
          </w:tcPr>
          <w:p w14:paraId="54D3F214" w14:textId="4885541B" w:rsidR="0072082B" w:rsidRDefault="0072082B" w:rsidP="00EB3B59">
            <w:pPr>
              <w:spacing w:before="120" w:after="120" w:line="240" w:lineRule="atLeast"/>
            </w:pPr>
            <w:r>
              <w:t>Sqm</w:t>
            </w:r>
          </w:p>
        </w:tc>
        <w:tc>
          <w:tcPr>
            <w:tcW w:w="6611" w:type="dxa"/>
          </w:tcPr>
          <w:p w14:paraId="61FAC3A1" w14:textId="3AEB8815" w:rsidR="0072082B" w:rsidRDefault="0072082B" w:rsidP="00EB3B59">
            <w:pPr>
              <w:spacing w:before="120" w:after="120" w:line="240" w:lineRule="atLeast"/>
            </w:pPr>
            <w:r>
              <w:t>Square metre</w:t>
            </w:r>
          </w:p>
        </w:tc>
      </w:tr>
      <w:tr w:rsidR="0072082B" w14:paraId="29D35854" w14:textId="77777777" w:rsidTr="0072082B">
        <w:tc>
          <w:tcPr>
            <w:tcW w:w="2405" w:type="dxa"/>
          </w:tcPr>
          <w:p w14:paraId="01D49150" w14:textId="56416271" w:rsidR="0072082B" w:rsidRDefault="0072082B" w:rsidP="00EB3B59">
            <w:pPr>
              <w:spacing w:before="120" w:after="120" w:line="240" w:lineRule="atLeast"/>
            </w:pPr>
            <w:r>
              <w:t>SuDS</w:t>
            </w:r>
          </w:p>
        </w:tc>
        <w:tc>
          <w:tcPr>
            <w:tcW w:w="6611" w:type="dxa"/>
          </w:tcPr>
          <w:p w14:paraId="52D7548C" w14:textId="16FEF0BA" w:rsidR="0072082B" w:rsidRDefault="0072082B" w:rsidP="00EB3B59">
            <w:pPr>
              <w:spacing w:before="120" w:after="120" w:line="240" w:lineRule="atLeast"/>
            </w:pPr>
            <w:r>
              <w:t>Sustainable Drainage System</w:t>
            </w:r>
          </w:p>
        </w:tc>
      </w:tr>
      <w:tr w:rsidR="0072082B" w14:paraId="72163A83" w14:textId="77777777" w:rsidTr="0072082B">
        <w:tc>
          <w:tcPr>
            <w:tcW w:w="2405" w:type="dxa"/>
          </w:tcPr>
          <w:p w14:paraId="2BF0545A" w14:textId="00A7F0BE" w:rsidR="0072082B" w:rsidRDefault="0072082B" w:rsidP="00EB3B59">
            <w:pPr>
              <w:spacing w:before="120" w:after="120" w:line="240" w:lineRule="atLeast"/>
            </w:pPr>
            <w:r>
              <w:t>TA</w:t>
            </w:r>
          </w:p>
        </w:tc>
        <w:tc>
          <w:tcPr>
            <w:tcW w:w="6611" w:type="dxa"/>
          </w:tcPr>
          <w:p w14:paraId="3DE0BF43" w14:textId="660B384B" w:rsidR="0072082B" w:rsidRDefault="0072082B" w:rsidP="00EB3B59">
            <w:pPr>
              <w:spacing w:before="120" w:after="120" w:line="240" w:lineRule="atLeast"/>
            </w:pPr>
            <w:r>
              <w:t>Transport Assessment</w:t>
            </w:r>
          </w:p>
        </w:tc>
      </w:tr>
      <w:tr w:rsidR="0072082B" w14:paraId="1366027B" w14:textId="77777777" w:rsidTr="0072082B">
        <w:tc>
          <w:tcPr>
            <w:tcW w:w="2405" w:type="dxa"/>
          </w:tcPr>
          <w:p w14:paraId="67BFACDB" w14:textId="1FC466E3" w:rsidR="0072082B" w:rsidRDefault="0072082B" w:rsidP="00EB3B59">
            <w:pPr>
              <w:spacing w:before="120" w:after="120" w:line="240" w:lineRule="atLeast"/>
            </w:pPr>
            <w:r>
              <w:t>T.E.S</w:t>
            </w:r>
          </w:p>
        </w:tc>
        <w:tc>
          <w:tcPr>
            <w:tcW w:w="6611" w:type="dxa"/>
          </w:tcPr>
          <w:p w14:paraId="3F574E5C" w14:textId="6E5C6EB0" w:rsidR="0072082B" w:rsidRDefault="0072082B" w:rsidP="00EB3B59">
            <w:pPr>
              <w:spacing w:before="120" w:after="120" w:line="240" w:lineRule="atLeast"/>
            </w:pPr>
            <w:r>
              <w:t>Tender Event Schedule</w:t>
            </w:r>
          </w:p>
        </w:tc>
      </w:tr>
      <w:tr w:rsidR="0072082B" w14:paraId="0DCAFADA" w14:textId="77777777" w:rsidTr="0072082B">
        <w:tc>
          <w:tcPr>
            <w:tcW w:w="2405" w:type="dxa"/>
          </w:tcPr>
          <w:p w14:paraId="4B79E11B" w14:textId="3ABEE8FA" w:rsidR="0072082B" w:rsidRDefault="0072082B" w:rsidP="00EB3B59">
            <w:pPr>
              <w:spacing w:before="120" w:after="120" w:line="240" w:lineRule="atLeast"/>
            </w:pPr>
            <w:r>
              <w:t>TE2100</w:t>
            </w:r>
          </w:p>
        </w:tc>
        <w:tc>
          <w:tcPr>
            <w:tcW w:w="6611" w:type="dxa"/>
          </w:tcPr>
          <w:p w14:paraId="1DBD9A09" w14:textId="438B2DC9" w:rsidR="0072082B" w:rsidRDefault="0072082B" w:rsidP="00EB3B59">
            <w:pPr>
              <w:spacing w:before="120" w:after="120" w:line="240" w:lineRule="atLeast"/>
            </w:pPr>
            <w:r>
              <w:t>Thames Estuary 2100 Plan</w:t>
            </w:r>
          </w:p>
        </w:tc>
      </w:tr>
    </w:tbl>
    <w:p w14:paraId="33F4B9B0" w14:textId="0C76163D" w:rsidR="007760DD" w:rsidRDefault="007760DD" w:rsidP="0072082B">
      <w:r>
        <w:br w:type="page"/>
      </w:r>
    </w:p>
    <w:p w14:paraId="6AE7951D" w14:textId="25D24DA3" w:rsidR="00F535A4" w:rsidRPr="000D65CE" w:rsidRDefault="000735FD" w:rsidP="003B280C">
      <w:pPr>
        <w:pStyle w:val="Headingnonumber"/>
      </w:pPr>
      <w:bookmarkStart w:id="35" w:name="_Toc69374690"/>
      <w:r w:rsidRPr="000D65CE">
        <w:lastRenderedPageBreak/>
        <w:t>Glossary of Terms</w:t>
      </w:r>
      <w:bookmarkEnd w:id="35"/>
    </w:p>
    <w:p w14:paraId="51505E63" w14:textId="77777777" w:rsidR="006520D6" w:rsidRPr="000D65CE" w:rsidRDefault="006520D6" w:rsidP="00007C4C">
      <w:pPr>
        <w:widowControl w:val="0"/>
        <w:autoSpaceDE w:val="0"/>
        <w:autoSpaceDN w:val="0"/>
        <w:adjustRightInd w:val="0"/>
        <w:spacing w:before="240" w:after="60"/>
        <w:jc w:val="both"/>
        <w:textAlignment w:val="center"/>
        <w:rPr>
          <w:rStyle w:val="Strong"/>
        </w:rPr>
      </w:pPr>
      <w:r w:rsidRPr="000D65CE">
        <w:rPr>
          <w:rStyle w:val="Strong"/>
        </w:rPr>
        <w:t>Air Quality Neutral</w:t>
      </w:r>
    </w:p>
    <w:p w14:paraId="1341E8B0" w14:textId="77777777" w:rsidR="006520D6" w:rsidRPr="000D65CE" w:rsidRDefault="006520D6" w:rsidP="003B280C">
      <w:pPr>
        <w:widowControl w:val="0"/>
        <w:autoSpaceDE w:val="0"/>
        <w:autoSpaceDN w:val="0"/>
        <w:adjustRightInd w:val="0"/>
        <w:jc w:val="both"/>
        <w:textAlignment w:val="center"/>
        <w:rPr>
          <w:rStyle w:val="Strong"/>
        </w:rPr>
      </w:pPr>
      <w:r w:rsidRPr="000D65CE">
        <w:t>An ‘Air Quality Neutral’ development is one that meets, or improves upon, the ‘</w:t>
      </w:r>
      <w:r w:rsidR="000F7FAB" w:rsidRPr="000D65CE">
        <w:t>Air Q</w:t>
      </w:r>
      <w:r w:rsidRPr="000D65CE">
        <w:t>uali</w:t>
      </w:r>
      <w:r w:rsidR="000F7FAB" w:rsidRPr="000D65CE">
        <w:t>ty N</w:t>
      </w:r>
      <w:r w:rsidRPr="000D65CE">
        <w:t>eutral benchmarks’ published in guidance from the GLA. The benchmarks set out the maximum allowable emissions of NOx and Particulate Matter based on the size and use class of the proposed development. Separate benchmarks are set out for emissions arising from the development and from transport associated with the development. Air Quality Neutral applies only to the completed development and does not include impacts arising from construction, which should be separately assessed in the Air Quality Assessment.</w:t>
      </w:r>
    </w:p>
    <w:p w14:paraId="628870EA" w14:textId="77777777" w:rsidR="000735FD" w:rsidRPr="000D65CE" w:rsidRDefault="000735FD" w:rsidP="00007C4C">
      <w:pPr>
        <w:widowControl w:val="0"/>
        <w:autoSpaceDE w:val="0"/>
        <w:autoSpaceDN w:val="0"/>
        <w:adjustRightInd w:val="0"/>
        <w:spacing w:before="240" w:after="60"/>
        <w:jc w:val="both"/>
        <w:textAlignment w:val="center"/>
        <w:rPr>
          <w:rStyle w:val="Strong"/>
        </w:rPr>
      </w:pPr>
      <w:r w:rsidRPr="000D65CE">
        <w:rPr>
          <w:rStyle w:val="Strong"/>
        </w:rPr>
        <w:t xml:space="preserve">Affordable </w:t>
      </w:r>
      <w:r w:rsidR="000F7FAB" w:rsidRPr="000D65CE">
        <w:rPr>
          <w:rStyle w:val="Strong"/>
        </w:rPr>
        <w:t>H</w:t>
      </w:r>
      <w:r w:rsidRPr="000D65CE">
        <w:rPr>
          <w:rStyle w:val="Strong"/>
        </w:rPr>
        <w:t>ousing</w:t>
      </w:r>
      <w:r w:rsidR="00B14051" w:rsidRPr="000D65CE">
        <w:rPr>
          <w:rStyle w:val="Strong"/>
        </w:rPr>
        <w:t xml:space="preserve"> </w:t>
      </w:r>
    </w:p>
    <w:p w14:paraId="2760BE11" w14:textId="77777777" w:rsidR="00B14051" w:rsidRPr="000D65CE" w:rsidRDefault="00B14051" w:rsidP="003B280C">
      <w:pPr>
        <w:widowControl w:val="0"/>
        <w:autoSpaceDE w:val="0"/>
        <w:autoSpaceDN w:val="0"/>
        <w:adjustRightInd w:val="0"/>
        <w:jc w:val="both"/>
        <w:textAlignment w:val="center"/>
        <w:rPr>
          <w:rFonts w:eastAsia="Calibri" w:cs="Arial"/>
          <w:szCs w:val="22"/>
          <w:lang w:eastAsia="en-GB"/>
        </w:rPr>
      </w:pPr>
      <w:r w:rsidRPr="000D65CE">
        <w:rPr>
          <w:rFonts w:eastAsia="Calibri" w:cs="Arial"/>
          <w:szCs w:val="22"/>
        </w:rPr>
        <w:t>Social</w:t>
      </w:r>
      <w:r w:rsidR="00C47CBB" w:rsidRPr="000D65CE">
        <w:rPr>
          <w:rFonts w:eastAsia="Calibri" w:cs="Arial"/>
          <w:szCs w:val="22"/>
        </w:rPr>
        <w:t xml:space="preserve"> rented, affordable rented and Intermediate H</w:t>
      </w:r>
      <w:r w:rsidRPr="000D65CE">
        <w:rPr>
          <w:rFonts w:eastAsia="Calibri" w:cs="Arial"/>
          <w:szCs w:val="22"/>
        </w:rPr>
        <w:t xml:space="preserve">ousing provided to eligible households whose needs are not met by the market. Eligibility is determined with regard to local incomes and our (the </w:t>
      </w:r>
      <w:r w:rsidR="00AD1FB6" w:rsidRPr="000D65CE">
        <w:rPr>
          <w:rFonts w:eastAsia="Calibri" w:cs="Arial"/>
          <w:szCs w:val="22"/>
        </w:rPr>
        <w:t>Council</w:t>
      </w:r>
      <w:r w:rsidRPr="000D65CE">
        <w:rPr>
          <w:rFonts w:eastAsia="Calibri" w:cs="Arial"/>
          <w:szCs w:val="22"/>
        </w:rPr>
        <w:t>) housing allocation policy</w:t>
      </w:r>
      <w:r w:rsidR="000F7FAB" w:rsidRPr="000D65CE">
        <w:rPr>
          <w:rFonts w:eastAsia="Calibri" w:cs="Arial"/>
          <w:szCs w:val="22"/>
        </w:rPr>
        <w:t>. Affordable H</w:t>
      </w:r>
      <w:r w:rsidRPr="000D65CE">
        <w:rPr>
          <w:rFonts w:eastAsia="Calibri" w:cs="Arial"/>
          <w:szCs w:val="22"/>
        </w:rPr>
        <w:t xml:space="preserve">ousing should include provisions to remain at an affordable price for future households or for the subsidy </w:t>
      </w:r>
      <w:r w:rsidR="000F7FAB" w:rsidRPr="000D65CE">
        <w:rPr>
          <w:rFonts w:eastAsia="Calibri" w:cs="Arial"/>
          <w:szCs w:val="22"/>
        </w:rPr>
        <w:t>to be recycled for alternative Affordable H</w:t>
      </w:r>
      <w:r w:rsidRPr="000D65CE">
        <w:rPr>
          <w:rFonts w:eastAsia="Calibri" w:cs="Arial"/>
          <w:szCs w:val="22"/>
        </w:rPr>
        <w:t>ousing provision.</w:t>
      </w:r>
    </w:p>
    <w:p w14:paraId="45684BB9" w14:textId="77777777" w:rsidR="00C52D6C" w:rsidRPr="000D65CE" w:rsidRDefault="005001D9" w:rsidP="00007C4C">
      <w:pPr>
        <w:autoSpaceDE w:val="0"/>
        <w:autoSpaceDN w:val="0"/>
        <w:adjustRightInd w:val="0"/>
        <w:spacing w:before="240" w:after="60"/>
        <w:jc w:val="both"/>
        <w:rPr>
          <w:rStyle w:val="Strong"/>
        </w:rPr>
      </w:pPr>
      <w:r w:rsidRPr="000D65CE">
        <w:rPr>
          <w:rStyle w:val="Strong"/>
        </w:rPr>
        <w:t xml:space="preserve">Affordable </w:t>
      </w:r>
      <w:r w:rsidR="00892A5D" w:rsidRPr="000D65CE">
        <w:rPr>
          <w:rStyle w:val="Strong"/>
        </w:rPr>
        <w:t>W</w:t>
      </w:r>
      <w:r w:rsidRPr="000D65CE">
        <w:rPr>
          <w:rStyle w:val="Strong"/>
        </w:rPr>
        <w:t>orkspace</w:t>
      </w:r>
      <w:r w:rsidR="00C52D6C" w:rsidRPr="000D65CE">
        <w:rPr>
          <w:rStyle w:val="Strong"/>
        </w:rPr>
        <w:t xml:space="preserve"> </w:t>
      </w:r>
    </w:p>
    <w:p w14:paraId="4D2DBEDD" w14:textId="77777777" w:rsidR="00C52D6C" w:rsidRPr="000D65CE" w:rsidRDefault="00C52D6C" w:rsidP="00E16483">
      <w:pPr>
        <w:autoSpaceDE w:val="0"/>
        <w:autoSpaceDN w:val="0"/>
        <w:adjustRightInd w:val="0"/>
        <w:spacing w:after="60"/>
        <w:jc w:val="both"/>
        <w:rPr>
          <w:rFonts w:eastAsia="Calibri" w:cs="Arial"/>
          <w:szCs w:val="22"/>
          <w:lang w:eastAsia="en-GB"/>
        </w:rPr>
      </w:pPr>
      <w:r w:rsidRPr="000D65CE">
        <w:rPr>
          <w:rFonts w:eastAsia="Calibri" w:cs="Arial"/>
          <w:szCs w:val="22"/>
          <w:lang w:eastAsia="en-GB"/>
        </w:rPr>
        <w:t xml:space="preserve">Flexible workspace which is let to a workspace manager, and which will allow for occupation by the end users in one or more sectors on terms: </w:t>
      </w:r>
    </w:p>
    <w:p w14:paraId="6F000923" w14:textId="77777777" w:rsidR="00C52D6C" w:rsidRPr="000D65CE" w:rsidRDefault="003F119C" w:rsidP="003B280C">
      <w:pPr>
        <w:pStyle w:val="ListBullet2"/>
        <w:jc w:val="both"/>
        <w:rPr>
          <w:lang w:eastAsia="en-GB"/>
        </w:rPr>
      </w:pPr>
      <w:r w:rsidRPr="000D65CE">
        <w:rPr>
          <w:lang w:eastAsia="en-GB"/>
        </w:rPr>
        <w:t>A</w:t>
      </w:r>
      <w:r w:rsidR="00C52D6C" w:rsidRPr="000D65CE">
        <w:rPr>
          <w:lang w:eastAsia="en-GB"/>
        </w:rPr>
        <w:t>ccessible to a wide range of users including but not limited to local residents, start-up entrepreneurs, SMEs</w:t>
      </w:r>
      <w:r w:rsidR="00B14051" w:rsidRPr="000D65CE">
        <w:rPr>
          <w:lang w:eastAsia="en-GB"/>
        </w:rPr>
        <w:t xml:space="preserve"> etc</w:t>
      </w:r>
      <w:r w:rsidRPr="000D65CE">
        <w:rPr>
          <w:lang w:eastAsia="en-GB"/>
        </w:rPr>
        <w:t>.</w:t>
      </w:r>
    </w:p>
    <w:p w14:paraId="6F6B7049" w14:textId="77777777" w:rsidR="00C52D6C" w:rsidRPr="000D65CE" w:rsidRDefault="003F119C" w:rsidP="003B280C">
      <w:pPr>
        <w:pStyle w:val="ListBullet2"/>
        <w:jc w:val="both"/>
        <w:rPr>
          <w:lang w:eastAsia="en-GB"/>
        </w:rPr>
      </w:pPr>
      <w:r w:rsidRPr="000D65CE">
        <w:rPr>
          <w:lang w:eastAsia="en-GB"/>
        </w:rPr>
        <w:t>S</w:t>
      </w:r>
      <w:r w:rsidR="00C52D6C" w:rsidRPr="000D65CE">
        <w:rPr>
          <w:lang w:eastAsia="en-GB"/>
        </w:rPr>
        <w:t xml:space="preserve">ubstantially below market levels of rents and charges when compared with an equivalent letting of the space and facilities on the open market </w:t>
      </w:r>
    </w:p>
    <w:p w14:paraId="07BF8201" w14:textId="77777777" w:rsidR="00C52D6C" w:rsidRPr="000D65CE" w:rsidRDefault="003F119C" w:rsidP="003B280C">
      <w:pPr>
        <w:pStyle w:val="ListBullet2"/>
        <w:jc w:val="both"/>
        <w:rPr>
          <w:lang w:eastAsia="en-GB"/>
        </w:rPr>
      </w:pPr>
      <w:r w:rsidRPr="000D65CE">
        <w:rPr>
          <w:lang w:eastAsia="en-GB"/>
        </w:rPr>
        <w:t>A</w:t>
      </w:r>
      <w:r w:rsidR="00C52D6C" w:rsidRPr="000D65CE">
        <w:rPr>
          <w:lang w:eastAsia="en-GB"/>
        </w:rPr>
        <w:t xml:space="preserve">t a rate comparable with similar facilities available in Tower Hamlets or (if sufficient comparator premises do not exist in the </w:t>
      </w:r>
      <w:r w:rsidR="00C44288" w:rsidRPr="000D65CE">
        <w:rPr>
          <w:lang w:eastAsia="en-GB"/>
        </w:rPr>
        <w:t>b</w:t>
      </w:r>
      <w:r w:rsidR="00747592" w:rsidRPr="000D65CE">
        <w:rPr>
          <w:lang w:eastAsia="en-GB"/>
        </w:rPr>
        <w:t>orough</w:t>
      </w:r>
      <w:r w:rsidR="00C52D6C" w:rsidRPr="000D65CE">
        <w:rPr>
          <w:lang w:eastAsia="en-GB"/>
        </w:rPr>
        <w:t>) across London as a whole</w:t>
      </w:r>
      <w:r w:rsidRPr="000D65CE">
        <w:rPr>
          <w:lang w:eastAsia="en-GB"/>
        </w:rPr>
        <w:t>, and</w:t>
      </w:r>
    </w:p>
    <w:p w14:paraId="58EB1FFA" w14:textId="77777777" w:rsidR="00C52D6C" w:rsidRPr="000D65CE" w:rsidRDefault="003F119C" w:rsidP="003B280C">
      <w:pPr>
        <w:pStyle w:val="ListBullet2"/>
        <w:jc w:val="both"/>
        <w:rPr>
          <w:lang w:eastAsia="en-GB"/>
        </w:rPr>
      </w:pPr>
      <w:r w:rsidRPr="000D65CE">
        <w:rPr>
          <w:lang w:eastAsia="en-GB"/>
        </w:rPr>
        <w:t>A</w:t>
      </w:r>
      <w:r w:rsidR="00C52D6C" w:rsidRPr="000D65CE">
        <w:rPr>
          <w:lang w:eastAsia="en-GB"/>
        </w:rPr>
        <w:t>t rates which mean that occupation is feasible to a large number of small/start-up businesses in the relevant sector(s)</w:t>
      </w:r>
    </w:p>
    <w:p w14:paraId="4F369BD3" w14:textId="77777777" w:rsidR="00007C4C" w:rsidRDefault="00007C4C" w:rsidP="00007C4C">
      <w:pPr>
        <w:autoSpaceDE w:val="0"/>
        <w:autoSpaceDN w:val="0"/>
        <w:adjustRightInd w:val="0"/>
        <w:spacing w:before="240" w:after="60"/>
        <w:jc w:val="both"/>
        <w:rPr>
          <w:rStyle w:val="Strong"/>
        </w:rPr>
      </w:pPr>
      <w:r>
        <w:rPr>
          <w:rStyle w:val="Strong"/>
        </w:rPr>
        <w:t>Affordable Workspace Provider</w:t>
      </w:r>
    </w:p>
    <w:p w14:paraId="7D04DDF7" w14:textId="77777777" w:rsidR="00007C4C" w:rsidRDefault="00007C4C" w:rsidP="00007C4C">
      <w:pPr>
        <w:autoSpaceDE w:val="0"/>
        <w:autoSpaceDN w:val="0"/>
        <w:adjustRightInd w:val="0"/>
        <w:jc w:val="both"/>
        <w:rPr>
          <w:rStyle w:val="Strong"/>
          <w:b w:val="0"/>
        </w:rPr>
      </w:pPr>
      <w:r>
        <w:rPr>
          <w:rStyle w:val="Strong"/>
          <w:b w:val="0"/>
        </w:rPr>
        <w:t xml:space="preserve">An operator or manager of an employment space which is designated as affordable workspace in accordance with the relevant provisions of the Local Plan. </w:t>
      </w:r>
    </w:p>
    <w:p w14:paraId="356D4DA2" w14:textId="77777777" w:rsidR="00146AE3" w:rsidRPr="000D65CE" w:rsidRDefault="00146AE3" w:rsidP="00007C4C">
      <w:pPr>
        <w:autoSpaceDE w:val="0"/>
        <w:autoSpaceDN w:val="0"/>
        <w:adjustRightInd w:val="0"/>
        <w:spacing w:before="240" w:after="60"/>
        <w:jc w:val="both"/>
        <w:rPr>
          <w:rStyle w:val="Strong"/>
          <w:highlight w:val="yellow"/>
        </w:rPr>
      </w:pPr>
      <w:r w:rsidRPr="000D65CE">
        <w:rPr>
          <w:rStyle w:val="Strong"/>
        </w:rPr>
        <w:t xml:space="preserve">Community Infrastructure Levy (CIL) – Tower Hamlets </w:t>
      </w:r>
    </w:p>
    <w:p w14:paraId="3D48150C" w14:textId="77777777" w:rsidR="00146AE3" w:rsidRPr="000D65CE" w:rsidRDefault="00520095" w:rsidP="003B280C">
      <w:pPr>
        <w:shd w:val="clear" w:color="auto" w:fill="FFFFFF"/>
        <w:jc w:val="both"/>
        <w:rPr>
          <w:rFonts w:cs="Arial"/>
          <w:b/>
          <w:bCs/>
          <w:szCs w:val="22"/>
          <w:highlight w:val="yellow"/>
        </w:rPr>
      </w:pPr>
      <w:r w:rsidRPr="000D65CE">
        <w:rPr>
          <w:rFonts w:eastAsia="Calibri" w:cs="Arial"/>
          <w:szCs w:val="22"/>
          <w:lang w:eastAsia="en-GB"/>
        </w:rPr>
        <w:t>A tariff on development which creates net additional floor space, where the gross internal area of new build exceeds 100 square metres, to help fund new infrastructure required to support the development.</w:t>
      </w:r>
    </w:p>
    <w:p w14:paraId="115C34FE" w14:textId="77777777" w:rsidR="00146AE3" w:rsidRPr="000D65CE" w:rsidRDefault="00146AE3" w:rsidP="00007C4C">
      <w:pPr>
        <w:autoSpaceDE w:val="0"/>
        <w:autoSpaceDN w:val="0"/>
        <w:adjustRightInd w:val="0"/>
        <w:spacing w:before="240" w:after="60"/>
        <w:jc w:val="both"/>
        <w:rPr>
          <w:rStyle w:val="Strong"/>
        </w:rPr>
      </w:pPr>
      <w:r w:rsidRPr="000D65CE">
        <w:rPr>
          <w:rStyle w:val="Strong"/>
        </w:rPr>
        <w:t xml:space="preserve">Community Infrastructure Levy (CIL) – London </w:t>
      </w:r>
    </w:p>
    <w:p w14:paraId="1969C0A1" w14:textId="77777777" w:rsidR="00146AE3" w:rsidRPr="000D65CE" w:rsidRDefault="00427224" w:rsidP="003B280C">
      <w:pPr>
        <w:autoSpaceDE w:val="0"/>
        <w:autoSpaceDN w:val="0"/>
        <w:jc w:val="both"/>
        <w:rPr>
          <w:rFonts w:cs="Arial"/>
          <w:b/>
          <w:bCs/>
          <w:szCs w:val="22"/>
        </w:rPr>
      </w:pPr>
      <w:r w:rsidRPr="000D65CE">
        <w:rPr>
          <w:rFonts w:eastAsia="Calibri" w:cs="Arial"/>
          <w:szCs w:val="22"/>
        </w:rPr>
        <w:t xml:space="preserve">A </w:t>
      </w:r>
      <w:r w:rsidR="002407C5" w:rsidRPr="000D65CE">
        <w:rPr>
          <w:rFonts w:eastAsia="Calibri" w:cs="Arial"/>
          <w:szCs w:val="22"/>
        </w:rPr>
        <w:t>l</w:t>
      </w:r>
      <w:r w:rsidRPr="000D65CE">
        <w:rPr>
          <w:rFonts w:eastAsia="Calibri" w:cs="Arial"/>
          <w:szCs w:val="22"/>
        </w:rPr>
        <w:t>evy charged on new development in London by the Mayor of London since the 1</w:t>
      </w:r>
      <w:r w:rsidRPr="000D65CE">
        <w:rPr>
          <w:rFonts w:eastAsia="Calibri" w:cs="Arial"/>
          <w:szCs w:val="22"/>
          <w:vertAlign w:val="superscript"/>
        </w:rPr>
        <w:t>st</w:t>
      </w:r>
      <w:r w:rsidRPr="000D65CE">
        <w:rPr>
          <w:rFonts w:eastAsia="Calibri" w:cs="Arial"/>
          <w:szCs w:val="22"/>
        </w:rPr>
        <w:t xml:space="preserve"> April 201</w:t>
      </w:r>
      <w:r w:rsidR="004654ED" w:rsidRPr="000D65CE">
        <w:rPr>
          <w:rFonts w:eastAsia="Calibri" w:cs="Arial"/>
          <w:szCs w:val="22"/>
        </w:rPr>
        <w:t>9</w:t>
      </w:r>
      <w:r w:rsidR="00605041" w:rsidRPr="000D65CE">
        <w:rPr>
          <w:rFonts w:eastAsia="Calibri" w:cs="Arial"/>
          <w:szCs w:val="22"/>
        </w:rPr>
        <w:t xml:space="preserve"> to fund</w:t>
      </w:r>
      <w:r w:rsidR="003F5D02" w:rsidRPr="000D65CE">
        <w:rPr>
          <w:rFonts w:eastAsia="Calibri" w:cs="Arial"/>
          <w:szCs w:val="22"/>
        </w:rPr>
        <w:t xml:space="preserve"> strategic transport</w:t>
      </w:r>
      <w:r w:rsidR="00D94C6A" w:rsidRPr="000D65CE">
        <w:rPr>
          <w:rFonts w:eastAsia="Calibri" w:cs="Arial"/>
          <w:szCs w:val="22"/>
        </w:rPr>
        <w:t>, also referred to as MCIL2</w:t>
      </w:r>
      <w:r w:rsidRPr="000D65CE">
        <w:rPr>
          <w:rFonts w:eastAsia="Calibri" w:cs="Arial"/>
          <w:szCs w:val="22"/>
        </w:rPr>
        <w:t>.</w:t>
      </w:r>
      <w:r w:rsidR="00D94C6A" w:rsidRPr="000D65CE">
        <w:rPr>
          <w:rFonts w:eastAsia="Calibri" w:cs="Arial"/>
          <w:szCs w:val="22"/>
        </w:rPr>
        <w:t xml:space="preserve"> MCIL1 was adopted on the 1</w:t>
      </w:r>
      <w:r w:rsidR="00D94C6A" w:rsidRPr="000D65CE">
        <w:rPr>
          <w:rFonts w:eastAsia="Calibri" w:cs="Arial"/>
          <w:szCs w:val="22"/>
          <w:vertAlign w:val="superscript"/>
        </w:rPr>
        <w:t>st</w:t>
      </w:r>
      <w:r w:rsidR="00D94C6A" w:rsidRPr="000D65CE">
        <w:rPr>
          <w:rFonts w:eastAsia="Calibri" w:cs="Arial"/>
          <w:szCs w:val="22"/>
        </w:rPr>
        <w:t xml:space="preserve"> April 2012, which has now been superseded by MCIL2.</w:t>
      </w:r>
      <w:r w:rsidRPr="000D65CE">
        <w:rPr>
          <w:rFonts w:eastAsia="Calibri" w:cs="Arial"/>
          <w:szCs w:val="22"/>
        </w:rPr>
        <w:t xml:space="preserve"> This Le</w:t>
      </w:r>
      <w:r w:rsidR="005C52EB" w:rsidRPr="000D65CE">
        <w:rPr>
          <w:rFonts w:eastAsia="Calibri" w:cs="Arial"/>
          <w:szCs w:val="22"/>
        </w:rPr>
        <w:t>vy is in addition</w:t>
      </w:r>
      <w:r w:rsidR="00C44288" w:rsidRPr="000D65CE">
        <w:rPr>
          <w:rFonts w:eastAsia="Calibri" w:cs="Arial"/>
          <w:szCs w:val="22"/>
        </w:rPr>
        <w:t xml:space="preserve"> to the </w:t>
      </w:r>
      <w:r w:rsidR="005C52EB" w:rsidRPr="000D65CE">
        <w:rPr>
          <w:rFonts w:eastAsia="Calibri" w:cs="Arial"/>
          <w:szCs w:val="22"/>
        </w:rPr>
        <w:t>T</w:t>
      </w:r>
      <w:r w:rsidR="00C44288" w:rsidRPr="000D65CE">
        <w:rPr>
          <w:rFonts w:eastAsia="Calibri" w:cs="Arial"/>
          <w:szCs w:val="22"/>
        </w:rPr>
        <w:t xml:space="preserve">ower </w:t>
      </w:r>
      <w:r w:rsidR="005C52EB" w:rsidRPr="000D65CE">
        <w:rPr>
          <w:rFonts w:eastAsia="Calibri" w:cs="Arial"/>
          <w:szCs w:val="22"/>
        </w:rPr>
        <w:t>H</w:t>
      </w:r>
      <w:r w:rsidR="00C44288" w:rsidRPr="000D65CE">
        <w:rPr>
          <w:rFonts w:eastAsia="Calibri" w:cs="Arial"/>
          <w:szCs w:val="22"/>
        </w:rPr>
        <w:t>amlets</w:t>
      </w:r>
      <w:r w:rsidR="005C52EB" w:rsidRPr="000D65CE">
        <w:rPr>
          <w:rFonts w:eastAsia="Calibri" w:cs="Arial"/>
          <w:szCs w:val="22"/>
        </w:rPr>
        <w:t xml:space="preserve"> </w:t>
      </w:r>
      <w:r w:rsidR="00C44288" w:rsidRPr="000D65CE">
        <w:rPr>
          <w:rFonts w:eastAsia="Calibri" w:cs="Arial"/>
          <w:szCs w:val="22"/>
        </w:rPr>
        <w:t>Borough</w:t>
      </w:r>
      <w:r w:rsidRPr="000D65CE">
        <w:rPr>
          <w:rFonts w:eastAsia="Calibri" w:cs="Arial"/>
          <w:szCs w:val="22"/>
        </w:rPr>
        <w:t xml:space="preserve"> CIL.</w:t>
      </w:r>
    </w:p>
    <w:p w14:paraId="090F977D" w14:textId="77777777" w:rsidR="00146AE3" w:rsidRPr="000D65CE" w:rsidRDefault="00146AE3" w:rsidP="00007C4C">
      <w:pPr>
        <w:autoSpaceDE w:val="0"/>
        <w:autoSpaceDN w:val="0"/>
        <w:adjustRightInd w:val="0"/>
        <w:spacing w:before="240" w:after="60"/>
        <w:jc w:val="both"/>
        <w:rPr>
          <w:rStyle w:val="Strong"/>
        </w:rPr>
      </w:pPr>
      <w:r w:rsidRPr="000D65CE">
        <w:rPr>
          <w:rStyle w:val="Strong"/>
        </w:rPr>
        <w:lastRenderedPageBreak/>
        <w:t xml:space="preserve">Community Infrastructure Levy </w:t>
      </w:r>
      <w:r w:rsidR="00427224" w:rsidRPr="000D65CE">
        <w:rPr>
          <w:rStyle w:val="Strong"/>
        </w:rPr>
        <w:t>Regulations</w:t>
      </w:r>
    </w:p>
    <w:p w14:paraId="36335653" w14:textId="77777777" w:rsidR="005001D9" w:rsidRPr="000D65CE" w:rsidRDefault="00427224" w:rsidP="003B280C">
      <w:pPr>
        <w:pStyle w:val="legtext1"/>
        <w:spacing w:after="0" w:line="288" w:lineRule="auto"/>
        <w:rPr>
          <w:rFonts w:ascii="Arial" w:hAnsi="Arial" w:cs="Arial"/>
          <w:color w:val="auto"/>
          <w:sz w:val="22"/>
          <w:szCs w:val="22"/>
        </w:rPr>
      </w:pPr>
      <w:r w:rsidRPr="000D65CE">
        <w:rPr>
          <w:rFonts w:ascii="Arial" w:hAnsi="Arial" w:cs="Arial"/>
          <w:color w:val="auto"/>
          <w:sz w:val="22"/>
          <w:szCs w:val="22"/>
        </w:rPr>
        <w:t>Regulations approved by the House of Commons in accordance with section 222(2)</w:t>
      </w:r>
      <w:r w:rsidR="00B3454D" w:rsidRPr="000D65CE">
        <w:rPr>
          <w:rFonts w:ascii="Arial" w:hAnsi="Arial" w:cs="Arial"/>
          <w:color w:val="auto"/>
          <w:sz w:val="22"/>
          <w:szCs w:val="22"/>
        </w:rPr>
        <w:t xml:space="preserve"> </w:t>
      </w:r>
      <w:r w:rsidRPr="000D65CE">
        <w:rPr>
          <w:rFonts w:ascii="Arial" w:hAnsi="Arial" w:cs="Arial"/>
          <w:color w:val="auto"/>
          <w:sz w:val="22"/>
          <w:szCs w:val="22"/>
        </w:rPr>
        <w:t xml:space="preserve">(b) of the Planning Act 2008. </w:t>
      </w:r>
    </w:p>
    <w:p w14:paraId="6A8385AB" w14:textId="77777777" w:rsidR="00B52512" w:rsidRPr="000D65CE" w:rsidRDefault="00B52512" w:rsidP="00007C4C">
      <w:pPr>
        <w:autoSpaceDE w:val="0"/>
        <w:autoSpaceDN w:val="0"/>
        <w:adjustRightInd w:val="0"/>
        <w:spacing w:before="240" w:after="60"/>
        <w:jc w:val="both"/>
        <w:rPr>
          <w:rStyle w:val="Strong"/>
          <w:b w:val="0"/>
        </w:rPr>
      </w:pPr>
      <w:r w:rsidRPr="000D65CE">
        <w:rPr>
          <w:rStyle w:val="Strong"/>
        </w:rPr>
        <w:t>Design Certifier</w:t>
      </w:r>
    </w:p>
    <w:p w14:paraId="52ABD0F4" w14:textId="77777777" w:rsidR="00B52512" w:rsidRPr="000D65CE" w:rsidRDefault="00B52512" w:rsidP="003B280C">
      <w:pPr>
        <w:jc w:val="both"/>
        <w:rPr>
          <w:rStyle w:val="Strong"/>
          <w:b w:val="0"/>
          <w:sz w:val="22"/>
        </w:rPr>
      </w:pPr>
      <w:r w:rsidRPr="000D65CE">
        <w:t>An appropriately qualified and experienced architect engaged to review and assess the design of a development through to completion.  </w:t>
      </w:r>
    </w:p>
    <w:p w14:paraId="247C06B2" w14:textId="5C91942F" w:rsidR="005001D9" w:rsidRPr="000D65CE" w:rsidRDefault="005001D9" w:rsidP="00007C4C">
      <w:pPr>
        <w:autoSpaceDE w:val="0"/>
        <w:autoSpaceDN w:val="0"/>
        <w:adjustRightInd w:val="0"/>
        <w:spacing w:before="240" w:after="60"/>
        <w:jc w:val="both"/>
        <w:rPr>
          <w:rStyle w:val="Strong"/>
        </w:rPr>
      </w:pPr>
      <w:r w:rsidRPr="000D65CE">
        <w:rPr>
          <w:rStyle w:val="Strong"/>
        </w:rPr>
        <w:t xml:space="preserve">Development Viability Supplementary Planning Document </w:t>
      </w:r>
    </w:p>
    <w:p w14:paraId="45199D46" w14:textId="77777777" w:rsidR="00A03B29" w:rsidRPr="000D65CE" w:rsidRDefault="00A03B29" w:rsidP="003B280C">
      <w:pPr>
        <w:jc w:val="both"/>
      </w:pPr>
      <w:r w:rsidRPr="000D65CE">
        <w:t>This Supplementary Planning Document (SPD) provides guidance as to how Development Plan policies should be applied in a development viability context when determining planning applications.</w:t>
      </w:r>
    </w:p>
    <w:p w14:paraId="02B372A1" w14:textId="77777777" w:rsidR="00AA1D3F" w:rsidRPr="000D65CE" w:rsidRDefault="00AA1D3F" w:rsidP="00007C4C">
      <w:pPr>
        <w:autoSpaceDE w:val="0"/>
        <w:autoSpaceDN w:val="0"/>
        <w:adjustRightInd w:val="0"/>
        <w:spacing w:before="240" w:after="60"/>
        <w:jc w:val="both"/>
        <w:rPr>
          <w:rStyle w:val="Strong"/>
        </w:rPr>
      </w:pPr>
      <w:r w:rsidRPr="000D65CE">
        <w:rPr>
          <w:rStyle w:val="Strong"/>
        </w:rPr>
        <w:t>GLA-</w:t>
      </w:r>
      <w:r w:rsidR="00EA43C3" w:rsidRPr="000D65CE">
        <w:rPr>
          <w:rStyle w:val="Strong"/>
        </w:rPr>
        <w:t>R</w:t>
      </w:r>
      <w:r w:rsidRPr="000D65CE">
        <w:rPr>
          <w:rStyle w:val="Strong"/>
        </w:rPr>
        <w:t xml:space="preserve">eferable </w:t>
      </w:r>
      <w:r w:rsidR="00EA43C3" w:rsidRPr="000D65CE">
        <w:rPr>
          <w:rStyle w:val="Strong"/>
        </w:rPr>
        <w:t>S</w:t>
      </w:r>
      <w:r w:rsidRPr="000D65CE">
        <w:rPr>
          <w:rStyle w:val="Strong"/>
        </w:rPr>
        <w:t>chemes</w:t>
      </w:r>
    </w:p>
    <w:p w14:paraId="3941490E" w14:textId="77777777" w:rsidR="00AA1D3F" w:rsidRPr="000D65CE" w:rsidRDefault="00AA1D3F" w:rsidP="00E16483">
      <w:pPr>
        <w:spacing w:after="60"/>
        <w:jc w:val="both"/>
        <w:rPr>
          <w:rFonts w:cs="Arial"/>
          <w:szCs w:val="22"/>
        </w:rPr>
      </w:pPr>
      <w:r w:rsidRPr="000D65CE">
        <w:rPr>
          <w:rFonts w:cs="Arial"/>
          <w:szCs w:val="22"/>
        </w:rPr>
        <w:t>Planning applications that are referable to the Mayor of London as set out in the Mayor of London Order (2008). The criterion includes:</w:t>
      </w:r>
    </w:p>
    <w:p w14:paraId="189C6B44" w14:textId="77777777" w:rsidR="00AA1D3F" w:rsidRPr="000D65CE" w:rsidRDefault="00AA1D3F" w:rsidP="003B280C">
      <w:pPr>
        <w:pStyle w:val="ListBullet2"/>
        <w:jc w:val="both"/>
      </w:pPr>
      <w:r w:rsidRPr="000D65CE">
        <w:t>development of 150 residential units or more</w:t>
      </w:r>
    </w:p>
    <w:p w14:paraId="43CBDDA1" w14:textId="77777777" w:rsidR="00AA1D3F" w:rsidRPr="000D65CE" w:rsidRDefault="00AA1D3F" w:rsidP="003B280C">
      <w:pPr>
        <w:pStyle w:val="ListBullet2"/>
        <w:jc w:val="both"/>
      </w:pPr>
      <w:r w:rsidRPr="000D65CE">
        <w:t>development over 30 metres in height</w:t>
      </w:r>
    </w:p>
    <w:p w14:paraId="7F023FBA" w14:textId="77777777" w:rsidR="00426B3C" w:rsidRPr="000D65CE" w:rsidRDefault="00426B3C" w:rsidP="003B280C">
      <w:pPr>
        <w:pStyle w:val="ListBullet2"/>
        <w:jc w:val="both"/>
      </w:pPr>
      <w:r w:rsidRPr="000D65CE">
        <w:t xml:space="preserve">non-residential development </w:t>
      </w:r>
      <w:r w:rsidR="0045510D" w:rsidRPr="000D65CE">
        <w:t>outside Central London over 15</w:t>
      </w:r>
      <w:r w:rsidRPr="000D65CE">
        <w:t>0,000 sqm</w:t>
      </w:r>
    </w:p>
    <w:p w14:paraId="1453C566" w14:textId="77777777" w:rsidR="00AA1D3F" w:rsidRPr="000D65CE" w:rsidRDefault="00AA1D3F" w:rsidP="003B280C">
      <w:pPr>
        <w:pStyle w:val="ListBullet2"/>
        <w:jc w:val="both"/>
        <w:rPr>
          <w:b/>
        </w:rPr>
      </w:pPr>
      <w:r w:rsidRPr="000D65CE">
        <w:t>development on Green Belt or Metropolitan Open Land</w:t>
      </w:r>
    </w:p>
    <w:p w14:paraId="6CC89339" w14:textId="77777777" w:rsidR="00907CFC" w:rsidRPr="000D65CE" w:rsidRDefault="00907CFC" w:rsidP="00007C4C">
      <w:pPr>
        <w:autoSpaceDE w:val="0"/>
        <w:autoSpaceDN w:val="0"/>
        <w:adjustRightInd w:val="0"/>
        <w:spacing w:before="240" w:after="60"/>
        <w:jc w:val="both"/>
        <w:rPr>
          <w:rStyle w:val="Strong"/>
        </w:rPr>
      </w:pPr>
      <w:r w:rsidRPr="000D65CE">
        <w:rPr>
          <w:rStyle w:val="Strong"/>
        </w:rPr>
        <w:t>Green Grid</w:t>
      </w:r>
    </w:p>
    <w:p w14:paraId="65C4E23F" w14:textId="77777777" w:rsidR="00907CFC" w:rsidRPr="000D65CE" w:rsidRDefault="00907CFC" w:rsidP="003B280C">
      <w:pPr>
        <w:jc w:val="both"/>
        <w:rPr>
          <w:rStyle w:val="Strong"/>
        </w:rPr>
      </w:pPr>
      <w:r w:rsidRPr="000D65CE">
        <w:t xml:space="preserve">A network of inter-linked high quality and multi-functional </w:t>
      </w:r>
      <w:r w:rsidR="0096593F" w:rsidRPr="000D65CE">
        <w:t>Open Space</w:t>
      </w:r>
      <w:r w:rsidRPr="000D65CE">
        <w:t>s, waterways and other corridors.</w:t>
      </w:r>
    </w:p>
    <w:p w14:paraId="4D28847F" w14:textId="77777777" w:rsidR="000735FD" w:rsidRPr="000D65CE" w:rsidRDefault="000735FD" w:rsidP="00007C4C">
      <w:pPr>
        <w:autoSpaceDE w:val="0"/>
        <w:autoSpaceDN w:val="0"/>
        <w:adjustRightInd w:val="0"/>
        <w:spacing w:before="240" w:after="60"/>
        <w:jc w:val="both"/>
        <w:rPr>
          <w:rStyle w:val="Strong"/>
        </w:rPr>
      </w:pPr>
      <w:r w:rsidRPr="000D65CE">
        <w:rPr>
          <w:rStyle w:val="Strong"/>
        </w:rPr>
        <w:t>Habitable Room</w:t>
      </w:r>
    </w:p>
    <w:p w14:paraId="266FCE69" w14:textId="77777777" w:rsidR="000735FD" w:rsidRPr="000D65CE" w:rsidRDefault="000735FD" w:rsidP="003B280C">
      <w:pPr>
        <w:autoSpaceDE w:val="0"/>
        <w:autoSpaceDN w:val="0"/>
        <w:adjustRightInd w:val="0"/>
        <w:jc w:val="both"/>
        <w:rPr>
          <w:rFonts w:cs="Arial"/>
          <w:b/>
          <w:bCs/>
          <w:szCs w:val="22"/>
        </w:rPr>
      </w:pPr>
      <w:r w:rsidRPr="000D65CE">
        <w:rPr>
          <w:rFonts w:cs="Arial"/>
          <w:szCs w:val="22"/>
        </w:rPr>
        <w:t>A room within a dwelling, the main purpose of which is for sleeping, living or dining</w:t>
      </w:r>
      <w:r w:rsidR="00D5211F" w:rsidRPr="000D65CE">
        <w:rPr>
          <w:rFonts w:cs="Arial"/>
          <w:szCs w:val="22"/>
        </w:rPr>
        <w:t xml:space="preserve"> and meeting minimum room sizes set out in London Housing Design Standards</w:t>
      </w:r>
      <w:r w:rsidRPr="000D65CE">
        <w:rPr>
          <w:rFonts w:cs="Arial"/>
          <w:szCs w:val="22"/>
        </w:rPr>
        <w:t>. It is any room with a window that could be used to sleep in, regardless of how it is used. It excludes toilets, landings, halls, lobby areas and kitchen</w:t>
      </w:r>
      <w:r w:rsidR="00D5211F" w:rsidRPr="000D65CE">
        <w:rPr>
          <w:rFonts w:cs="Arial"/>
          <w:szCs w:val="22"/>
        </w:rPr>
        <w:t xml:space="preserve"> diners</w:t>
      </w:r>
      <w:r w:rsidRPr="000D65CE">
        <w:rPr>
          <w:rFonts w:cs="Arial"/>
          <w:szCs w:val="22"/>
        </w:rPr>
        <w:t xml:space="preserve"> with an overall floor area of less than 1</w:t>
      </w:r>
      <w:r w:rsidR="00D5211F" w:rsidRPr="000D65CE">
        <w:rPr>
          <w:rFonts w:cs="Arial"/>
          <w:szCs w:val="22"/>
        </w:rPr>
        <w:t>3</w:t>
      </w:r>
      <w:r w:rsidR="005001D9" w:rsidRPr="000D65CE">
        <w:rPr>
          <w:rFonts w:cs="Arial"/>
          <w:szCs w:val="22"/>
        </w:rPr>
        <w:t xml:space="preserve"> sqm</w:t>
      </w:r>
      <w:r w:rsidRPr="000D65CE">
        <w:rPr>
          <w:rFonts w:cs="Arial"/>
          <w:szCs w:val="22"/>
        </w:rPr>
        <w:t>.</w:t>
      </w:r>
    </w:p>
    <w:p w14:paraId="2A4E568E" w14:textId="77777777" w:rsidR="000735FD" w:rsidRPr="000D65CE" w:rsidRDefault="009A4257" w:rsidP="00007C4C">
      <w:pPr>
        <w:spacing w:before="240" w:after="60"/>
        <w:jc w:val="both"/>
        <w:rPr>
          <w:rStyle w:val="Strong"/>
        </w:rPr>
      </w:pPr>
      <w:r w:rsidRPr="000D65CE">
        <w:rPr>
          <w:rStyle w:val="Strong"/>
        </w:rPr>
        <w:t>H</w:t>
      </w:r>
      <w:r w:rsidR="000735FD" w:rsidRPr="000D65CE">
        <w:rPr>
          <w:rStyle w:val="Strong"/>
        </w:rPr>
        <w:t>eads of Term</w:t>
      </w:r>
    </w:p>
    <w:p w14:paraId="1A5B5935" w14:textId="77777777" w:rsidR="000735FD" w:rsidRPr="000D65CE" w:rsidRDefault="000735FD" w:rsidP="003B280C">
      <w:pPr>
        <w:autoSpaceDE w:val="0"/>
        <w:autoSpaceDN w:val="0"/>
        <w:adjustRightInd w:val="0"/>
        <w:jc w:val="both"/>
        <w:rPr>
          <w:rFonts w:cs="Arial"/>
          <w:b/>
          <w:bCs/>
          <w:szCs w:val="22"/>
        </w:rPr>
      </w:pPr>
      <w:r w:rsidRPr="000D65CE">
        <w:rPr>
          <w:rFonts w:cs="Arial"/>
          <w:szCs w:val="22"/>
        </w:rPr>
        <w:t xml:space="preserve">The different topic areas under which planning obligations </w:t>
      </w:r>
      <w:r w:rsidR="003D77A6" w:rsidRPr="000D65CE">
        <w:rPr>
          <w:rFonts w:cs="Arial"/>
          <w:szCs w:val="22"/>
        </w:rPr>
        <w:t xml:space="preserve">might </w:t>
      </w:r>
      <w:r w:rsidRPr="000D65CE">
        <w:rPr>
          <w:rFonts w:cs="Arial"/>
          <w:szCs w:val="22"/>
        </w:rPr>
        <w:t xml:space="preserve">be </w:t>
      </w:r>
      <w:r w:rsidR="003D77A6" w:rsidRPr="000D65CE">
        <w:rPr>
          <w:rFonts w:cs="Arial"/>
          <w:szCs w:val="22"/>
        </w:rPr>
        <w:t xml:space="preserve">identified in a </w:t>
      </w:r>
      <w:r w:rsidR="009610F9" w:rsidRPr="000D65CE">
        <w:rPr>
          <w:rFonts w:cs="Arial"/>
          <w:szCs w:val="22"/>
        </w:rPr>
        <w:t>Section 106</w:t>
      </w:r>
      <w:r w:rsidR="003D77A6" w:rsidRPr="000D65CE">
        <w:rPr>
          <w:rFonts w:cs="Arial"/>
          <w:szCs w:val="22"/>
        </w:rPr>
        <w:t xml:space="preserve"> </w:t>
      </w:r>
      <w:r w:rsidR="002407C5" w:rsidRPr="000D65CE">
        <w:rPr>
          <w:rFonts w:cs="Arial"/>
          <w:szCs w:val="22"/>
        </w:rPr>
        <w:t>a</w:t>
      </w:r>
      <w:r w:rsidR="003D77A6" w:rsidRPr="000D65CE">
        <w:rPr>
          <w:rFonts w:cs="Arial"/>
          <w:szCs w:val="22"/>
        </w:rPr>
        <w:t>greement</w:t>
      </w:r>
      <w:r w:rsidR="002407C5" w:rsidRPr="000D65CE">
        <w:rPr>
          <w:rFonts w:cs="Arial"/>
          <w:szCs w:val="22"/>
        </w:rPr>
        <w:t xml:space="preserve"> (</w:t>
      </w:r>
      <w:r w:rsidRPr="000D65CE">
        <w:rPr>
          <w:rFonts w:cs="Arial"/>
          <w:szCs w:val="22"/>
        </w:rPr>
        <w:t>for example</w:t>
      </w:r>
      <w:r w:rsidR="000F7FAB" w:rsidRPr="000D65CE">
        <w:rPr>
          <w:rFonts w:cs="Arial"/>
          <w:szCs w:val="22"/>
        </w:rPr>
        <w:t xml:space="preserve"> A</w:t>
      </w:r>
      <w:r w:rsidRPr="000D65CE">
        <w:rPr>
          <w:rFonts w:cs="Arial"/>
          <w:szCs w:val="22"/>
        </w:rPr>
        <w:t xml:space="preserve">ffordable </w:t>
      </w:r>
      <w:r w:rsidR="000F7FAB" w:rsidRPr="000D65CE">
        <w:rPr>
          <w:rFonts w:cs="Arial"/>
          <w:szCs w:val="22"/>
        </w:rPr>
        <w:t>H</w:t>
      </w:r>
      <w:r w:rsidRPr="000D65CE">
        <w:rPr>
          <w:rFonts w:cs="Arial"/>
          <w:szCs w:val="22"/>
        </w:rPr>
        <w:t xml:space="preserve">ousing or </w:t>
      </w:r>
      <w:r w:rsidR="002407C5" w:rsidRPr="000D65CE">
        <w:rPr>
          <w:rFonts w:cs="Arial"/>
          <w:szCs w:val="22"/>
        </w:rPr>
        <w:t>e</w:t>
      </w:r>
      <w:r w:rsidRPr="000D65CE">
        <w:rPr>
          <w:rFonts w:cs="Arial"/>
          <w:szCs w:val="22"/>
        </w:rPr>
        <w:t xml:space="preserve">mployment and </w:t>
      </w:r>
      <w:r w:rsidR="002407C5" w:rsidRPr="000D65CE">
        <w:rPr>
          <w:rFonts w:cs="Arial"/>
          <w:szCs w:val="22"/>
        </w:rPr>
        <w:t>e</w:t>
      </w:r>
      <w:r w:rsidRPr="000D65CE">
        <w:rPr>
          <w:rFonts w:cs="Arial"/>
          <w:szCs w:val="22"/>
        </w:rPr>
        <w:t>nterprise</w:t>
      </w:r>
      <w:r w:rsidR="006A5FEC" w:rsidRPr="000D65CE">
        <w:rPr>
          <w:rFonts w:cs="Arial"/>
          <w:szCs w:val="22"/>
        </w:rPr>
        <w:t>)</w:t>
      </w:r>
      <w:r w:rsidRPr="000D65CE">
        <w:rPr>
          <w:rFonts w:cs="Arial"/>
          <w:szCs w:val="22"/>
        </w:rPr>
        <w:t>.</w:t>
      </w:r>
    </w:p>
    <w:p w14:paraId="3D7A1501" w14:textId="77777777" w:rsidR="00520095" w:rsidRPr="000D65CE" w:rsidRDefault="00520095" w:rsidP="00007C4C">
      <w:pPr>
        <w:autoSpaceDE w:val="0"/>
        <w:autoSpaceDN w:val="0"/>
        <w:adjustRightInd w:val="0"/>
        <w:spacing w:before="240" w:after="60"/>
        <w:jc w:val="both"/>
        <w:rPr>
          <w:rStyle w:val="Strong"/>
        </w:rPr>
      </w:pPr>
      <w:r w:rsidRPr="000D65CE">
        <w:rPr>
          <w:rStyle w:val="Strong"/>
        </w:rPr>
        <w:t>Infrastructure</w:t>
      </w:r>
    </w:p>
    <w:p w14:paraId="0F849D89" w14:textId="77777777" w:rsidR="000735FD" w:rsidRPr="000D65CE" w:rsidRDefault="00520095" w:rsidP="003B280C">
      <w:pPr>
        <w:autoSpaceDE w:val="0"/>
        <w:autoSpaceDN w:val="0"/>
        <w:adjustRightInd w:val="0"/>
        <w:jc w:val="both"/>
        <w:rPr>
          <w:rFonts w:cs="Arial"/>
          <w:szCs w:val="22"/>
        </w:rPr>
      </w:pPr>
      <w:r w:rsidRPr="000D65CE">
        <w:rPr>
          <w:rFonts w:cs="Arial"/>
          <w:szCs w:val="22"/>
        </w:rPr>
        <w:t xml:space="preserve">Services which are necessary for the day-to-day functions of the community and economy such as roads, railways and social/community facilities. Infrastructure includes utility services, transport routes, schools, </w:t>
      </w:r>
      <w:r w:rsidR="0096593F" w:rsidRPr="000D65CE">
        <w:rPr>
          <w:rFonts w:cs="Arial"/>
          <w:szCs w:val="22"/>
        </w:rPr>
        <w:t>Open Space</w:t>
      </w:r>
      <w:r w:rsidRPr="000D65CE">
        <w:rPr>
          <w:rFonts w:cs="Arial"/>
          <w:szCs w:val="22"/>
        </w:rPr>
        <w:t xml:space="preserve"> and health and leisure services.</w:t>
      </w:r>
    </w:p>
    <w:p w14:paraId="6D9C3FE6" w14:textId="57EEC430" w:rsidR="00114D1D" w:rsidRPr="000D65CE" w:rsidRDefault="00114D1D" w:rsidP="00007C4C">
      <w:pPr>
        <w:autoSpaceDE w:val="0"/>
        <w:autoSpaceDN w:val="0"/>
        <w:adjustRightInd w:val="0"/>
        <w:spacing w:before="240" w:after="60"/>
        <w:jc w:val="both"/>
        <w:rPr>
          <w:rStyle w:val="Strong"/>
        </w:rPr>
      </w:pPr>
      <w:r w:rsidRPr="000D65CE">
        <w:rPr>
          <w:rStyle w:val="Strong"/>
        </w:rPr>
        <w:t xml:space="preserve">Infrastructure Funding Statement </w:t>
      </w:r>
    </w:p>
    <w:p w14:paraId="1E4C3E10" w14:textId="77777777" w:rsidR="00E41EAC" w:rsidRPr="000D65CE" w:rsidRDefault="00E41EAC" w:rsidP="00E16483">
      <w:pPr>
        <w:autoSpaceDE w:val="0"/>
        <w:autoSpaceDN w:val="0"/>
        <w:adjustRightInd w:val="0"/>
        <w:spacing w:after="60"/>
        <w:jc w:val="both"/>
        <w:rPr>
          <w:rFonts w:cs="Arial"/>
          <w:szCs w:val="22"/>
        </w:rPr>
      </w:pPr>
      <w:r w:rsidRPr="000D65CE">
        <w:rPr>
          <w:rFonts w:cs="Arial"/>
          <w:szCs w:val="22"/>
        </w:rPr>
        <w:t>A document prepared annually by a contribution receiving authority, which includes:</w:t>
      </w:r>
    </w:p>
    <w:p w14:paraId="6DF5A7AD" w14:textId="77777777" w:rsidR="00E41EAC" w:rsidRPr="000D65CE" w:rsidRDefault="00E41EAC" w:rsidP="003B280C">
      <w:pPr>
        <w:pStyle w:val="ListBullet2"/>
        <w:jc w:val="both"/>
        <w:rPr>
          <w:lang w:eastAsia="en-GB"/>
        </w:rPr>
      </w:pPr>
      <w:r w:rsidRPr="000D65CE">
        <w:rPr>
          <w:lang w:eastAsia="en-GB"/>
        </w:rPr>
        <w:t>a report relating to the previous financial year on the Community Infrastructure Levy</w:t>
      </w:r>
    </w:p>
    <w:p w14:paraId="042E9D13" w14:textId="77777777" w:rsidR="00E41EAC" w:rsidRPr="000D65CE" w:rsidRDefault="00E41EAC" w:rsidP="003B280C">
      <w:pPr>
        <w:pStyle w:val="ListBullet2"/>
        <w:jc w:val="both"/>
        <w:rPr>
          <w:lang w:eastAsia="en-GB"/>
        </w:rPr>
      </w:pPr>
      <w:r w:rsidRPr="000D65CE">
        <w:rPr>
          <w:lang w:eastAsia="en-GB"/>
        </w:rPr>
        <w:t xml:space="preserve">a report relating to the previous financial year on </w:t>
      </w:r>
      <w:r w:rsidR="009610F9" w:rsidRPr="000D65CE">
        <w:rPr>
          <w:lang w:eastAsia="en-GB"/>
        </w:rPr>
        <w:t>Section 106</w:t>
      </w:r>
      <w:r w:rsidRPr="000D65CE">
        <w:rPr>
          <w:lang w:eastAsia="en-GB"/>
        </w:rPr>
        <w:t xml:space="preserve"> planning obligations</w:t>
      </w:r>
    </w:p>
    <w:p w14:paraId="0B4C93E2" w14:textId="77777777" w:rsidR="00E41EAC" w:rsidRPr="000D65CE" w:rsidRDefault="00E41EAC" w:rsidP="003B280C">
      <w:pPr>
        <w:pStyle w:val="ListBullet2"/>
        <w:jc w:val="both"/>
        <w:rPr>
          <w:lang w:eastAsia="en-GB"/>
        </w:rPr>
      </w:pPr>
      <w:r w:rsidRPr="000D65CE">
        <w:rPr>
          <w:lang w:eastAsia="en-GB"/>
        </w:rPr>
        <w:lastRenderedPageBreak/>
        <w:t xml:space="preserve">a report on the infrastructure projects or types of infrastructure that the authority intends to fund wholly or partly by the levy (excluding the </w:t>
      </w:r>
      <w:r w:rsidR="002560D6" w:rsidRPr="000D65CE">
        <w:rPr>
          <w:lang w:eastAsia="en-GB"/>
        </w:rPr>
        <w:t>local infrastructure fund</w:t>
      </w:r>
      <w:r w:rsidRPr="000D65CE">
        <w:rPr>
          <w:lang w:eastAsia="en-GB"/>
        </w:rPr>
        <w:t>)</w:t>
      </w:r>
    </w:p>
    <w:p w14:paraId="13D1FE80" w14:textId="77777777" w:rsidR="001F3FEA" w:rsidRPr="000D65CE" w:rsidRDefault="001F3FEA" w:rsidP="00007C4C">
      <w:pPr>
        <w:autoSpaceDE w:val="0"/>
        <w:autoSpaceDN w:val="0"/>
        <w:adjustRightInd w:val="0"/>
        <w:spacing w:before="240" w:after="60"/>
        <w:jc w:val="both"/>
        <w:rPr>
          <w:rStyle w:val="Strong"/>
        </w:rPr>
      </w:pPr>
      <w:r w:rsidRPr="000D65CE">
        <w:rPr>
          <w:rStyle w:val="Strong"/>
        </w:rPr>
        <w:t>Intermediate Housing</w:t>
      </w:r>
    </w:p>
    <w:p w14:paraId="7A1D2D38" w14:textId="7DE93B9A" w:rsidR="001F3FEA" w:rsidRPr="000D65CE" w:rsidRDefault="001F3FEA" w:rsidP="003B280C">
      <w:pPr>
        <w:autoSpaceDE w:val="0"/>
        <w:autoSpaceDN w:val="0"/>
        <w:adjustRightInd w:val="0"/>
        <w:spacing w:after="0" w:line="240" w:lineRule="auto"/>
        <w:jc w:val="both"/>
        <w:rPr>
          <w:rStyle w:val="Strong"/>
          <w:rFonts w:cs="Arial"/>
        </w:rPr>
      </w:pPr>
      <w:r w:rsidRPr="000D65CE">
        <w:rPr>
          <w:rFonts w:cs="Arial"/>
          <w:szCs w:val="22"/>
        </w:rPr>
        <w:t xml:space="preserve">Homes for sale and rent provided at a cost above social rent, but below market levels subject to the criteria in </w:t>
      </w:r>
      <w:r w:rsidR="000F7FAB" w:rsidRPr="000D65CE">
        <w:rPr>
          <w:rFonts w:cs="Arial"/>
          <w:szCs w:val="22"/>
        </w:rPr>
        <w:t>the Affordable H</w:t>
      </w:r>
      <w:r w:rsidRPr="000D65CE">
        <w:rPr>
          <w:rFonts w:cs="Arial"/>
          <w:szCs w:val="22"/>
        </w:rPr>
        <w:t>ousing definition. These can include shared equity (shared ownership and equity loans), other low</w:t>
      </w:r>
      <w:r w:rsidR="00B859CB">
        <w:rPr>
          <w:rFonts w:cs="Arial"/>
          <w:szCs w:val="22"/>
        </w:rPr>
        <w:t>-</w:t>
      </w:r>
      <w:r w:rsidRPr="000D65CE">
        <w:rPr>
          <w:rFonts w:cs="Arial"/>
          <w:szCs w:val="22"/>
        </w:rPr>
        <w:t>cost homes for sale and intermediate rent.</w:t>
      </w:r>
    </w:p>
    <w:p w14:paraId="4C5CAA70" w14:textId="77A07ECC" w:rsidR="00AE4F0C" w:rsidRPr="000D65CE" w:rsidRDefault="00AE4F0C" w:rsidP="00007C4C">
      <w:pPr>
        <w:autoSpaceDE w:val="0"/>
        <w:autoSpaceDN w:val="0"/>
        <w:adjustRightInd w:val="0"/>
        <w:spacing w:before="240" w:after="60"/>
        <w:jc w:val="both"/>
        <w:rPr>
          <w:rStyle w:val="Strong"/>
          <w:b w:val="0"/>
        </w:rPr>
      </w:pPr>
      <w:r w:rsidRPr="000D65CE">
        <w:rPr>
          <w:rStyle w:val="Strong"/>
        </w:rPr>
        <w:t>Local Infrastructure Fund</w:t>
      </w:r>
    </w:p>
    <w:p w14:paraId="1A037683" w14:textId="77777777" w:rsidR="00AE4F0C" w:rsidRPr="000D65CE" w:rsidRDefault="0078533E" w:rsidP="003B280C">
      <w:pPr>
        <w:jc w:val="both"/>
        <w:rPr>
          <w:rStyle w:val="Strong"/>
          <w:b w:val="0"/>
          <w:sz w:val="22"/>
        </w:rPr>
      </w:pPr>
      <w:r w:rsidRPr="000D65CE">
        <w:rPr>
          <w:rStyle w:val="Strong"/>
          <w:b w:val="0"/>
          <w:sz w:val="22"/>
        </w:rPr>
        <w:t xml:space="preserve">A portion of the CIL receipts which is to be spent on local infrastructure priorities agreed with the local communities where development is taking place. Also known as the Neighbourhood Portion. </w:t>
      </w:r>
    </w:p>
    <w:p w14:paraId="11E641AE" w14:textId="77777777" w:rsidR="00146AE3" w:rsidRPr="000D65CE" w:rsidRDefault="00146AE3" w:rsidP="00007C4C">
      <w:pPr>
        <w:autoSpaceDE w:val="0"/>
        <w:autoSpaceDN w:val="0"/>
        <w:adjustRightInd w:val="0"/>
        <w:spacing w:before="240" w:after="60"/>
        <w:jc w:val="both"/>
        <w:rPr>
          <w:rStyle w:val="Strong"/>
        </w:rPr>
      </w:pPr>
      <w:r w:rsidRPr="000D65CE">
        <w:rPr>
          <w:rStyle w:val="Strong"/>
        </w:rPr>
        <w:t>Local Plan</w:t>
      </w:r>
    </w:p>
    <w:p w14:paraId="49726BA1" w14:textId="77777777" w:rsidR="0078139F" w:rsidRPr="000D65CE" w:rsidRDefault="005001D9" w:rsidP="003B280C">
      <w:pPr>
        <w:autoSpaceDE w:val="0"/>
        <w:autoSpaceDN w:val="0"/>
        <w:adjustRightInd w:val="0"/>
        <w:jc w:val="both"/>
        <w:rPr>
          <w:rFonts w:eastAsia="Calibri" w:cs="Arial"/>
          <w:szCs w:val="22"/>
        </w:rPr>
      </w:pPr>
      <w:r w:rsidRPr="000D65CE">
        <w:rPr>
          <w:rFonts w:eastAsia="Calibri" w:cs="Arial"/>
          <w:szCs w:val="22"/>
        </w:rPr>
        <w:t>The Local Plan</w:t>
      </w:r>
      <w:r w:rsidR="006A5632" w:rsidRPr="000D65CE">
        <w:rPr>
          <w:rFonts w:eastAsia="Calibri" w:cs="Arial"/>
          <w:szCs w:val="22"/>
        </w:rPr>
        <w:t xml:space="preserve"> forms part of the </w:t>
      </w:r>
      <w:r w:rsidR="00C44288" w:rsidRPr="000D65CE">
        <w:rPr>
          <w:rFonts w:eastAsia="Calibri" w:cs="Arial"/>
          <w:szCs w:val="22"/>
        </w:rPr>
        <w:t>b</w:t>
      </w:r>
      <w:r w:rsidR="00747592" w:rsidRPr="000D65CE">
        <w:rPr>
          <w:rFonts w:eastAsia="Calibri" w:cs="Arial"/>
          <w:szCs w:val="22"/>
        </w:rPr>
        <w:t>orough</w:t>
      </w:r>
      <w:r w:rsidR="006A5632" w:rsidRPr="000D65CE">
        <w:rPr>
          <w:rFonts w:eastAsia="Calibri" w:cs="Arial"/>
          <w:szCs w:val="22"/>
        </w:rPr>
        <w:t>’s statutory development plan and</w:t>
      </w:r>
      <w:r w:rsidRPr="000D65CE">
        <w:rPr>
          <w:rFonts w:eastAsia="Calibri" w:cs="Arial"/>
          <w:szCs w:val="22"/>
        </w:rPr>
        <w:t xml:space="preserve"> </w:t>
      </w:r>
      <w:r w:rsidRPr="000D65CE">
        <w:rPr>
          <w:rFonts w:cs="Arial"/>
          <w:szCs w:val="22"/>
        </w:rPr>
        <w:t xml:space="preserve">sets out the long-term spatial strategy to </w:t>
      </w:r>
      <w:r w:rsidR="006A5632" w:rsidRPr="000D65CE">
        <w:rPr>
          <w:rFonts w:cs="Arial"/>
          <w:szCs w:val="22"/>
        </w:rPr>
        <w:t>determine</w:t>
      </w:r>
      <w:r w:rsidR="0044252A" w:rsidRPr="000D65CE">
        <w:rPr>
          <w:rFonts w:cs="Arial"/>
          <w:szCs w:val="22"/>
        </w:rPr>
        <w:t xml:space="preserve"> the use of land and</w:t>
      </w:r>
      <w:r w:rsidR="006A5632" w:rsidRPr="000D65CE">
        <w:rPr>
          <w:rFonts w:cs="Arial"/>
          <w:szCs w:val="22"/>
        </w:rPr>
        <w:t xml:space="preserve"> </w:t>
      </w:r>
      <w:r w:rsidRPr="000D65CE">
        <w:rPr>
          <w:rFonts w:cs="Arial"/>
          <w:szCs w:val="22"/>
        </w:rPr>
        <w:t xml:space="preserve">where, how and when development should be delivered across the </w:t>
      </w:r>
      <w:r w:rsidR="00C44288" w:rsidRPr="000D65CE">
        <w:rPr>
          <w:rFonts w:cs="Arial"/>
          <w:szCs w:val="22"/>
        </w:rPr>
        <w:t>b</w:t>
      </w:r>
      <w:r w:rsidR="00747592" w:rsidRPr="000D65CE">
        <w:rPr>
          <w:rFonts w:cs="Arial"/>
          <w:szCs w:val="22"/>
        </w:rPr>
        <w:t>orough</w:t>
      </w:r>
      <w:r w:rsidRPr="000D65CE">
        <w:rPr>
          <w:rFonts w:cs="Arial"/>
          <w:szCs w:val="22"/>
        </w:rPr>
        <w:t xml:space="preserve"> to 2031.</w:t>
      </w:r>
    </w:p>
    <w:p w14:paraId="4597DAE7" w14:textId="77777777" w:rsidR="000735FD" w:rsidRPr="000D65CE" w:rsidRDefault="000735FD" w:rsidP="00007C4C">
      <w:pPr>
        <w:autoSpaceDE w:val="0"/>
        <w:autoSpaceDN w:val="0"/>
        <w:adjustRightInd w:val="0"/>
        <w:spacing w:before="240" w:after="60"/>
        <w:jc w:val="both"/>
        <w:rPr>
          <w:rStyle w:val="Strong"/>
        </w:rPr>
      </w:pPr>
      <w:r w:rsidRPr="000D65CE">
        <w:rPr>
          <w:rStyle w:val="Strong"/>
        </w:rPr>
        <w:t>Major Development</w:t>
      </w:r>
    </w:p>
    <w:p w14:paraId="6DB59A78" w14:textId="77777777" w:rsidR="00520095" w:rsidRPr="000D65CE" w:rsidRDefault="00520095" w:rsidP="00E16483">
      <w:pPr>
        <w:autoSpaceDE w:val="0"/>
        <w:autoSpaceDN w:val="0"/>
        <w:adjustRightInd w:val="0"/>
        <w:spacing w:after="60"/>
        <w:jc w:val="both"/>
        <w:rPr>
          <w:rFonts w:cs="Arial"/>
          <w:szCs w:val="22"/>
        </w:rPr>
      </w:pPr>
      <w:r w:rsidRPr="000D65CE">
        <w:rPr>
          <w:rFonts w:cs="Arial"/>
          <w:szCs w:val="22"/>
        </w:rPr>
        <w:t xml:space="preserve">In </w:t>
      </w:r>
      <w:r w:rsidR="00C47CBB" w:rsidRPr="000D65CE">
        <w:rPr>
          <w:rFonts w:cs="Arial"/>
          <w:szCs w:val="22"/>
        </w:rPr>
        <w:t>the context of the Local Plan, Major D</w:t>
      </w:r>
      <w:r w:rsidRPr="000D65CE">
        <w:rPr>
          <w:rFonts w:cs="Arial"/>
          <w:szCs w:val="22"/>
        </w:rPr>
        <w:t xml:space="preserve">evelopments are defined as: </w:t>
      </w:r>
    </w:p>
    <w:p w14:paraId="6AF3E387" w14:textId="77777777" w:rsidR="00520095" w:rsidRPr="000D65CE" w:rsidRDefault="00520095" w:rsidP="003B280C">
      <w:pPr>
        <w:pStyle w:val="ListBullet2"/>
        <w:jc w:val="both"/>
      </w:pPr>
      <w:r w:rsidRPr="000D65CE">
        <w:t>10 to 100 residential units</w:t>
      </w:r>
    </w:p>
    <w:p w14:paraId="296CAEA7" w14:textId="77777777" w:rsidR="00EA43C3" w:rsidRPr="000D65CE" w:rsidRDefault="00520095" w:rsidP="003B280C">
      <w:pPr>
        <w:pStyle w:val="ListBullet2"/>
        <w:jc w:val="both"/>
      </w:pPr>
      <w:r w:rsidRPr="000D65CE">
        <w:t>1,000 to 10,000 square metres floorspace</w:t>
      </w:r>
    </w:p>
    <w:p w14:paraId="4974F2D7" w14:textId="77777777" w:rsidR="003D77A6" w:rsidRPr="000D65CE" w:rsidRDefault="00520095" w:rsidP="003B280C">
      <w:pPr>
        <w:pStyle w:val="ListBullet2"/>
        <w:jc w:val="both"/>
      </w:pPr>
      <w:r w:rsidRPr="000D65CE">
        <w:t>development on a site of more than 0.5 hectare</w:t>
      </w:r>
    </w:p>
    <w:p w14:paraId="26950876" w14:textId="77777777" w:rsidR="000735FD" w:rsidRPr="000D65CE" w:rsidRDefault="000735FD" w:rsidP="00007C4C">
      <w:pPr>
        <w:autoSpaceDE w:val="0"/>
        <w:autoSpaceDN w:val="0"/>
        <w:adjustRightInd w:val="0"/>
        <w:spacing w:before="240" w:after="60"/>
        <w:jc w:val="both"/>
        <w:rPr>
          <w:rStyle w:val="Strong"/>
        </w:rPr>
      </w:pPr>
      <w:r w:rsidRPr="000D65CE">
        <w:rPr>
          <w:rStyle w:val="Strong"/>
        </w:rPr>
        <w:t>Material Consideration</w:t>
      </w:r>
    </w:p>
    <w:p w14:paraId="3E724EFD" w14:textId="77777777" w:rsidR="00F535A4" w:rsidRPr="000D65CE" w:rsidRDefault="000735FD" w:rsidP="003B280C">
      <w:pPr>
        <w:autoSpaceDE w:val="0"/>
        <w:autoSpaceDN w:val="0"/>
        <w:adjustRightInd w:val="0"/>
        <w:jc w:val="both"/>
        <w:rPr>
          <w:rFonts w:cs="Arial"/>
          <w:b/>
          <w:szCs w:val="22"/>
        </w:rPr>
      </w:pPr>
      <w:r w:rsidRPr="000D65CE">
        <w:rPr>
          <w:rFonts w:cs="Arial"/>
          <w:szCs w:val="22"/>
        </w:rPr>
        <w:t>A legal term describing a matter or subject which is relevant (i.e. material) for a local authority to consider in assessing development proposals and when using its powers under planning law.</w:t>
      </w:r>
    </w:p>
    <w:p w14:paraId="424D1B9F" w14:textId="77777777" w:rsidR="00A22B88" w:rsidRPr="000D65CE" w:rsidRDefault="00A22B88" w:rsidP="00007C4C">
      <w:pPr>
        <w:autoSpaceDE w:val="0"/>
        <w:autoSpaceDN w:val="0"/>
        <w:adjustRightInd w:val="0"/>
        <w:spacing w:before="240" w:after="60"/>
        <w:jc w:val="both"/>
        <w:rPr>
          <w:rStyle w:val="Strong"/>
        </w:rPr>
      </w:pPr>
      <w:r w:rsidRPr="000D65CE">
        <w:rPr>
          <w:rStyle w:val="Strong"/>
        </w:rPr>
        <w:t xml:space="preserve">Open Space </w:t>
      </w:r>
    </w:p>
    <w:p w14:paraId="23298931" w14:textId="77777777" w:rsidR="00A22B88" w:rsidRPr="000D65CE" w:rsidRDefault="00A22B88" w:rsidP="003B280C">
      <w:pPr>
        <w:jc w:val="both"/>
      </w:pPr>
      <w:r w:rsidRPr="000D65CE">
        <w:t>All land that offers opportunity for play, recreation and sport or is of amenity value, whether in public or private ownership, where public access is unrestricted, partially-restricted or restricted. This includes all open areas consisting of: major parks (e.g. Victoria Park and Mile End Park), local parks, gardens, squares, playgrounds, ecological spaces, housing amenity land, playing fields (including playing pitches), allotments and burial grounds, whether or not they are accessible to the public. This definitio</w:t>
      </w:r>
      <w:r w:rsidR="00AF6C1C" w:rsidRPr="000D65CE">
        <w:t xml:space="preserve">n does not include water bodies, private residential gardens or incidental areas such as shrub beds and verges. </w:t>
      </w:r>
      <w:r w:rsidRPr="000D65CE">
        <w:t xml:space="preserve"> </w:t>
      </w:r>
    </w:p>
    <w:p w14:paraId="0B80DBE5" w14:textId="632D620D" w:rsidR="00AF6C1C" w:rsidRPr="000D65CE" w:rsidRDefault="00AF6C1C" w:rsidP="00007C4C">
      <w:pPr>
        <w:autoSpaceDE w:val="0"/>
        <w:autoSpaceDN w:val="0"/>
        <w:adjustRightInd w:val="0"/>
        <w:spacing w:before="240" w:after="60"/>
        <w:jc w:val="both"/>
        <w:rPr>
          <w:rStyle w:val="Strong"/>
        </w:rPr>
      </w:pPr>
      <w:r w:rsidRPr="000D65CE">
        <w:rPr>
          <w:rStyle w:val="Strong"/>
        </w:rPr>
        <w:t>Publicly Accessible Open Space</w:t>
      </w:r>
    </w:p>
    <w:p w14:paraId="6980916B" w14:textId="77777777" w:rsidR="00AF6C1C" w:rsidRPr="000D65CE" w:rsidRDefault="0096593F" w:rsidP="003B280C">
      <w:pPr>
        <w:jc w:val="both"/>
      </w:pPr>
      <w:r w:rsidRPr="000D65CE">
        <w:t>Open Space</w:t>
      </w:r>
      <w:r w:rsidR="00AF6C1C" w:rsidRPr="000D65CE">
        <w:t xml:space="preserve"> will be considered to be publicly accessible, where access for the public is secured by virtue of legal agreements and formal arrangement; whether it is in public </w:t>
      </w:r>
      <w:r w:rsidR="000B2596" w:rsidRPr="000D65CE">
        <w:t>or private ownership. Publicly Accessible Open S</w:t>
      </w:r>
      <w:r w:rsidR="00AF6C1C" w:rsidRPr="000D65CE">
        <w:t xml:space="preserve">pace will not include areas of water such as rivers, canals, lakes, docks or incidental spaces. </w:t>
      </w:r>
    </w:p>
    <w:p w14:paraId="04579CAD" w14:textId="5F1775FF" w:rsidR="00A22B88" w:rsidRPr="000D65CE" w:rsidRDefault="000B2596" w:rsidP="003B280C">
      <w:pPr>
        <w:spacing w:before="360" w:after="120"/>
        <w:jc w:val="both"/>
        <w:rPr>
          <w:rStyle w:val="Strong"/>
          <w:b w:val="0"/>
          <w:bCs w:val="0"/>
        </w:rPr>
      </w:pPr>
      <w:r w:rsidRPr="000D65CE">
        <w:lastRenderedPageBreak/>
        <w:t>In instances where on-site Open S</w:t>
      </w:r>
      <w:r w:rsidR="00A22B88" w:rsidRPr="000D65CE">
        <w:t>pace is required specifically to provide public access, an agreement to safeguard the area’s on-goin</w:t>
      </w:r>
      <w:r w:rsidR="0096593F" w:rsidRPr="000D65CE">
        <w:t>g use as Publicly A</w:t>
      </w:r>
      <w:r w:rsidRPr="000D65CE">
        <w:t>ccessible Open S</w:t>
      </w:r>
      <w:r w:rsidR="00A22B88" w:rsidRPr="000D65CE">
        <w:t>pace will be required</w:t>
      </w:r>
    </w:p>
    <w:p w14:paraId="3022546B" w14:textId="77777777" w:rsidR="000735FD" w:rsidRPr="000D65CE" w:rsidRDefault="000735FD" w:rsidP="00007C4C">
      <w:pPr>
        <w:autoSpaceDE w:val="0"/>
        <w:autoSpaceDN w:val="0"/>
        <w:adjustRightInd w:val="0"/>
        <w:spacing w:before="240" w:after="60"/>
        <w:jc w:val="both"/>
        <w:rPr>
          <w:rStyle w:val="Strong"/>
        </w:rPr>
      </w:pPr>
      <w:r w:rsidRPr="000D65CE">
        <w:rPr>
          <w:rStyle w:val="Strong"/>
        </w:rPr>
        <w:t>Section 278 Agreement</w:t>
      </w:r>
    </w:p>
    <w:p w14:paraId="300D4FDC" w14:textId="77777777" w:rsidR="00520095" w:rsidRPr="000D65CE" w:rsidRDefault="000735FD" w:rsidP="003B280C">
      <w:pPr>
        <w:autoSpaceDE w:val="0"/>
        <w:autoSpaceDN w:val="0"/>
        <w:adjustRightInd w:val="0"/>
        <w:jc w:val="both"/>
        <w:rPr>
          <w:rFonts w:cs="Arial"/>
          <w:szCs w:val="22"/>
        </w:rPr>
      </w:pPr>
      <w:r w:rsidRPr="000D65CE">
        <w:rPr>
          <w:rFonts w:cs="Arial"/>
          <w:szCs w:val="22"/>
        </w:rPr>
        <w:t xml:space="preserve">A legal agreement completed between the developer and the Local Planning Authority, under </w:t>
      </w:r>
      <w:r w:rsidR="005B4191" w:rsidRPr="000D65CE">
        <w:rPr>
          <w:rFonts w:cs="Arial"/>
          <w:szCs w:val="22"/>
        </w:rPr>
        <w:t>Section</w:t>
      </w:r>
      <w:r w:rsidRPr="000D65CE">
        <w:rPr>
          <w:rFonts w:cs="Arial"/>
          <w:szCs w:val="22"/>
        </w:rPr>
        <w:t xml:space="preserve"> 278 of the Highways Act 1980, where a development requires works to be carried out on the existing adopted highway. These agreements provide a financial mechanism for ensuring delivery of mitigation works identified and determined as necessary for planning permission to be granted.</w:t>
      </w:r>
    </w:p>
    <w:p w14:paraId="09BD6D3D" w14:textId="77777777" w:rsidR="00DF727F" w:rsidRPr="000D65CE" w:rsidRDefault="00DF727F" w:rsidP="00007C4C">
      <w:pPr>
        <w:autoSpaceDE w:val="0"/>
        <w:autoSpaceDN w:val="0"/>
        <w:adjustRightInd w:val="0"/>
        <w:spacing w:before="240" w:after="60"/>
        <w:jc w:val="both"/>
        <w:rPr>
          <w:rStyle w:val="Strong"/>
        </w:rPr>
      </w:pPr>
      <w:r w:rsidRPr="000D65CE">
        <w:rPr>
          <w:rStyle w:val="Strong"/>
        </w:rPr>
        <w:t>Small Sites Contribution</w:t>
      </w:r>
    </w:p>
    <w:p w14:paraId="4314671F" w14:textId="77777777" w:rsidR="00DF727F" w:rsidRDefault="00DF727F" w:rsidP="003B280C">
      <w:pPr>
        <w:autoSpaceDE w:val="0"/>
        <w:autoSpaceDN w:val="0"/>
        <w:adjustRightInd w:val="0"/>
        <w:jc w:val="both"/>
        <w:rPr>
          <w:rFonts w:cs="Arial"/>
          <w:szCs w:val="22"/>
        </w:rPr>
      </w:pPr>
      <w:r w:rsidRPr="000D65CE">
        <w:rPr>
          <w:rFonts w:cs="Arial"/>
          <w:szCs w:val="22"/>
        </w:rPr>
        <w:t>A financial contribution from minor residential developments proposin</w:t>
      </w:r>
      <w:r w:rsidR="000F7FAB" w:rsidRPr="000D65CE">
        <w:rPr>
          <w:rFonts w:cs="Arial"/>
          <w:szCs w:val="22"/>
        </w:rPr>
        <w:t>g 2 – 9 units, used to provide Affordable H</w:t>
      </w:r>
      <w:r w:rsidR="00C44288" w:rsidRPr="000D65CE">
        <w:rPr>
          <w:rFonts w:cs="Arial"/>
          <w:szCs w:val="22"/>
        </w:rPr>
        <w:t>ousing in the b</w:t>
      </w:r>
      <w:r w:rsidRPr="000D65CE">
        <w:rPr>
          <w:rFonts w:cs="Arial"/>
          <w:szCs w:val="22"/>
        </w:rPr>
        <w:t xml:space="preserve">orough. </w:t>
      </w:r>
    </w:p>
    <w:p w14:paraId="00C4DF51" w14:textId="77777777" w:rsidR="008A1406" w:rsidRDefault="008A1406" w:rsidP="006F371B">
      <w:pPr>
        <w:autoSpaceDE w:val="0"/>
        <w:autoSpaceDN w:val="0"/>
        <w:adjustRightInd w:val="0"/>
        <w:spacing w:before="240" w:after="60"/>
        <w:jc w:val="both"/>
        <w:rPr>
          <w:rStyle w:val="Strong"/>
        </w:rPr>
      </w:pPr>
      <w:r>
        <w:rPr>
          <w:rStyle w:val="Strong"/>
        </w:rPr>
        <w:t>Specialist Housing</w:t>
      </w:r>
    </w:p>
    <w:p w14:paraId="628284E0" w14:textId="77777777" w:rsidR="008D4217" w:rsidRDefault="0062675D" w:rsidP="00007C4C">
      <w:pPr>
        <w:autoSpaceDE w:val="0"/>
        <w:autoSpaceDN w:val="0"/>
        <w:adjustRightInd w:val="0"/>
        <w:spacing w:before="240" w:after="60"/>
        <w:jc w:val="both"/>
        <w:rPr>
          <w:rStyle w:val="Strong"/>
          <w:b w:val="0"/>
          <w:sz w:val="22"/>
        </w:rPr>
      </w:pPr>
      <w:r>
        <w:rPr>
          <w:rStyle w:val="Strong"/>
          <w:b w:val="0"/>
          <w:sz w:val="22"/>
        </w:rPr>
        <w:t>S</w:t>
      </w:r>
      <w:r w:rsidR="008A1406">
        <w:rPr>
          <w:rStyle w:val="Strong"/>
          <w:b w:val="0"/>
          <w:sz w:val="22"/>
        </w:rPr>
        <w:t xml:space="preserve">upported housing such as sheltered housing, residential care homes, nursing homes and dual-registered care homes. </w:t>
      </w:r>
    </w:p>
    <w:p w14:paraId="750FFD08" w14:textId="76597FA3" w:rsidR="00520095" w:rsidRPr="000D65CE" w:rsidRDefault="00520095" w:rsidP="00007C4C">
      <w:pPr>
        <w:autoSpaceDE w:val="0"/>
        <w:autoSpaceDN w:val="0"/>
        <w:adjustRightInd w:val="0"/>
        <w:spacing w:before="240" w:after="60"/>
        <w:jc w:val="both"/>
        <w:rPr>
          <w:rStyle w:val="Strong"/>
        </w:rPr>
      </w:pPr>
      <w:r w:rsidRPr="000D65CE">
        <w:rPr>
          <w:rStyle w:val="Strong"/>
        </w:rPr>
        <w:t>Strategic Development</w:t>
      </w:r>
    </w:p>
    <w:p w14:paraId="016B0C6A" w14:textId="77777777" w:rsidR="000735FD" w:rsidRPr="000D65CE" w:rsidRDefault="00520095" w:rsidP="003B280C">
      <w:pPr>
        <w:autoSpaceDE w:val="0"/>
        <w:autoSpaceDN w:val="0"/>
        <w:adjustRightInd w:val="0"/>
        <w:jc w:val="both"/>
        <w:rPr>
          <w:rFonts w:cs="Arial"/>
          <w:b/>
          <w:bCs/>
          <w:szCs w:val="22"/>
        </w:rPr>
      </w:pPr>
      <w:r w:rsidRPr="000D65CE">
        <w:rPr>
          <w:rFonts w:cs="Arial"/>
          <w:szCs w:val="22"/>
        </w:rPr>
        <w:t>Proposals involving over 100 homes or 10,000 square metres of floorspace.</w:t>
      </w:r>
    </w:p>
    <w:p w14:paraId="02C7FAFB" w14:textId="1C204847" w:rsidR="006A5632" w:rsidRPr="000D65CE" w:rsidRDefault="006A5632" w:rsidP="00007C4C">
      <w:pPr>
        <w:autoSpaceDE w:val="0"/>
        <w:autoSpaceDN w:val="0"/>
        <w:adjustRightInd w:val="0"/>
        <w:spacing w:before="240" w:after="60"/>
        <w:jc w:val="both"/>
        <w:rPr>
          <w:rStyle w:val="Strong"/>
        </w:rPr>
      </w:pPr>
      <w:r w:rsidRPr="000D65CE">
        <w:rPr>
          <w:rStyle w:val="Strong"/>
        </w:rPr>
        <w:t>Supplementary Planning Document</w:t>
      </w:r>
    </w:p>
    <w:p w14:paraId="4CF412B3" w14:textId="77777777" w:rsidR="0044252A" w:rsidRPr="000D65CE" w:rsidRDefault="0044252A" w:rsidP="003B280C">
      <w:pPr>
        <w:autoSpaceDE w:val="0"/>
        <w:autoSpaceDN w:val="0"/>
        <w:adjustRightInd w:val="0"/>
        <w:jc w:val="both"/>
        <w:rPr>
          <w:rFonts w:cs="Arial"/>
          <w:b/>
          <w:bCs/>
          <w:szCs w:val="22"/>
        </w:rPr>
      </w:pPr>
      <w:r w:rsidRPr="000D65CE">
        <w:rPr>
          <w:rFonts w:cs="Arial"/>
          <w:szCs w:val="22"/>
        </w:rPr>
        <w:t>A document which contains a statement setting out any environmental, social design and economic objectives which are relevant to the attainment of the development and use of l</w:t>
      </w:r>
      <w:r w:rsidR="00F015FC" w:rsidRPr="000D65CE">
        <w:rPr>
          <w:rFonts w:cs="Arial"/>
          <w:szCs w:val="22"/>
        </w:rPr>
        <w:t>and mentioned in the Local Plan</w:t>
      </w:r>
      <w:r w:rsidRPr="000D65CE">
        <w:rPr>
          <w:rFonts w:cs="Arial"/>
          <w:szCs w:val="22"/>
        </w:rPr>
        <w:t>. This is one such document.</w:t>
      </w:r>
    </w:p>
    <w:p w14:paraId="4A7E461D" w14:textId="1D817F0C" w:rsidR="000735FD" w:rsidRPr="000D65CE" w:rsidRDefault="000735FD" w:rsidP="00007C4C">
      <w:pPr>
        <w:autoSpaceDE w:val="0"/>
        <w:autoSpaceDN w:val="0"/>
        <w:adjustRightInd w:val="0"/>
        <w:spacing w:before="240" w:after="60"/>
        <w:jc w:val="both"/>
        <w:rPr>
          <w:rStyle w:val="Strong"/>
        </w:rPr>
      </w:pPr>
      <w:r w:rsidRPr="000D65CE">
        <w:rPr>
          <w:rStyle w:val="Strong"/>
        </w:rPr>
        <w:t>Transport Assessment</w:t>
      </w:r>
    </w:p>
    <w:p w14:paraId="69549309" w14:textId="0BF3AC21" w:rsidR="009A4257" w:rsidRPr="000D65CE" w:rsidRDefault="000735FD" w:rsidP="003B280C">
      <w:pPr>
        <w:autoSpaceDE w:val="0"/>
        <w:autoSpaceDN w:val="0"/>
        <w:adjustRightInd w:val="0"/>
        <w:jc w:val="both"/>
        <w:rPr>
          <w:rFonts w:cs="Arial"/>
          <w:b/>
          <w:bCs/>
          <w:szCs w:val="22"/>
        </w:rPr>
      </w:pPr>
      <w:r w:rsidRPr="000D65CE">
        <w:rPr>
          <w:rFonts w:cs="Arial"/>
          <w:szCs w:val="22"/>
        </w:rPr>
        <w:t>A document which accompanies a planning application and is used by planning authorities and highways authorities to determine whether the impact of a new development on the transport network is acceptable. It should identify what measures may be required to deal with the predicted transport impacts and to improve accessibility and safety, especially for pedestrians, cyclists and public transport users.</w:t>
      </w:r>
    </w:p>
    <w:p w14:paraId="6C99AB90" w14:textId="77777777" w:rsidR="000735FD" w:rsidRPr="000D65CE" w:rsidRDefault="000735FD" w:rsidP="00007C4C">
      <w:pPr>
        <w:autoSpaceDE w:val="0"/>
        <w:autoSpaceDN w:val="0"/>
        <w:adjustRightInd w:val="0"/>
        <w:spacing w:before="240" w:after="60"/>
        <w:jc w:val="both"/>
        <w:rPr>
          <w:rStyle w:val="Strong"/>
        </w:rPr>
      </w:pPr>
      <w:r w:rsidRPr="000D65CE">
        <w:rPr>
          <w:rStyle w:val="Strong"/>
        </w:rPr>
        <w:t>Viability Assessment</w:t>
      </w:r>
    </w:p>
    <w:p w14:paraId="5E57B7B6" w14:textId="77777777" w:rsidR="00B07595" w:rsidRPr="000D65CE" w:rsidRDefault="000735FD" w:rsidP="003B280C">
      <w:pPr>
        <w:autoSpaceDE w:val="0"/>
        <w:autoSpaceDN w:val="0"/>
        <w:adjustRightInd w:val="0"/>
        <w:jc w:val="both"/>
        <w:rPr>
          <w:rFonts w:cs="Arial"/>
          <w:szCs w:val="22"/>
        </w:rPr>
      </w:pPr>
      <w:r w:rsidRPr="000D65CE">
        <w:rPr>
          <w:rFonts w:cs="Arial"/>
          <w:szCs w:val="22"/>
        </w:rPr>
        <w:t>An assessment of the financial viability of a development, taking into account a range of different factors such as location, type of site, size of scheme and scale of contributions to infrastructure and facilities.</w:t>
      </w:r>
    </w:p>
    <w:p w14:paraId="662F9975" w14:textId="77777777" w:rsidR="003276CF" w:rsidRPr="000D65CE" w:rsidRDefault="003276CF" w:rsidP="00007C4C">
      <w:pPr>
        <w:spacing w:before="240" w:after="60"/>
        <w:jc w:val="both"/>
        <w:rPr>
          <w:rStyle w:val="Strong"/>
        </w:rPr>
      </w:pPr>
      <w:r w:rsidRPr="000D65CE">
        <w:rPr>
          <w:rStyle w:val="Strong"/>
        </w:rPr>
        <w:t>Water Space</w:t>
      </w:r>
    </w:p>
    <w:p w14:paraId="4B1EFD43" w14:textId="77777777" w:rsidR="002D5898" w:rsidRPr="000D65CE" w:rsidRDefault="003276CF" w:rsidP="00E16483">
      <w:pPr>
        <w:jc w:val="both"/>
        <w:rPr>
          <w:rFonts w:cs="Arial"/>
          <w:szCs w:val="22"/>
        </w:rPr>
      </w:pPr>
      <w:r w:rsidRPr="000D65CE">
        <w:t>An area of water (permanently or intermittently), and includes rivers, canals, docks, basins, ponds, marshland and other water bodies.</w:t>
      </w:r>
      <w:r w:rsidR="002D5898" w:rsidRPr="000D65CE">
        <w:rPr>
          <w:rFonts w:cs="Arial"/>
          <w:szCs w:val="22"/>
        </w:rPr>
        <w:br w:type="page"/>
      </w:r>
    </w:p>
    <w:p w14:paraId="7EE6D26C" w14:textId="77777777" w:rsidR="002D5898" w:rsidRPr="000D65CE" w:rsidRDefault="002D5898" w:rsidP="003B280C">
      <w:pPr>
        <w:pStyle w:val="Headingnonumber"/>
      </w:pPr>
      <w:bookmarkStart w:id="36" w:name="_Toc69374691"/>
      <w:r w:rsidRPr="000D65CE">
        <w:lastRenderedPageBreak/>
        <w:t>Appendix A – Affordable Workspace Strategy Template</w:t>
      </w:r>
      <w:bookmarkEnd w:id="36"/>
    </w:p>
    <w:p w14:paraId="78236654" w14:textId="77777777" w:rsidR="00211E28" w:rsidRPr="000D65CE" w:rsidRDefault="00943DA6" w:rsidP="003B280C">
      <w:pPr>
        <w:jc w:val="both"/>
      </w:pPr>
      <w:r w:rsidRPr="000D65CE">
        <w:t xml:space="preserve">An </w:t>
      </w:r>
      <w:r w:rsidR="00211E28" w:rsidRPr="000D65CE">
        <w:t xml:space="preserve">Affordable Workspace Strategy </w:t>
      </w:r>
      <w:r w:rsidRPr="000D65CE">
        <w:t>is</w:t>
      </w:r>
      <w:r w:rsidR="00211E28" w:rsidRPr="000D65CE">
        <w:t xml:space="preserve"> a written strategy identifying how the Affordable Workspace will be designed to meet the needs</w:t>
      </w:r>
      <w:r w:rsidR="0021525D" w:rsidRPr="000D65CE">
        <w:t xml:space="preserve"> of the end user and the mechanism through which an Affordable Workspace Provider will be appointed. </w:t>
      </w:r>
      <w:r w:rsidR="00211E28" w:rsidRPr="000D65CE">
        <w:t>As a minimum the strategy should include:</w:t>
      </w:r>
    </w:p>
    <w:p w14:paraId="01199057" w14:textId="77777777" w:rsidR="00211E28" w:rsidRPr="000D65CE" w:rsidRDefault="00211E28" w:rsidP="003B280C">
      <w:pPr>
        <w:pStyle w:val="ListParagraph"/>
        <w:numPr>
          <w:ilvl w:val="0"/>
          <w:numId w:val="45"/>
        </w:numPr>
        <w:ind w:left="714" w:hanging="357"/>
        <w:contextualSpacing w:val="0"/>
        <w:jc w:val="both"/>
      </w:pPr>
      <w:r w:rsidRPr="000D65CE">
        <w:t>a specification for the construction of the Affordable Workspace by the Owner, including the minimum landlord’s fit out</w:t>
      </w:r>
      <w:r w:rsidR="00EF6019">
        <w:t xml:space="preserve"> and </w:t>
      </w:r>
      <w:r w:rsidR="00EF6019" w:rsidRPr="00EF6019">
        <w:rPr>
          <w:bCs/>
        </w:rPr>
        <w:t>value of fit out, floor plans detailing size and layout</w:t>
      </w:r>
    </w:p>
    <w:p w14:paraId="4CC31BC4" w14:textId="77777777" w:rsidR="00211E28" w:rsidRPr="000D65CE" w:rsidRDefault="00211E28" w:rsidP="003B280C">
      <w:pPr>
        <w:pStyle w:val="ListParagraph"/>
        <w:numPr>
          <w:ilvl w:val="0"/>
          <w:numId w:val="45"/>
        </w:numPr>
        <w:ind w:left="714" w:hanging="357"/>
        <w:contextualSpacing w:val="0"/>
        <w:jc w:val="both"/>
      </w:pPr>
      <w:r w:rsidRPr="000D65CE">
        <w:t>details of the proposed types of shared workspace</w:t>
      </w:r>
      <w:r w:rsidR="0021525D" w:rsidRPr="000D65CE">
        <w:t>, including the workspace typology and proposed use class designation</w:t>
      </w:r>
    </w:p>
    <w:p w14:paraId="740D16F4" w14:textId="77777777" w:rsidR="00211E28" w:rsidRPr="000D65CE" w:rsidRDefault="00211E28" w:rsidP="0021525D">
      <w:pPr>
        <w:pStyle w:val="ListParagraph"/>
        <w:numPr>
          <w:ilvl w:val="0"/>
          <w:numId w:val="45"/>
        </w:numPr>
        <w:ind w:left="714" w:hanging="357"/>
        <w:contextualSpacing w:val="0"/>
        <w:jc w:val="both"/>
      </w:pPr>
      <w:r w:rsidRPr="000D65CE">
        <w:t>details of the proposed types of</w:t>
      </w:r>
      <w:r w:rsidR="0021525D" w:rsidRPr="000D65CE">
        <w:t xml:space="preserve"> Affordable Workspace Provider and/or end user tenant to be targeted in </w:t>
      </w:r>
      <w:r w:rsidRPr="000D65CE">
        <w:t>marketing</w:t>
      </w:r>
    </w:p>
    <w:p w14:paraId="35367166" w14:textId="77777777" w:rsidR="00211E28" w:rsidRPr="000D65CE" w:rsidRDefault="00211E28" w:rsidP="003B280C">
      <w:pPr>
        <w:pStyle w:val="ListParagraph"/>
        <w:numPr>
          <w:ilvl w:val="0"/>
          <w:numId w:val="45"/>
        </w:numPr>
        <w:ind w:left="714" w:hanging="357"/>
        <w:contextualSpacing w:val="0"/>
        <w:jc w:val="both"/>
      </w:pPr>
      <w:r w:rsidRPr="000D65CE">
        <w:t>the proposed marketing strategy</w:t>
      </w:r>
      <w:r w:rsidR="0021525D" w:rsidRPr="000D65CE">
        <w:t xml:space="preserve"> which should include</w:t>
      </w:r>
      <w:r w:rsidR="005365D2">
        <w:t xml:space="preserve"> (as a minimum)</w:t>
      </w:r>
      <w:r w:rsidR="0021525D" w:rsidRPr="000D65CE">
        <w:t xml:space="preserve"> how the Affordable Workspace will be marketed to attract an Affordable Workspace Provider or how the Affordable Workspace will be marketed to ensure take up by end users in the event that no Affordable Workspace Provider will manage the Affordable Workspace</w:t>
      </w:r>
      <w:r w:rsidR="00EF6019">
        <w:t>.</w:t>
      </w:r>
      <w:r w:rsidR="005365D2">
        <w:t xml:space="preserve"> It should also include </w:t>
      </w:r>
      <w:r w:rsidR="0045123C">
        <w:t>features typically included in standard commercial marketing documents such as</w:t>
      </w:r>
      <w:r w:rsidR="00EF6019">
        <w:t xml:space="preserve"> </w:t>
      </w:r>
      <w:r w:rsidR="0045123C">
        <w:rPr>
          <w:bCs/>
        </w:rPr>
        <w:t>images of the workspace and</w:t>
      </w:r>
      <w:r w:rsidR="00EF6019" w:rsidRPr="00CD7772">
        <w:rPr>
          <w:bCs/>
        </w:rPr>
        <w:t xml:space="preserve"> price points</w:t>
      </w:r>
      <w:r w:rsidR="0045123C">
        <w:rPr>
          <w:bCs/>
        </w:rPr>
        <w:t>.</w:t>
      </w:r>
    </w:p>
    <w:p w14:paraId="04A9191F" w14:textId="77777777" w:rsidR="00211E28" w:rsidRPr="000D65CE" w:rsidRDefault="00211E28" w:rsidP="003B280C">
      <w:pPr>
        <w:pStyle w:val="ListParagraph"/>
        <w:numPr>
          <w:ilvl w:val="0"/>
          <w:numId w:val="45"/>
        </w:numPr>
        <w:ind w:left="714" w:hanging="357"/>
        <w:contextualSpacing w:val="0"/>
        <w:jc w:val="both"/>
      </w:pPr>
      <w:r w:rsidRPr="000D65CE">
        <w:t>the proposed charging arrangements, including the level and type of additional services to be made available and the charges for those services</w:t>
      </w:r>
      <w:r w:rsidR="00EF6019">
        <w:t xml:space="preserve"> (a cost schedule)</w:t>
      </w:r>
    </w:p>
    <w:p w14:paraId="66355D2D" w14:textId="77777777" w:rsidR="00211E28" w:rsidRPr="000D65CE" w:rsidRDefault="00211E28" w:rsidP="003B280C">
      <w:pPr>
        <w:pStyle w:val="ListParagraph"/>
        <w:numPr>
          <w:ilvl w:val="0"/>
          <w:numId w:val="45"/>
        </w:numPr>
        <w:ind w:left="714" w:hanging="357"/>
        <w:contextualSpacing w:val="0"/>
        <w:jc w:val="both"/>
      </w:pPr>
      <w:r w:rsidRPr="000D65CE">
        <w:t>comparison data from the surrounding local area (</w:t>
      </w:r>
      <w:r w:rsidR="00795948" w:rsidRPr="000D65CE">
        <w:t>in line with the hierarchy as set out in the explanation to Policy D.EMP2 of the Local Plan</w:t>
      </w:r>
      <w:r w:rsidRPr="000D65CE">
        <w:t>) including details of vacancy rates for similar uses and the levels of rent or occupation charges charged</w:t>
      </w:r>
    </w:p>
    <w:p w14:paraId="284479EA" w14:textId="77777777" w:rsidR="00211E28" w:rsidRPr="000D65CE" w:rsidRDefault="00211E28" w:rsidP="003B280C">
      <w:pPr>
        <w:pStyle w:val="ListParagraph"/>
        <w:numPr>
          <w:ilvl w:val="0"/>
          <w:numId w:val="45"/>
        </w:numPr>
        <w:ind w:left="714" w:hanging="357"/>
        <w:contextualSpacing w:val="0"/>
        <w:jc w:val="both"/>
      </w:pPr>
      <w:r w:rsidRPr="000D65CE">
        <w:t>details of lease agreement between Owner and Affordable Workspace P</w:t>
      </w:r>
      <w:r w:rsidR="0021525D" w:rsidRPr="000D65CE">
        <w:t>rovider, including rent review periods after the initial discount period has passed and lease break clauses</w:t>
      </w:r>
    </w:p>
    <w:p w14:paraId="6605D56E" w14:textId="77777777" w:rsidR="00211E28" w:rsidRPr="000D65CE" w:rsidRDefault="00211E28" w:rsidP="003B280C">
      <w:pPr>
        <w:pStyle w:val="ListParagraph"/>
        <w:numPr>
          <w:ilvl w:val="0"/>
          <w:numId w:val="45"/>
        </w:numPr>
        <w:ind w:left="714" w:hanging="357"/>
        <w:contextualSpacing w:val="0"/>
        <w:jc w:val="both"/>
      </w:pPr>
      <w:r w:rsidRPr="000D65CE">
        <w:t>full details of the Affordable Workspace Discount and Local Businesses Discount and how the discount will be passed from the Affordable Workspace Provider to Qualifying Occupiers and Businesses</w:t>
      </w:r>
    </w:p>
    <w:p w14:paraId="08D9CB7C" w14:textId="77777777" w:rsidR="00211E28" w:rsidRPr="000D65CE" w:rsidRDefault="00211E28" w:rsidP="003B280C">
      <w:pPr>
        <w:pStyle w:val="ListParagraph"/>
        <w:numPr>
          <w:ilvl w:val="0"/>
          <w:numId w:val="45"/>
        </w:numPr>
        <w:ind w:left="714" w:hanging="357"/>
        <w:contextualSpacing w:val="0"/>
        <w:jc w:val="both"/>
      </w:pPr>
      <w:r w:rsidRPr="000D65CE">
        <w:t>full details of monitoring of the Affordable Workspace to be provided to the Council</w:t>
      </w:r>
    </w:p>
    <w:p w14:paraId="64058DFE" w14:textId="77777777" w:rsidR="00026244" w:rsidRDefault="00211E28" w:rsidP="00C81500">
      <w:pPr>
        <w:pStyle w:val="ListParagraph"/>
        <w:numPr>
          <w:ilvl w:val="0"/>
          <w:numId w:val="45"/>
        </w:numPr>
        <w:spacing w:after="0"/>
        <w:ind w:left="714" w:hanging="357"/>
        <w:contextualSpacing w:val="0"/>
        <w:jc w:val="both"/>
      </w:pPr>
      <w:r w:rsidRPr="000D65CE">
        <w:t xml:space="preserve">full details on how the Affordable Workspace will be retained in the event that an </w:t>
      </w:r>
      <w:r w:rsidR="0021525D" w:rsidRPr="000D65CE">
        <w:t xml:space="preserve">appointed </w:t>
      </w:r>
      <w:r w:rsidRPr="000D65CE">
        <w:t>Affordable Workspace Provider fails</w:t>
      </w:r>
    </w:p>
    <w:p w14:paraId="4C9796A7" w14:textId="6934BD75" w:rsidR="00C0526F" w:rsidRDefault="00211E28" w:rsidP="00026244">
      <w:pPr>
        <w:spacing w:after="0"/>
        <w:jc w:val="both"/>
      </w:pPr>
      <w:r w:rsidRPr="000D65CE">
        <w:t xml:space="preserve"> </w:t>
      </w:r>
    </w:p>
    <w:p w14:paraId="2755184F" w14:textId="77777777" w:rsidR="00026244" w:rsidRPr="00026244" w:rsidRDefault="00026244" w:rsidP="00026244">
      <w:pPr>
        <w:jc w:val="right"/>
      </w:pPr>
    </w:p>
    <w:sectPr w:rsidR="00026244" w:rsidRPr="00026244" w:rsidSect="00EF7580">
      <w:headerReference w:type="default" r:id="rId22"/>
      <w:footerReference w:type="even" r:id="rId23"/>
      <w:footerReference w:type="default" r:id="rId24"/>
      <w:footerReference w:type="first" r:id="rId25"/>
      <w:pgSz w:w="11906" w:h="16838"/>
      <w:pgMar w:top="1440" w:right="1440" w:bottom="1134" w:left="1440" w:header="283" w:footer="17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5458D" w14:textId="77777777" w:rsidR="0023514D" w:rsidRDefault="0023514D">
      <w:r>
        <w:separator/>
      </w:r>
    </w:p>
  </w:endnote>
  <w:endnote w:type="continuationSeparator" w:id="0">
    <w:p w14:paraId="29147158" w14:textId="77777777" w:rsidR="0023514D" w:rsidRDefault="0023514D">
      <w:r>
        <w:continuationSeparator/>
      </w:r>
    </w:p>
  </w:endnote>
  <w:endnote w:type="continuationNotice" w:id="1">
    <w:p w14:paraId="764EAD71" w14:textId="77777777" w:rsidR="0023514D" w:rsidRDefault="00235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3" w:usb1="08070000" w:usb2="00000010" w:usb3="00000000" w:csb0="00020001"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9EBA" w14:textId="77777777" w:rsidR="00EB3B59" w:rsidRDefault="00EB3B59" w:rsidP="007C7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3135A" w14:textId="77777777" w:rsidR="00EB3B59" w:rsidRDefault="00EB3B59" w:rsidP="007C7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7002" w14:textId="32E2835E" w:rsidR="00EB3B59" w:rsidRPr="0089637F" w:rsidRDefault="002576AB" w:rsidP="00111B96">
    <w:pPr>
      <w:pStyle w:val="Footer"/>
      <w:ind w:right="360"/>
      <w:rPr>
        <w:rFonts w:cs="Arial"/>
        <w:szCs w:val="22"/>
      </w:rPr>
    </w:pPr>
    <w:r>
      <w:rPr>
        <w:rFonts w:cs="Arial"/>
        <w:szCs w:val="22"/>
      </w:rPr>
      <w:t>March 2021</w:t>
    </w:r>
    <w:r w:rsidR="00EB3B59">
      <w:rPr>
        <w:rFonts w:cs="Arial"/>
        <w:szCs w:val="22"/>
      </w:rPr>
      <w:tab/>
    </w:r>
    <w:r w:rsidR="00EB3B59">
      <w:rPr>
        <w:rFonts w:cs="Arial"/>
        <w:szCs w:val="22"/>
      </w:rPr>
      <w:tab/>
    </w:r>
    <w:r w:rsidR="00EB3B59" w:rsidRPr="00B64F1D">
      <w:rPr>
        <w:rFonts w:cs="Arial"/>
        <w:spacing w:val="60"/>
        <w:szCs w:val="22"/>
      </w:rPr>
      <w:t>Page</w:t>
    </w:r>
    <w:r w:rsidR="00EB3B59" w:rsidRPr="00EF7580">
      <w:rPr>
        <w:rFonts w:cs="Arial"/>
        <w:szCs w:val="22"/>
      </w:rPr>
      <w:t xml:space="preserve"> | </w:t>
    </w:r>
    <w:r w:rsidR="00EB3B59" w:rsidRPr="00EF7580">
      <w:rPr>
        <w:rFonts w:cs="Arial"/>
        <w:szCs w:val="22"/>
      </w:rPr>
      <w:fldChar w:fldCharType="begin"/>
    </w:r>
    <w:r w:rsidR="00EB3B59" w:rsidRPr="00EF7580">
      <w:rPr>
        <w:rFonts w:cs="Arial"/>
        <w:szCs w:val="22"/>
      </w:rPr>
      <w:instrText xml:space="preserve"> PAGE   \* MERGEFORMAT </w:instrText>
    </w:r>
    <w:r w:rsidR="00EB3B59" w:rsidRPr="00EF7580">
      <w:rPr>
        <w:rFonts w:cs="Arial"/>
        <w:szCs w:val="22"/>
      </w:rPr>
      <w:fldChar w:fldCharType="separate"/>
    </w:r>
    <w:r w:rsidR="00EB3B59" w:rsidRPr="00EF7580">
      <w:rPr>
        <w:rFonts w:cs="Arial"/>
        <w:b/>
        <w:bCs/>
        <w:noProof/>
        <w:szCs w:val="22"/>
      </w:rPr>
      <w:t>1</w:t>
    </w:r>
    <w:r w:rsidR="00EB3B59" w:rsidRPr="00EF7580">
      <w:rPr>
        <w:rFonts w:cs="Arial"/>
        <w:b/>
        <w:bCs/>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11327" w14:textId="2ACA5D74" w:rsidR="00EB3B59" w:rsidRDefault="00EB3B59">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C333" w14:textId="77777777" w:rsidR="0023514D" w:rsidRDefault="0023514D">
      <w:r>
        <w:separator/>
      </w:r>
    </w:p>
  </w:footnote>
  <w:footnote w:type="continuationSeparator" w:id="0">
    <w:p w14:paraId="534BA26D" w14:textId="77777777" w:rsidR="0023514D" w:rsidRDefault="0023514D">
      <w:r>
        <w:continuationSeparator/>
      </w:r>
    </w:p>
  </w:footnote>
  <w:footnote w:type="continuationNotice" w:id="1">
    <w:p w14:paraId="66294E49" w14:textId="77777777" w:rsidR="0023514D" w:rsidRDefault="0023514D">
      <w:pPr>
        <w:spacing w:after="0" w:line="240" w:lineRule="auto"/>
      </w:pPr>
    </w:p>
  </w:footnote>
  <w:footnote w:id="2">
    <w:p w14:paraId="02FCFA87" w14:textId="77777777" w:rsidR="00EB3B59" w:rsidRDefault="00EB3B59" w:rsidP="00AB3E07">
      <w:pPr>
        <w:pStyle w:val="FootnoteText"/>
        <w:spacing w:after="0" w:line="240" w:lineRule="auto"/>
      </w:pPr>
      <w:r>
        <w:rPr>
          <w:rStyle w:val="FootnoteReference"/>
        </w:rPr>
        <w:footnoteRef/>
      </w:r>
      <w:r>
        <w:t xml:space="preserve"> </w:t>
      </w:r>
      <w:r w:rsidRPr="00F21058">
        <w:rPr>
          <w:rFonts w:cs="Arial"/>
          <w:lang w:val="en-US"/>
        </w:rPr>
        <w:t>Community Infrastructure Levy Regulations 2010 (as amended), Regulation 122 (Limitation on use of planning obligations)</w:t>
      </w:r>
    </w:p>
  </w:footnote>
  <w:footnote w:id="3">
    <w:p w14:paraId="3E23B79A" w14:textId="77777777" w:rsidR="00EB3B59" w:rsidRDefault="00EB3B59" w:rsidP="00AB3E07">
      <w:pPr>
        <w:pStyle w:val="FootnoteText"/>
        <w:spacing w:after="0" w:line="240" w:lineRule="auto"/>
      </w:pPr>
      <w:r>
        <w:rPr>
          <w:rStyle w:val="FootnoteReference"/>
        </w:rPr>
        <w:footnoteRef/>
      </w:r>
      <w:r>
        <w:t xml:space="preserve"> CIL Additional Evidence and Information Document, October 2018 (CIL Examination Submitted Document 01.4)</w:t>
      </w:r>
    </w:p>
  </w:footnote>
  <w:footnote w:id="4">
    <w:p w14:paraId="016DC189" w14:textId="6024DD7E" w:rsidR="00EB3B59" w:rsidRDefault="00EB3B59" w:rsidP="00AB3E07">
      <w:pPr>
        <w:pStyle w:val="FootnoteText"/>
        <w:spacing w:after="0" w:line="240" w:lineRule="auto"/>
      </w:pPr>
      <w:r>
        <w:rPr>
          <w:rStyle w:val="FootnoteReference"/>
        </w:rPr>
        <w:footnoteRef/>
      </w:r>
      <w:r>
        <w:t xml:space="preserve"> </w:t>
      </w:r>
      <w:hyperlink r:id="rId1" w:history="1">
        <w:r w:rsidRPr="003A3E01">
          <w:rPr>
            <w:rStyle w:val="Hyperlink"/>
          </w:rPr>
          <w:t>London Borough of Tower Hamlets online planning register</w:t>
        </w:r>
      </w:hyperlink>
    </w:p>
  </w:footnote>
  <w:footnote w:id="5">
    <w:p w14:paraId="7B476F61" w14:textId="77777777" w:rsidR="00EB3B59" w:rsidRPr="0057557C" w:rsidRDefault="00EB3B59" w:rsidP="00E70D03">
      <w:pPr>
        <w:pStyle w:val="FootnoteText"/>
        <w:spacing w:after="0"/>
        <w:rPr>
          <w:rFonts w:cs="Arial"/>
        </w:rPr>
      </w:pPr>
      <w:r w:rsidRPr="0057557C">
        <w:rPr>
          <w:rStyle w:val="FootnoteReference"/>
          <w:rFonts w:cs="Arial"/>
        </w:rPr>
        <w:footnoteRef/>
      </w:r>
      <w:r w:rsidRPr="0057557C">
        <w:rPr>
          <w:rFonts w:cs="Arial"/>
        </w:rPr>
        <w:t xml:space="preserve"> The report was prepared as part of the Local Plan evidence base</w:t>
      </w:r>
      <w:r>
        <w:rPr>
          <w:rFonts w:cs="Arial"/>
        </w:rPr>
        <w:t xml:space="preserve"> and referred to in the Hearing Statement for Matter 6</w:t>
      </w:r>
      <w:r w:rsidRPr="0057557C">
        <w:rPr>
          <w:rFonts w:cs="Arial"/>
        </w:rPr>
        <w:t>.</w:t>
      </w:r>
    </w:p>
  </w:footnote>
  <w:footnote w:id="6">
    <w:p w14:paraId="00813A48" w14:textId="6E7B4585" w:rsidR="00EB3B59" w:rsidRDefault="00EB3B59" w:rsidP="00C71692">
      <w:pPr>
        <w:pStyle w:val="FootnoteText"/>
        <w:spacing w:after="0" w:line="240" w:lineRule="auto"/>
      </w:pPr>
      <w:r>
        <w:rPr>
          <w:rStyle w:val="FootnoteReference"/>
        </w:rPr>
        <w:footnoteRef/>
      </w:r>
      <w:r>
        <w:t xml:space="preserve">Further information can be found on the </w:t>
      </w:r>
      <w:hyperlink r:id="rId2" w:history="1">
        <w:r w:rsidRPr="003A3E01">
          <w:rPr>
            <w:rStyle w:val="Hyperlink"/>
          </w:rPr>
          <w:t xml:space="preserve">Council’s self-build webpage </w:t>
        </w:r>
      </w:hyperlink>
      <w:r>
        <w:t xml:space="preserve"> </w:t>
      </w:r>
    </w:p>
  </w:footnote>
  <w:footnote w:id="7">
    <w:p w14:paraId="4BEED35C" w14:textId="24259ECE" w:rsidR="00EB3B59" w:rsidRDefault="00EB3B59" w:rsidP="00B41B3E">
      <w:pPr>
        <w:pStyle w:val="FootnoteText"/>
        <w:spacing w:after="0" w:line="240" w:lineRule="auto"/>
      </w:pPr>
      <w:r>
        <w:rPr>
          <w:rStyle w:val="FootnoteReference"/>
        </w:rPr>
        <w:footnoteRef/>
      </w:r>
      <w:r>
        <w:t xml:space="preserve"> Approved by Cabinet on 19</w:t>
      </w:r>
      <w:r w:rsidRPr="007B2B1E">
        <w:rPr>
          <w:vertAlign w:val="superscript"/>
        </w:rPr>
        <w:t>th</w:t>
      </w:r>
      <w:r>
        <w:t xml:space="preserve"> September 2017 </w:t>
      </w:r>
    </w:p>
  </w:footnote>
  <w:footnote w:id="8">
    <w:p w14:paraId="242F4F96" w14:textId="77777777" w:rsidR="00EB3B59" w:rsidRPr="0050531B" w:rsidRDefault="00EB3B59" w:rsidP="00A0296E">
      <w:pPr>
        <w:pStyle w:val="FootnoteText"/>
        <w:spacing w:after="0" w:line="240" w:lineRule="auto"/>
        <w:rPr>
          <w:rFonts w:cs="Arial"/>
        </w:rPr>
      </w:pPr>
      <w:r w:rsidRPr="0050531B">
        <w:rPr>
          <w:rStyle w:val="FootnoteReference"/>
          <w:rFonts w:cs="Arial"/>
        </w:rPr>
        <w:footnoteRef/>
      </w:r>
      <w:r w:rsidRPr="0050531B">
        <w:rPr>
          <w:rFonts w:cs="Arial"/>
        </w:rPr>
        <w:t xml:space="preserve"> </w:t>
      </w:r>
      <w:r w:rsidRPr="0050531B">
        <w:rPr>
          <w:rFonts w:cs="Arial"/>
          <w:lang w:val="en-US"/>
        </w:rPr>
        <w:t>Sources: BNP Paribas Real Estate’s ‘CIL Viability Study (August 2013)’ and ‘Community Infrastructure Levy Review (August 2018)</w:t>
      </w:r>
    </w:p>
  </w:footnote>
  <w:footnote w:id="9">
    <w:p w14:paraId="460CEBD5" w14:textId="77777777" w:rsidR="00EB3B59" w:rsidRPr="00EC3B07" w:rsidRDefault="00EB3B59" w:rsidP="00163FC8">
      <w:pPr>
        <w:pStyle w:val="FootnoteText"/>
        <w:spacing w:after="0" w:line="240" w:lineRule="auto"/>
        <w:rPr>
          <w:rFonts w:cs="Arial"/>
        </w:rPr>
      </w:pPr>
      <w:r w:rsidRPr="00EC3B07">
        <w:rPr>
          <w:rStyle w:val="FootnoteReference"/>
          <w:rFonts w:cs="Arial"/>
        </w:rPr>
        <w:footnoteRef/>
      </w:r>
      <w:r w:rsidRPr="00EC3B07">
        <w:rPr>
          <w:rFonts w:cs="Arial"/>
        </w:rPr>
        <w:t xml:space="preserve"> Tower Hamlets Affordable Workspace Evidence Base, February 2018</w:t>
      </w:r>
      <w:r>
        <w:rPr>
          <w:rFonts w:cs="Arial"/>
        </w:rPr>
        <w:t>.</w:t>
      </w:r>
    </w:p>
  </w:footnote>
  <w:footnote w:id="10">
    <w:p w14:paraId="2A7883E3" w14:textId="230B4C8A" w:rsidR="00E21190" w:rsidRPr="009259B4" w:rsidRDefault="00E21190" w:rsidP="00163FC8">
      <w:pPr>
        <w:pStyle w:val="FootnoteText"/>
        <w:spacing w:after="0" w:line="240" w:lineRule="auto"/>
      </w:pPr>
      <w:r>
        <w:rPr>
          <w:rStyle w:val="FootnoteReference"/>
        </w:rPr>
        <w:footnoteRef/>
      </w:r>
      <w:r>
        <w:t xml:space="preserve"> </w:t>
      </w:r>
      <w:r w:rsidR="009259B4" w:rsidRPr="009259B4">
        <w:t>Paragraph 10.25 of the Local Plan specifies that Part 4 of Policy D.EMP2 applies to B1, B2 and B8 uses.</w:t>
      </w:r>
      <w:r w:rsidR="00163FC8">
        <w:t xml:space="preserve"> The</w:t>
      </w:r>
      <w:r w:rsidR="009259B4" w:rsidRPr="009259B4">
        <w:t xml:space="preserve"> </w:t>
      </w:r>
      <w:r w:rsidR="009259B4" w:rsidRPr="009259B4">
        <w:rPr>
          <w:rFonts w:cs="Arial"/>
        </w:rPr>
        <w:t>Town and Country Planning (Use Classes) (Amendment) (England) Regulations 2020 and come into force</w:t>
      </w:r>
      <w:r w:rsidR="00163FC8">
        <w:rPr>
          <w:rFonts w:cs="Arial"/>
        </w:rPr>
        <w:t xml:space="preserve"> </w:t>
      </w:r>
      <w:r w:rsidR="00163FC8">
        <w:t>on 1</w:t>
      </w:r>
      <w:r w:rsidR="00163FC8" w:rsidRPr="00163FC8">
        <w:rPr>
          <w:vertAlign w:val="superscript"/>
        </w:rPr>
        <w:t>st</w:t>
      </w:r>
      <w:r w:rsidR="00163FC8">
        <w:t xml:space="preserve"> September 2020</w:t>
      </w:r>
      <w:r w:rsidR="009259B4" w:rsidRPr="009259B4">
        <w:rPr>
          <w:rFonts w:cs="Arial"/>
        </w:rPr>
        <w:t xml:space="preserve"> </w:t>
      </w:r>
      <w:r w:rsidR="00163FC8">
        <w:rPr>
          <w:rFonts w:cs="Arial"/>
        </w:rPr>
        <w:t xml:space="preserve">and introduced changes to use classes. These changes are reflected in the SPD. </w:t>
      </w:r>
    </w:p>
  </w:footnote>
  <w:footnote w:id="11">
    <w:p w14:paraId="78C02903" w14:textId="77777777" w:rsidR="00EB3B59" w:rsidRDefault="00EB3B59" w:rsidP="006578C2">
      <w:pPr>
        <w:pStyle w:val="FootnoteText"/>
        <w:spacing w:after="0" w:line="240" w:lineRule="auto"/>
      </w:pPr>
      <w:r>
        <w:rPr>
          <w:rStyle w:val="FootnoteReference"/>
        </w:rPr>
        <w:footnoteRef/>
      </w:r>
      <w:r>
        <w:t xml:space="preserve"> 2018 Childcare Sufficiency Assessment for the London Borough of Tower Hamlets</w:t>
      </w:r>
    </w:p>
  </w:footnote>
  <w:footnote w:id="12">
    <w:p w14:paraId="7EF241BC" w14:textId="06AA1270" w:rsidR="00EB3B59" w:rsidRPr="00F0260F" w:rsidRDefault="00EB3B59" w:rsidP="000A57A6">
      <w:pPr>
        <w:pStyle w:val="FootnoteText"/>
        <w:spacing w:after="0" w:line="240" w:lineRule="auto"/>
        <w:rPr>
          <w:rFonts w:cs="Arial"/>
        </w:rPr>
      </w:pPr>
      <w:r w:rsidRPr="00F0260F">
        <w:rPr>
          <w:rStyle w:val="FootnoteReference"/>
          <w:rFonts w:cs="Arial"/>
        </w:rPr>
        <w:footnoteRef/>
      </w:r>
      <w:r w:rsidRPr="00F0260F">
        <w:rPr>
          <w:rFonts w:cs="Arial"/>
        </w:rPr>
        <w:t xml:space="preserve"> S</w:t>
      </w:r>
      <w:r>
        <w:rPr>
          <w:rFonts w:cs="Arial"/>
        </w:rPr>
        <w:t xml:space="preserve">ee the </w:t>
      </w:r>
      <w:hyperlink r:id="rId3" w:history="1">
        <w:r w:rsidRPr="00472226">
          <w:rPr>
            <w:rStyle w:val="Hyperlink"/>
            <w:rFonts w:cs="Arial"/>
          </w:rPr>
          <w:t>Whole life carbon assessment for architects</w:t>
        </w:r>
      </w:hyperlink>
      <w:r>
        <w:rPr>
          <w:rFonts w:cs="Arial"/>
        </w:rPr>
        <w:t xml:space="preserve"> (2017) by Simon Sturgis, RIBA</w:t>
      </w:r>
    </w:p>
  </w:footnote>
  <w:footnote w:id="13">
    <w:p w14:paraId="2ED0CDFF" w14:textId="7BF96A7A" w:rsidR="00EB3B59" w:rsidRDefault="00EB3B59" w:rsidP="008018B9">
      <w:pPr>
        <w:pStyle w:val="FootnoteText"/>
        <w:spacing w:after="0" w:line="240" w:lineRule="auto"/>
      </w:pPr>
      <w:r w:rsidRPr="004846C3">
        <w:rPr>
          <w:rStyle w:val="FootnoteReference"/>
        </w:rPr>
        <w:footnoteRef/>
      </w:r>
      <w:r w:rsidRPr="004846C3">
        <w:t xml:space="preserve"> Available at</w:t>
      </w:r>
      <w:r>
        <w:t xml:space="preserve"> the council’s </w:t>
      </w:r>
      <w:hyperlink r:id="rId4" w:history="1">
        <w:r w:rsidRPr="00A46BF9">
          <w:rPr>
            <w:rStyle w:val="Hyperlink"/>
          </w:rPr>
          <w:t>Flood Risk management webpage</w:t>
        </w:r>
      </w:hyperlink>
      <w:r w:rsidRPr="004846C3">
        <w:t xml:space="preserve"> </w:t>
      </w:r>
    </w:p>
  </w:footnote>
  <w:footnote w:id="14">
    <w:p w14:paraId="1B7B7D7D" w14:textId="77777777" w:rsidR="00EB3B59" w:rsidRPr="00AF7DF3" w:rsidRDefault="00EB3B59" w:rsidP="000A57A6">
      <w:pPr>
        <w:pStyle w:val="FootnoteText"/>
        <w:spacing w:after="0" w:line="240" w:lineRule="auto"/>
        <w:rPr>
          <w:rFonts w:cs="Arial"/>
        </w:rPr>
      </w:pPr>
      <w:r w:rsidRPr="00AF7DF3">
        <w:rPr>
          <w:rStyle w:val="FootnoteReference"/>
          <w:rFonts w:cs="Arial"/>
        </w:rPr>
        <w:footnoteRef/>
      </w:r>
      <w:r w:rsidRPr="00AF7DF3">
        <w:rPr>
          <w:rFonts w:cs="Arial"/>
        </w:rPr>
        <w:t xml:space="preserve"> At the time of writing, the relevant safety</w:t>
      </w:r>
      <w:r>
        <w:rPr>
          <w:rFonts w:cs="Arial"/>
        </w:rPr>
        <w:t xml:space="preserve"> standards that should be complied with include:</w:t>
      </w:r>
      <w:r w:rsidRPr="00AF7DF3">
        <w:rPr>
          <w:rFonts w:cs="Arial"/>
        </w:rPr>
        <w:t xml:space="preserve"> Safer Lorry Scheme, Construction Logistics and Cyclist Safety (CLOCS), Best Practical Means under the Control of Pollution Act (COPA) 1974, and compliance of Non-Road Mobile Machinery (NRMM) in line with EU Directive 97/68/EC as amended.</w:t>
      </w:r>
    </w:p>
  </w:footnote>
  <w:footnote w:id="15">
    <w:p w14:paraId="26566129" w14:textId="1D30B893" w:rsidR="00EB3B59" w:rsidRPr="006A2DC3" w:rsidRDefault="00EB3B59" w:rsidP="002D0A01">
      <w:pPr>
        <w:pStyle w:val="Default"/>
        <w:spacing w:after="0" w:line="240" w:lineRule="auto"/>
        <w:rPr>
          <w:rFonts w:ascii="Arial" w:hAnsi="Arial" w:cs="Arial"/>
        </w:rPr>
      </w:pPr>
      <w:r w:rsidRPr="006A2DC3">
        <w:rPr>
          <w:rStyle w:val="FootnoteReference"/>
          <w:rFonts w:ascii="Arial" w:hAnsi="Arial" w:cs="Arial"/>
          <w:sz w:val="20"/>
          <w:szCs w:val="20"/>
        </w:rPr>
        <w:footnoteRef/>
      </w:r>
      <w:r w:rsidRPr="006A2DC3">
        <w:rPr>
          <w:rFonts w:ascii="Arial" w:hAnsi="Arial" w:cs="Arial"/>
          <w:sz w:val="20"/>
          <w:szCs w:val="20"/>
        </w:rPr>
        <w:t xml:space="preserve"> </w:t>
      </w:r>
      <w:hyperlink r:id="rId5" w:history="1">
        <w:r w:rsidRPr="00472226">
          <w:rPr>
            <w:rStyle w:val="Hyperlink"/>
            <w:rFonts w:ascii="Arial" w:hAnsi="Arial" w:cs="Arial"/>
            <w:sz w:val="20"/>
            <w:szCs w:val="20"/>
          </w:rPr>
          <w:t>Health Impact Assessment of Air Pollution on Asthma in London</w:t>
        </w:r>
      </w:hyperlink>
      <w:r>
        <w:rPr>
          <w:rFonts w:ascii="Arial" w:hAnsi="Arial" w:cs="Arial"/>
          <w:sz w:val="20"/>
          <w:szCs w:val="20"/>
        </w:rPr>
        <w:t xml:space="preserve"> (2019) by </w:t>
      </w:r>
      <w:r>
        <w:rPr>
          <w:rFonts w:ascii="Arial" w:hAnsi="Arial" w:cs="Arial"/>
          <w:bCs/>
          <w:color w:val="auto"/>
          <w:sz w:val="20"/>
          <w:szCs w:val="20"/>
        </w:rPr>
        <w:t>King’s College London</w:t>
      </w:r>
      <w:r w:rsidRPr="006A2DC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C0E5" w14:textId="27ECFA12" w:rsidR="00EB3B59" w:rsidRDefault="003F2913">
    <w:pPr>
      <w:pStyle w:val="Header"/>
    </w:pPr>
    <w:r>
      <w:t>Planning Obligations Supplementary Planning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0AAC29C"/>
    <w:lvl w:ilvl="0">
      <w:start w:val="1"/>
      <w:numFmt w:val="decimal"/>
      <w:pStyle w:val="ListNumber4"/>
      <w:lvlText w:val="%1."/>
      <w:lvlJc w:val="left"/>
      <w:pPr>
        <w:tabs>
          <w:tab w:val="num" w:pos="1209"/>
        </w:tabs>
        <w:ind w:left="1209" w:hanging="360"/>
      </w:pPr>
      <w:rPr>
        <w:b w:val="0"/>
        <w:sz w:val="22"/>
        <w:szCs w:val="22"/>
      </w:rPr>
    </w:lvl>
  </w:abstractNum>
  <w:abstractNum w:abstractNumId="1" w15:restartNumberingAfterBreak="0">
    <w:nsid w:val="FFFFFF7E"/>
    <w:multiLevelType w:val="hybridMultilevel"/>
    <w:tmpl w:val="C4D0DFD6"/>
    <w:lvl w:ilvl="0" w:tplc="6842151E">
      <w:start w:val="1"/>
      <w:numFmt w:val="decimal"/>
      <w:pStyle w:val="ListNumber3"/>
      <w:lvlText w:val="%1."/>
      <w:lvlJc w:val="left"/>
      <w:pPr>
        <w:tabs>
          <w:tab w:val="num" w:pos="926"/>
        </w:tabs>
        <w:ind w:left="926" w:hanging="360"/>
      </w:pPr>
    </w:lvl>
    <w:lvl w:ilvl="1" w:tplc="77509934">
      <w:numFmt w:val="decimal"/>
      <w:lvlText w:val=""/>
      <w:lvlJc w:val="left"/>
    </w:lvl>
    <w:lvl w:ilvl="2" w:tplc="CF92A4FE">
      <w:numFmt w:val="decimal"/>
      <w:lvlText w:val=""/>
      <w:lvlJc w:val="left"/>
    </w:lvl>
    <w:lvl w:ilvl="3" w:tplc="4C302FE2">
      <w:numFmt w:val="decimal"/>
      <w:lvlText w:val=""/>
      <w:lvlJc w:val="left"/>
    </w:lvl>
    <w:lvl w:ilvl="4" w:tplc="5296B516">
      <w:numFmt w:val="decimal"/>
      <w:lvlText w:val=""/>
      <w:lvlJc w:val="left"/>
    </w:lvl>
    <w:lvl w:ilvl="5" w:tplc="83EA3E36">
      <w:numFmt w:val="decimal"/>
      <w:lvlText w:val=""/>
      <w:lvlJc w:val="left"/>
    </w:lvl>
    <w:lvl w:ilvl="6" w:tplc="031EEEC2">
      <w:numFmt w:val="decimal"/>
      <w:lvlText w:val=""/>
      <w:lvlJc w:val="left"/>
    </w:lvl>
    <w:lvl w:ilvl="7" w:tplc="4252B8E0">
      <w:numFmt w:val="decimal"/>
      <w:lvlText w:val=""/>
      <w:lvlJc w:val="left"/>
    </w:lvl>
    <w:lvl w:ilvl="8" w:tplc="EEAA8DFA">
      <w:numFmt w:val="decimal"/>
      <w:lvlText w:val=""/>
      <w:lvlJc w:val="left"/>
    </w:lvl>
  </w:abstractNum>
  <w:abstractNum w:abstractNumId="2" w15:restartNumberingAfterBreak="0">
    <w:nsid w:val="FFFFFF7F"/>
    <w:multiLevelType w:val="hybridMultilevel"/>
    <w:tmpl w:val="8D8E2B98"/>
    <w:lvl w:ilvl="0" w:tplc="BB96DC10">
      <w:start w:val="1"/>
      <w:numFmt w:val="decimal"/>
      <w:pStyle w:val="ListNumber2"/>
      <w:lvlText w:val="%1."/>
      <w:lvlJc w:val="left"/>
      <w:pPr>
        <w:tabs>
          <w:tab w:val="num" w:pos="643"/>
        </w:tabs>
        <w:ind w:left="643" w:hanging="360"/>
      </w:pPr>
    </w:lvl>
    <w:lvl w:ilvl="1" w:tplc="0D76C69E">
      <w:numFmt w:val="decimal"/>
      <w:lvlText w:val=""/>
      <w:lvlJc w:val="left"/>
    </w:lvl>
    <w:lvl w:ilvl="2" w:tplc="0DB41ABC">
      <w:numFmt w:val="decimal"/>
      <w:lvlText w:val=""/>
      <w:lvlJc w:val="left"/>
    </w:lvl>
    <w:lvl w:ilvl="3" w:tplc="EE4C8E9E">
      <w:numFmt w:val="decimal"/>
      <w:lvlText w:val=""/>
      <w:lvlJc w:val="left"/>
    </w:lvl>
    <w:lvl w:ilvl="4" w:tplc="D6344228">
      <w:numFmt w:val="decimal"/>
      <w:lvlText w:val=""/>
      <w:lvlJc w:val="left"/>
    </w:lvl>
    <w:lvl w:ilvl="5" w:tplc="684EF7B4">
      <w:numFmt w:val="decimal"/>
      <w:lvlText w:val=""/>
      <w:lvlJc w:val="left"/>
    </w:lvl>
    <w:lvl w:ilvl="6" w:tplc="440A83C4">
      <w:numFmt w:val="decimal"/>
      <w:lvlText w:val=""/>
      <w:lvlJc w:val="left"/>
    </w:lvl>
    <w:lvl w:ilvl="7" w:tplc="72D252B4">
      <w:numFmt w:val="decimal"/>
      <w:lvlText w:val=""/>
      <w:lvlJc w:val="left"/>
    </w:lvl>
    <w:lvl w:ilvl="8" w:tplc="3A1CB9F4">
      <w:numFmt w:val="decimal"/>
      <w:lvlText w:val=""/>
      <w:lvlJc w:val="left"/>
    </w:lvl>
  </w:abstractNum>
  <w:abstractNum w:abstractNumId="3" w15:restartNumberingAfterBreak="0">
    <w:nsid w:val="FFFFFF80"/>
    <w:multiLevelType w:val="hybridMultilevel"/>
    <w:tmpl w:val="F0C2FC5E"/>
    <w:lvl w:ilvl="0" w:tplc="74821318">
      <w:start w:val="1"/>
      <w:numFmt w:val="bullet"/>
      <w:pStyle w:val="ListBullet5"/>
      <w:lvlText w:val=""/>
      <w:lvlJc w:val="left"/>
      <w:pPr>
        <w:tabs>
          <w:tab w:val="num" w:pos="1492"/>
        </w:tabs>
        <w:ind w:left="1492" w:hanging="360"/>
      </w:pPr>
      <w:rPr>
        <w:rFonts w:ascii="Symbol" w:hAnsi="Symbol" w:hint="default"/>
      </w:rPr>
    </w:lvl>
    <w:lvl w:ilvl="1" w:tplc="CE4CC392">
      <w:numFmt w:val="decimal"/>
      <w:lvlText w:val=""/>
      <w:lvlJc w:val="left"/>
    </w:lvl>
    <w:lvl w:ilvl="2" w:tplc="65AA8E26">
      <w:numFmt w:val="decimal"/>
      <w:lvlText w:val=""/>
      <w:lvlJc w:val="left"/>
    </w:lvl>
    <w:lvl w:ilvl="3" w:tplc="B4E2C750">
      <w:numFmt w:val="decimal"/>
      <w:lvlText w:val=""/>
      <w:lvlJc w:val="left"/>
    </w:lvl>
    <w:lvl w:ilvl="4" w:tplc="C19AE6F0">
      <w:numFmt w:val="decimal"/>
      <w:lvlText w:val=""/>
      <w:lvlJc w:val="left"/>
    </w:lvl>
    <w:lvl w:ilvl="5" w:tplc="33ACD8D8">
      <w:numFmt w:val="decimal"/>
      <w:lvlText w:val=""/>
      <w:lvlJc w:val="left"/>
    </w:lvl>
    <w:lvl w:ilvl="6" w:tplc="693E04D8">
      <w:numFmt w:val="decimal"/>
      <w:lvlText w:val=""/>
      <w:lvlJc w:val="left"/>
    </w:lvl>
    <w:lvl w:ilvl="7" w:tplc="49024002">
      <w:numFmt w:val="decimal"/>
      <w:lvlText w:val=""/>
      <w:lvlJc w:val="left"/>
    </w:lvl>
    <w:lvl w:ilvl="8" w:tplc="0CD6AFC6">
      <w:numFmt w:val="decimal"/>
      <w:lvlText w:val=""/>
      <w:lvlJc w:val="left"/>
    </w:lvl>
  </w:abstractNum>
  <w:abstractNum w:abstractNumId="4" w15:restartNumberingAfterBreak="0">
    <w:nsid w:val="FFFFFF81"/>
    <w:multiLevelType w:val="hybridMultilevel"/>
    <w:tmpl w:val="83827ECC"/>
    <w:lvl w:ilvl="0" w:tplc="1BA03910">
      <w:start w:val="1"/>
      <w:numFmt w:val="bullet"/>
      <w:pStyle w:val="ListBullet4"/>
      <w:lvlText w:val=""/>
      <w:lvlJc w:val="left"/>
      <w:pPr>
        <w:tabs>
          <w:tab w:val="num" w:pos="1209"/>
        </w:tabs>
        <w:ind w:left="1209" w:hanging="360"/>
      </w:pPr>
      <w:rPr>
        <w:rFonts w:ascii="Symbol" w:hAnsi="Symbol" w:hint="default"/>
      </w:rPr>
    </w:lvl>
    <w:lvl w:ilvl="1" w:tplc="7AB4E1B8">
      <w:numFmt w:val="decimal"/>
      <w:lvlText w:val=""/>
      <w:lvlJc w:val="left"/>
    </w:lvl>
    <w:lvl w:ilvl="2" w:tplc="ED72B700">
      <w:numFmt w:val="decimal"/>
      <w:lvlText w:val=""/>
      <w:lvlJc w:val="left"/>
    </w:lvl>
    <w:lvl w:ilvl="3" w:tplc="EC4A8D2A">
      <w:numFmt w:val="decimal"/>
      <w:lvlText w:val=""/>
      <w:lvlJc w:val="left"/>
    </w:lvl>
    <w:lvl w:ilvl="4" w:tplc="2D58E844">
      <w:numFmt w:val="decimal"/>
      <w:lvlText w:val=""/>
      <w:lvlJc w:val="left"/>
    </w:lvl>
    <w:lvl w:ilvl="5" w:tplc="FA845ED8">
      <w:numFmt w:val="decimal"/>
      <w:lvlText w:val=""/>
      <w:lvlJc w:val="left"/>
    </w:lvl>
    <w:lvl w:ilvl="6" w:tplc="099E541C">
      <w:numFmt w:val="decimal"/>
      <w:lvlText w:val=""/>
      <w:lvlJc w:val="left"/>
    </w:lvl>
    <w:lvl w:ilvl="7" w:tplc="4D065314">
      <w:numFmt w:val="decimal"/>
      <w:lvlText w:val=""/>
      <w:lvlJc w:val="left"/>
    </w:lvl>
    <w:lvl w:ilvl="8" w:tplc="8278A5D2">
      <w:numFmt w:val="decimal"/>
      <w:lvlText w:val=""/>
      <w:lvlJc w:val="left"/>
    </w:lvl>
  </w:abstractNum>
  <w:abstractNum w:abstractNumId="5" w15:restartNumberingAfterBreak="0">
    <w:nsid w:val="FFFFFF82"/>
    <w:multiLevelType w:val="hybridMultilevel"/>
    <w:tmpl w:val="AE903A50"/>
    <w:lvl w:ilvl="0" w:tplc="34B8C5FE">
      <w:start w:val="1"/>
      <w:numFmt w:val="bullet"/>
      <w:pStyle w:val="ListBullet3"/>
      <w:lvlText w:val=""/>
      <w:lvlJc w:val="left"/>
      <w:pPr>
        <w:tabs>
          <w:tab w:val="num" w:pos="926"/>
        </w:tabs>
        <w:ind w:left="926" w:hanging="360"/>
      </w:pPr>
      <w:rPr>
        <w:rFonts w:ascii="Symbol" w:hAnsi="Symbol" w:hint="default"/>
      </w:rPr>
    </w:lvl>
    <w:lvl w:ilvl="1" w:tplc="3690A636">
      <w:numFmt w:val="decimal"/>
      <w:lvlText w:val=""/>
      <w:lvlJc w:val="left"/>
    </w:lvl>
    <w:lvl w:ilvl="2" w:tplc="D116DB96">
      <w:numFmt w:val="decimal"/>
      <w:lvlText w:val=""/>
      <w:lvlJc w:val="left"/>
    </w:lvl>
    <w:lvl w:ilvl="3" w:tplc="BE08CEA2">
      <w:numFmt w:val="decimal"/>
      <w:lvlText w:val=""/>
      <w:lvlJc w:val="left"/>
    </w:lvl>
    <w:lvl w:ilvl="4" w:tplc="C27A3F1A">
      <w:numFmt w:val="decimal"/>
      <w:lvlText w:val=""/>
      <w:lvlJc w:val="left"/>
    </w:lvl>
    <w:lvl w:ilvl="5" w:tplc="503A195E">
      <w:numFmt w:val="decimal"/>
      <w:lvlText w:val=""/>
      <w:lvlJc w:val="left"/>
    </w:lvl>
    <w:lvl w:ilvl="6" w:tplc="A92C717C">
      <w:numFmt w:val="decimal"/>
      <w:lvlText w:val=""/>
      <w:lvlJc w:val="left"/>
    </w:lvl>
    <w:lvl w:ilvl="7" w:tplc="1726898E">
      <w:numFmt w:val="decimal"/>
      <w:lvlText w:val=""/>
      <w:lvlJc w:val="left"/>
    </w:lvl>
    <w:lvl w:ilvl="8" w:tplc="B3A2C8B8">
      <w:numFmt w:val="decimal"/>
      <w:lvlText w:val=""/>
      <w:lvlJc w:val="left"/>
    </w:lvl>
  </w:abstractNum>
  <w:abstractNum w:abstractNumId="6" w15:restartNumberingAfterBreak="0">
    <w:nsid w:val="FFFFFF83"/>
    <w:multiLevelType w:val="singleLevel"/>
    <w:tmpl w:val="C858914A"/>
    <w:lvl w:ilvl="0">
      <w:start w:val="1"/>
      <w:numFmt w:val="bullet"/>
      <w:pStyle w:val="ListBullet2"/>
      <w:lvlText w:val=""/>
      <w:lvlJc w:val="left"/>
      <w:pPr>
        <w:tabs>
          <w:tab w:val="num" w:pos="643"/>
        </w:tabs>
        <w:ind w:left="643" w:hanging="360"/>
      </w:pPr>
      <w:rPr>
        <w:rFonts w:ascii="Symbol" w:hAnsi="Symbol" w:hint="default"/>
        <w:sz w:val="22"/>
      </w:rPr>
    </w:lvl>
  </w:abstractNum>
  <w:abstractNum w:abstractNumId="7" w15:restartNumberingAfterBreak="0">
    <w:nsid w:val="FFFFFF88"/>
    <w:multiLevelType w:val="hybridMultilevel"/>
    <w:tmpl w:val="68087570"/>
    <w:lvl w:ilvl="0" w:tplc="68AC14B2">
      <w:start w:val="1"/>
      <w:numFmt w:val="decimal"/>
      <w:pStyle w:val="ListNumber"/>
      <w:lvlText w:val="%1."/>
      <w:lvlJc w:val="left"/>
      <w:pPr>
        <w:tabs>
          <w:tab w:val="num" w:pos="360"/>
        </w:tabs>
        <w:ind w:left="360" w:hanging="360"/>
      </w:pPr>
    </w:lvl>
    <w:lvl w:ilvl="1" w:tplc="39C6D6A4">
      <w:numFmt w:val="decimal"/>
      <w:lvlText w:val=""/>
      <w:lvlJc w:val="left"/>
    </w:lvl>
    <w:lvl w:ilvl="2" w:tplc="F7B22704">
      <w:numFmt w:val="decimal"/>
      <w:lvlText w:val=""/>
      <w:lvlJc w:val="left"/>
    </w:lvl>
    <w:lvl w:ilvl="3" w:tplc="2702ED4C">
      <w:numFmt w:val="decimal"/>
      <w:lvlText w:val=""/>
      <w:lvlJc w:val="left"/>
    </w:lvl>
    <w:lvl w:ilvl="4" w:tplc="1444FBEA">
      <w:numFmt w:val="decimal"/>
      <w:lvlText w:val=""/>
      <w:lvlJc w:val="left"/>
    </w:lvl>
    <w:lvl w:ilvl="5" w:tplc="C5827F30">
      <w:numFmt w:val="decimal"/>
      <w:lvlText w:val=""/>
      <w:lvlJc w:val="left"/>
    </w:lvl>
    <w:lvl w:ilvl="6" w:tplc="CA14183E">
      <w:numFmt w:val="decimal"/>
      <w:lvlText w:val=""/>
      <w:lvlJc w:val="left"/>
    </w:lvl>
    <w:lvl w:ilvl="7" w:tplc="77708136">
      <w:numFmt w:val="decimal"/>
      <w:lvlText w:val=""/>
      <w:lvlJc w:val="left"/>
    </w:lvl>
    <w:lvl w:ilvl="8" w:tplc="947E105E">
      <w:numFmt w:val="decimal"/>
      <w:lvlText w:val=""/>
      <w:lvlJc w:val="left"/>
    </w:lvl>
  </w:abstractNum>
  <w:abstractNum w:abstractNumId="8" w15:restartNumberingAfterBreak="0">
    <w:nsid w:val="FFFFFF89"/>
    <w:multiLevelType w:val="hybridMultilevel"/>
    <w:tmpl w:val="546AF186"/>
    <w:lvl w:ilvl="0" w:tplc="0A70D030">
      <w:start w:val="1"/>
      <w:numFmt w:val="bullet"/>
      <w:pStyle w:val="ListBullet"/>
      <w:lvlText w:val=""/>
      <w:lvlJc w:val="left"/>
      <w:pPr>
        <w:tabs>
          <w:tab w:val="num" w:pos="360"/>
        </w:tabs>
        <w:ind w:left="360" w:hanging="360"/>
      </w:pPr>
      <w:rPr>
        <w:rFonts w:ascii="Symbol" w:hAnsi="Symbol" w:hint="default"/>
      </w:rPr>
    </w:lvl>
    <w:lvl w:ilvl="1" w:tplc="6704869E">
      <w:numFmt w:val="decimal"/>
      <w:lvlText w:val=""/>
      <w:lvlJc w:val="left"/>
    </w:lvl>
    <w:lvl w:ilvl="2" w:tplc="CED67956">
      <w:numFmt w:val="decimal"/>
      <w:lvlText w:val=""/>
      <w:lvlJc w:val="left"/>
    </w:lvl>
    <w:lvl w:ilvl="3" w:tplc="3F7A7E4C">
      <w:numFmt w:val="decimal"/>
      <w:lvlText w:val=""/>
      <w:lvlJc w:val="left"/>
    </w:lvl>
    <w:lvl w:ilvl="4" w:tplc="9D5E8ABA">
      <w:numFmt w:val="decimal"/>
      <w:lvlText w:val=""/>
      <w:lvlJc w:val="left"/>
    </w:lvl>
    <w:lvl w:ilvl="5" w:tplc="960277F2">
      <w:numFmt w:val="decimal"/>
      <w:lvlText w:val=""/>
      <w:lvlJc w:val="left"/>
    </w:lvl>
    <w:lvl w:ilvl="6" w:tplc="E8023B3A">
      <w:numFmt w:val="decimal"/>
      <w:lvlText w:val=""/>
      <w:lvlJc w:val="left"/>
    </w:lvl>
    <w:lvl w:ilvl="7" w:tplc="73EEF80A">
      <w:numFmt w:val="decimal"/>
      <w:lvlText w:val=""/>
      <w:lvlJc w:val="left"/>
    </w:lvl>
    <w:lvl w:ilvl="8" w:tplc="1966BEF4">
      <w:numFmt w:val="decimal"/>
      <w:lvlText w:val=""/>
      <w:lvlJc w:val="left"/>
    </w:lvl>
  </w:abstractNum>
  <w:abstractNum w:abstractNumId="9" w15:restartNumberingAfterBreak="0">
    <w:nsid w:val="01F6614C"/>
    <w:multiLevelType w:val="hybridMultilevel"/>
    <w:tmpl w:val="DCA65A2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0" w15:restartNumberingAfterBreak="0">
    <w:nsid w:val="02B045A9"/>
    <w:multiLevelType w:val="hybridMultilevel"/>
    <w:tmpl w:val="5024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83E24"/>
    <w:multiLevelType w:val="hybridMultilevel"/>
    <w:tmpl w:val="71CAD3B4"/>
    <w:lvl w:ilvl="0" w:tplc="7D6AE45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039D0"/>
    <w:multiLevelType w:val="hybridMultilevel"/>
    <w:tmpl w:val="41C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47A43"/>
    <w:multiLevelType w:val="multilevel"/>
    <w:tmpl w:val="73F26634"/>
    <w:lvl w:ilvl="0">
      <w:start w:val="1"/>
      <w:numFmt w:val="decimal"/>
      <w:lvlText w:val="%1."/>
      <w:lvlJc w:val="left"/>
      <w:pPr>
        <w:ind w:left="720" w:hanging="360"/>
      </w:pPr>
      <w:rPr>
        <w:b/>
      </w:rPr>
    </w:lvl>
    <w:lvl w:ilvl="1">
      <w:start w:val="1"/>
      <w:numFmt w:val="decimal"/>
      <w:isLgl/>
      <w:lvlText w:val="%1.%2"/>
      <w:lvlJc w:val="left"/>
      <w:pPr>
        <w:ind w:left="786"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2083091C"/>
    <w:multiLevelType w:val="hybridMultilevel"/>
    <w:tmpl w:val="AB32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C72634"/>
    <w:multiLevelType w:val="hybridMultilevel"/>
    <w:tmpl w:val="9B1E4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DE776E"/>
    <w:multiLevelType w:val="hybridMultilevel"/>
    <w:tmpl w:val="FE74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622E8"/>
    <w:multiLevelType w:val="hybridMultilevel"/>
    <w:tmpl w:val="9718FD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25E59CE"/>
    <w:multiLevelType w:val="hybridMultilevel"/>
    <w:tmpl w:val="3D36C8B6"/>
    <w:lvl w:ilvl="0" w:tplc="793082D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B6E2E"/>
    <w:multiLevelType w:val="hybridMultilevel"/>
    <w:tmpl w:val="35F0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A31A4"/>
    <w:multiLevelType w:val="hybridMultilevel"/>
    <w:tmpl w:val="37CC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DF5BAB"/>
    <w:multiLevelType w:val="hybridMultilevel"/>
    <w:tmpl w:val="375420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EAD17BA"/>
    <w:multiLevelType w:val="hybridMultilevel"/>
    <w:tmpl w:val="D512B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8D765B"/>
    <w:multiLevelType w:val="hybridMultilevel"/>
    <w:tmpl w:val="DCC62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357540"/>
    <w:multiLevelType w:val="hybridMultilevel"/>
    <w:tmpl w:val="C89A5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594A81"/>
    <w:multiLevelType w:val="hybridMultilevel"/>
    <w:tmpl w:val="F444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0E5CBE"/>
    <w:multiLevelType w:val="hybridMultilevel"/>
    <w:tmpl w:val="2A44EE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3F18DD"/>
    <w:multiLevelType w:val="hybridMultilevel"/>
    <w:tmpl w:val="F30A6C5C"/>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8" w15:restartNumberingAfterBreak="0">
    <w:nsid w:val="614B3F59"/>
    <w:multiLevelType w:val="hybridMultilevel"/>
    <w:tmpl w:val="D8A82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E74EAD"/>
    <w:multiLevelType w:val="hybridMultilevel"/>
    <w:tmpl w:val="28A6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A596D"/>
    <w:multiLevelType w:val="hybridMultilevel"/>
    <w:tmpl w:val="D1321422"/>
    <w:lvl w:ilvl="0" w:tplc="FF7E394E">
      <w:start w:val="1"/>
      <w:numFmt w:val="lowerLetter"/>
      <w:pStyle w:val="List4"/>
      <w:lvlText w:val="%1)"/>
      <w:lvlJc w:val="left"/>
      <w:pPr>
        <w:ind w:left="1154" w:hanging="360"/>
      </w:p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31" w15:restartNumberingAfterBreak="0">
    <w:nsid w:val="676C6CF7"/>
    <w:multiLevelType w:val="multilevel"/>
    <w:tmpl w:val="F112D46E"/>
    <w:lvl w:ilvl="0">
      <w:start w:val="1"/>
      <w:numFmt w:val="decimal"/>
      <w:pStyle w:val="Headers"/>
      <w:lvlText w:val="%1."/>
      <w:lvlJc w:val="left"/>
      <w:pPr>
        <w:ind w:left="360" w:hanging="360"/>
      </w:pPr>
    </w:lvl>
    <w:lvl w:ilvl="1">
      <w:start w:val="1"/>
      <w:numFmt w:val="decimal"/>
      <w:pStyle w:val="Paragraphs"/>
      <w:lvlText w:val="%1.%2"/>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AC5236"/>
    <w:multiLevelType w:val="hybridMultilevel"/>
    <w:tmpl w:val="4704C6C0"/>
    <w:lvl w:ilvl="0" w:tplc="43C67CE2">
      <w:start w:val="1"/>
      <w:numFmt w:val="bullet"/>
      <w:lvlText w:val=""/>
      <w:lvlJc w:val="left"/>
      <w:pPr>
        <w:ind w:left="720" w:hanging="360"/>
      </w:pPr>
      <w:rPr>
        <w:rFonts w:ascii="Symbol" w:hAnsi="Symbol" w:hint="default"/>
      </w:rPr>
    </w:lvl>
    <w:lvl w:ilvl="1" w:tplc="5A26E9AE">
      <w:start w:val="1"/>
      <w:numFmt w:val="bullet"/>
      <w:lvlText w:val="o"/>
      <w:lvlJc w:val="left"/>
      <w:pPr>
        <w:ind w:left="1440" w:hanging="360"/>
      </w:pPr>
      <w:rPr>
        <w:rFonts w:ascii="Courier New" w:hAnsi="Courier New" w:hint="default"/>
      </w:rPr>
    </w:lvl>
    <w:lvl w:ilvl="2" w:tplc="737CF06A">
      <w:start w:val="1"/>
      <w:numFmt w:val="bullet"/>
      <w:lvlText w:val=""/>
      <w:lvlJc w:val="left"/>
      <w:pPr>
        <w:ind w:left="2160" w:hanging="360"/>
      </w:pPr>
      <w:rPr>
        <w:rFonts w:ascii="Wingdings" w:hAnsi="Wingdings" w:hint="default"/>
      </w:rPr>
    </w:lvl>
    <w:lvl w:ilvl="3" w:tplc="BF98D946">
      <w:start w:val="1"/>
      <w:numFmt w:val="bullet"/>
      <w:lvlText w:val=""/>
      <w:lvlJc w:val="left"/>
      <w:pPr>
        <w:ind w:left="2880" w:hanging="360"/>
      </w:pPr>
      <w:rPr>
        <w:rFonts w:ascii="Symbol" w:hAnsi="Symbol" w:hint="default"/>
      </w:rPr>
    </w:lvl>
    <w:lvl w:ilvl="4" w:tplc="DD9686BE">
      <w:start w:val="1"/>
      <w:numFmt w:val="bullet"/>
      <w:lvlText w:val="o"/>
      <w:lvlJc w:val="left"/>
      <w:pPr>
        <w:ind w:left="3600" w:hanging="360"/>
      </w:pPr>
      <w:rPr>
        <w:rFonts w:ascii="Courier New" w:hAnsi="Courier New" w:hint="default"/>
      </w:rPr>
    </w:lvl>
    <w:lvl w:ilvl="5" w:tplc="B582EA92">
      <w:start w:val="1"/>
      <w:numFmt w:val="bullet"/>
      <w:lvlText w:val=""/>
      <w:lvlJc w:val="left"/>
      <w:pPr>
        <w:ind w:left="4320" w:hanging="360"/>
      </w:pPr>
      <w:rPr>
        <w:rFonts w:ascii="Wingdings" w:hAnsi="Wingdings" w:hint="default"/>
      </w:rPr>
    </w:lvl>
    <w:lvl w:ilvl="6" w:tplc="9D4E6044">
      <w:start w:val="1"/>
      <w:numFmt w:val="bullet"/>
      <w:lvlText w:val=""/>
      <w:lvlJc w:val="left"/>
      <w:pPr>
        <w:ind w:left="5040" w:hanging="360"/>
      </w:pPr>
      <w:rPr>
        <w:rFonts w:ascii="Symbol" w:hAnsi="Symbol" w:hint="default"/>
      </w:rPr>
    </w:lvl>
    <w:lvl w:ilvl="7" w:tplc="9FF625B4">
      <w:start w:val="1"/>
      <w:numFmt w:val="bullet"/>
      <w:lvlText w:val="o"/>
      <w:lvlJc w:val="left"/>
      <w:pPr>
        <w:ind w:left="5760" w:hanging="360"/>
      </w:pPr>
      <w:rPr>
        <w:rFonts w:ascii="Courier New" w:hAnsi="Courier New" w:hint="default"/>
      </w:rPr>
    </w:lvl>
    <w:lvl w:ilvl="8" w:tplc="D21C21AC">
      <w:start w:val="1"/>
      <w:numFmt w:val="bullet"/>
      <w:lvlText w:val=""/>
      <w:lvlJc w:val="left"/>
      <w:pPr>
        <w:ind w:left="6480" w:hanging="360"/>
      </w:pPr>
      <w:rPr>
        <w:rFonts w:ascii="Wingdings" w:hAnsi="Wingdings" w:hint="default"/>
      </w:rPr>
    </w:lvl>
  </w:abstractNum>
  <w:abstractNum w:abstractNumId="33" w15:restartNumberingAfterBreak="0">
    <w:nsid w:val="6ADC58D2"/>
    <w:multiLevelType w:val="hybridMultilevel"/>
    <w:tmpl w:val="AF54A7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EA714C"/>
    <w:multiLevelType w:val="hybridMultilevel"/>
    <w:tmpl w:val="9F08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232F0"/>
    <w:multiLevelType w:val="hybridMultilevel"/>
    <w:tmpl w:val="BB10E39A"/>
    <w:lvl w:ilvl="0" w:tplc="0C26813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321B2"/>
    <w:multiLevelType w:val="hybridMultilevel"/>
    <w:tmpl w:val="D4D8F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3B2881"/>
    <w:multiLevelType w:val="hybridMultilevel"/>
    <w:tmpl w:val="3B82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764A2"/>
    <w:multiLevelType w:val="hybridMultilevel"/>
    <w:tmpl w:val="E946DC76"/>
    <w:lvl w:ilvl="0" w:tplc="081C8702">
      <w:start w:val="1"/>
      <w:numFmt w:val="bullet"/>
      <w:lvlText w:val=""/>
      <w:lvlJc w:val="left"/>
      <w:pPr>
        <w:tabs>
          <w:tab w:val="num" w:pos="720"/>
        </w:tabs>
        <w:ind w:left="720" w:hanging="360"/>
      </w:pPr>
      <w:rPr>
        <w:rFonts w:ascii="Symbol" w:hAnsi="Symbol" w:hint="default"/>
        <w:sz w:val="20"/>
      </w:rPr>
    </w:lvl>
    <w:lvl w:ilvl="1" w:tplc="DF88F6B0" w:tentative="1">
      <w:start w:val="1"/>
      <w:numFmt w:val="bullet"/>
      <w:lvlText w:val="o"/>
      <w:lvlJc w:val="left"/>
      <w:pPr>
        <w:tabs>
          <w:tab w:val="num" w:pos="1440"/>
        </w:tabs>
        <w:ind w:left="1440" w:hanging="360"/>
      </w:pPr>
      <w:rPr>
        <w:rFonts w:ascii="Courier New" w:hAnsi="Courier New" w:hint="default"/>
        <w:sz w:val="20"/>
      </w:rPr>
    </w:lvl>
    <w:lvl w:ilvl="2" w:tplc="63AC2052" w:tentative="1">
      <w:start w:val="1"/>
      <w:numFmt w:val="bullet"/>
      <w:lvlText w:val=""/>
      <w:lvlJc w:val="left"/>
      <w:pPr>
        <w:tabs>
          <w:tab w:val="num" w:pos="2160"/>
        </w:tabs>
        <w:ind w:left="2160" w:hanging="360"/>
      </w:pPr>
      <w:rPr>
        <w:rFonts w:ascii="Wingdings" w:hAnsi="Wingdings" w:hint="default"/>
        <w:sz w:val="20"/>
      </w:rPr>
    </w:lvl>
    <w:lvl w:ilvl="3" w:tplc="61D8FE0E" w:tentative="1">
      <w:start w:val="1"/>
      <w:numFmt w:val="bullet"/>
      <w:lvlText w:val=""/>
      <w:lvlJc w:val="left"/>
      <w:pPr>
        <w:tabs>
          <w:tab w:val="num" w:pos="2880"/>
        </w:tabs>
        <w:ind w:left="2880" w:hanging="360"/>
      </w:pPr>
      <w:rPr>
        <w:rFonts w:ascii="Wingdings" w:hAnsi="Wingdings" w:hint="default"/>
        <w:sz w:val="20"/>
      </w:rPr>
    </w:lvl>
    <w:lvl w:ilvl="4" w:tplc="25C44326" w:tentative="1">
      <w:start w:val="1"/>
      <w:numFmt w:val="bullet"/>
      <w:lvlText w:val=""/>
      <w:lvlJc w:val="left"/>
      <w:pPr>
        <w:tabs>
          <w:tab w:val="num" w:pos="3600"/>
        </w:tabs>
        <w:ind w:left="3600" w:hanging="360"/>
      </w:pPr>
      <w:rPr>
        <w:rFonts w:ascii="Wingdings" w:hAnsi="Wingdings" w:hint="default"/>
        <w:sz w:val="20"/>
      </w:rPr>
    </w:lvl>
    <w:lvl w:ilvl="5" w:tplc="8018A2D0" w:tentative="1">
      <w:start w:val="1"/>
      <w:numFmt w:val="bullet"/>
      <w:lvlText w:val=""/>
      <w:lvlJc w:val="left"/>
      <w:pPr>
        <w:tabs>
          <w:tab w:val="num" w:pos="4320"/>
        </w:tabs>
        <w:ind w:left="4320" w:hanging="360"/>
      </w:pPr>
      <w:rPr>
        <w:rFonts w:ascii="Wingdings" w:hAnsi="Wingdings" w:hint="default"/>
        <w:sz w:val="20"/>
      </w:rPr>
    </w:lvl>
    <w:lvl w:ilvl="6" w:tplc="6D0607E4" w:tentative="1">
      <w:start w:val="1"/>
      <w:numFmt w:val="bullet"/>
      <w:lvlText w:val=""/>
      <w:lvlJc w:val="left"/>
      <w:pPr>
        <w:tabs>
          <w:tab w:val="num" w:pos="5040"/>
        </w:tabs>
        <w:ind w:left="5040" w:hanging="360"/>
      </w:pPr>
      <w:rPr>
        <w:rFonts w:ascii="Wingdings" w:hAnsi="Wingdings" w:hint="default"/>
        <w:sz w:val="20"/>
      </w:rPr>
    </w:lvl>
    <w:lvl w:ilvl="7" w:tplc="02421BE4" w:tentative="1">
      <w:start w:val="1"/>
      <w:numFmt w:val="bullet"/>
      <w:lvlText w:val=""/>
      <w:lvlJc w:val="left"/>
      <w:pPr>
        <w:tabs>
          <w:tab w:val="num" w:pos="5760"/>
        </w:tabs>
        <w:ind w:left="5760" w:hanging="360"/>
      </w:pPr>
      <w:rPr>
        <w:rFonts w:ascii="Wingdings" w:hAnsi="Wingdings" w:hint="default"/>
        <w:sz w:val="20"/>
      </w:rPr>
    </w:lvl>
    <w:lvl w:ilvl="8" w:tplc="41667224"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E7C89"/>
    <w:multiLevelType w:val="hybridMultilevel"/>
    <w:tmpl w:val="E57A3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CE518B"/>
    <w:multiLevelType w:val="hybridMultilevel"/>
    <w:tmpl w:val="FD40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87945"/>
    <w:multiLevelType w:val="hybridMultilevel"/>
    <w:tmpl w:val="7FB2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5"/>
  </w:num>
  <w:num w:numId="3">
    <w:abstractNumId w:val="41"/>
  </w:num>
  <w:num w:numId="4">
    <w:abstractNumId w:val="14"/>
  </w:num>
  <w:num w:numId="5">
    <w:abstractNumId w:val="12"/>
  </w:num>
  <w:num w:numId="6">
    <w:abstractNumId w:val="8"/>
  </w:num>
  <w:num w:numId="7">
    <w:abstractNumId w:val="39"/>
  </w:num>
  <w:num w:numId="8">
    <w:abstractNumId w:val="15"/>
  </w:num>
  <w:num w:numId="9">
    <w:abstractNumId w:val="40"/>
  </w:num>
  <w:num w:numId="10">
    <w:abstractNumId w:val="25"/>
  </w:num>
  <w:num w:numId="11">
    <w:abstractNumId w:val="20"/>
  </w:num>
  <w:num w:numId="12">
    <w:abstractNumId w:val="10"/>
  </w:num>
  <w:num w:numId="13">
    <w:abstractNumId w:val="31"/>
  </w:num>
  <w:num w:numId="14">
    <w:abstractNumId w:val="18"/>
  </w:num>
  <w:num w:numId="15">
    <w:abstractNumId w:val="19"/>
  </w:num>
  <w:num w:numId="16">
    <w:abstractNumId w:val="6"/>
  </w:num>
  <w:num w:numId="17">
    <w:abstractNumId w:val="5"/>
  </w:num>
  <w:num w:numId="18">
    <w:abstractNumId w:val="4"/>
  </w:num>
  <w:num w:numId="19">
    <w:abstractNumId w:val="3"/>
  </w:num>
  <w:num w:numId="20">
    <w:abstractNumId w:val="30"/>
  </w:num>
  <w:num w:numId="21">
    <w:abstractNumId w:val="7"/>
  </w:num>
  <w:num w:numId="22">
    <w:abstractNumId w:val="2"/>
  </w:num>
  <w:num w:numId="23">
    <w:abstractNumId w:val="1"/>
  </w:num>
  <w:num w:numId="24">
    <w:abstractNumId w:val="0"/>
  </w:num>
  <w:num w:numId="25">
    <w:abstractNumId w:val="37"/>
  </w:num>
  <w:num w:numId="26">
    <w:abstractNumId w:val="34"/>
  </w:num>
  <w:num w:numId="27">
    <w:abstractNumId w:val="11"/>
  </w:num>
  <w:num w:numId="28">
    <w:abstractNumId w:val="29"/>
  </w:num>
  <w:num w:numId="29">
    <w:abstractNumId w:val="22"/>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num>
  <w:num w:numId="36">
    <w:abstractNumId w:val="30"/>
    <w:lvlOverride w:ilvl="0">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6"/>
  </w:num>
  <w:num w:numId="42">
    <w:abstractNumId w:val="1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9"/>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28"/>
  </w:num>
  <w:num w:numId="54">
    <w:abstractNumId w:val="24"/>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7B"/>
    <w:rsid w:val="00000150"/>
    <w:rsid w:val="00000DF1"/>
    <w:rsid w:val="000020E3"/>
    <w:rsid w:val="00002591"/>
    <w:rsid w:val="000029AD"/>
    <w:rsid w:val="00003062"/>
    <w:rsid w:val="00003108"/>
    <w:rsid w:val="00003304"/>
    <w:rsid w:val="00004EC3"/>
    <w:rsid w:val="00005D12"/>
    <w:rsid w:val="00005D91"/>
    <w:rsid w:val="00005EBA"/>
    <w:rsid w:val="00006613"/>
    <w:rsid w:val="00006E79"/>
    <w:rsid w:val="0000725E"/>
    <w:rsid w:val="00007C4C"/>
    <w:rsid w:val="00007F6C"/>
    <w:rsid w:val="00007F98"/>
    <w:rsid w:val="00010CE5"/>
    <w:rsid w:val="00011546"/>
    <w:rsid w:val="00012114"/>
    <w:rsid w:val="0001334B"/>
    <w:rsid w:val="0001382C"/>
    <w:rsid w:val="00014222"/>
    <w:rsid w:val="00014E99"/>
    <w:rsid w:val="00014F45"/>
    <w:rsid w:val="00015065"/>
    <w:rsid w:val="000163B6"/>
    <w:rsid w:val="0002038A"/>
    <w:rsid w:val="00020A73"/>
    <w:rsid w:val="00020E66"/>
    <w:rsid w:val="00020E8A"/>
    <w:rsid w:val="000210DA"/>
    <w:rsid w:val="0002193B"/>
    <w:rsid w:val="00021B2D"/>
    <w:rsid w:val="00022488"/>
    <w:rsid w:val="000235BB"/>
    <w:rsid w:val="00024F6E"/>
    <w:rsid w:val="00025105"/>
    <w:rsid w:val="000253FF"/>
    <w:rsid w:val="00025C8F"/>
    <w:rsid w:val="00026244"/>
    <w:rsid w:val="00026941"/>
    <w:rsid w:val="000274FA"/>
    <w:rsid w:val="000275DF"/>
    <w:rsid w:val="00027807"/>
    <w:rsid w:val="00027C00"/>
    <w:rsid w:val="00030BC9"/>
    <w:rsid w:val="00030EFD"/>
    <w:rsid w:val="00031DE4"/>
    <w:rsid w:val="00032BFE"/>
    <w:rsid w:val="00033232"/>
    <w:rsid w:val="00033286"/>
    <w:rsid w:val="00033546"/>
    <w:rsid w:val="0003368F"/>
    <w:rsid w:val="00033B2C"/>
    <w:rsid w:val="0003476A"/>
    <w:rsid w:val="00034C58"/>
    <w:rsid w:val="0003632A"/>
    <w:rsid w:val="000372A3"/>
    <w:rsid w:val="0003777D"/>
    <w:rsid w:val="0003781E"/>
    <w:rsid w:val="0004020D"/>
    <w:rsid w:val="000402F4"/>
    <w:rsid w:val="000407D1"/>
    <w:rsid w:val="00040920"/>
    <w:rsid w:val="000419B1"/>
    <w:rsid w:val="00041F8D"/>
    <w:rsid w:val="000429FB"/>
    <w:rsid w:val="00042AF3"/>
    <w:rsid w:val="00042FB2"/>
    <w:rsid w:val="00043531"/>
    <w:rsid w:val="0004378D"/>
    <w:rsid w:val="00043EEF"/>
    <w:rsid w:val="00044F29"/>
    <w:rsid w:val="000458A8"/>
    <w:rsid w:val="00046E26"/>
    <w:rsid w:val="00046E3D"/>
    <w:rsid w:val="0004762E"/>
    <w:rsid w:val="00050C65"/>
    <w:rsid w:val="0005122B"/>
    <w:rsid w:val="000515D1"/>
    <w:rsid w:val="000519CD"/>
    <w:rsid w:val="00052538"/>
    <w:rsid w:val="00053C17"/>
    <w:rsid w:val="00054577"/>
    <w:rsid w:val="00055AE1"/>
    <w:rsid w:val="00056D08"/>
    <w:rsid w:val="0005778D"/>
    <w:rsid w:val="00057851"/>
    <w:rsid w:val="0006046A"/>
    <w:rsid w:val="0006185E"/>
    <w:rsid w:val="000626F5"/>
    <w:rsid w:val="000635C7"/>
    <w:rsid w:val="00063E97"/>
    <w:rsid w:val="00064839"/>
    <w:rsid w:val="0006503F"/>
    <w:rsid w:val="000659ED"/>
    <w:rsid w:val="00066665"/>
    <w:rsid w:val="00066668"/>
    <w:rsid w:val="00067EEA"/>
    <w:rsid w:val="00070204"/>
    <w:rsid w:val="00070D25"/>
    <w:rsid w:val="0007162B"/>
    <w:rsid w:val="00072392"/>
    <w:rsid w:val="000735C9"/>
    <w:rsid w:val="000735FD"/>
    <w:rsid w:val="00073B96"/>
    <w:rsid w:val="00075521"/>
    <w:rsid w:val="000756A4"/>
    <w:rsid w:val="00075A3F"/>
    <w:rsid w:val="00075DCE"/>
    <w:rsid w:val="00077600"/>
    <w:rsid w:val="00077926"/>
    <w:rsid w:val="00077D0E"/>
    <w:rsid w:val="00077FAC"/>
    <w:rsid w:val="00080264"/>
    <w:rsid w:val="00080CDF"/>
    <w:rsid w:val="0008109F"/>
    <w:rsid w:val="000814E4"/>
    <w:rsid w:val="000818C7"/>
    <w:rsid w:val="00081B69"/>
    <w:rsid w:val="0008257D"/>
    <w:rsid w:val="000826A7"/>
    <w:rsid w:val="00082889"/>
    <w:rsid w:val="00083251"/>
    <w:rsid w:val="00083860"/>
    <w:rsid w:val="00083F09"/>
    <w:rsid w:val="00084219"/>
    <w:rsid w:val="000845DD"/>
    <w:rsid w:val="00086BBE"/>
    <w:rsid w:val="000873B4"/>
    <w:rsid w:val="00090B58"/>
    <w:rsid w:val="00090D84"/>
    <w:rsid w:val="00090F65"/>
    <w:rsid w:val="000910E2"/>
    <w:rsid w:val="00091484"/>
    <w:rsid w:val="0009201C"/>
    <w:rsid w:val="00092A99"/>
    <w:rsid w:val="00092E0A"/>
    <w:rsid w:val="000931EF"/>
    <w:rsid w:val="00093659"/>
    <w:rsid w:val="00093D75"/>
    <w:rsid w:val="00093DE2"/>
    <w:rsid w:val="00094829"/>
    <w:rsid w:val="00094DED"/>
    <w:rsid w:val="000952D3"/>
    <w:rsid w:val="000954C2"/>
    <w:rsid w:val="00096B5F"/>
    <w:rsid w:val="00096BCB"/>
    <w:rsid w:val="000A0202"/>
    <w:rsid w:val="000A086D"/>
    <w:rsid w:val="000A0EEE"/>
    <w:rsid w:val="000A10A4"/>
    <w:rsid w:val="000A1CEF"/>
    <w:rsid w:val="000A2877"/>
    <w:rsid w:val="000A2C13"/>
    <w:rsid w:val="000A2DE0"/>
    <w:rsid w:val="000A4911"/>
    <w:rsid w:val="000A504E"/>
    <w:rsid w:val="000A53B3"/>
    <w:rsid w:val="000A57A6"/>
    <w:rsid w:val="000A5804"/>
    <w:rsid w:val="000A627C"/>
    <w:rsid w:val="000A66A7"/>
    <w:rsid w:val="000B1491"/>
    <w:rsid w:val="000B156D"/>
    <w:rsid w:val="000B17EB"/>
    <w:rsid w:val="000B1CF9"/>
    <w:rsid w:val="000B2596"/>
    <w:rsid w:val="000B2663"/>
    <w:rsid w:val="000B29AC"/>
    <w:rsid w:val="000B2EB7"/>
    <w:rsid w:val="000B4357"/>
    <w:rsid w:val="000B45B9"/>
    <w:rsid w:val="000B47F1"/>
    <w:rsid w:val="000B4AE0"/>
    <w:rsid w:val="000B5237"/>
    <w:rsid w:val="000B526B"/>
    <w:rsid w:val="000B612C"/>
    <w:rsid w:val="000B6CA5"/>
    <w:rsid w:val="000B7267"/>
    <w:rsid w:val="000C0702"/>
    <w:rsid w:val="000C145E"/>
    <w:rsid w:val="000C2A0A"/>
    <w:rsid w:val="000C33DA"/>
    <w:rsid w:val="000C44AC"/>
    <w:rsid w:val="000C57E7"/>
    <w:rsid w:val="000C5B29"/>
    <w:rsid w:val="000C60FD"/>
    <w:rsid w:val="000C6A52"/>
    <w:rsid w:val="000C6FC5"/>
    <w:rsid w:val="000D2620"/>
    <w:rsid w:val="000D2CB9"/>
    <w:rsid w:val="000D413D"/>
    <w:rsid w:val="000D4590"/>
    <w:rsid w:val="000D47C2"/>
    <w:rsid w:val="000D4882"/>
    <w:rsid w:val="000D51D7"/>
    <w:rsid w:val="000D5875"/>
    <w:rsid w:val="000D65CE"/>
    <w:rsid w:val="000E08D9"/>
    <w:rsid w:val="000E0BB2"/>
    <w:rsid w:val="000E118E"/>
    <w:rsid w:val="000E12F0"/>
    <w:rsid w:val="000E169A"/>
    <w:rsid w:val="000E1CB4"/>
    <w:rsid w:val="000E21D5"/>
    <w:rsid w:val="000E3004"/>
    <w:rsid w:val="000E364F"/>
    <w:rsid w:val="000E43F8"/>
    <w:rsid w:val="000E46D6"/>
    <w:rsid w:val="000E54A4"/>
    <w:rsid w:val="000E5E0C"/>
    <w:rsid w:val="000E5FD1"/>
    <w:rsid w:val="000E64D2"/>
    <w:rsid w:val="000E78C8"/>
    <w:rsid w:val="000F0648"/>
    <w:rsid w:val="000F0798"/>
    <w:rsid w:val="000F1FDC"/>
    <w:rsid w:val="000F26BE"/>
    <w:rsid w:val="000F3427"/>
    <w:rsid w:val="000F35B3"/>
    <w:rsid w:val="000F3990"/>
    <w:rsid w:val="000F3A9E"/>
    <w:rsid w:val="000F3BF7"/>
    <w:rsid w:val="000F4129"/>
    <w:rsid w:val="000F44D8"/>
    <w:rsid w:val="000F47A5"/>
    <w:rsid w:val="000F53B5"/>
    <w:rsid w:val="000F64B8"/>
    <w:rsid w:val="000F7FAB"/>
    <w:rsid w:val="00100CBE"/>
    <w:rsid w:val="00101DA5"/>
    <w:rsid w:val="00101E24"/>
    <w:rsid w:val="00103140"/>
    <w:rsid w:val="00103A46"/>
    <w:rsid w:val="0010465A"/>
    <w:rsid w:val="00104EE6"/>
    <w:rsid w:val="001050A3"/>
    <w:rsid w:val="001053F2"/>
    <w:rsid w:val="001056A1"/>
    <w:rsid w:val="001062CB"/>
    <w:rsid w:val="0010711D"/>
    <w:rsid w:val="00107FF5"/>
    <w:rsid w:val="00110368"/>
    <w:rsid w:val="00111B96"/>
    <w:rsid w:val="001125BE"/>
    <w:rsid w:val="001135D0"/>
    <w:rsid w:val="00113B95"/>
    <w:rsid w:val="00114D1D"/>
    <w:rsid w:val="00116827"/>
    <w:rsid w:val="00117B4A"/>
    <w:rsid w:val="00117BD6"/>
    <w:rsid w:val="0012072E"/>
    <w:rsid w:val="00121643"/>
    <w:rsid w:val="001216F3"/>
    <w:rsid w:val="0012286A"/>
    <w:rsid w:val="00123A9C"/>
    <w:rsid w:val="00124788"/>
    <w:rsid w:val="00125A53"/>
    <w:rsid w:val="00125EF0"/>
    <w:rsid w:val="00130769"/>
    <w:rsid w:val="00130839"/>
    <w:rsid w:val="00130E21"/>
    <w:rsid w:val="00131818"/>
    <w:rsid w:val="00131D75"/>
    <w:rsid w:val="001324FD"/>
    <w:rsid w:val="00132CE5"/>
    <w:rsid w:val="00133A14"/>
    <w:rsid w:val="001342E3"/>
    <w:rsid w:val="00134537"/>
    <w:rsid w:val="0013482A"/>
    <w:rsid w:val="00134968"/>
    <w:rsid w:val="00135E28"/>
    <w:rsid w:val="00136C83"/>
    <w:rsid w:val="00137371"/>
    <w:rsid w:val="001401CD"/>
    <w:rsid w:val="0014090E"/>
    <w:rsid w:val="001409BA"/>
    <w:rsid w:val="00140CE9"/>
    <w:rsid w:val="00140DFB"/>
    <w:rsid w:val="0014103D"/>
    <w:rsid w:val="0014110B"/>
    <w:rsid w:val="001417CB"/>
    <w:rsid w:val="00141BD4"/>
    <w:rsid w:val="00141EAB"/>
    <w:rsid w:val="00142541"/>
    <w:rsid w:val="0014264C"/>
    <w:rsid w:val="00143346"/>
    <w:rsid w:val="00144D50"/>
    <w:rsid w:val="00144DEF"/>
    <w:rsid w:val="00144FCB"/>
    <w:rsid w:val="00145679"/>
    <w:rsid w:val="00146AE3"/>
    <w:rsid w:val="00146B51"/>
    <w:rsid w:val="00146CCA"/>
    <w:rsid w:val="0014772F"/>
    <w:rsid w:val="001501D8"/>
    <w:rsid w:val="00150210"/>
    <w:rsid w:val="00150537"/>
    <w:rsid w:val="00151103"/>
    <w:rsid w:val="0015199C"/>
    <w:rsid w:val="00151D31"/>
    <w:rsid w:val="00151EA9"/>
    <w:rsid w:val="001528DB"/>
    <w:rsid w:val="00152CDF"/>
    <w:rsid w:val="00153BEA"/>
    <w:rsid w:val="00154893"/>
    <w:rsid w:val="00155940"/>
    <w:rsid w:val="0015594D"/>
    <w:rsid w:val="001573C3"/>
    <w:rsid w:val="00157CA9"/>
    <w:rsid w:val="001602F0"/>
    <w:rsid w:val="00160376"/>
    <w:rsid w:val="00161091"/>
    <w:rsid w:val="0016141B"/>
    <w:rsid w:val="0016293C"/>
    <w:rsid w:val="00163FC8"/>
    <w:rsid w:val="00164530"/>
    <w:rsid w:val="00165451"/>
    <w:rsid w:val="00166516"/>
    <w:rsid w:val="001668A8"/>
    <w:rsid w:val="0016795B"/>
    <w:rsid w:val="00167967"/>
    <w:rsid w:val="001703C6"/>
    <w:rsid w:val="001715EC"/>
    <w:rsid w:val="001717CD"/>
    <w:rsid w:val="00171B25"/>
    <w:rsid w:val="00172129"/>
    <w:rsid w:val="0017229F"/>
    <w:rsid w:val="001730EF"/>
    <w:rsid w:val="00173184"/>
    <w:rsid w:val="00173E18"/>
    <w:rsid w:val="00175386"/>
    <w:rsid w:val="001756C1"/>
    <w:rsid w:val="00175AF2"/>
    <w:rsid w:val="00177925"/>
    <w:rsid w:val="001815EA"/>
    <w:rsid w:val="001825DD"/>
    <w:rsid w:val="001828CB"/>
    <w:rsid w:val="001829F6"/>
    <w:rsid w:val="00182CA9"/>
    <w:rsid w:val="001854F5"/>
    <w:rsid w:val="00185784"/>
    <w:rsid w:val="0018587F"/>
    <w:rsid w:val="00185E90"/>
    <w:rsid w:val="00186734"/>
    <w:rsid w:val="001874E8"/>
    <w:rsid w:val="00187AC1"/>
    <w:rsid w:val="00190015"/>
    <w:rsid w:val="001901C5"/>
    <w:rsid w:val="00191454"/>
    <w:rsid w:val="001915C9"/>
    <w:rsid w:val="00191BB4"/>
    <w:rsid w:val="00191CC0"/>
    <w:rsid w:val="00191F92"/>
    <w:rsid w:val="001920E3"/>
    <w:rsid w:val="0019236B"/>
    <w:rsid w:val="001925BA"/>
    <w:rsid w:val="00192CC3"/>
    <w:rsid w:val="00192F7E"/>
    <w:rsid w:val="00193450"/>
    <w:rsid w:val="00194F75"/>
    <w:rsid w:val="00195048"/>
    <w:rsid w:val="001951F4"/>
    <w:rsid w:val="001952AE"/>
    <w:rsid w:val="00195ED7"/>
    <w:rsid w:val="00196723"/>
    <w:rsid w:val="00196D32"/>
    <w:rsid w:val="001970A0"/>
    <w:rsid w:val="001977F7"/>
    <w:rsid w:val="00197B99"/>
    <w:rsid w:val="00197F0E"/>
    <w:rsid w:val="00197F85"/>
    <w:rsid w:val="001A0F80"/>
    <w:rsid w:val="001A1B10"/>
    <w:rsid w:val="001A1F50"/>
    <w:rsid w:val="001A2022"/>
    <w:rsid w:val="001A230B"/>
    <w:rsid w:val="001A338D"/>
    <w:rsid w:val="001A3542"/>
    <w:rsid w:val="001A3706"/>
    <w:rsid w:val="001A3B67"/>
    <w:rsid w:val="001A3E35"/>
    <w:rsid w:val="001A4F36"/>
    <w:rsid w:val="001A5879"/>
    <w:rsid w:val="001A5EC5"/>
    <w:rsid w:val="001A6148"/>
    <w:rsid w:val="001A639D"/>
    <w:rsid w:val="001A69CD"/>
    <w:rsid w:val="001A713E"/>
    <w:rsid w:val="001A78BC"/>
    <w:rsid w:val="001A7A8A"/>
    <w:rsid w:val="001B013A"/>
    <w:rsid w:val="001B08E5"/>
    <w:rsid w:val="001B1F43"/>
    <w:rsid w:val="001B2201"/>
    <w:rsid w:val="001B2401"/>
    <w:rsid w:val="001B2D7A"/>
    <w:rsid w:val="001B3618"/>
    <w:rsid w:val="001B3A4F"/>
    <w:rsid w:val="001B3C39"/>
    <w:rsid w:val="001B3D5A"/>
    <w:rsid w:val="001B40FF"/>
    <w:rsid w:val="001B4711"/>
    <w:rsid w:val="001B4A5B"/>
    <w:rsid w:val="001B4BEB"/>
    <w:rsid w:val="001B5668"/>
    <w:rsid w:val="001B68DA"/>
    <w:rsid w:val="001B6C20"/>
    <w:rsid w:val="001B6D2E"/>
    <w:rsid w:val="001B780F"/>
    <w:rsid w:val="001C0610"/>
    <w:rsid w:val="001C2013"/>
    <w:rsid w:val="001C249A"/>
    <w:rsid w:val="001C26CA"/>
    <w:rsid w:val="001C4EE0"/>
    <w:rsid w:val="001C5D6F"/>
    <w:rsid w:val="001C625F"/>
    <w:rsid w:val="001C62BD"/>
    <w:rsid w:val="001C7579"/>
    <w:rsid w:val="001C7869"/>
    <w:rsid w:val="001C7B4A"/>
    <w:rsid w:val="001C7F21"/>
    <w:rsid w:val="001D17E3"/>
    <w:rsid w:val="001D19C6"/>
    <w:rsid w:val="001D2319"/>
    <w:rsid w:val="001D2F65"/>
    <w:rsid w:val="001D4156"/>
    <w:rsid w:val="001D4765"/>
    <w:rsid w:val="001D5943"/>
    <w:rsid w:val="001D64F5"/>
    <w:rsid w:val="001D688B"/>
    <w:rsid w:val="001D6A5F"/>
    <w:rsid w:val="001D6E04"/>
    <w:rsid w:val="001D734A"/>
    <w:rsid w:val="001D7DFC"/>
    <w:rsid w:val="001E02E0"/>
    <w:rsid w:val="001E1AA4"/>
    <w:rsid w:val="001E2301"/>
    <w:rsid w:val="001E2335"/>
    <w:rsid w:val="001E3042"/>
    <w:rsid w:val="001E778B"/>
    <w:rsid w:val="001E7A72"/>
    <w:rsid w:val="001F051A"/>
    <w:rsid w:val="001F0708"/>
    <w:rsid w:val="001F0F57"/>
    <w:rsid w:val="001F128B"/>
    <w:rsid w:val="001F1F8C"/>
    <w:rsid w:val="001F26E0"/>
    <w:rsid w:val="001F2AEC"/>
    <w:rsid w:val="001F3F3D"/>
    <w:rsid w:val="001F3FEA"/>
    <w:rsid w:val="001F4A3F"/>
    <w:rsid w:val="001F4A8C"/>
    <w:rsid w:val="001F62DB"/>
    <w:rsid w:val="001F70DC"/>
    <w:rsid w:val="001F7965"/>
    <w:rsid w:val="002002CD"/>
    <w:rsid w:val="00200C0A"/>
    <w:rsid w:val="00201DD4"/>
    <w:rsid w:val="00201E61"/>
    <w:rsid w:val="00202206"/>
    <w:rsid w:val="0020264F"/>
    <w:rsid w:val="0020332B"/>
    <w:rsid w:val="0020335C"/>
    <w:rsid w:val="00203B3A"/>
    <w:rsid w:val="002059B5"/>
    <w:rsid w:val="00205FAE"/>
    <w:rsid w:val="002073E9"/>
    <w:rsid w:val="00207D1A"/>
    <w:rsid w:val="00210E90"/>
    <w:rsid w:val="00210F28"/>
    <w:rsid w:val="002112EB"/>
    <w:rsid w:val="00211E28"/>
    <w:rsid w:val="00212913"/>
    <w:rsid w:val="00212D7B"/>
    <w:rsid w:val="0021384B"/>
    <w:rsid w:val="0021485E"/>
    <w:rsid w:val="0021525D"/>
    <w:rsid w:val="002153FB"/>
    <w:rsid w:val="00215714"/>
    <w:rsid w:val="00215807"/>
    <w:rsid w:val="00220090"/>
    <w:rsid w:val="002201FF"/>
    <w:rsid w:val="00220273"/>
    <w:rsid w:val="0022090B"/>
    <w:rsid w:val="00221B4A"/>
    <w:rsid w:val="00222CE7"/>
    <w:rsid w:val="00222F31"/>
    <w:rsid w:val="002246B9"/>
    <w:rsid w:val="002257BC"/>
    <w:rsid w:val="00227E9A"/>
    <w:rsid w:val="00231485"/>
    <w:rsid w:val="00231597"/>
    <w:rsid w:val="002316A1"/>
    <w:rsid w:val="00231DF9"/>
    <w:rsid w:val="00233053"/>
    <w:rsid w:val="00233584"/>
    <w:rsid w:val="00233B83"/>
    <w:rsid w:val="00234DAB"/>
    <w:rsid w:val="0023514D"/>
    <w:rsid w:val="00235343"/>
    <w:rsid w:val="00235968"/>
    <w:rsid w:val="00235B45"/>
    <w:rsid w:val="00236007"/>
    <w:rsid w:val="00240694"/>
    <w:rsid w:val="002407C5"/>
    <w:rsid w:val="00240AD4"/>
    <w:rsid w:val="0024173C"/>
    <w:rsid w:val="00241B6A"/>
    <w:rsid w:val="00241D4D"/>
    <w:rsid w:val="00241F07"/>
    <w:rsid w:val="00242370"/>
    <w:rsid w:val="00243024"/>
    <w:rsid w:val="00243144"/>
    <w:rsid w:val="00243D83"/>
    <w:rsid w:val="00243ED8"/>
    <w:rsid w:val="0024455A"/>
    <w:rsid w:val="0024527D"/>
    <w:rsid w:val="002464DC"/>
    <w:rsid w:val="00246ECC"/>
    <w:rsid w:val="00247FD7"/>
    <w:rsid w:val="002501AE"/>
    <w:rsid w:val="002504D5"/>
    <w:rsid w:val="00250BA1"/>
    <w:rsid w:val="00251328"/>
    <w:rsid w:val="002518FF"/>
    <w:rsid w:val="00251BB0"/>
    <w:rsid w:val="002528D7"/>
    <w:rsid w:val="00252A86"/>
    <w:rsid w:val="00253AE9"/>
    <w:rsid w:val="00255223"/>
    <w:rsid w:val="002560D6"/>
    <w:rsid w:val="002576AB"/>
    <w:rsid w:val="0025770A"/>
    <w:rsid w:val="00257CBD"/>
    <w:rsid w:val="00257FE6"/>
    <w:rsid w:val="00260A00"/>
    <w:rsid w:val="00260C7E"/>
    <w:rsid w:val="00261554"/>
    <w:rsid w:val="0026165F"/>
    <w:rsid w:val="00261710"/>
    <w:rsid w:val="00261B0F"/>
    <w:rsid w:val="00261BCF"/>
    <w:rsid w:val="00262BAF"/>
    <w:rsid w:val="00263364"/>
    <w:rsid w:val="002638DB"/>
    <w:rsid w:val="00263CED"/>
    <w:rsid w:val="00263DE4"/>
    <w:rsid w:val="00263FA3"/>
    <w:rsid w:val="00264032"/>
    <w:rsid w:val="002643EB"/>
    <w:rsid w:val="00264FD9"/>
    <w:rsid w:val="00265913"/>
    <w:rsid w:val="00265DDD"/>
    <w:rsid w:val="00266545"/>
    <w:rsid w:val="00267677"/>
    <w:rsid w:val="00267AA4"/>
    <w:rsid w:val="00267DF9"/>
    <w:rsid w:val="002710C0"/>
    <w:rsid w:val="0027148D"/>
    <w:rsid w:val="0027249A"/>
    <w:rsid w:val="002739CD"/>
    <w:rsid w:val="002748AE"/>
    <w:rsid w:val="00274C57"/>
    <w:rsid w:val="002751E5"/>
    <w:rsid w:val="00275810"/>
    <w:rsid w:val="00275A90"/>
    <w:rsid w:val="00276D38"/>
    <w:rsid w:val="00276E5C"/>
    <w:rsid w:val="00277263"/>
    <w:rsid w:val="00277597"/>
    <w:rsid w:val="00277737"/>
    <w:rsid w:val="00277B74"/>
    <w:rsid w:val="0028143E"/>
    <w:rsid w:val="0028165C"/>
    <w:rsid w:val="00281D16"/>
    <w:rsid w:val="00282064"/>
    <w:rsid w:val="0028261E"/>
    <w:rsid w:val="00282B6B"/>
    <w:rsid w:val="0028378F"/>
    <w:rsid w:val="00283CF5"/>
    <w:rsid w:val="002848AB"/>
    <w:rsid w:val="00284CCE"/>
    <w:rsid w:val="00285DF9"/>
    <w:rsid w:val="00286A11"/>
    <w:rsid w:val="002877F8"/>
    <w:rsid w:val="00287CC1"/>
    <w:rsid w:val="00287F1E"/>
    <w:rsid w:val="00291BBE"/>
    <w:rsid w:val="0029386D"/>
    <w:rsid w:val="00294902"/>
    <w:rsid w:val="00294993"/>
    <w:rsid w:val="00295E6C"/>
    <w:rsid w:val="00295EDB"/>
    <w:rsid w:val="00296E36"/>
    <w:rsid w:val="00297058"/>
    <w:rsid w:val="00297EFC"/>
    <w:rsid w:val="002A0698"/>
    <w:rsid w:val="002A494D"/>
    <w:rsid w:val="002A5280"/>
    <w:rsid w:val="002A59A7"/>
    <w:rsid w:val="002A60A4"/>
    <w:rsid w:val="002A7D2A"/>
    <w:rsid w:val="002B041D"/>
    <w:rsid w:val="002B0BF7"/>
    <w:rsid w:val="002B1983"/>
    <w:rsid w:val="002B1BCA"/>
    <w:rsid w:val="002B391C"/>
    <w:rsid w:val="002B3AC3"/>
    <w:rsid w:val="002B4BFC"/>
    <w:rsid w:val="002B4D93"/>
    <w:rsid w:val="002B52F5"/>
    <w:rsid w:val="002B54AC"/>
    <w:rsid w:val="002B59E2"/>
    <w:rsid w:val="002B7A1C"/>
    <w:rsid w:val="002C1417"/>
    <w:rsid w:val="002C18A3"/>
    <w:rsid w:val="002C3BD7"/>
    <w:rsid w:val="002D0A01"/>
    <w:rsid w:val="002D0EA1"/>
    <w:rsid w:val="002D13A9"/>
    <w:rsid w:val="002D1F36"/>
    <w:rsid w:val="002D2199"/>
    <w:rsid w:val="002D2EF0"/>
    <w:rsid w:val="002D4174"/>
    <w:rsid w:val="002D4B16"/>
    <w:rsid w:val="002D52D0"/>
    <w:rsid w:val="002D5898"/>
    <w:rsid w:val="002D6A00"/>
    <w:rsid w:val="002D6A25"/>
    <w:rsid w:val="002D6FEC"/>
    <w:rsid w:val="002D6FF9"/>
    <w:rsid w:val="002D7062"/>
    <w:rsid w:val="002D79C4"/>
    <w:rsid w:val="002D7A4A"/>
    <w:rsid w:val="002D7EB7"/>
    <w:rsid w:val="002E03DC"/>
    <w:rsid w:val="002E0CDB"/>
    <w:rsid w:val="002E0DDE"/>
    <w:rsid w:val="002E1FAE"/>
    <w:rsid w:val="002E419A"/>
    <w:rsid w:val="002E43E1"/>
    <w:rsid w:val="002E451A"/>
    <w:rsid w:val="002E5884"/>
    <w:rsid w:val="002E68E9"/>
    <w:rsid w:val="002E6D5A"/>
    <w:rsid w:val="002E70B5"/>
    <w:rsid w:val="002E7DF2"/>
    <w:rsid w:val="002F044E"/>
    <w:rsid w:val="002F0696"/>
    <w:rsid w:val="002F0ED0"/>
    <w:rsid w:val="002F1237"/>
    <w:rsid w:val="002F3329"/>
    <w:rsid w:val="002F43AE"/>
    <w:rsid w:val="002F453D"/>
    <w:rsid w:val="002F47DB"/>
    <w:rsid w:val="002F4CC7"/>
    <w:rsid w:val="002F5876"/>
    <w:rsid w:val="002F667D"/>
    <w:rsid w:val="002F6C14"/>
    <w:rsid w:val="002F7CF8"/>
    <w:rsid w:val="003000C8"/>
    <w:rsid w:val="00300291"/>
    <w:rsid w:val="0030101E"/>
    <w:rsid w:val="0030297F"/>
    <w:rsid w:val="00302AEE"/>
    <w:rsid w:val="0030339B"/>
    <w:rsid w:val="003046EA"/>
    <w:rsid w:val="0030495F"/>
    <w:rsid w:val="00305E35"/>
    <w:rsid w:val="00307858"/>
    <w:rsid w:val="00310621"/>
    <w:rsid w:val="003111C7"/>
    <w:rsid w:val="00311654"/>
    <w:rsid w:val="003121C5"/>
    <w:rsid w:val="0031438F"/>
    <w:rsid w:val="00316854"/>
    <w:rsid w:val="00316B81"/>
    <w:rsid w:val="00316E41"/>
    <w:rsid w:val="00316EF3"/>
    <w:rsid w:val="003173A9"/>
    <w:rsid w:val="003174AE"/>
    <w:rsid w:val="00320FEB"/>
    <w:rsid w:val="00321B6D"/>
    <w:rsid w:val="00322A4B"/>
    <w:rsid w:val="00322BCF"/>
    <w:rsid w:val="00322F66"/>
    <w:rsid w:val="003246E9"/>
    <w:rsid w:val="0032509C"/>
    <w:rsid w:val="003259AD"/>
    <w:rsid w:val="00325A49"/>
    <w:rsid w:val="0032652B"/>
    <w:rsid w:val="00326B75"/>
    <w:rsid w:val="00326D9C"/>
    <w:rsid w:val="003276CF"/>
    <w:rsid w:val="00327791"/>
    <w:rsid w:val="003308C2"/>
    <w:rsid w:val="003311A1"/>
    <w:rsid w:val="003315C2"/>
    <w:rsid w:val="00333D5D"/>
    <w:rsid w:val="00333F1C"/>
    <w:rsid w:val="003357AF"/>
    <w:rsid w:val="00335872"/>
    <w:rsid w:val="003363D6"/>
    <w:rsid w:val="003369BE"/>
    <w:rsid w:val="00336CC1"/>
    <w:rsid w:val="003370D0"/>
    <w:rsid w:val="0033727A"/>
    <w:rsid w:val="00337437"/>
    <w:rsid w:val="0033791C"/>
    <w:rsid w:val="00337C60"/>
    <w:rsid w:val="00340794"/>
    <w:rsid w:val="003415EA"/>
    <w:rsid w:val="00341C82"/>
    <w:rsid w:val="00342F82"/>
    <w:rsid w:val="003431F1"/>
    <w:rsid w:val="00344310"/>
    <w:rsid w:val="00344985"/>
    <w:rsid w:val="00344E66"/>
    <w:rsid w:val="00345105"/>
    <w:rsid w:val="00346544"/>
    <w:rsid w:val="00347C45"/>
    <w:rsid w:val="00347E13"/>
    <w:rsid w:val="0035055A"/>
    <w:rsid w:val="00350717"/>
    <w:rsid w:val="0035111E"/>
    <w:rsid w:val="00351889"/>
    <w:rsid w:val="0035256B"/>
    <w:rsid w:val="00353CCE"/>
    <w:rsid w:val="003552B7"/>
    <w:rsid w:val="0035585D"/>
    <w:rsid w:val="00355E3D"/>
    <w:rsid w:val="00356069"/>
    <w:rsid w:val="0035634C"/>
    <w:rsid w:val="00356362"/>
    <w:rsid w:val="00356AA6"/>
    <w:rsid w:val="00356AE3"/>
    <w:rsid w:val="0035765C"/>
    <w:rsid w:val="003608D8"/>
    <w:rsid w:val="00360F4E"/>
    <w:rsid w:val="00361529"/>
    <w:rsid w:val="00362CC2"/>
    <w:rsid w:val="00362FC1"/>
    <w:rsid w:val="003631C7"/>
    <w:rsid w:val="00364539"/>
    <w:rsid w:val="00364E5A"/>
    <w:rsid w:val="00366106"/>
    <w:rsid w:val="00366424"/>
    <w:rsid w:val="00366474"/>
    <w:rsid w:val="003665D5"/>
    <w:rsid w:val="003668E1"/>
    <w:rsid w:val="003674F5"/>
    <w:rsid w:val="00367563"/>
    <w:rsid w:val="003678E2"/>
    <w:rsid w:val="00370524"/>
    <w:rsid w:val="003711CA"/>
    <w:rsid w:val="00372225"/>
    <w:rsid w:val="003723AC"/>
    <w:rsid w:val="00372CD5"/>
    <w:rsid w:val="00373AAC"/>
    <w:rsid w:val="00374A1F"/>
    <w:rsid w:val="003767C3"/>
    <w:rsid w:val="00376E8F"/>
    <w:rsid w:val="0037749F"/>
    <w:rsid w:val="00377E1E"/>
    <w:rsid w:val="003809DA"/>
    <w:rsid w:val="00380C6D"/>
    <w:rsid w:val="00380E28"/>
    <w:rsid w:val="0038321C"/>
    <w:rsid w:val="0038398A"/>
    <w:rsid w:val="003846A0"/>
    <w:rsid w:val="00384E2E"/>
    <w:rsid w:val="00386642"/>
    <w:rsid w:val="00386D57"/>
    <w:rsid w:val="003878AE"/>
    <w:rsid w:val="00390145"/>
    <w:rsid w:val="00392FB8"/>
    <w:rsid w:val="0039305A"/>
    <w:rsid w:val="00395275"/>
    <w:rsid w:val="0039528D"/>
    <w:rsid w:val="00395415"/>
    <w:rsid w:val="00395672"/>
    <w:rsid w:val="00395746"/>
    <w:rsid w:val="00395EAF"/>
    <w:rsid w:val="0039649F"/>
    <w:rsid w:val="0039701D"/>
    <w:rsid w:val="00397CD3"/>
    <w:rsid w:val="003A0FE4"/>
    <w:rsid w:val="003A165D"/>
    <w:rsid w:val="003A1B41"/>
    <w:rsid w:val="003A1BFE"/>
    <w:rsid w:val="003A1D4C"/>
    <w:rsid w:val="003A36C2"/>
    <w:rsid w:val="003A3D76"/>
    <w:rsid w:val="003A3E01"/>
    <w:rsid w:val="003A42AB"/>
    <w:rsid w:val="003A4373"/>
    <w:rsid w:val="003A46BD"/>
    <w:rsid w:val="003A4873"/>
    <w:rsid w:val="003A4BA9"/>
    <w:rsid w:val="003A541D"/>
    <w:rsid w:val="003A55B8"/>
    <w:rsid w:val="003A5656"/>
    <w:rsid w:val="003A5CDC"/>
    <w:rsid w:val="003A613E"/>
    <w:rsid w:val="003A6C2C"/>
    <w:rsid w:val="003B02F6"/>
    <w:rsid w:val="003B0697"/>
    <w:rsid w:val="003B1245"/>
    <w:rsid w:val="003B2746"/>
    <w:rsid w:val="003B280C"/>
    <w:rsid w:val="003B2CBD"/>
    <w:rsid w:val="003B3334"/>
    <w:rsid w:val="003B45DD"/>
    <w:rsid w:val="003B49F4"/>
    <w:rsid w:val="003B5436"/>
    <w:rsid w:val="003B5F96"/>
    <w:rsid w:val="003B6D92"/>
    <w:rsid w:val="003C0580"/>
    <w:rsid w:val="003C24FF"/>
    <w:rsid w:val="003C2E3F"/>
    <w:rsid w:val="003C3ADD"/>
    <w:rsid w:val="003C5544"/>
    <w:rsid w:val="003C56C2"/>
    <w:rsid w:val="003C5C32"/>
    <w:rsid w:val="003D13A2"/>
    <w:rsid w:val="003D15A7"/>
    <w:rsid w:val="003D18B3"/>
    <w:rsid w:val="003D1A1F"/>
    <w:rsid w:val="003D2724"/>
    <w:rsid w:val="003D2BA4"/>
    <w:rsid w:val="003D2F04"/>
    <w:rsid w:val="003D40E8"/>
    <w:rsid w:val="003D66B1"/>
    <w:rsid w:val="003D697D"/>
    <w:rsid w:val="003D697F"/>
    <w:rsid w:val="003D72E3"/>
    <w:rsid w:val="003D77A6"/>
    <w:rsid w:val="003E09C9"/>
    <w:rsid w:val="003E1DB5"/>
    <w:rsid w:val="003E2904"/>
    <w:rsid w:val="003E2C42"/>
    <w:rsid w:val="003E2ECE"/>
    <w:rsid w:val="003E30A7"/>
    <w:rsid w:val="003E4845"/>
    <w:rsid w:val="003E498E"/>
    <w:rsid w:val="003E4A89"/>
    <w:rsid w:val="003E4A9E"/>
    <w:rsid w:val="003E6461"/>
    <w:rsid w:val="003E6656"/>
    <w:rsid w:val="003E6843"/>
    <w:rsid w:val="003E7717"/>
    <w:rsid w:val="003E7AC4"/>
    <w:rsid w:val="003E7B01"/>
    <w:rsid w:val="003E7B6A"/>
    <w:rsid w:val="003F0281"/>
    <w:rsid w:val="003F0769"/>
    <w:rsid w:val="003F0E29"/>
    <w:rsid w:val="003F0FE1"/>
    <w:rsid w:val="003F119C"/>
    <w:rsid w:val="003F1CDC"/>
    <w:rsid w:val="003F23A7"/>
    <w:rsid w:val="003F2913"/>
    <w:rsid w:val="003F2B4E"/>
    <w:rsid w:val="003F2DAE"/>
    <w:rsid w:val="003F306E"/>
    <w:rsid w:val="003F36E1"/>
    <w:rsid w:val="003F4E42"/>
    <w:rsid w:val="003F4F96"/>
    <w:rsid w:val="003F5182"/>
    <w:rsid w:val="003F5D02"/>
    <w:rsid w:val="003F6335"/>
    <w:rsid w:val="003F6CCB"/>
    <w:rsid w:val="00400657"/>
    <w:rsid w:val="0040092F"/>
    <w:rsid w:val="00400FE4"/>
    <w:rsid w:val="00401641"/>
    <w:rsid w:val="00401716"/>
    <w:rsid w:val="00401994"/>
    <w:rsid w:val="00401AD3"/>
    <w:rsid w:val="004027D6"/>
    <w:rsid w:val="0040478D"/>
    <w:rsid w:val="00405B0C"/>
    <w:rsid w:val="00406332"/>
    <w:rsid w:val="00407EBC"/>
    <w:rsid w:val="00411514"/>
    <w:rsid w:val="004118CA"/>
    <w:rsid w:val="00411E50"/>
    <w:rsid w:val="00413849"/>
    <w:rsid w:val="00414A78"/>
    <w:rsid w:val="00415F91"/>
    <w:rsid w:val="0041698F"/>
    <w:rsid w:val="00417009"/>
    <w:rsid w:val="00421106"/>
    <w:rsid w:val="00421280"/>
    <w:rsid w:val="00421716"/>
    <w:rsid w:val="0042244F"/>
    <w:rsid w:val="0042319E"/>
    <w:rsid w:val="0042491E"/>
    <w:rsid w:val="00425BFD"/>
    <w:rsid w:val="00426328"/>
    <w:rsid w:val="00426B3C"/>
    <w:rsid w:val="00427224"/>
    <w:rsid w:val="00430AE4"/>
    <w:rsid w:val="00430C01"/>
    <w:rsid w:val="00431116"/>
    <w:rsid w:val="00431DFA"/>
    <w:rsid w:val="00431ED1"/>
    <w:rsid w:val="004325C8"/>
    <w:rsid w:val="00432A52"/>
    <w:rsid w:val="0043303F"/>
    <w:rsid w:val="0043307B"/>
    <w:rsid w:val="00433F6D"/>
    <w:rsid w:val="004343EB"/>
    <w:rsid w:val="00434F9A"/>
    <w:rsid w:val="0043556B"/>
    <w:rsid w:val="0043563E"/>
    <w:rsid w:val="004358E1"/>
    <w:rsid w:val="0043713B"/>
    <w:rsid w:val="0044023A"/>
    <w:rsid w:val="0044199B"/>
    <w:rsid w:val="00441A0E"/>
    <w:rsid w:val="0044252A"/>
    <w:rsid w:val="004425BB"/>
    <w:rsid w:val="00442DA9"/>
    <w:rsid w:val="00443E97"/>
    <w:rsid w:val="00443EEE"/>
    <w:rsid w:val="00444759"/>
    <w:rsid w:val="00445A49"/>
    <w:rsid w:val="00445B90"/>
    <w:rsid w:val="0044754F"/>
    <w:rsid w:val="0045123C"/>
    <w:rsid w:val="00451275"/>
    <w:rsid w:val="00451510"/>
    <w:rsid w:val="00451B26"/>
    <w:rsid w:val="00451E2A"/>
    <w:rsid w:val="004525BF"/>
    <w:rsid w:val="00452724"/>
    <w:rsid w:val="00452A1F"/>
    <w:rsid w:val="00453304"/>
    <w:rsid w:val="00453C2E"/>
    <w:rsid w:val="004545E5"/>
    <w:rsid w:val="0045510D"/>
    <w:rsid w:val="00455B67"/>
    <w:rsid w:val="004569C0"/>
    <w:rsid w:val="00457A8D"/>
    <w:rsid w:val="00457F3C"/>
    <w:rsid w:val="004606FE"/>
    <w:rsid w:val="00461884"/>
    <w:rsid w:val="0046189C"/>
    <w:rsid w:val="00461D86"/>
    <w:rsid w:val="00462CBA"/>
    <w:rsid w:val="00462E37"/>
    <w:rsid w:val="004639EE"/>
    <w:rsid w:val="00463E39"/>
    <w:rsid w:val="004642C7"/>
    <w:rsid w:val="00464709"/>
    <w:rsid w:val="00464C90"/>
    <w:rsid w:val="004654ED"/>
    <w:rsid w:val="0046567C"/>
    <w:rsid w:val="00465690"/>
    <w:rsid w:val="00465E90"/>
    <w:rsid w:val="004706BC"/>
    <w:rsid w:val="00471AA3"/>
    <w:rsid w:val="00472054"/>
    <w:rsid w:val="00472226"/>
    <w:rsid w:val="00472D7A"/>
    <w:rsid w:val="00472E70"/>
    <w:rsid w:val="004730F9"/>
    <w:rsid w:val="00473E4E"/>
    <w:rsid w:val="004749B6"/>
    <w:rsid w:val="004752A3"/>
    <w:rsid w:val="00476A5F"/>
    <w:rsid w:val="004779DD"/>
    <w:rsid w:val="00477FE8"/>
    <w:rsid w:val="00480FCE"/>
    <w:rsid w:val="00481609"/>
    <w:rsid w:val="00481DB1"/>
    <w:rsid w:val="00481FA8"/>
    <w:rsid w:val="00482450"/>
    <w:rsid w:val="0048258C"/>
    <w:rsid w:val="00483E73"/>
    <w:rsid w:val="00484267"/>
    <w:rsid w:val="004846C3"/>
    <w:rsid w:val="004854FA"/>
    <w:rsid w:val="004858CE"/>
    <w:rsid w:val="00486813"/>
    <w:rsid w:val="00486830"/>
    <w:rsid w:val="00486E7B"/>
    <w:rsid w:val="0048779A"/>
    <w:rsid w:val="00487B14"/>
    <w:rsid w:val="00490442"/>
    <w:rsid w:val="00490A6A"/>
    <w:rsid w:val="00490F90"/>
    <w:rsid w:val="0049190A"/>
    <w:rsid w:val="00491D9A"/>
    <w:rsid w:val="00492949"/>
    <w:rsid w:val="00492D60"/>
    <w:rsid w:val="004939A2"/>
    <w:rsid w:val="0049421F"/>
    <w:rsid w:val="004946C7"/>
    <w:rsid w:val="00495411"/>
    <w:rsid w:val="004957C6"/>
    <w:rsid w:val="004963C7"/>
    <w:rsid w:val="00496971"/>
    <w:rsid w:val="0049699A"/>
    <w:rsid w:val="00496AAA"/>
    <w:rsid w:val="00497040"/>
    <w:rsid w:val="004977D5"/>
    <w:rsid w:val="00497A60"/>
    <w:rsid w:val="00497D48"/>
    <w:rsid w:val="004A15D0"/>
    <w:rsid w:val="004A1A9F"/>
    <w:rsid w:val="004A2589"/>
    <w:rsid w:val="004A276C"/>
    <w:rsid w:val="004A2B50"/>
    <w:rsid w:val="004A43C8"/>
    <w:rsid w:val="004A4A11"/>
    <w:rsid w:val="004A4C81"/>
    <w:rsid w:val="004A52CF"/>
    <w:rsid w:val="004A570B"/>
    <w:rsid w:val="004A5B05"/>
    <w:rsid w:val="004B0699"/>
    <w:rsid w:val="004B11DC"/>
    <w:rsid w:val="004B16D4"/>
    <w:rsid w:val="004B2685"/>
    <w:rsid w:val="004B2BE6"/>
    <w:rsid w:val="004B3920"/>
    <w:rsid w:val="004B42BA"/>
    <w:rsid w:val="004B467E"/>
    <w:rsid w:val="004B4FB5"/>
    <w:rsid w:val="004B6213"/>
    <w:rsid w:val="004B64B1"/>
    <w:rsid w:val="004B67F6"/>
    <w:rsid w:val="004B6DC3"/>
    <w:rsid w:val="004B6F70"/>
    <w:rsid w:val="004B73BE"/>
    <w:rsid w:val="004C1801"/>
    <w:rsid w:val="004C2AC3"/>
    <w:rsid w:val="004C3423"/>
    <w:rsid w:val="004C3A9F"/>
    <w:rsid w:val="004C3AF1"/>
    <w:rsid w:val="004C3EBE"/>
    <w:rsid w:val="004C464E"/>
    <w:rsid w:val="004C4F89"/>
    <w:rsid w:val="004C59EB"/>
    <w:rsid w:val="004C6036"/>
    <w:rsid w:val="004C7254"/>
    <w:rsid w:val="004D0DA4"/>
    <w:rsid w:val="004D2842"/>
    <w:rsid w:val="004D2CFF"/>
    <w:rsid w:val="004D2E62"/>
    <w:rsid w:val="004D32EF"/>
    <w:rsid w:val="004D32F8"/>
    <w:rsid w:val="004D344F"/>
    <w:rsid w:val="004D3C34"/>
    <w:rsid w:val="004D3CDC"/>
    <w:rsid w:val="004D3F3A"/>
    <w:rsid w:val="004D4868"/>
    <w:rsid w:val="004D4896"/>
    <w:rsid w:val="004D4BC1"/>
    <w:rsid w:val="004D5A8C"/>
    <w:rsid w:val="004D5C67"/>
    <w:rsid w:val="004E011E"/>
    <w:rsid w:val="004E05EE"/>
    <w:rsid w:val="004E12DB"/>
    <w:rsid w:val="004E18C2"/>
    <w:rsid w:val="004E1D34"/>
    <w:rsid w:val="004E3FAA"/>
    <w:rsid w:val="004E4E88"/>
    <w:rsid w:val="004E4EC1"/>
    <w:rsid w:val="004E4F64"/>
    <w:rsid w:val="004E670B"/>
    <w:rsid w:val="004E69E5"/>
    <w:rsid w:val="004E7202"/>
    <w:rsid w:val="004E7309"/>
    <w:rsid w:val="004E7C99"/>
    <w:rsid w:val="004E7EDD"/>
    <w:rsid w:val="004F1A31"/>
    <w:rsid w:val="004F1CA3"/>
    <w:rsid w:val="004F2AD3"/>
    <w:rsid w:val="004F2CC2"/>
    <w:rsid w:val="004F2D5A"/>
    <w:rsid w:val="004F35EB"/>
    <w:rsid w:val="004F38F1"/>
    <w:rsid w:val="004F4310"/>
    <w:rsid w:val="004F45F9"/>
    <w:rsid w:val="004F465A"/>
    <w:rsid w:val="004F73A7"/>
    <w:rsid w:val="004F7C9E"/>
    <w:rsid w:val="005001D9"/>
    <w:rsid w:val="00500442"/>
    <w:rsid w:val="005013E0"/>
    <w:rsid w:val="0050184D"/>
    <w:rsid w:val="005019E4"/>
    <w:rsid w:val="00502A5D"/>
    <w:rsid w:val="0050384B"/>
    <w:rsid w:val="00503903"/>
    <w:rsid w:val="00503E2C"/>
    <w:rsid w:val="00504E77"/>
    <w:rsid w:val="00504FFE"/>
    <w:rsid w:val="0050531B"/>
    <w:rsid w:val="00505395"/>
    <w:rsid w:val="00505A40"/>
    <w:rsid w:val="00505A65"/>
    <w:rsid w:val="00506474"/>
    <w:rsid w:val="00506F85"/>
    <w:rsid w:val="005075B4"/>
    <w:rsid w:val="00510240"/>
    <w:rsid w:val="00511830"/>
    <w:rsid w:val="00512CF1"/>
    <w:rsid w:val="00514178"/>
    <w:rsid w:val="005147F4"/>
    <w:rsid w:val="0051508C"/>
    <w:rsid w:val="0051557A"/>
    <w:rsid w:val="00515733"/>
    <w:rsid w:val="00515DF0"/>
    <w:rsid w:val="00516A01"/>
    <w:rsid w:val="00517133"/>
    <w:rsid w:val="00517EFA"/>
    <w:rsid w:val="00520027"/>
    <w:rsid w:val="00520095"/>
    <w:rsid w:val="00522F06"/>
    <w:rsid w:val="00523291"/>
    <w:rsid w:val="0052380B"/>
    <w:rsid w:val="0052392F"/>
    <w:rsid w:val="00526510"/>
    <w:rsid w:val="005269D9"/>
    <w:rsid w:val="0052756F"/>
    <w:rsid w:val="00531457"/>
    <w:rsid w:val="00531C1C"/>
    <w:rsid w:val="00532159"/>
    <w:rsid w:val="00532188"/>
    <w:rsid w:val="00533532"/>
    <w:rsid w:val="0053354A"/>
    <w:rsid w:val="00533B81"/>
    <w:rsid w:val="00534DB2"/>
    <w:rsid w:val="005358BC"/>
    <w:rsid w:val="00535B55"/>
    <w:rsid w:val="00535F85"/>
    <w:rsid w:val="005365D2"/>
    <w:rsid w:val="00543321"/>
    <w:rsid w:val="00543EEC"/>
    <w:rsid w:val="0054418A"/>
    <w:rsid w:val="005443C4"/>
    <w:rsid w:val="0054447A"/>
    <w:rsid w:val="005449D1"/>
    <w:rsid w:val="00545EB5"/>
    <w:rsid w:val="005467DE"/>
    <w:rsid w:val="0054748C"/>
    <w:rsid w:val="00547E8F"/>
    <w:rsid w:val="0055222C"/>
    <w:rsid w:val="005528C2"/>
    <w:rsid w:val="00553CCA"/>
    <w:rsid w:val="00554D6E"/>
    <w:rsid w:val="00556811"/>
    <w:rsid w:val="00556947"/>
    <w:rsid w:val="00556C0A"/>
    <w:rsid w:val="005571C0"/>
    <w:rsid w:val="00560764"/>
    <w:rsid w:val="00560B16"/>
    <w:rsid w:val="00561619"/>
    <w:rsid w:val="00562FE4"/>
    <w:rsid w:val="0056403E"/>
    <w:rsid w:val="00564290"/>
    <w:rsid w:val="005647A5"/>
    <w:rsid w:val="00564E54"/>
    <w:rsid w:val="00566D28"/>
    <w:rsid w:val="00567141"/>
    <w:rsid w:val="0057016C"/>
    <w:rsid w:val="005708EE"/>
    <w:rsid w:val="00571C08"/>
    <w:rsid w:val="00571E6C"/>
    <w:rsid w:val="005720D9"/>
    <w:rsid w:val="00573583"/>
    <w:rsid w:val="00574456"/>
    <w:rsid w:val="00574901"/>
    <w:rsid w:val="00574AB8"/>
    <w:rsid w:val="00574AD4"/>
    <w:rsid w:val="00575071"/>
    <w:rsid w:val="0057557C"/>
    <w:rsid w:val="005758FE"/>
    <w:rsid w:val="005761BE"/>
    <w:rsid w:val="005761F4"/>
    <w:rsid w:val="00576CF0"/>
    <w:rsid w:val="00582715"/>
    <w:rsid w:val="00583064"/>
    <w:rsid w:val="005834A6"/>
    <w:rsid w:val="0058440A"/>
    <w:rsid w:val="0058631C"/>
    <w:rsid w:val="005864EE"/>
    <w:rsid w:val="0058687E"/>
    <w:rsid w:val="00587F9D"/>
    <w:rsid w:val="0059019B"/>
    <w:rsid w:val="005906F7"/>
    <w:rsid w:val="0059086C"/>
    <w:rsid w:val="00590B9A"/>
    <w:rsid w:val="00590BA9"/>
    <w:rsid w:val="00591852"/>
    <w:rsid w:val="00591BD7"/>
    <w:rsid w:val="00592BEE"/>
    <w:rsid w:val="00592D79"/>
    <w:rsid w:val="005930C8"/>
    <w:rsid w:val="005942E0"/>
    <w:rsid w:val="00596DB8"/>
    <w:rsid w:val="005A17ED"/>
    <w:rsid w:val="005A17EE"/>
    <w:rsid w:val="005A2202"/>
    <w:rsid w:val="005A2B71"/>
    <w:rsid w:val="005A2DC4"/>
    <w:rsid w:val="005A2F4F"/>
    <w:rsid w:val="005A2FBA"/>
    <w:rsid w:val="005A30A9"/>
    <w:rsid w:val="005A3108"/>
    <w:rsid w:val="005A33B5"/>
    <w:rsid w:val="005A41E6"/>
    <w:rsid w:val="005A4D30"/>
    <w:rsid w:val="005A4F6C"/>
    <w:rsid w:val="005A5D50"/>
    <w:rsid w:val="005A6217"/>
    <w:rsid w:val="005A6B4C"/>
    <w:rsid w:val="005A6E04"/>
    <w:rsid w:val="005A745D"/>
    <w:rsid w:val="005A79BE"/>
    <w:rsid w:val="005A7CB1"/>
    <w:rsid w:val="005A7DB8"/>
    <w:rsid w:val="005B22B9"/>
    <w:rsid w:val="005B230B"/>
    <w:rsid w:val="005B2EF2"/>
    <w:rsid w:val="005B3CFD"/>
    <w:rsid w:val="005B3F00"/>
    <w:rsid w:val="005B4191"/>
    <w:rsid w:val="005B52AC"/>
    <w:rsid w:val="005B5BCA"/>
    <w:rsid w:val="005B601B"/>
    <w:rsid w:val="005B62C6"/>
    <w:rsid w:val="005B7AB0"/>
    <w:rsid w:val="005B7AEA"/>
    <w:rsid w:val="005C0446"/>
    <w:rsid w:val="005C17EF"/>
    <w:rsid w:val="005C2316"/>
    <w:rsid w:val="005C3E00"/>
    <w:rsid w:val="005C467F"/>
    <w:rsid w:val="005C4975"/>
    <w:rsid w:val="005C4E45"/>
    <w:rsid w:val="005C52EB"/>
    <w:rsid w:val="005C5B0D"/>
    <w:rsid w:val="005C62EE"/>
    <w:rsid w:val="005C6885"/>
    <w:rsid w:val="005C6CFF"/>
    <w:rsid w:val="005C75CC"/>
    <w:rsid w:val="005D02E1"/>
    <w:rsid w:val="005D08EB"/>
    <w:rsid w:val="005D09E9"/>
    <w:rsid w:val="005D1E87"/>
    <w:rsid w:val="005D2574"/>
    <w:rsid w:val="005D34A3"/>
    <w:rsid w:val="005D4650"/>
    <w:rsid w:val="005D48AA"/>
    <w:rsid w:val="005D499B"/>
    <w:rsid w:val="005D5A74"/>
    <w:rsid w:val="005D6BFA"/>
    <w:rsid w:val="005D6F02"/>
    <w:rsid w:val="005D788E"/>
    <w:rsid w:val="005D7B3B"/>
    <w:rsid w:val="005E19D6"/>
    <w:rsid w:val="005E2F2E"/>
    <w:rsid w:val="005E34E2"/>
    <w:rsid w:val="005E4BD5"/>
    <w:rsid w:val="005E4F6C"/>
    <w:rsid w:val="005E5644"/>
    <w:rsid w:val="005F0716"/>
    <w:rsid w:val="005F0FAF"/>
    <w:rsid w:val="005F3002"/>
    <w:rsid w:val="005F3AEF"/>
    <w:rsid w:val="005F3CF6"/>
    <w:rsid w:val="005F4ECD"/>
    <w:rsid w:val="005F541D"/>
    <w:rsid w:val="005F59D4"/>
    <w:rsid w:val="005F6317"/>
    <w:rsid w:val="005F7064"/>
    <w:rsid w:val="005F737A"/>
    <w:rsid w:val="005F7A6D"/>
    <w:rsid w:val="006002B8"/>
    <w:rsid w:val="00600C08"/>
    <w:rsid w:val="00601902"/>
    <w:rsid w:val="00601AAE"/>
    <w:rsid w:val="00602F03"/>
    <w:rsid w:val="00603D99"/>
    <w:rsid w:val="00604215"/>
    <w:rsid w:val="006047B4"/>
    <w:rsid w:val="00605041"/>
    <w:rsid w:val="00605773"/>
    <w:rsid w:val="00606861"/>
    <w:rsid w:val="00607087"/>
    <w:rsid w:val="00610BF6"/>
    <w:rsid w:val="00612021"/>
    <w:rsid w:val="006120C3"/>
    <w:rsid w:val="006133BC"/>
    <w:rsid w:val="00613AA5"/>
    <w:rsid w:val="006148E8"/>
    <w:rsid w:val="00614AF9"/>
    <w:rsid w:val="00615A42"/>
    <w:rsid w:val="00617338"/>
    <w:rsid w:val="006174DD"/>
    <w:rsid w:val="00617A31"/>
    <w:rsid w:val="00617C83"/>
    <w:rsid w:val="00617F19"/>
    <w:rsid w:val="00620858"/>
    <w:rsid w:val="00621CB8"/>
    <w:rsid w:val="00621D58"/>
    <w:rsid w:val="006220F6"/>
    <w:rsid w:val="00622360"/>
    <w:rsid w:val="00622449"/>
    <w:rsid w:val="00622BE9"/>
    <w:rsid w:val="0062333E"/>
    <w:rsid w:val="00623397"/>
    <w:rsid w:val="00623C39"/>
    <w:rsid w:val="006242A1"/>
    <w:rsid w:val="006242F6"/>
    <w:rsid w:val="00624DE0"/>
    <w:rsid w:val="00624EAE"/>
    <w:rsid w:val="00625B3A"/>
    <w:rsid w:val="006265EC"/>
    <w:rsid w:val="0062675D"/>
    <w:rsid w:val="00626F60"/>
    <w:rsid w:val="0062724D"/>
    <w:rsid w:val="00631007"/>
    <w:rsid w:val="006314E4"/>
    <w:rsid w:val="006322BF"/>
    <w:rsid w:val="0063290C"/>
    <w:rsid w:val="00632984"/>
    <w:rsid w:val="006338DD"/>
    <w:rsid w:val="00634C9C"/>
    <w:rsid w:val="00636893"/>
    <w:rsid w:val="00637693"/>
    <w:rsid w:val="00637A08"/>
    <w:rsid w:val="00640701"/>
    <w:rsid w:val="00640844"/>
    <w:rsid w:val="00641562"/>
    <w:rsid w:val="00641891"/>
    <w:rsid w:val="0064196F"/>
    <w:rsid w:val="00642D68"/>
    <w:rsid w:val="00642F0F"/>
    <w:rsid w:val="00642FE4"/>
    <w:rsid w:val="00643628"/>
    <w:rsid w:val="00643C2E"/>
    <w:rsid w:val="00643D76"/>
    <w:rsid w:val="006441E7"/>
    <w:rsid w:val="00644F3A"/>
    <w:rsid w:val="00645221"/>
    <w:rsid w:val="006465E3"/>
    <w:rsid w:val="00646C8C"/>
    <w:rsid w:val="006471C4"/>
    <w:rsid w:val="0064734B"/>
    <w:rsid w:val="00647C9E"/>
    <w:rsid w:val="00647EB0"/>
    <w:rsid w:val="006512A8"/>
    <w:rsid w:val="00651FFD"/>
    <w:rsid w:val="006520D6"/>
    <w:rsid w:val="0065286A"/>
    <w:rsid w:val="00652B90"/>
    <w:rsid w:val="006548E5"/>
    <w:rsid w:val="006556BC"/>
    <w:rsid w:val="00655948"/>
    <w:rsid w:val="00656F2F"/>
    <w:rsid w:val="006578C2"/>
    <w:rsid w:val="00657A95"/>
    <w:rsid w:val="00657EFD"/>
    <w:rsid w:val="00660023"/>
    <w:rsid w:val="0066007A"/>
    <w:rsid w:val="006606AF"/>
    <w:rsid w:val="0066082B"/>
    <w:rsid w:val="00660933"/>
    <w:rsid w:val="0066163D"/>
    <w:rsid w:val="00661BBD"/>
    <w:rsid w:val="00662638"/>
    <w:rsid w:val="00662888"/>
    <w:rsid w:val="00663A74"/>
    <w:rsid w:val="00663FCF"/>
    <w:rsid w:val="00664375"/>
    <w:rsid w:val="00664641"/>
    <w:rsid w:val="00664948"/>
    <w:rsid w:val="00664E93"/>
    <w:rsid w:val="00665058"/>
    <w:rsid w:val="00665371"/>
    <w:rsid w:val="0066665F"/>
    <w:rsid w:val="00666C83"/>
    <w:rsid w:val="006675DC"/>
    <w:rsid w:val="00667B00"/>
    <w:rsid w:val="006701D5"/>
    <w:rsid w:val="00670D06"/>
    <w:rsid w:val="00671A0F"/>
    <w:rsid w:val="0067206D"/>
    <w:rsid w:val="00674071"/>
    <w:rsid w:val="006769D2"/>
    <w:rsid w:val="00676A08"/>
    <w:rsid w:val="006776EF"/>
    <w:rsid w:val="00677C79"/>
    <w:rsid w:val="00677FDA"/>
    <w:rsid w:val="0068052F"/>
    <w:rsid w:val="00681997"/>
    <w:rsid w:val="00684038"/>
    <w:rsid w:val="00684EF1"/>
    <w:rsid w:val="00685EB0"/>
    <w:rsid w:val="0068711C"/>
    <w:rsid w:val="00690BDB"/>
    <w:rsid w:val="00690FA9"/>
    <w:rsid w:val="00691EA7"/>
    <w:rsid w:val="0069232C"/>
    <w:rsid w:val="00692456"/>
    <w:rsid w:val="006928C1"/>
    <w:rsid w:val="00692FE9"/>
    <w:rsid w:val="00693948"/>
    <w:rsid w:val="00694C6D"/>
    <w:rsid w:val="00695180"/>
    <w:rsid w:val="006962C0"/>
    <w:rsid w:val="0069634D"/>
    <w:rsid w:val="006976FC"/>
    <w:rsid w:val="006978C4"/>
    <w:rsid w:val="006A0A66"/>
    <w:rsid w:val="006A1159"/>
    <w:rsid w:val="006A2DC3"/>
    <w:rsid w:val="006A40E3"/>
    <w:rsid w:val="006A5455"/>
    <w:rsid w:val="006A5632"/>
    <w:rsid w:val="006A570E"/>
    <w:rsid w:val="006A5FEC"/>
    <w:rsid w:val="006A77A9"/>
    <w:rsid w:val="006A7AF0"/>
    <w:rsid w:val="006A7DFA"/>
    <w:rsid w:val="006A7F4D"/>
    <w:rsid w:val="006B1381"/>
    <w:rsid w:val="006B153E"/>
    <w:rsid w:val="006B26EF"/>
    <w:rsid w:val="006B2759"/>
    <w:rsid w:val="006B2A4A"/>
    <w:rsid w:val="006B3212"/>
    <w:rsid w:val="006B3937"/>
    <w:rsid w:val="006B3AC5"/>
    <w:rsid w:val="006B4172"/>
    <w:rsid w:val="006B5516"/>
    <w:rsid w:val="006B5F77"/>
    <w:rsid w:val="006B71BD"/>
    <w:rsid w:val="006B7879"/>
    <w:rsid w:val="006C057B"/>
    <w:rsid w:val="006C06F1"/>
    <w:rsid w:val="006C0829"/>
    <w:rsid w:val="006C0833"/>
    <w:rsid w:val="006C0B88"/>
    <w:rsid w:val="006C1075"/>
    <w:rsid w:val="006C1819"/>
    <w:rsid w:val="006C18E9"/>
    <w:rsid w:val="006C1E26"/>
    <w:rsid w:val="006C1F8A"/>
    <w:rsid w:val="006C2197"/>
    <w:rsid w:val="006C223C"/>
    <w:rsid w:val="006C2A44"/>
    <w:rsid w:val="006C35EC"/>
    <w:rsid w:val="006C3767"/>
    <w:rsid w:val="006C4650"/>
    <w:rsid w:val="006C4D19"/>
    <w:rsid w:val="006C5931"/>
    <w:rsid w:val="006C63C5"/>
    <w:rsid w:val="006C6856"/>
    <w:rsid w:val="006C6CB6"/>
    <w:rsid w:val="006D1037"/>
    <w:rsid w:val="006D1692"/>
    <w:rsid w:val="006D194A"/>
    <w:rsid w:val="006D1B49"/>
    <w:rsid w:val="006D2B60"/>
    <w:rsid w:val="006D34DF"/>
    <w:rsid w:val="006D4DEB"/>
    <w:rsid w:val="006D4E92"/>
    <w:rsid w:val="006D5033"/>
    <w:rsid w:val="006D546F"/>
    <w:rsid w:val="006D6963"/>
    <w:rsid w:val="006D7824"/>
    <w:rsid w:val="006E0C37"/>
    <w:rsid w:val="006E0E02"/>
    <w:rsid w:val="006E1270"/>
    <w:rsid w:val="006E2CD9"/>
    <w:rsid w:val="006E3462"/>
    <w:rsid w:val="006E3650"/>
    <w:rsid w:val="006E4769"/>
    <w:rsid w:val="006E5100"/>
    <w:rsid w:val="006E6239"/>
    <w:rsid w:val="006E6576"/>
    <w:rsid w:val="006E6883"/>
    <w:rsid w:val="006E768A"/>
    <w:rsid w:val="006E7A1F"/>
    <w:rsid w:val="006E7BA6"/>
    <w:rsid w:val="006E7F43"/>
    <w:rsid w:val="006F0B22"/>
    <w:rsid w:val="006F0D98"/>
    <w:rsid w:val="006F1274"/>
    <w:rsid w:val="006F2969"/>
    <w:rsid w:val="006F341F"/>
    <w:rsid w:val="006F36C9"/>
    <w:rsid w:val="006F371B"/>
    <w:rsid w:val="006F3770"/>
    <w:rsid w:val="006F37F3"/>
    <w:rsid w:val="006F3F23"/>
    <w:rsid w:val="006F4D4F"/>
    <w:rsid w:val="006F5478"/>
    <w:rsid w:val="006F6F0B"/>
    <w:rsid w:val="006F797C"/>
    <w:rsid w:val="006F7F76"/>
    <w:rsid w:val="007000CA"/>
    <w:rsid w:val="007007C7"/>
    <w:rsid w:val="00700D78"/>
    <w:rsid w:val="00702440"/>
    <w:rsid w:val="00702F3F"/>
    <w:rsid w:val="00703169"/>
    <w:rsid w:val="00703F96"/>
    <w:rsid w:val="00704234"/>
    <w:rsid w:val="0070486A"/>
    <w:rsid w:val="00705289"/>
    <w:rsid w:val="007054DA"/>
    <w:rsid w:val="00706819"/>
    <w:rsid w:val="00707758"/>
    <w:rsid w:val="007103F4"/>
    <w:rsid w:val="00710A31"/>
    <w:rsid w:val="00710AC3"/>
    <w:rsid w:val="00710CCC"/>
    <w:rsid w:val="00711289"/>
    <w:rsid w:val="007117BF"/>
    <w:rsid w:val="00711D4C"/>
    <w:rsid w:val="00712492"/>
    <w:rsid w:val="00712764"/>
    <w:rsid w:val="00713761"/>
    <w:rsid w:val="007137E0"/>
    <w:rsid w:val="007146B5"/>
    <w:rsid w:val="00715BD9"/>
    <w:rsid w:val="00715E83"/>
    <w:rsid w:val="00716481"/>
    <w:rsid w:val="007173B0"/>
    <w:rsid w:val="0072082B"/>
    <w:rsid w:val="00720CFA"/>
    <w:rsid w:val="0072119C"/>
    <w:rsid w:val="007212BF"/>
    <w:rsid w:val="00721B10"/>
    <w:rsid w:val="00723295"/>
    <w:rsid w:val="00723953"/>
    <w:rsid w:val="00724244"/>
    <w:rsid w:val="00724416"/>
    <w:rsid w:val="00724696"/>
    <w:rsid w:val="00724970"/>
    <w:rsid w:val="00724E8E"/>
    <w:rsid w:val="00725403"/>
    <w:rsid w:val="007265D9"/>
    <w:rsid w:val="00730864"/>
    <w:rsid w:val="0073165B"/>
    <w:rsid w:val="007317D4"/>
    <w:rsid w:val="00731A20"/>
    <w:rsid w:val="00731AFE"/>
    <w:rsid w:val="00731E68"/>
    <w:rsid w:val="00733D36"/>
    <w:rsid w:val="00734947"/>
    <w:rsid w:val="00735DA0"/>
    <w:rsid w:val="00736020"/>
    <w:rsid w:val="00736A7D"/>
    <w:rsid w:val="0073733E"/>
    <w:rsid w:val="0074023E"/>
    <w:rsid w:val="00740A05"/>
    <w:rsid w:val="00740D45"/>
    <w:rsid w:val="00742258"/>
    <w:rsid w:val="007426EC"/>
    <w:rsid w:val="00742AB8"/>
    <w:rsid w:val="00743425"/>
    <w:rsid w:val="00743503"/>
    <w:rsid w:val="007445F0"/>
    <w:rsid w:val="007449A1"/>
    <w:rsid w:val="00744C1B"/>
    <w:rsid w:val="00744F5C"/>
    <w:rsid w:val="00744F87"/>
    <w:rsid w:val="007458DC"/>
    <w:rsid w:val="00747592"/>
    <w:rsid w:val="00747A22"/>
    <w:rsid w:val="00750023"/>
    <w:rsid w:val="00750D9D"/>
    <w:rsid w:val="007529A6"/>
    <w:rsid w:val="0075316E"/>
    <w:rsid w:val="00753353"/>
    <w:rsid w:val="0075359C"/>
    <w:rsid w:val="00753DE5"/>
    <w:rsid w:val="00754261"/>
    <w:rsid w:val="007554BA"/>
    <w:rsid w:val="0075611A"/>
    <w:rsid w:val="007566CA"/>
    <w:rsid w:val="00756806"/>
    <w:rsid w:val="00756E10"/>
    <w:rsid w:val="007574C8"/>
    <w:rsid w:val="007575A7"/>
    <w:rsid w:val="00757757"/>
    <w:rsid w:val="0075785A"/>
    <w:rsid w:val="00757D1C"/>
    <w:rsid w:val="00760576"/>
    <w:rsid w:val="00763C72"/>
    <w:rsid w:val="00764093"/>
    <w:rsid w:val="007646DD"/>
    <w:rsid w:val="00765EED"/>
    <w:rsid w:val="00766554"/>
    <w:rsid w:val="00766A21"/>
    <w:rsid w:val="0076779F"/>
    <w:rsid w:val="00770D05"/>
    <w:rsid w:val="007716CB"/>
    <w:rsid w:val="00771A93"/>
    <w:rsid w:val="00771AE8"/>
    <w:rsid w:val="007727F5"/>
    <w:rsid w:val="00772A5B"/>
    <w:rsid w:val="00772C2F"/>
    <w:rsid w:val="00773E46"/>
    <w:rsid w:val="0077400C"/>
    <w:rsid w:val="00774818"/>
    <w:rsid w:val="007760DD"/>
    <w:rsid w:val="00776129"/>
    <w:rsid w:val="007768E4"/>
    <w:rsid w:val="0077707A"/>
    <w:rsid w:val="0077722C"/>
    <w:rsid w:val="0077777A"/>
    <w:rsid w:val="007803AF"/>
    <w:rsid w:val="00780A1F"/>
    <w:rsid w:val="0078139F"/>
    <w:rsid w:val="00781B19"/>
    <w:rsid w:val="00783788"/>
    <w:rsid w:val="00783FFD"/>
    <w:rsid w:val="00784902"/>
    <w:rsid w:val="00784D45"/>
    <w:rsid w:val="00784D75"/>
    <w:rsid w:val="0078533E"/>
    <w:rsid w:val="00786364"/>
    <w:rsid w:val="00786B68"/>
    <w:rsid w:val="007872D0"/>
    <w:rsid w:val="00790214"/>
    <w:rsid w:val="0079023A"/>
    <w:rsid w:val="00790608"/>
    <w:rsid w:val="00790FFC"/>
    <w:rsid w:val="00792341"/>
    <w:rsid w:val="0079359E"/>
    <w:rsid w:val="00794B5A"/>
    <w:rsid w:val="007954F3"/>
    <w:rsid w:val="0079567C"/>
    <w:rsid w:val="00795948"/>
    <w:rsid w:val="007960FE"/>
    <w:rsid w:val="007962E5"/>
    <w:rsid w:val="007A031C"/>
    <w:rsid w:val="007A1962"/>
    <w:rsid w:val="007A1CB7"/>
    <w:rsid w:val="007A2100"/>
    <w:rsid w:val="007A2675"/>
    <w:rsid w:val="007A31F0"/>
    <w:rsid w:val="007A3249"/>
    <w:rsid w:val="007A387C"/>
    <w:rsid w:val="007A394A"/>
    <w:rsid w:val="007A3CCA"/>
    <w:rsid w:val="007A4872"/>
    <w:rsid w:val="007A4B49"/>
    <w:rsid w:val="007A4F70"/>
    <w:rsid w:val="007A5793"/>
    <w:rsid w:val="007A6A30"/>
    <w:rsid w:val="007A79D1"/>
    <w:rsid w:val="007A7A17"/>
    <w:rsid w:val="007A7B68"/>
    <w:rsid w:val="007A7F43"/>
    <w:rsid w:val="007B047C"/>
    <w:rsid w:val="007B0821"/>
    <w:rsid w:val="007B0983"/>
    <w:rsid w:val="007B1194"/>
    <w:rsid w:val="007B1233"/>
    <w:rsid w:val="007B126D"/>
    <w:rsid w:val="007B1EEF"/>
    <w:rsid w:val="007B2E02"/>
    <w:rsid w:val="007B3A93"/>
    <w:rsid w:val="007B4B6F"/>
    <w:rsid w:val="007C0702"/>
    <w:rsid w:val="007C1925"/>
    <w:rsid w:val="007C1AEE"/>
    <w:rsid w:val="007C2431"/>
    <w:rsid w:val="007C253D"/>
    <w:rsid w:val="007C26A4"/>
    <w:rsid w:val="007C2A62"/>
    <w:rsid w:val="007C2CBA"/>
    <w:rsid w:val="007C3933"/>
    <w:rsid w:val="007C444A"/>
    <w:rsid w:val="007C4529"/>
    <w:rsid w:val="007C528C"/>
    <w:rsid w:val="007C5C9D"/>
    <w:rsid w:val="007C62A3"/>
    <w:rsid w:val="007C62CD"/>
    <w:rsid w:val="007C76E6"/>
    <w:rsid w:val="007C7B8C"/>
    <w:rsid w:val="007C7BB6"/>
    <w:rsid w:val="007C7C44"/>
    <w:rsid w:val="007C7CD4"/>
    <w:rsid w:val="007C7E90"/>
    <w:rsid w:val="007D02C0"/>
    <w:rsid w:val="007D0DAD"/>
    <w:rsid w:val="007D28BD"/>
    <w:rsid w:val="007D49E9"/>
    <w:rsid w:val="007D5941"/>
    <w:rsid w:val="007D6594"/>
    <w:rsid w:val="007D69AD"/>
    <w:rsid w:val="007D735C"/>
    <w:rsid w:val="007D7AFC"/>
    <w:rsid w:val="007D7D09"/>
    <w:rsid w:val="007E021C"/>
    <w:rsid w:val="007E0E26"/>
    <w:rsid w:val="007E0EE3"/>
    <w:rsid w:val="007E1CCC"/>
    <w:rsid w:val="007E1E14"/>
    <w:rsid w:val="007E25E6"/>
    <w:rsid w:val="007E28DC"/>
    <w:rsid w:val="007E2A4F"/>
    <w:rsid w:val="007E4C6E"/>
    <w:rsid w:val="007E5079"/>
    <w:rsid w:val="007E6252"/>
    <w:rsid w:val="007E65EE"/>
    <w:rsid w:val="007E66B9"/>
    <w:rsid w:val="007E6AEA"/>
    <w:rsid w:val="007E6B06"/>
    <w:rsid w:val="007E7B77"/>
    <w:rsid w:val="007F06A5"/>
    <w:rsid w:val="007F10CF"/>
    <w:rsid w:val="007F1189"/>
    <w:rsid w:val="007F17B0"/>
    <w:rsid w:val="007F1F48"/>
    <w:rsid w:val="007F1F8E"/>
    <w:rsid w:val="007F245F"/>
    <w:rsid w:val="007F2E2E"/>
    <w:rsid w:val="007F2F26"/>
    <w:rsid w:val="007F3EF2"/>
    <w:rsid w:val="007F5330"/>
    <w:rsid w:val="007F56E7"/>
    <w:rsid w:val="007F582F"/>
    <w:rsid w:val="007F5B92"/>
    <w:rsid w:val="007F5D0D"/>
    <w:rsid w:val="007F673F"/>
    <w:rsid w:val="007F6D0D"/>
    <w:rsid w:val="0080032A"/>
    <w:rsid w:val="008014DD"/>
    <w:rsid w:val="008014EC"/>
    <w:rsid w:val="008015E9"/>
    <w:rsid w:val="008018B9"/>
    <w:rsid w:val="008034D9"/>
    <w:rsid w:val="008052D4"/>
    <w:rsid w:val="0080546F"/>
    <w:rsid w:val="00805CA5"/>
    <w:rsid w:val="00805D6D"/>
    <w:rsid w:val="00805E8C"/>
    <w:rsid w:val="008060EE"/>
    <w:rsid w:val="00806C1C"/>
    <w:rsid w:val="008071EE"/>
    <w:rsid w:val="00807A5F"/>
    <w:rsid w:val="00807C38"/>
    <w:rsid w:val="00810AB8"/>
    <w:rsid w:val="00810B4E"/>
    <w:rsid w:val="00810D72"/>
    <w:rsid w:val="008112E5"/>
    <w:rsid w:val="00811815"/>
    <w:rsid w:val="00811AE7"/>
    <w:rsid w:val="008126ED"/>
    <w:rsid w:val="00812880"/>
    <w:rsid w:val="00813885"/>
    <w:rsid w:val="008138A9"/>
    <w:rsid w:val="00813B66"/>
    <w:rsid w:val="008142A0"/>
    <w:rsid w:val="008143DA"/>
    <w:rsid w:val="008143E6"/>
    <w:rsid w:val="00815005"/>
    <w:rsid w:val="00815310"/>
    <w:rsid w:val="00815E34"/>
    <w:rsid w:val="00815E3A"/>
    <w:rsid w:val="008161E2"/>
    <w:rsid w:val="00821DEA"/>
    <w:rsid w:val="00822BB6"/>
    <w:rsid w:val="00823103"/>
    <w:rsid w:val="008234E1"/>
    <w:rsid w:val="0082387C"/>
    <w:rsid w:val="00823D6A"/>
    <w:rsid w:val="00823E7F"/>
    <w:rsid w:val="00824848"/>
    <w:rsid w:val="0082487D"/>
    <w:rsid w:val="008248C9"/>
    <w:rsid w:val="00824D2A"/>
    <w:rsid w:val="00824E04"/>
    <w:rsid w:val="00825ED3"/>
    <w:rsid w:val="0082725D"/>
    <w:rsid w:val="00830C74"/>
    <w:rsid w:val="00830DB7"/>
    <w:rsid w:val="00831235"/>
    <w:rsid w:val="008324D3"/>
    <w:rsid w:val="00832B30"/>
    <w:rsid w:val="00833806"/>
    <w:rsid w:val="00833C23"/>
    <w:rsid w:val="008344FE"/>
    <w:rsid w:val="00834B23"/>
    <w:rsid w:val="00834E24"/>
    <w:rsid w:val="00835261"/>
    <w:rsid w:val="00840B2B"/>
    <w:rsid w:val="00840EB2"/>
    <w:rsid w:val="00841E77"/>
    <w:rsid w:val="00842459"/>
    <w:rsid w:val="00843B02"/>
    <w:rsid w:val="0084484F"/>
    <w:rsid w:val="00844FD6"/>
    <w:rsid w:val="008476CF"/>
    <w:rsid w:val="00847F6F"/>
    <w:rsid w:val="00850217"/>
    <w:rsid w:val="00850DFD"/>
    <w:rsid w:val="00850FFD"/>
    <w:rsid w:val="00851A3E"/>
    <w:rsid w:val="00851BE4"/>
    <w:rsid w:val="00851E52"/>
    <w:rsid w:val="0085231C"/>
    <w:rsid w:val="008529C8"/>
    <w:rsid w:val="00853559"/>
    <w:rsid w:val="00853F9F"/>
    <w:rsid w:val="00856C52"/>
    <w:rsid w:val="00856D24"/>
    <w:rsid w:val="00857A34"/>
    <w:rsid w:val="00861CA7"/>
    <w:rsid w:val="008633EF"/>
    <w:rsid w:val="00863E78"/>
    <w:rsid w:val="00864415"/>
    <w:rsid w:val="00865473"/>
    <w:rsid w:val="008655B1"/>
    <w:rsid w:val="00866F29"/>
    <w:rsid w:val="008670A6"/>
    <w:rsid w:val="00867174"/>
    <w:rsid w:val="008700C1"/>
    <w:rsid w:val="00871238"/>
    <w:rsid w:val="00873AEC"/>
    <w:rsid w:val="00874899"/>
    <w:rsid w:val="00874CB4"/>
    <w:rsid w:val="00874D64"/>
    <w:rsid w:val="0087614B"/>
    <w:rsid w:val="0087648B"/>
    <w:rsid w:val="008771E7"/>
    <w:rsid w:val="00880300"/>
    <w:rsid w:val="0088033D"/>
    <w:rsid w:val="00881564"/>
    <w:rsid w:val="0088171E"/>
    <w:rsid w:val="00881A2C"/>
    <w:rsid w:val="00882345"/>
    <w:rsid w:val="00882802"/>
    <w:rsid w:val="00883B6B"/>
    <w:rsid w:val="0088422C"/>
    <w:rsid w:val="0088461F"/>
    <w:rsid w:val="0088547D"/>
    <w:rsid w:val="00885A13"/>
    <w:rsid w:val="00885E61"/>
    <w:rsid w:val="00885EB9"/>
    <w:rsid w:val="00885F45"/>
    <w:rsid w:val="0088647B"/>
    <w:rsid w:val="00886D31"/>
    <w:rsid w:val="008871F2"/>
    <w:rsid w:val="008900C7"/>
    <w:rsid w:val="008905A5"/>
    <w:rsid w:val="00892950"/>
    <w:rsid w:val="008929A5"/>
    <w:rsid w:val="00892A5D"/>
    <w:rsid w:val="008949A8"/>
    <w:rsid w:val="00895EC6"/>
    <w:rsid w:val="0089637F"/>
    <w:rsid w:val="008967EE"/>
    <w:rsid w:val="00896A7E"/>
    <w:rsid w:val="00897650"/>
    <w:rsid w:val="00897F7F"/>
    <w:rsid w:val="008A076A"/>
    <w:rsid w:val="008A1406"/>
    <w:rsid w:val="008A1D03"/>
    <w:rsid w:val="008A27B1"/>
    <w:rsid w:val="008A3278"/>
    <w:rsid w:val="008A4BF7"/>
    <w:rsid w:val="008A574A"/>
    <w:rsid w:val="008A5E93"/>
    <w:rsid w:val="008A6288"/>
    <w:rsid w:val="008A6317"/>
    <w:rsid w:val="008A781F"/>
    <w:rsid w:val="008B0C32"/>
    <w:rsid w:val="008B170C"/>
    <w:rsid w:val="008B18C9"/>
    <w:rsid w:val="008B2894"/>
    <w:rsid w:val="008B2909"/>
    <w:rsid w:val="008B293E"/>
    <w:rsid w:val="008B3B35"/>
    <w:rsid w:val="008B3D49"/>
    <w:rsid w:val="008B4060"/>
    <w:rsid w:val="008B411D"/>
    <w:rsid w:val="008B5782"/>
    <w:rsid w:val="008B5937"/>
    <w:rsid w:val="008B66FC"/>
    <w:rsid w:val="008B6841"/>
    <w:rsid w:val="008B76DB"/>
    <w:rsid w:val="008C0460"/>
    <w:rsid w:val="008C08EC"/>
    <w:rsid w:val="008C1D60"/>
    <w:rsid w:val="008C61E7"/>
    <w:rsid w:val="008C6458"/>
    <w:rsid w:val="008C6C0A"/>
    <w:rsid w:val="008C7468"/>
    <w:rsid w:val="008C7EC4"/>
    <w:rsid w:val="008D093C"/>
    <w:rsid w:val="008D0CFC"/>
    <w:rsid w:val="008D11D6"/>
    <w:rsid w:val="008D21C3"/>
    <w:rsid w:val="008D23F5"/>
    <w:rsid w:val="008D3D0B"/>
    <w:rsid w:val="008D4217"/>
    <w:rsid w:val="008D43AC"/>
    <w:rsid w:val="008D4837"/>
    <w:rsid w:val="008D538A"/>
    <w:rsid w:val="008D54EB"/>
    <w:rsid w:val="008D6F63"/>
    <w:rsid w:val="008D7515"/>
    <w:rsid w:val="008E1336"/>
    <w:rsid w:val="008E1591"/>
    <w:rsid w:val="008E1DE8"/>
    <w:rsid w:val="008E4F06"/>
    <w:rsid w:val="008E528D"/>
    <w:rsid w:val="008E6228"/>
    <w:rsid w:val="008E65FE"/>
    <w:rsid w:val="008E6A9D"/>
    <w:rsid w:val="008E6D3F"/>
    <w:rsid w:val="008E6E67"/>
    <w:rsid w:val="008F2674"/>
    <w:rsid w:val="008F300C"/>
    <w:rsid w:val="008F3C7E"/>
    <w:rsid w:val="008F497F"/>
    <w:rsid w:val="008F6253"/>
    <w:rsid w:val="008F63E3"/>
    <w:rsid w:val="008F65B9"/>
    <w:rsid w:val="008F669B"/>
    <w:rsid w:val="008F7395"/>
    <w:rsid w:val="008F77D9"/>
    <w:rsid w:val="00900E65"/>
    <w:rsid w:val="00900F5D"/>
    <w:rsid w:val="00901226"/>
    <w:rsid w:val="00901414"/>
    <w:rsid w:val="00902C78"/>
    <w:rsid w:val="00904929"/>
    <w:rsid w:val="00905297"/>
    <w:rsid w:val="00905394"/>
    <w:rsid w:val="0090633C"/>
    <w:rsid w:val="00906626"/>
    <w:rsid w:val="00906B43"/>
    <w:rsid w:val="00906DAF"/>
    <w:rsid w:val="00907706"/>
    <w:rsid w:val="009079FE"/>
    <w:rsid w:val="00907B58"/>
    <w:rsid w:val="00907CFC"/>
    <w:rsid w:val="009106BA"/>
    <w:rsid w:val="009111C4"/>
    <w:rsid w:val="0091158A"/>
    <w:rsid w:val="00911612"/>
    <w:rsid w:val="00912ED9"/>
    <w:rsid w:val="0091363C"/>
    <w:rsid w:val="00913F72"/>
    <w:rsid w:val="0091434F"/>
    <w:rsid w:val="009159E7"/>
    <w:rsid w:val="00917206"/>
    <w:rsid w:val="0091773C"/>
    <w:rsid w:val="00921BA6"/>
    <w:rsid w:val="00922BFC"/>
    <w:rsid w:val="0092311D"/>
    <w:rsid w:val="009234CD"/>
    <w:rsid w:val="00923B4D"/>
    <w:rsid w:val="00924463"/>
    <w:rsid w:val="00924A63"/>
    <w:rsid w:val="00925217"/>
    <w:rsid w:val="009259B4"/>
    <w:rsid w:val="00925F4E"/>
    <w:rsid w:val="00926320"/>
    <w:rsid w:val="00926CF9"/>
    <w:rsid w:val="0092756E"/>
    <w:rsid w:val="00927EEE"/>
    <w:rsid w:val="00927F15"/>
    <w:rsid w:val="0093010B"/>
    <w:rsid w:val="009310EC"/>
    <w:rsid w:val="00931C7A"/>
    <w:rsid w:val="00931E0E"/>
    <w:rsid w:val="009324C8"/>
    <w:rsid w:val="0093406B"/>
    <w:rsid w:val="0093431E"/>
    <w:rsid w:val="00936410"/>
    <w:rsid w:val="009415A7"/>
    <w:rsid w:val="00941791"/>
    <w:rsid w:val="0094199F"/>
    <w:rsid w:val="00941BD0"/>
    <w:rsid w:val="00942732"/>
    <w:rsid w:val="00942CDF"/>
    <w:rsid w:val="00943985"/>
    <w:rsid w:val="00943CF1"/>
    <w:rsid w:val="00943DA6"/>
    <w:rsid w:val="00944DC1"/>
    <w:rsid w:val="00944FA3"/>
    <w:rsid w:val="00945908"/>
    <w:rsid w:val="00946034"/>
    <w:rsid w:val="009463D9"/>
    <w:rsid w:val="00946703"/>
    <w:rsid w:val="00947825"/>
    <w:rsid w:val="00947BF7"/>
    <w:rsid w:val="00950AAE"/>
    <w:rsid w:val="00951480"/>
    <w:rsid w:val="009516EA"/>
    <w:rsid w:val="00951B41"/>
    <w:rsid w:val="00951B58"/>
    <w:rsid w:val="00952392"/>
    <w:rsid w:val="009524F0"/>
    <w:rsid w:val="009534C8"/>
    <w:rsid w:val="00953B2C"/>
    <w:rsid w:val="009541B6"/>
    <w:rsid w:val="00954AA1"/>
    <w:rsid w:val="009553A0"/>
    <w:rsid w:val="009553E5"/>
    <w:rsid w:val="00955C3A"/>
    <w:rsid w:val="00956202"/>
    <w:rsid w:val="009571CA"/>
    <w:rsid w:val="00957B5B"/>
    <w:rsid w:val="009600B6"/>
    <w:rsid w:val="0096029F"/>
    <w:rsid w:val="0096054E"/>
    <w:rsid w:val="00960558"/>
    <w:rsid w:val="009610F9"/>
    <w:rsid w:val="00961BAA"/>
    <w:rsid w:val="00962727"/>
    <w:rsid w:val="0096353A"/>
    <w:rsid w:val="009642A3"/>
    <w:rsid w:val="0096593F"/>
    <w:rsid w:val="00965D5F"/>
    <w:rsid w:val="009661B5"/>
    <w:rsid w:val="00966288"/>
    <w:rsid w:val="009662B4"/>
    <w:rsid w:val="009665E7"/>
    <w:rsid w:val="00966648"/>
    <w:rsid w:val="009667DE"/>
    <w:rsid w:val="00970E2F"/>
    <w:rsid w:val="0097263D"/>
    <w:rsid w:val="009747B7"/>
    <w:rsid w:val="00974BC8"/>
    <w:rsid w:val="009753C8"/>
    <w:rsid w:val="0097549E"/>
    <w:rsid w:val="00975728"/>
    <w:rsid w:val="009759A0"/>
    <w:rsid w:val="00980D71"/>
    <w:rsid w:val="00980D74"/>
    <w:rsid w:val="00981AC9"/>
    <w:rsid w:val="00981D95"/>
    <w:rsid w:val="00982091"/>
    <w:rsid w:val="009820A1"/>
    <w:rsid w:val="00982155"/>
    <w:rsid w:val="00983F29"/>
    <w:rsid w:val="00983FC5"/>
    <w:rsid w:val="00985899"/>
    <w:rsid w:val="0098658D"/>
    <w:rsid w:val="009868C6"/>
    <w:rsid w:val="00986E5A"/>
    <w:rsid w:val="009870C4"/>
    <w:rsid w:val="009874A5"/>
    <w:rsid w:val="00987A4B"/>
    <w:rsid w:val="00990FBE"/>
    <w:rsid w:val="009922ED"/>
    <w:rsid w:val="009923A2"/>
    <w:rsid w:val="0099305A"/>
    <w:rsid w:val="00995BF1"/>
    <w:rsid w:val="00996176"/>
    <w:rsid w:val="00996997"/>
    <w:rsid w:val="009969B6"/>
    <w:rsid w:val="00997759"/>
    <w:rsid w:val="00997947"/>
    <w:rsid w:val="009A07FC"/>
    <w:rsid w:val="009A093A"/>
    <w:rsid w:val="009A0A7E"/>
    <w:rsid w:val="009A151D"/>
    <w:rsid w:val="009A1C05"/>
    <w:rsid w:val="009A3BB4"/>
    <w:rsid w:val="009A3E14"/>
    <w:rsid w:val="009A4257"/>
    <w:rsid w:val="009A4FB1"/>
    <w:rsid w:val="009A6989"/>
    <w:rsid w:val="009B02EB"/>
    <w:rsid w:val="009B05A4"/>
    <w:rsid w:val="009B1EAD"/>
    <w:rsid w:val="009B2E72"/>
    <w:rsid w:val="009B2EAE"/>
    <w:rsid w:val="009B36D2"/>
    <w:rsid w:val="009B5084"/>
    <w:rsid w:val="009B66E4"/>
    <w:rsid w:val="009B6F2D"/>
    <w:rsid w:val="009B7255"/>
    <w:rsid w:val="009B79F2"/>
    <w:rsid w:val="009B7EAC"/>
    <w:rsid w:val="009C0195"/>
    <w:rsid w:val="009C1895"/>
    <w:rsid w:val="009C1D48"/>
    <w:rsid w:val="009C2A25"/>
    <w:rsid w:val="009C2CF2"/>
    <w:rsid w:val="009C3358"/>
    <w:rsid w:val="009C36FE"/>
    <w:rsid w:val="009C3BEE"/>
    <w:rsid w:val="009C47AE"/>
    <w:rsid w:val="009C4B7D"/>
    <w:rsid w:val="009C4F05"/>
    <w:rsid w:val="009C5189"/>
    <w:rsid w:val="009C5BAE"/>
    <w:rsid w:val="009C603D"/>
    <w:rsid w:val="009C67F8"/>
    <w:rsid w:val="009C69FE"/>
    <w:rsid w:val="009C7549"/>
    <w:rsid w:val="009C770A"/>
    <w:rsid w:val="009C779F"/>
    <w:rsid w:val="009C79F7"/>
    <w:rsid w:val="009D1351"/>
    <w:rsid w:val="009D2553"/>
    <w:rsid w:val="009D257D"/>
    <w:rsid w:val="009D2C13"/>
    <w:rsid w:val="009D2F44"/>
    <w:rsid w:val="009D3028"/>
    <w:rsid w:val="009D4038"/>
    <w:rsid w:val="009D43B9"/>
    <w:rsid w:val="009D50F9"/>
    <w:rsid w:val="009D571E"/>
    <w:rsid w:val="009D5C0B"/>
    <w:rsid w:val="009D789B"/>
    <w:rsid w:val="009E02D1"/>
    <w:rsid w:val="009E07B1"/>
    <w:rsid w:val="009E0C6D"/>
    <w:rsid w:val="009E11C9"/>
    <w:rsid w:val="009E13D6"/>
    <w:rsid w:val="009E2A54"/>
    <w:rsid w:val="009E2FF7"/>
    <w:rsid w:val="009E3096"/>
    <w:rsid w:val="009E3A66"/>
    <w:rsid w:val="009E3A6D"/>
    <w:rsid w:val="009E665E"/>
    <w:rsid w:val="009E66B6"/>
    <w:rsid w:val="009E6968"/>
    <w:rsid w:val="009E6A72"/>
    <w:rsid w:val="009E7126"/>
    <w:rsid w:val="009E75D9"/>
    <w:rsid w:val="009E769D"/>
    <w:rsid w:val="009E79AD"/>
    <w:rsid w:val="009E7D3C"/>
    <w:rsid w:val="009E7F1A"/>
    <w:rsid w:val="009F00C4"/>
    <w:rsid w:val="009F0D23"/>
    <w:rsid w:val="009F1157"/>
    <w:rsid w:val="009F1874"/>
    <w:rsid w:val="009F3133"/>
    <w:rsid w:val="009F319E"/>
    <w:rsid w:val="009F32E0"/>
    <w:rsid w:val="009F4A8F"/>
    <w:rsid w:val="009F4CC8"/>
    <w:rsid w:val="009F64A7"/>
    <w:rsid w:val="009F7163"/>
    <w:rsid w:val="009F74B5"/>
    <w:rsid w:val="009F74C4"/>
    <w:rsid w:val="00A006F1"/>
    <w:rsid w:val="00A0142F"/>
    <w:rsid w:val="00A01811"/>
    <w:rsid w:val="00A01C90"/>
    <w:rsid w:val="00A01E4E"/>
    <w:rsid w:val="00A0296E"/>
    <w:rsid w:val="00A030E3"/>
    <w:rsid w:val="00A03936"/>
    <w:rsid w:val="00A03A51"/>
    <w:rsid w:val="00A03B29"/>
    <w:rsid w:val="00A04BBF"/>
    <w:rsid w:val="00A05213"/>
    <w:rsid w:val="00A0645E"/>
    <w:rsid w:val="00A06D4F"/>
    <w:rsid w:val="00A07048"/>
    <w:rsid w:val="00A074E3"/>
    <w:rsid w:val="00A0775F"/>
    <w:rsid w:val="00A10042"/>
    <w:rsid w:val="00A1020F"/>
    <w:rsid w:val="00A107FB"/>
    <w:rsid w:val="00A14A48"/>
    <w:rsid w:val="00A14A84"/>
    <w:rsid w:val="00A14CFB"/>
    <w:rsid w:val="00A16131"/>
    <w:rsid w:val="00A2012A"/>
    <w:rsid w:val="00A20F3F"/>
    <w:rsid w:val="00A216F7"/>
    <w:rsid w:val="00A22285"/>
    <w:rsid w:val="00A22936"/>
    <w:rsid w:val="00A22A7D"/>
    <w:rsid w:val="00A22B88"/>
    <w:rsid w:val="00A22FBA"/>
    <w:rsid w:val="00A233F0"/>
    <w:rsid w:val="00A238A5"/>
    <w:rsid w:val="00A24FED"/>
    <w:rsid w:val="00A26462"/>
    <w:rsid w:val="00A27243"/>
    <w:rsid w:val="00A27B4E"/>
    <w:rsid w:val="00A30070"/>
    <w:rsid w:val="00A30151"/>
    <w:rsid w:val="00A3026C"/>
    <w:rsid w:val="00A30A93"/>
    <w:rsid w:val="00A314E3"/>
    <w:rsid w:val="00A326AD"/>
    <w:rsid w:val="00A32741"/>
    <w:rsid w:val="00A33EED"/>
    <w:rsid w:val="00A33FB4"/>
    <w:rsid w:val="00A34BE7"/>
    <w:rsid w:val="00A361F1"/>
    <w:rsid w:val="00A373EC"/>
    <w:rsid w:val="00A37A65"/>
    <w:rsid w:val="00A37BEC"/>
    <w:rsid w:val="00A40189"/>
    <w:rsid w:val="00A4094E"/>
    <w:rsid w:val="00A410BF"/>
    <w:rsid w:val="00A41C54"/>
    <w:rsid w:val="00A42C25"/>
    <w:rsid w:val="00A45884"/>
    <w:rsid w:val="00A46BF9"/>
    <w:rsid w:val="00A46F3F"/>
    <w:rsid w:val="00A476D6"/>
    <w:rsid w:val="00A47C1A"/>
    <w:rsid w:val="00A51918"/>
    <w:rsid w:val="00A51F4D"/>
    <w:rsid w:val="00A51F89"/>
    <w:rsid w:val="00A51FE0"/>
    <w:rsid w:val="00A525CD"/>
    <w:rsid w:val="00A529BC"/>
    <w:rsid w:val="00A52F35"/>
    <w:rsid w:val="00A5313C"/>
    <w:rsid w:val="00A5455E"/>
    <w:rsid w:val="00A549E5"/>
    <w:rsid w:val="00A56B32"/>
    <w:rsid w:val="00A57062"/>
    <w:rsid w:val="00A5741E"/>
    <w:rsid w:val="00A57D99"/>
    <w:rsid w:val="00A6079A"/>
    <w:rsid w:val="00A61367"/>
    <w:rsid w:val="00A619FC"/>
    <w:rsid w:val="00A6378A"/>
    <w:rsid w:val="00A64000"/>
    <w:rsid w:val="00A64560"/>
    <w:rsid w:val="00A65801"/>
    <w:rsid w:val="00A661FC"/>
    <w:rsid w:val="00A6620F"/>
    <w:rsid w:val="00A66F3B"/>
    <w:rsid w:val="00A67E38"/>
    <w:rsid w:val="00A67F55"/>
    <w:rsid w:val="00A70D55"/>
    <w:rsid w:val="00A70EB4"/>
    <w:rsid w:val="00A72122"/>
    <w:rsid w:val="00A731C0"/>
    <w:rsid w:val="00A73A85"/>
    <w:rsid w:val="00A73D57"/>
    <w:rsid w:val="00A74752"/>
    <w:rsid w:val="00A76294"/>
    <w:rsid w:val="00A76781"/>
    <w:rsid w:val="00A77190"/>
    <w:rsid w:val="00A7732B"/>
    <w:rsid w:val="00A773BD"/>
    <w:rsid w:val="00A77C17"/>
    <w:rsid w:val="00A77EB5"/>
    <w:rsid w:val="00A8034B"/>
    <w:rsid w:val="00A80644"/>
    <w:rsid w:val="00A80792"/>
    <w:rsid w:val="00A80E4C"/>
    <w:rsid w:val="00A8138C"/>
    <w:rsid w:val="00A8386F"/>
    <w:rsid w:val="00A842C1"/>
    <w:rsid w:val="00A84414"/>
    <w:rsid w:val="00A85DA7"/>
    <w:rsid w:val="00A86B2E"/>
    <w:rsid w:val="00A87A8A"/>
    <w:rsid w:val="00A909A9"/>
    <w:rsid w:val="00A91AA0"/>
    <w:rsid w:val="00A91AE8"/>
    <w:rsid w:val="00A91E92"/>
    <w:rsid w:val="00A92446"/>
    <w:rsid w:val="00A92766"/>
    <w:rsid w:val="00A92E67"/>
    <w:rsid w:val="00A933D3"/>
    <w:rsid w:val="00A93A63"/>
    <w:rsid w:val="00A951AE"/>
    <w:rsid w:val="00A9600F"/>
    <w:rsid w:val="00A960EC"/>
    <w:rsid w:val="00A96E96"/>
    <w:rsid w:val="00A96F61"/>
    <w:rsid w:val="00AA090A"/>
    <w:rsid w:val="00AA1D3F"/>
    <w:rsid w:val="00AA2ACD"/>
    <w:rsid w:val="00AA4146"/>
    <w:rsid w:val="00AA4172"/>
    <w:rsid w:val="00AA417C"/>
    <w:rsid w:val="00AA45DF"/>
    <w:rsid w:val="00AA4BF2"/>
    <w:rsid w:val="00AA4BFD"/>
    <w:rsid w:val="00AA5BD5"/>
    <w:rsid w:val="00AA6AD5"/>
    <w:rsid w:val="00AA730B"/>
    <w:rsid w:val="00AB02C0"/>
    <w:rsid w:val="00AB10CF"/>
    <w:rsid w:val="00AB15BC"/>
    <w:rsid w:val="00AB1CE5"/>
    <w:rsid w:val="00AB28CE"/>
    <w:rsid w:val="00AB3C70"/>
    <w:rsid w:val="00AB3E07"/>
    <w:rsid w:val="00AB3F04"/>
    <w:rsid w:val="00AB4905"/>
    <w:rsid w:val="00AB5C84"/>
    <w:rsid w:val="00AB5D80"/>
    <w:rsid w:val="00AB7CFC"/>
    <w:rsid w:val="00AC0C71"/>
    <w:rsid w:val="00AC10F2"/>
    <w:rsid w:val="00AC1E26"/>
    <w:rsid w:val="00AC26EE"/>
    <w:rsid w:val="00AC359F"/>
    <w:rsid w:val="00AC44DC"/>
    <w:rsid w:val="00AC4551"/>
    <w:rsid w:val="00AC6D9F"/>
    <w:rsid w:val="00AC74C1"/>
    <w:rsid w:val="00AC75A8"/>
    <w:rsid w:val="00AC770F"/>
    <w:rsid w:val="00AC79C6"/>
    <w:rsid w:val="00AD0706"/>
    <w:rsid w:val="00AD0745"/>
    <w:rsid w:val="00AD13D6"/>
    <w:rsid w:val="00AD1AAD"/>
    <w:rsid w:val="00AD1FB6"/>
    <w:rsid w:val="00AD2285"/>
    <w:rsid w:val="00AD2B02"/>
    <w:rsid w:val="00AD32B3"/>
    <w:rsid w:val="00AD338C"/>
    <w:rsid w:val="00AD39C0"/>
    <w:rsid w:val="00AD3DDB"/>
    <w:rsid w:val="00AD4A75"/>
    <w:rsid w:val="00AD53D2"/>
    <w:rsid w:val="00AD55AF"/>
    <w:rsid w:val="00AD59E3"/>
    <w:rsid w:val="00AD60B0"/>
    <w:rsid w:val="00AD655E"/>
    <w:rsid w:val="00AD675B"/>
    <w:rsid w:val="00AD7A35"/>
    <w:rsid w:val="00AD7A78"/>
    <w:rsid w:val="00AE0B44"/>
    <w:rsid w:val="00AE0CFB"/>
    <w:rsid w:val="00AE10B8"/>
    <w:rsid w:val="00AE2534"/>
    <w:rsid w:val="00AE3FC0"/>
    <w:rsid w:val="00AE4569"/>
    <w:rsid w:val="00AE4F0C"/>
    <w:rsid w:val="00AE4F1F"/>
    <w:rsid w:val="00AE6780"/>
    <w:rsid w:val="00AE6831"/>
    <w:rsid w:val="00AE75F7"/>
    <w:rsid w:val="00AF0A8C"/>
    <w:rsid w:val="00AF2195"/>
    <w:rsid w:val="00AF24AA"/>
    <w:rsid w:val="00AF2F5E"/>
    <w:rsid w:val="00AF33D0"/>
    <w:rsid w:val="00AF343B"/>
    <w:rsid w:val="00AF42F1"/>
    <w:rsid w:val="00AF4930"/>
    <w:rsid w:val="00AF4EA5"/>
    <w:rsid w:val="00AF5EBA"/>
    <w:rsid w:val="00AF691A"/>
    <w:rsid w:val="00AF6A29"/>
    <w:rsid w:val="00AF6C1C"/>
    <w:rsid w:val="00AF7B9F"/>
    <w:rsid w:val="00AF7DF3"/>
    <w:rsid w:val="00AF7FD9"/>
    <w:rsid w:val="00B01E42"/>
    <w:rsid w:val="00B0248C"/>
    <w:rsid w:val="00B02794"/>
    <w:rsid w:val="00B02C01"/>
    <w:rsid w:val="00B02E4E"/>
    <w:rsid w:val="00B03340"/>
    <w:rsid w:val="00B03C8A"/>
    <w:rsid w:val="00B0424E"/>
    <w:rsid w:val="00B045C2"/>
    <w:rsid w:val="00B05148"/>
    <w:rsid w:val="00B06694"/>
    <w:rsid w:val="00B07595"/>
    <w:rsid w:val="00B077BA"/>
    <w:rsid w:val="00B109C1"/>
    <w:rsid w:val="00B10D2E"/>
    <w:rsid w:val="00B11CE0"/>
    <w:rsid w:val="00B12444"/>
    <w:rsid w:val="00B12637"/>
    <w:rsid w:val="00B12AEF"/>
    <w:rsid w:val="00B131D9"/>
    <w:rsid w:val="00B13FFC"/>
    <w:rsid w:val="00B14051"/>
    <w:rsid w:val="00B1468D"/>
    <w:rsid w:val="00B15BCB"/>
    <w:rsid w:val="00B168AA"/>
    <w:rsid w:val="00B16ED1"/>
    <w:rsid w:val="00B171E8"/>
    <w:rsid w:val="00B17407"/>
    <w:rsid w:val="00B1767E"/>
    <w:rsid w:val="00B2027B"/>
    <w:rsid w:val="00B20415"/>
    <w:rsid w:val="00B20528"/>
    <w:rsid w:val="00B207EB"/>
    <w:rsid w:val="00B2091E"/>
    <w:rsid w:val="00B23A18"/>
    <w:rsid w:val="00B2419C"/>
    <w:rsid w:val="00B24CC5"/>
    <w:rsid w:val="00B25210"/>
    <w:rsid w:val="00B25529"/>
    <w:rsid w:val="00B25B8D"/>
    <w:rsid w:val="00B26D2C"/>
    <w:rsid w:val="00B26E81"/>
    <w:rsid w:val="00B26FFD"/>
    <w:rsid w:val="00B27373"/>
    <w:rsid w:val="00B30062"/>
    <w:rsid w:val="00B300C9"/>
    <w:rsid w:val="00B30C32"/>
    <w:rsid w:val="00B30FDF"/>
    <w:rsid w:val="00B3257C"/>
    <w:rsid w:val="00B32FFC"/>
    <w:rsid w:val="00B333E4"/>
    <w:rsid w:val="00B343FC"/>
    <w:rsid w:val="00B3454D"/>
    <w:rsid w:val="00B34CF2"/>
    <w:rsid w:val="00B3503B"/>
    <w:rsid w:val="00B35B26"/>
    <w:rsid w:val="00B35C7A"/>
    <w:rsid w:val="00B3632E"/>
    <w:rsid w:val="00B3694B"/>
    <w:rsid w:val="00B36C43"/>
    <w:rsid w:val="00B36E9C"/>
    <w:rsid w:val="00B37FF0"/>
    <w:rsid w:val="00B41B3E"/>
    <w:rsid w:val="00B41BE0"/>
    <w:rsid w:val="00B41CAD"/>
    <w:rsid w:val="00B424DB"/>
    <w:rsid w:val="00B4291C"/>
    <w:rsid w:val="00B4307B"/>
    <w:rsid w:val="00B43A2A"/>
    <w:rsid w:val="00B43EE7"/>
    <w:rsid w:val="00B44B5C"/>
    <w:rsid w:val="00B44E6E"/>
    <w:rsid w:val="00B4557E"/>
    <w:rsid w:val="00B456DF"/>
    <w:rsid w:val="00B45924"/>
    <w:rsid w:val="00B45C52"/>
    <w:rsid w:val="00B45C8E"/>
    <w:rsid w:val="00B45EB7"/>
    <w:rsid w:val="00B463D6"/>
    <w:rsid w:val="00B467AF"/>
    <w:rsid w:val="00B470D2"/>
    <w:rsid w:val="00B478D9"/>
    <w:rsid w:val="00B47C2E"/>
    <w:rsid w:val="00B50080"/>
    <w:rsid w:val="00B50272"/>
    <w:rsid w:val="00B503C7"/>
    <w:rsid w:val="00B5056E"/>
    <w:rsid w:val="00B50608"/>
    <w:rsid w:val="00B5083E"/>
    <w:rsid w:val="00B51419"/>
    <w:rsid w:val="00B51780"/>
    <w:rsid w:val="00B51E98"/>
    <w:rsid w:val="00B5209A"/>
    <w:rsid w:val="00B52512"/>
    <w:rsid w:val="00B53F86"/>
    <w:rsid w:val="00B54CED"/>
    <w:rsid w:val="00B54DCC"/>
    <w:rsid w:val="00B55132"/>
    <w:rsid w:val="00B556CD"/>
    <w:rsid w:val="00B558AE"/>
    <w:rsid w:val="00B55DC0"/>
    <w:rsid w:val="00B57482"/>
    <w:rsid w:val="00B5781C"/>
    <w:rsid w:val="00B57E81"/>
    <w:rsid w:val="00B61C92"/>
    <w:rsid w:val="00B6318C"/>
    <w:rsid w:val="00B637BF"/>
    <w:rsid w:val="00B63E91"/>
    <w:rsid w:val="00B64F1D"/>
    <w:rsid w:val="00B656A2"/>
    <w:rsid w:val="00B65B75"/>
    <w:rsid w:val="00B676BD"/>
    <w:rsid w:val="00B678A8"/>
    <w:rsid w:val="00B70C4F"/>
    <w:rsid w:val="00B70CD4"/>
    <w:rsid w:val="00B7197D"/>
    <w:rsid w:val="00B723BD"/>
    <w:rsid w:val="00B72536"/>
    <w:rsid w:val="00B726E6"/>
    <w:rsid w:val="00B73276"/>
    <w:rsid w:val="00B73EFF"/>
    <w:rsid w:val="00B73F8A"/>
    <w:rsid w:val="00B73F9C"/>
    <w:rsid w:val="00B74AC0"/>
    <w:rsid w:val="00B74F1D"/>
    <w:rsid w:val="00B75165"/>
    <w:rsid w:val="00B751B0"/>
    <w:rsid w:val="00B75CF0"/>
    <w:rsid w:val="00B762AF"/>
    <w:rsid w:val="00B76EDD"/>
    <w:rsid w:val="00B77DC4"/>
    <w:rsid w:val="00B77F60"/>
    <w:rsid w:val="00B81FE3"/>
    <w:rsid w:val="00B825F2"/>
    <w:rsid w:val="00B83047"/>
    <w:rsid w:val="00B8323C"/>
    <w:rsid w:val="00B843F3"/>
    <w:rsid w:val="00B852E4"/>
    <w:rsid w:val="00B8565A"/>
    <w:rsid w:val="00B859CB"/>
    <w:rsid w:val="00B85F8D"/>
    <w:rsid w:val="00B861CA"/>
    <w:rsid w:val="00B86D4F"/>
    <w:rsid w:val="00B86E5C"/>
    <w:rsid w:val="00B907AA"/>
    <w:rsid w:val="00B91C32"/>
    <w:rsid w:val="00B92237"/>
    <w:rsid w:val="00B92D53"/>
    <w:rsid w:val="00B93700"/>
    <w:rsid w:val="00B949F6"/>
    <w:rsid w:val="00B94B93"/>
    <w:rsid w:val="00B9567C"/>
    <w:rsid w:val="00B95D23"/>
    <w:rsid w:val="00B95E1F"/>
    <w:rsid w:val="00B966E5"/>
    <w:rsid w:val="00B96F54"/>
    <w:rsid w:val="00BA0FE7"/>
    <w:rsid w:val="00BA1519"/>
    <w:rsid w:val="00BA1D26"/>
    <w:rsid w:val="00BA1E93"/>
    <w:rsid w:val="00BA220B"/>
    <w:rsid w:val="00BA2366"/>
    <w:rsid w:val="00BA23E7"/>
    <w:rsid w:val="00BA29B3"/>
    <w:rsid w:val="00BA2D4E"/>
    <w:rsid w:val="00BA45E9"/>
    <w:rsid w:val="00BA493B"/>
    <w:rsid w:val="00BA5E41"/>
    <w:rsid w:val="00BA614F"/>
    <w:rsid w:val="00BA72CB"/>
    <w:rsid w:val="00BB0497"/>
    <w:rsid w:val="00BB0EF0"/>
    <w:rsid w:val="00BB1E78"/>
    <w:rsid w:val="00BB1F08"/>
    <w:rsid w:val="00BB3896"/>
    <w:rsid w:val="00BB42DA"/>
    <w:rsid w:val="00BB4353"/>
    <w:rsid w:val="00BB6B1D"/>
    <w:rsid w:val="00BB75AF"/>
    <w:rsid w:val="00BB77C9"/>
    <w:rsid w:val="00BC09DF"/>
    <w:rsid w:val="00BC1321"/>
    <w:rsid w:val="00BC1418"/>
    <w:rsid w:val="00BC1936"/>
    <w:rsid w:val="00BC214D"/>
    <w:rsid w:val="00BC23FD"/>
    <w:rsid w:val="00BC250E"/>
    <w:rsid w:val="00BC2ACC"/>
    <w:rsid w:val="00BC2C8D"/>
    <w:rsid w:val="00BC2F41"/>
    <w:rsid w:val="00BC3A1B"/>
    <w:rsid w:val="00BC52F5"/>
    <w:rsid w:val="00BC536C"/>
    <w:rsid w:val="00BC53F5"/>
    <w:rsid w:val="00BC5B86"/>
    <w:rsid w:val="00BC63B0"/>
    <w:rsid w:val="00BC63BD"/>
    <w:rsid w:val="00BC7138"/>
    <w:rsid w:val="00BC7B51"/>
    <w:rsid w:val="00BC7DF6"/>
    <w:rsid w:val="00BC7F33"/>
    <w:rsid w:val="00BD03F1"/>
    <w:rsid w:val="00BD0C94"/>
    <w:rsid w:val="00BD193C"/>
    <w:rsid w:val="00BD1F55"/>
    <w:rsid w:val="00BD24E1"/>
    <w:rsid w:val="00BD272A"/>
    <w:rsid w:val="00BD274A"/>
    <w:rsid w:val="00BD2972"/>
    <w:rsid w:val="00BD2F48"/>
    <w:rsid w:val="00BD43D4"/>
    <w:rsid w:val="00BD4A5D"/>
    <w:rsid w:val="00BD5140"/>
    <w:rsid w:val="00BD5E14"/>
    <w:rsid w:val="00BD61D5"/>
    <w:rsid w:val="00BD655C"/>
    <w:rsid w:val="00BD6727"/>
    <w:rsid w:val="00BD6A44"/>
    <w:rsid w:val="00BD6F2C"/>
    <w:rsid w:val="00BD7227"/>
    <w:rsid w:val="00BD7538"/>
    <w:rsid w:val="00BE00D3"/>
    <w:rsid w:val="00BE0C98"/>
    <w:rsid w:val="00BE0E4B"/>
    <w:rsid w:val="00BE0F45"/>
    <w:rsid w:val="00BE159A"/>
    <w:rsid w:val="00BE1855"/>
    <w:rsid w:val="00BE2855"/>
    <w:rsid w:val="00BE2EE4"/>
    <w:rsid w:val="00BE3E58"/>
    <w:rsid w:val="00BE3E5C"/>
    <w:rsid w:val="00BE4198"/>
    <w:rsid w:val="00BE5353"/>
    <w:rsid w:val="00BE5870"/>
    <w:rsid w:val="00BE6AF8"/>
    <w:rsid w:val="00BE719F"/>
    <w:rsid w:val="00BE7DF3"/>
    <w:rsid w:val="00BF0053"/>
    <w:rsid w:val="00BF0642"/>
    <w:rsid w:val="00BF1139"/>
    <w:rsid w:val="00BF194A"/>
    <w:rsid w:val="00BF49AA"/>
    <w:rsid w:val="00BF49AB"/>
    <w:rsid w:val="00BF4C32"/>
    <w:rsid w:val="00BF55DF"/>
    <w:rsid w:val="00BF5E45"/>
    <w:rsid w:val="00BF5EF8"/>
    <w:rsid w:val="00BF60B2"/>
    <w:rsid w:val="00BF683A"/>
    <w:rsid w:val="00BF7822"/>
    <w:rsid w:val="00BF7870"/>
    <w:rsid w:val="00BF79F2"/>
    <w:rsid w:val="00BF7A9E"/>
    <w:rsid w:val="00BF7B04"/>
    <w:rsid w:val="00BF7F8E"/>
    <w:rsid w:val="00C00DA8"/>
    <w:rsid w:val="00C00DE9"/>
    <w:rsid w:val="00C04493"/>
    <w:rsid w:val="00C0452C"/>
    <w:rsid w:val="00C0492D"/>
    <w:rsid w:val="00C05197"/>
    <w:rsid w:val="00C0526F"/>
    <w:rsid w:val="00C05A10"/>
    <w:rsid w:val="00C05E25"/>
    <w:rsid w:val="00C06416"/>
    <w:rsid w:val="00C06B37"/>
    <w:rsid w:val="00C06D18"/>
    <w:rsid w:val="00C071F8"/>
    <w:rsid w:val="00C101C6"/>
    <w:rsid w:val="00C10513"/>
    <w:rsid w:val="00C106DE"/>
    <w:rsid w:val="00C10792"/>
    <w:rsid w:val="00C110CC"/>
    <w:rsid w:val="00C1142E"/>
    <w:rsid w:val="00C11D06"/>
    <w:rsid w:val="00C132F9"/>
    <w:rsid w:val="00C13669"/>
    <w:rsid w:val="00C1408C"/>
    <w:rsid w:val="00C142A4"/>
    <w:rsid w:val="00C152A6"/>
    <w:rsid w:val="00C15AF7"/>
    <w:rsid w:val="00C17EAD"/>
    <w:rsid w:val="00C206ED"/>
    <w:rsid w:val="00C21D60"/>
    <w:rsid w:val="00C22971"/>
    <w:rsid w:val="00C22E9F"/>
    <w:rsid w:val="00C233E0"/>
    <w:rsid w:val="00C23B6C"/>
    <w:rsid w:val="00C23F53"/>
    <w:rsid w:val="00C240C9"/>
    <w:rsid w:val="00C24A73"/>
    <w:rsid w:val="00C2563F"/>
    <w:rsid w:val="00C259BC"/>
    <w:rsid w:val="00C25F9A"/>
    <w:rsid w:val="00C264A7"/>
    <w:rsid w:val="00C265FC"/>
    <w:rsid w:val="00C26E13"/>
    <w:rsid w:val="00C3086A"/>
    <w:rsid w:val="00C30A6D"/>
    <w:rsid w:val="00C31EF1"/>
    <w:rsid w:val="00C32392"/>
    <w:rsid w:val="00C328E5"/>
    <w:rsid w:val="00C33088"/>
    <w:rsid w:val="00C3378D"/>
    <w:rsid w:val="00C33B10"/>
    <w:rsid w:val="00C34C90"/>
    <w:rsid w:val="00C352E4"/>
    <w:rsid w:val="00C3559C"/>
    <w:rsid w:val="00C35636"/>
    <w:rsid w:val="00C36299"/>
    <w:rsid w:val="00C36C7C"/>
    <w:rsid w:val="00C36CCB"/>
    <w:rsid w:val="00C40000"/>
    <w:rsid w:val="00C409E3"/>
    <w:rsid w:val="00C417B5"/>
    <w:rsid w:val="00C421AA"/>
    <w:rsid w:val="00C42ECB"/>
    <w:rsid w:val="00C42F1C"/>
    <w:rsid w:val="00C437F2"/>
    <w:rsid w:val="00C43BE0"/>
    <w:rsid w:val="00C44288"/>
    <w:rsid w:val="00C4430D"/>
    <w:rsid w:val="00C44FA8"/>
    <w:rsid w:val="00C45541"/>
    <w:rsid w:val="00C455BE"/>
    <w:rsid w:val="00C46265"/>
    <w:rsid w:val="00C46296"/>
    <w:rsid w:val="00C467A9"/>
    <w:rsid w:val="00C47347"/>
    <w:rsid w:val="00C47CBB"/>
    <w:rsid w:val="00C50ADD"/>
    <w:rsid w:val="00C5163C"/>
    <w:rsid w:val="00C52A8C"/>
    <w:rsid w:val="00C52D6C"/>
    <w:rsid w:val="00C54076"/>
    <w:rsid w:val="00C543C1"/>
    <w:rsid w:val="00C555AF"/>
    <w:rsid w:val="00C55707"/>
    <w:rsid w:val="00C5603B"/>
    <w:rsid w:val="00C565FD"/>
    <w:rsid w:val="00C5682E"/>
    <w:rsid w:val="00C569EE"/>
    <w:rsid w:val="00C578AF"/>
    <w:rsid w:val="00C60BAB"/>
    <w:rsid w:val="00C619D8"/>
    <w:rsid w:val="00C6220A"/>
    <w:rsid w:val="00C62A42"/>
    <w:rsid w:val="00C62B56"/>
    <w:rsid w:val="00C62C36"/>
    <w:rsid w:val="00C62EE4"/>
    <w:rsid w:val="00C63A16"/>
    <w:rsid w:val="00C63B62"/>
    <w:rsid w:val="00C63CCB"/>
    <w:rsid w:val="00C64637"/>
    <w:rsid w:val="00C64984"/>
    <w:rsid w:val="00C64B96"/>
    <w:rsid w:val="00C6586A"/>
    <w:rsid w:val="00C65D0E"/>
    <w:rsid w:val="00C65E0B"/>
    <w:rsid w:val="00C663C7"/>
    <w:rsid w:val="00C6686E"/>
    <w:rsid w:val="00C66D3B"/>
    <w:rsid w:val="00C66DC6"/>
    <w:rsid w:val="00C675CB"/>
    <w:rsid w:val="00C67986"/>
    <w:rsid w:val="00C67FB9"/>
    <w:rsid w:val="00C70923"/>
    <w:rsid w:val="00C71692"/>
    <w:rsid w:val="00C71CD3"/>
    <w:rsid w:val="00C72435"/>
    <w:rsid w:val="00C72C3C"/>
    <w:rsid w:val="00C73570"/>
    <w:rsid w:val="00C7464C"/>
    <w:rsid w:val="00C74C60"/>
    <w:rsid w:val="00C75E4B"/>
    <w:rsid w:val="00C76114"/>
    <w:rsid w:val="00C7623E"/>
    <w:rsid w:val="00C76EAA"/>
    <w:rsid w:val="00C770AB"/>
    <w:rsid w:val="00C771A8"/>
    <w:rsid w:val="00C774B3"/>
    <w:rsid w:val="00C81500"/>
    <w:rsid w:val="00C81B18"/>
    <w:rsid w:val="00C81B78"/>
    <w:rsid w:val="00C83EF9"/>
    <w:rsid w:val="00C848BB"/>
    <w:rsid w:val="00C8497D"/>
    <w:rsid w:val="00C851F4"/>
    <w:rsid w:val="00C852A9"/>
    <w:rsid w:val="00C8652F"/>
    <w:rsid w:val="00C90282"/>
    <w:rsid w:val="00C904FA"/>
    <w:rsid w:val="00C908A7"/>
    <w:rsid w:val="00C90A58"/>
    <w:rsid w:val="00C91412"/>
    <w:rsid w:val="00C92680"/>
    <w:rsid w:val="00C93938"/>
    <w:rsid w:val="00C93B7C"/>
    <w:rsid w:val="00C93F3A"/>
    <w:rsid w:val="00C943FD"/>
    <w:rsid w:val="00C966A9"/>
    <w:rsid w:val="00C97699"/>
    <w:rsid w:val="00CA045A"/>
    <w:rsid w:val="00CA0ABF"/>
    <w:rsid w:val="00CA0D29"/>
    <w:rsid w:val="00CA19C9"/>
    <w:rsid w:val="00CA20A0"/>
    <w:rsid w:val="00CA20D9"/>
    <w:rsid w:val="00CA20EA"/>
    <w:rsid w:val="00CA26B9"/>
    <w:rsid w:val="00CA3064"/>
    <w:rsid w:val="00CA35A8"/>
    <w:rsid w:val="00CA43F7"/>
    <w:rsid w:val="00CA4827"/>
    <w:rsid w:val="00CA4C54"/>
    <w:rsid w:val="00CA5AA9"/>
    <w:rsid w:val="00CA68D6"/>
    <w:rsid w:val="00CA738D"/>
    <w:rsid w:val="00CA7400"/>
    <w:rsid w:val="00CA78A8"/>
    <w:rsid w:val="00CA7BCC"/>
    <w:rsid w:val="00CB008D"/>
    <w:rsid w:val="00CB025E"/>
    <w:rsid w:val="00CB0811"/>
    <w:rsid w:val="00CB1673"/>
    <w:rsid w:val="00CB2A52"/>
    <w:rsid w:val="00CB6769"/>
    <w:rsid w:val="00CB6CB5"/>
    <w:rsid w:val="00CB75FB"/>
    <w:rsid w:val="00CB7758"/>
    <w:rsid w:val="00CC07C6"/>
    <w:rsid w:val="00CC0E9E"/>
    <w:rsid w:val="00CC1343"/>
    <w:rsid w:val="00CC15D3"/>
    <w:rsid w:val="00CC1F8A"/>
    <w:rsid w:val="00CC2942"/>
    <w:rsid w:val="00CC2A04"/>
    <w:rsid w:val="00CC3270"/>
    <w:rsid w:val="00CC43B6"/>
    <w:rsid w:val="00CC4626"/>
    <w:rsid w:val="00CC5C5C"/>
    <w:rsid w:val="00CC7478"/>
    <w:rsid w:val="00CC7C4E"/>
    <w:rsid w:val="00CD0472"/>
    <w:rsid w:val="00CD0568"/>
    <w:rsid w:val="00CD06BA"/>
    <w:rsid w:val="00CD0922"/>
    <w:rsid w:val="00CD200D"/>
    <w:rsid w:val="00CD21B5"/>
    <w:rsid w:val="00CD270A"/>
    <w:rsid w:val="00CD2AFC"/>
    <w:rsid w:val="00CD393F"/>
    <w:rsid w:val="00CD400F"/>
    <w:rsid w:val="00CD44C6"/>
    <w:rsid w:val="00CD46BC"/>
    <w:rsid w:val="00CD5859"/>
    <w:rsid w:val="00CD647D"/>
    <w:rsid w:val="00CD73DD"/>
    <w:rsid w:val="00CD7569"/>
    <w:rsid w:val="00CD7772"/>
    <w:rsid w:val="00CD7FA4"/>
    <w:rsid w:val="00CE0DD8"/>
    <w:rsid w:val="00CE1B67"/>
    <w:rsid w:val="00CE1F01"/>
    <w:rsid w:val="00CE292B"/>
    <w:rsid w:val="00CE298D"/>
    <w:rsid w:val="00CE32B9"/>
    <w:rsid w:val="00CE37AD"/>
    <w:rsid w:val="00CE3E25"/>
    <w:rsid w:val="00CE3FC8"/>
    <w:rsid w:val="00CE49F3"/>
    <w:rsid w:val="00CE4CC2"/>
    <w:rsid w:val="00CE4E89"/>
    <w:rsid w:val="00CE4FB7"/>
    <w:rsid w:val="00CE50EE"/>
    <w:rsid w:val="00CE61CA"/>
    <w:rsid w:val="00CE61DE"/>
    <w:rsid w:val="00CE6635"/>
    <w:rsid w:val="00CE7560"/>
    <w:rsid w:val="00CE7715"/>
    <w:rsid w:val="00CF05F4"/>
    <w:rsid w:val="00CF06EC"/>
    <w:rsid w:val="00CF1943"/>
    <w:rsid w:val="00CF1F7C"/>
    <w:rsid w:val="00CF217B"/>
    <w:rsid w:val="00CF2B4E"/>
    <w:rsid w:val="00CF312A"/>
    <w:rsid w:val="00CF337D"/>
    <w:rsid w:val="00CF3FC5"/>
    <w:rsid w:val="00CF4511"/>
    <w:rsid w:val="00CF4615"/>
    <w:rsid w:val="00CF4CB8"/>
    <w:rsid w:val="00CF6663"/>
    <w:rsid w:val="00CF7BA2"/>
    <w:rsid w:val="00CF7BC0"/>
    <w:rsid w:val="00CF7CA3"/>
    <w:rsid w:val="00CF7EA6"/>
    <w:rsid w:val="00D00047"/>
    <w:rsid w:val="00D00147"/>
    <w:rsid w:val="00D018C2"/>
    <w:rsid w:val="00D033A9"/>
    <w:rsid w:val="00D038B6"/>
    <w:rsid w:val="00D03B5F"/>
    <w:rsid w:val="00D03B72"/>
    <w:rsid w:val="00D04502"/>
    <w:rsid w:val="00D04909"/>
    <w:rsid w:val="00D04F9F"/>
    <w:rsid w:val="00D0556D"/>
    <w:rsid w:val="00D059BE"/>
    <w:rsid w:val="00D05A9A"/>
    <w:rsid w:val="00D074C6"/>
    <w:rsid w:val="00D07702"/>
    <w:rsid w:val="00D10152"/>
    <w:rsid w:val="00D1019D"/>
    <w:rsid w:val="00D10227"/>
    <w:rsid w:val="00D1069C"/>
    <w:rsid w:val="00D11C58"/>
    <w:rsid w:val="00D13ED9"/>
    <w:rsid w:val="00D13EEA"/>
    <w:rsid w:val="00D142EE"/>
    <w:rsid w:val="00D143E3"/>
    <w:rsid w:val="00D14520"/>
    <w:rsid w:val="00D1465F"/>
    <w:rsid w:val="00D14822"/>
    <w:rsid w:val="00D1495E"/>
    <w:rsid w:val="00D15BC1"/>
    <w:rsid w:val="00D161B4"/>
    <w:rsid w:val="00D16B00"/>
    <w:rsid w:val="00D21578"/>
    <w:rsid w:val="00D21958"/>
    <w:rsid w:val="00D21BF1"/>
    <w:rsid w:val="00D226F1"/>
    <w:rsid w:val="00D22B6D"/>
    <w:rsid w:val="00D234A5"/>
    <w:rsid w:val="00D236D6"/>
    <w:rsid w:val="00D244B9"/>
    <w:rsid w:val="00D245BC"/>
    <w:rsid w:val="00D257EF"/>
    <w:rsid w:val="00D25892"/>
    <w:rsid w:val="00D269C8"/>
    <w:rsid w:val="00D27DFD"/>
    <w:rsid w:val="00D30A5E"/>
    <w:rsid w:val="00D30A8B"/>
    <w:rsid w:val="00D30DA5"/>
    <w:rsid w:val="00D31D71"/>
    <w:rsid w:val="00D31EFE"/>
    <w:rsid w:val="00D321E8"/>
    <w:rsid w:val="00D327D8"/>
    <w:rsid w:val="00D33980"/>
    <w:rsid w:val="00D33C63"/>
    <w:rsid w:val="00D34CA7"/>
    <w:rsid w:val="00D35475"/>
    <w:rsid w:val="00D36E71"/>
    <w:rsid w:val="00D37536"/>
    <w:rsid w:val="00D3789D"/>
    <w:rsid w:val="00D37901"/>
    <w:rsid w:val="00D37EC3"/>
    <w:rsid w:val="00D40DA5"/>
    <w:rsid w:val="00D420C4"/>
    <w:rsid w:val="00D4222F"/>
    <w:rsid w:val="00D42518"/>
    <w:rsid w:val="00D4274D"/>
    <w:rsid w:val="00D42822"/>
    <w:rsid w:val="00D43643"/>
    <w:rsid w:val="00D44D40"/>
    <w:rsid w:val="00D45828"/>
    <w:rsid w:val="00D458DD"/>
    <w:rsid w:val="00D45E1C"/>
    <w:rsid w:val="00D46082"/>
    <w:rsid w:val="00D46FDD"/>
    <w:rsid w:val="00D470FD"/>
    <w:rsid w:val="00D47268"/>
    <w:rsid w:val="00D47FBD"/>
    <w:rsid w:val="00D5121F"/>
    <w:rsid w:val="00D512F0"/>
    <w:rsid w:val="00D51655"/>
    <w:rsid w:val="00D518BF"/>
    <w:rsid w:val="00D51A91"/>
    <w:rsid w:val="00D51F04"/>
    <w:rsid w:val="00D5211F"/>
    <w:rsid w:val="00D523A1"/>
    <w:rsid w:val="00D525D4"/>
    <w:rsid w:val="00D52D9D"/>
    <w:rsid w:val="00D533A1"/>
    <w:rsid w:val="00D53676"/>
    <w:rsid w:val="00D53DBF"/>
    <w:rsid w:val="00D54519"/>
    <w:rsid w:val="00D55913"/>
    <w:rsid w:val="00D563B0"/>
    <w:rsid w:val="00D56AE8"/>
    <w:rsid w:val="00D56C2A"/>
    <w:rsid w:val="00D56CB0"/>
    <w:rsid w:val="00D60300"/>
    <w:rsid w:val="00D60388"/>
    <w:rsid w:val="00D60D0E"/>
    <w:rsid w:val="00D615BB"/>
    <w:rsid w:val="00D622CE"/>
    <w:rsid w:val="00D6235C"/>
    <w:rsid w:val="00D64279"/>
    <w:rsid w:val="00D64FA0"/>
    <w:rsid w:val="00D64FC9"/>
    <w:rsid w:val="00D6548B"/>
    <w:rsid w:val="00D66F50"/>
    <w:rsid w:val="00D678AD"/>
    <w:rsid w:val="00D701D5"/>
    <w:rsid w:val="00D70200"/>
    <w:rsid w:val="00D7054C"/>
    <w:rsid w:val="00D70907"/>
    <w:rsid w:val="00D7151F"/>
    <w:rsid w:val="00D7280E"/>
    <w:rsid w:val="00D72D4D"/>
    <w:rsid w:val="00D73DB5"/>
    <w:rsid w:val="00D741E9"/>
    <w:rsid w:val="00D744C6"/>
    <w:rsid w:val="00D74EDF"/>
    <w:rsid w:val="00D765FB"/>
    <w:rsid w:val="00D77BCA"/>
    <w:rsid w:val="00D82038"/>
    <w:rsid w:val="00D82470"/>
    <w:rsid w:val="00D827CE"/>
    <w:rsid w:val="00D834B6"/>
    <w:rsid w:val="00D8461C"/>
    <w:rsid w:val="00D84E8F"/>
    <w:rsid w:val="00D85765"/>
    <w:rsid w:val="00D85B7A"/>
    <w:rsid w:val="00D85C9A"/>
    <w:rsid w:val="00D8652A"/>
    <w:rsid w:val="00D86A21"/>
    <w:rsid w:val="00D86B6A"/>
    <w:rsid w:val="00D87D26"/>
    <w:rsid w:val="00D9143E"/>
    <w:rsid w:val="00D92D42"/>
    <w:rsid w:val="00D93AC4"/>
    <w:rsid w:val="00D94C6A"/>
    <w:rsid w:val="00D94D2A"/>
    <w:rsid w:val="00D95103"/>
    <w:rsid w:val="00D96128"/>
    <w:rsid w:val="00D977A1"/>
    <w:rsid w:val="00D97BB6"/>
    <w:rsid w:val="00DA0A2B"/>
    <w:rsid w:val="00DA0E55"/>
    <w:rsid w:val="00DA139E"/>
    <w:rsid w:val="00DA155A"/>
    <w:rsid w:val="00DA2A31"/>
    <w:rsid w:val="00DA36C4"/>
    <w:rsid w:val="00DA37B4"/>
    <w:rsid w:val="00DA3C07"/>
    <w:rsid w:val="00DA3F19"/>
    <w:rsid w:val="00DA4011"/>
    <w:rsid w:val="00DA4033"/>
    <w:rsid w:val="00DA47C1"/>
    <w:rsid w:val="00DA48D2"/>
    <w:rsid w:val="00DA59DA"/>
    <w:rsid w:val="00DA739A"/>
    <w:rsid w:val="00DB080D"/>
    <w:rsid w:val="00DB14D5"/>
    <w:rsid w:val="00DB1C44"/>
    <w:rsid w:val="00DB2D32"/>
    <w:rsid w:val="00DB2D58"/>
    <w:rsid w:val="00DB2E17"/>
    <w:rsid w:val="00DB33E1"/>
    <w:rsid w:val="00DB34EC"/>
    <w:rsid w:val="00DB3E36"/>
    <w:rsid w:val="00DB4FC8"/>
    <w:rsid w:val="00DB568C"/>
    <w:rsid w:val="00DB6185"/>
    <w:rsid w:val="00DB69A9"/>
    <w:rsid w:val="00DC0275"/>
    <w:rsid w:val="00DC0591"/>
    <w:rsid w:val="00DC0B67"/>
    <w:rsid w:val="00DC1AC4"/>
    <w:rsid w:val="00DC1D8F"/>
    <w:rsid w:val="00DC1F08"/>
    <w:rsid w:val="00DC21E6"/>
    <w:rsid w:val="00DC2B2F"/>
    <w:rsid w:val="00DC3506"/>
    <w:rsid w:val="00DC546B"/>
    <w:rsid w:val="00DC55FA"/>
    <w:rsid w:val="00DC5E85"/>
    <w:rsid w:val="00DC6720"/>
    <w:rsid w:val="00DC68C9"/>
    <w:rsid w:val="00DC69DA"/>
    <w:rsid w:val="00DC6D55"/>
    <w:rsid w:val="00DC70C3"/>
    <w:rsid w:val="00DC748F"/>
    <w:rsid w:val="00DC762D"/>
    <w:rsid w:val="00DC77A1"/>
    <w:rsid w:val="00DC78D3"/>
    <w:rsid w:val="00DD02FF"/>
    <w:rsid w:val="00DD108C"/>
    <w:rsid w:val="00DD12AD"/>
    <w:rsid w:val="00DD1BF4"/>
    <w:rsid w:val="00DD3273"/>
    <w:rsid w:val="00DD42EB"/>
    <w:rsid w:val="00DD556E"/>
    <w:rsid w:val="00DD6209"/>
    <w:rsid w:val="00DD7CD2"/>
    <w:rsid w:val="00DE02B8"/>
    <w:rsid w:val="00DE08F8"/>
    <w:rsid w:val="00DE167F"/>
    <w:rsid w:val="00DE33E7"/>
    <w:rsid w:val="00DE46B1"/>
    <w:rsid w:val="00DE4A95"/>
    <w:rsid w:val="00DE4F0B"/>
    <w:rsid w:val="00DE5377"/>
    <w:rsid w:val="00DE58F4"/>
    <w:rsid w:val="00DE68C6"/>
    <w:rsid w:val="00DF00CF"/>
    <w:rsid w:val="00DF071C"/>
    <w:rsid w:val="00DF0DAA"/>
    <w:rsid w:val="00DF2CA8"/>
    <w:rsid w:val="00DF39B6"/>
    <w:rsid w:val="00DF39E3"/>
    <w:rsid w:val="00DF4D1A"/>
    <w:rsid w:val="00DF5146"/>
    <w:rsid w:val="00DF5C93"/>
    <w:rsid w:val="00DF6015"/>
    <w:rsid w:val="00DF6D18"/>
    <w:rsid w:val="00DF727F"/>
    <w:rsid w:val="00DF7D5F"/>
    <w:rsid w:val="00E00240"/>
    <w:rsid w:val="00E010C8"/>
    <w:rsid w:val="00E0117C"/>
    <w:rsid w:val="00E019D1"/>
    <w:rsid w:val="00E03C40"/>
    <w:rsid w:val="00E04270"/>
    <w:rsid w:val="00E054AC"/>
    <w:rsid w:val="00E067C8"/>
    <w:rsid w:val="00E06A77"/>
    <w:rsid w:val="00E06B62"/>
    <w:rsid w:val="00E06B98"/>
    <w:rsid w:val="00E07362"/>
    <w:rsid w:val="00E1065F"/>
    <w:rsid w:val="00E107C1"/>
    <w:rsid w:val="00E10A96"/>
    <w:rsid w:val="00E10FAA"/>
    <w:rsid w:val="00E11DF6"/>
    <w:rsid w:val="00E12504"/>
    <w:rsid w:val="00E12B24"/>
    <w:rsid w:val="00E12B5D"/>
    <w:rsid w:val="00E12F93"/>
    <w:rsid w:val="00E13BBD"/>
    <w:rsid w:val="00E13EA9"/>
    <w:rsid w:val="00E1415B"/>
    <w:rsid w:val="00E1419F"/>
    <w:rsid w:val="00E1474D"/>
    <w:rsid w:val="00E14BEB"/>
    <w:rsid w:val="00E15047"/>
    <w:rsid w:val="00E1582E"/>
    <w:rsid w:val="00E16483"/>
    <w:rsid w:val="00E17501"/>
    <w:rsid w:val="00E21190"/>
    <w:rsid w:val="00E21222"/>
    <w:rsid w:val="00E21776"/>
    <w:rsid w:val="00E22591"/>
    <w:rsid w:val="00E230C2"/>
    <w:rsid w:val="00E23DF0"/>
    <w:rsid w:val="00E2429A"/>
    <w:rsid w:val="00E24967"/>
    <w:rsid w:val="00E2508F"/>
    <w:rsid w:val="00E2566D"/>
    <w:rsid w:val="00E25C4F"/>
    <w:rsid w:val="00E277A6"/>
    <w:rsid w:val="00E3029B"/>
    <w:rsid w:val="00E31C1F"/>
    <w:rsid w:val="00E33A00"/>
    <w:rsid w:val="00E33AC9"/>
    <w:rsid w:val="00E33EB4"/>
    <w:rsid w:val="00E34FDA"/>
    <w:rsid w:val="00E35284"/>
    <w:rsid w:val="00E3561E"/>
    <w:rsid w:val="00E35740"/>
    <w:rsid w:val="00E357CF"/>
    <w:rsid w:val="00E35E82"/>
    <w:rsid w:val="00E36678"/>
    <w:rsid w:val="00E3680D"/>
    <w:rsid w:val="00E370D9"/>
    <w:rsid w:val="00E40409"/>
    <w:rsid w:val="00E4141D"/>
    <w:rsid w:val="00E416FC"/>
    <w:rsid w:val="00E418C7"/>
    <w:rsid w:val="00E41EAC"/>
    <w:rsid w:val="00E41EAE"/>
    <w:rsid w:val="00E423E4"/>
    <w:rsid w:val="00E425FB"/>
    <w:rsid w:val="00E429DD"/>
    <w:rsid w:val="00E42D26"/>
    <w:rsid w:val="00E430A7"/>
    <w:rsid w:val="00E43546"/>
    <w:rsid w:val="00E4377F"/>
    <w:rsid w:val="00E44D37"/>
    <w:rsid w:val="00E4513E"/>
    <w:rsid w:val="00E454D8"/>
    <w:rsid w:val="00E45F6E"/>
    <w:rsid w:val="00E4601D"/>
    <w:rsid w:val="00E469D5"/>
    <w:rsid w:val="00E4777A"/>
    <w:rsid w:val="00E477EC"/>
    <w:rsid w:val="00E50130"/>
    <w:rsid w:val="00E51FE2"/>
    <w:rsid w:val="00E52649"/>
    <w:rsid w:val="00E5367B"/>
    <w:rsid w:val="00E5432B"/>
    <w:rsid w:val="00E54E20"/>
    <w:rsid w:val="00E56078"/>
    <w:rsid w:val="00E56538"/>
    <w:rsid w:val="00E5730F"/>
    <w:rsid w:val="00E575D6"/>
    <w:rsid w:val="00E577CA"/>
    <w:rsid w:val="00E57A52"/>
    <w:rsid w:val="00E62B6D"/>
    <w:rsid w:val="00E62FD9"/>
    <w:rsid w:val="00E635D7"/>
    <w:rsid w:val="00E638EC"/>
    <w:rsid w:val="00E643EF"/>
    <w:rsid w:val="00E65C66"/>
    <w:rsid w:val="00E66F18"/>
    <w:rsid w:val="00E67A6D"/>
    <w:rsid w:val="00E70028"/>
    <w:rsid w:val="00E707C8"/>
    <w:rsid w:val="00E70CF6"/>
    <w:rsid w:val="00E70D03"/>
    <w:rsid w:val="00E719CF"/>
    <w:rsid w:val="00E73524"/>
    <w:rsid w:val="00E73C48"/>
    <w:rsid w:val="00E74DCA"/>
    <w:rsid w:val="00E762BA"/>
    <w:rsid w:val="00E76447"/>
    <w:rsid w:val="00E7704C"/>
    <w:rsid w:val="00E814B5"/>
    <w:rsid w:val="00E8459E"/>
    <w:rsid w:val="00E845B6"/>
    <w:rsid w:val="00E84AE8"/>
    <w:rsid w:val="00E84BBC"/>
    <w:rsid w:val="00E85F41"/>
    <w:rsid w:val="00E865FB"/>
    <w:rsid w:val="00E86E70"/>
    <w:rsid w:val="00E8710E"/>
    <w:rsid w:val="00E876E0"/>
    <w:rsid w:val="00E87B84"/>
    <w:rsid w:val="00E91110"/>
    <w:rsid w:val="00E918A6"/>
    <w:rsid w:val="00E919AA"/>
    <w:rsid w:val="00E922C5"/>
    <w:rsid w:val="00E9247D"/>
    <w:rsid w:val="00E929BB"/>
    <w:rsid w:val="00E92A42"/>
    <w:rsid w:val="00E93590"/>
    <w:rsid w:val="00E93837"/>
    <w:rsid w:val="00E976E6"/>
    <w:rsid w:val="00E97A06"/>
    <w:rsid w:val="00EA0280"/>
    <w:rsid w:val="00EA05AD"/>
    <w:rsid w:val="00EA1516"/>
    <w:rsid w:val="00EA19B8"/>
    <w:rsid w:val="00EA1EB2"/>
    <w:rsid w:val="00EA255F"/>
    <w:rsid w:val="00EA2994"/>
    <w:rsid w:val="00EA37E9"/>
    <w:rsid w:val="00EA4116"/>
    <w:rsid w:val="00EA43C3"/>
    <w:rsid w:val="00EA5C56"/>
    <w:rsid w:val="00EA689D"/>
    <w:rsid w:val="00EA76C6"/>
    <w:rsid w:val="00EA7F99"/>
    <w:rsid w:val="00EB022C"/>
    <w:rsid w:val="00EB07BF"/>
    <w:rsid w:val="00EB07E0"/>
    <w:rsid w:val="00EB10CB"/>
    <w:rsid w:val="00EB278E"/>
    <w:rsid w:val="00EB27D5"/>
    <w:rsid w:val="00EB2D0D"/>
    <w:rsid w:val="00EB2D3E"/>
    <w:rsid w:val="00EB323B"/>
    <w:rsid w:val="00EB3B59"/>
    <w:rsid w:val="00EB46BA"/>
    <w:rsid w:val="00EB4EFF"/>
    <w:rsid w:val="00EB5372"/>
    <w:rsid w:val="00EB5BEF"/>
    <w:rsid w:val="00EB61F0"/>
    <w:rsid w:val="00EB796E"/>
    <w:rsid w:val="00EB7C6A"/>
    <w:rsid w:val="00EC0665"/>
    <w:rsid w:val="00EC078A"/>
    <w:rsid w:val="00EC0D2B"/>
    <w:rsid w:val="00EC0E21"/>
    <w:rsid w:val="00EC2099"/>
    <w:rsid w:val="00EC20CA"/>
    <w:rsid w:val="00EC2141"/>
    <w:rsid w:val="00EC2AA5"/>
    <w:rsid w:val="00EC2C98"/>
    <w:rsid w:val="00EC3B07"/>
    <w:rsid w:val="00EC3EBA"/>
    <w:rsid w:val="00EC3FD7"/>
    <w:rsid w:val="00EC415E"/>
    <w:rsid w:val="00EC4DBD"/>
    <w:rsid w:val="00EC5913"/>
    <w:rsid w:val="00EC674D"/>
    <w:rsid w:val="00EC6CD0"/>
    <w:rsid w:val="00EC7282"/>
    <w:rsid w:val="00EC787F"/>
    <w:rsid w:val="00ED029D"/>
    <w:rsid w:val="00ED1111"/>
    <w:rsid w:val="00ED119E"/>
    <w:rsid w:val="00ED3445"/>
    <w:rsid w:val="00ED349E"/>
    <w:rsid w:val="00ED41C8"/>
    <w:rsid w:val="00ED52A6"/>
    <w:rsid w:val="00ED5A40"/>
    <w:rsid w:val="00ED6176"/>
    <w:rsid w:val="00ED68BF"/>
    <w:rsid w:val="00ED6B75"/>
    <w:rsid w:val="00ED7046"/>
    <w:rsid w:val="00EE005B"/>
    <w:rsid w:val="00EE0807"/>
    <w:rsid w:val="00EE241A"/>
    <w:rsid w:val="00EE2E6B"/>
    <w:rsid w:val="00EE309D"/>
    <w:rsid w:val="00EE320E"/>
    <w:rsid w:val="00EE34C7"/>
    <w:rsid w:val="00EE390E"/>
    <w:rsid w:val="00EE408C"/>
    <w:rsid w:val="00EE4E1D"/>
    <w:rsid w:val="00EE5A04"/>
    <w:rsid w:val="00EE6CAC"/>
    <w:rsid w:val="00EE7F22"/>
    <w:rsid w:val="00EE7F9F"/>
    <w:rsid w:val="00EF2F60"/>
    <w:rsid w:val="00EF54F8"/>
    <w:rsid w:val="00EF56AE"/>
    <w:rsid w:val="00EF5D41"/>
    <w:rsid w:val="00EF6019"/>
    <w:rsid w:val="00EF64E0"/>
    <w:rsid w:val="00EF65CC"/>
    <w:rsid w:val="00EF7580"/>
    <w:rsid w:val="00F00E62"/>
    <w:rsid w:val="00F0104D"/>
    <w:rsid w:val="00F01253"/>
    <w:rsid w:val="00F015FC"/>
    <w:rsid w:val="00F01F6E"/>
    <w:rsid w:val="00F024AC"/>
    <w:rsid w:val="00F024CB"/>
    <w:rsid w:val="00F0260F"/>
    <w:rsid w:val="00F026EA"/>
    <w:rsid w:val="00F02855"/>
    <w:rsid w:val="00F029D0"/>
    <w:rsid w:val="00F02E2E"/>
    <w:rsid w:val="00F036DB"/>
    <w:rsid w:val="00F03E2C"/>
    <w:rsid w:val="00F042E0"/>
    <w:rsid w:val="00F0458D"/>
    <w:rsid w:val="00F049AF"/>
    <w:rsid w:val="00F04E96"/>
    <w:rsid w:val="00F050FF"/>
    <w:rsid w:val="00F073D1"/>
    <w:rsid w:val="00F101E7"/>
    <w:rsid w:val="00F108F0"/>
    <w:rsid w:val="00F109C4"/>
    <w:rsid w:val="00F10F9D"/>
    <w:rsid w:val="00F11385"/>
    <w:rsid w:val="00F118AA"/>
    <w:rsid w:val="00F1199A"/>
    <w:rsid w:val="00F12108"/>
    <w:rsid w:val="00F126D7"/>
    <w:rsid w:val="00F12940"/>
    <w:rsid w:val="00F1300D"/>
    <w:rsid w:val="00F13365"/>
    <w:rsid w:val="00F13CA9"/>
    <w:rsid w:val="00F14082"/>
    <w:rsid w:val="00F1411A"/>
    <w:rsid w:val="00F14960"/>
    <w:rsid w:val="00F1532D"/>
    <w:rsid w:val="00F15756"/>
    <w:rsid w:val="00F15CB6"/>
    <w:rsid w:val="00F15E19"/>
    <w:rsid w:val="00F15FAE"/>
    <w:rsid w:val="00F2070E"/>
    <w:rsid w:val="00F21058"/>
    <w:rsid w:val="00F21554"/>
    <w:rsid w:val="00F21598"/>
    <w:rsid w:val="00F21A7E"/>
    <w:rsid w:val="00F21C93"/>
    <w:rsid w:val="00F228B4"/>
    <w:rsid w:val="00F22A82"/>
    <w:rsid w:val="00F22D7A"/>
    <w:rsid w:val="00F23009"/>
    <w:rsid w:val="00F23133"/>
    <w:rsid w:val="00F23A15"/>
    <w:rsid w:val="00F23F11"/>
    <w:rsid w:val="00F24A82"/>
    <w:rsid w:val="00F24BB8"/>
    <w:rsid w:val="00F24F47"/>
    <w:rsid w:val="00F25144"/>
    <w:rsid w:val="00F26DD1"/>
    <w:rsid w:val="00F27388"/>
    <w:rsid w:val="00F27570"/>
    <w:rsid w:val="00F27921"/>
    <w:rsid w:val="00F302F8"/>
    <w:rsid w:val="00F305A6"/>
    <w:rsid w:val="00F305C3"/>
    <w:rsid w:val="00F3084C"/>
    <w:rsid w:val="00F31311"/>
    <w:rsid w:val="00F31B09"/>
    <w:rsid w:val="00F323B7"/>
    <w:rsid w:val="00F32B28"/>
    <w:rsid w:val="00F3301F"/>
    <w:rsid w:val="00F33D9C"/>
    <w:rsid w:val="00F3419D"/>
    <w:rsid w:val="00F34786"/>
    <w:rsid w:val="00F36AF0"/>
    <w:rsid w:val="00F36CC0"/>
    <w:rsid w:val="00F36EB9"/>
    <w:rsid w:val="00F4050D"/>
    <w:rsid w:val="00F40E40"/>
    <w:rsid w:val="00F413CE"/>
    <w:rsid w:val="00F424F0"/>
    <w:rsid w:val="00F42C83"/>
    <w:rsid w:val="00F432B3"/>
    <w:rsid w:val="00F447A2"/>
    <w:rsid w:val="00F4494F"/>
    <w:rsid w:val="00F44963"/>
    <w:rsid w:val="00F4593E"/>
    <w:rsid w:val="00F45D8B"/>
    <w:rsid w:val="00F46067"/>
    <w:rsid w:val="00F4653E"/>
    <w:rsid w:val="00F46DA1"/>
    <w:rsid w:val="00F46F64"/>
    <w:rsid w:val="00F5017F"/>
    <w:rsid w:val="00F505B0"/>
    <w:rsid w:val="00F50B34"/>
    <w:rsid w:val="00F52272"/>
    <w:rsid w:val="00F535A4"/>
    <w:rsid w:val="00F538F6"/>
    <w:rsid w:val="00F53BD8"/>
    <w:rsid w:val="00F5437B"/>
    <w:rsid w:val="00F54789"/>
    <w:rsid w:val="00F54ECC"/>
    <w:rsid w:val="00F5527B"/>
    <w:rsid w:val="00F55628"/>
    <w:rsid w:val="00F569E7"/>
    <w:rsid w:val="00F56B56"/>
    <w:rsid w:val="00F57A2E"/>
    <w:rsid w:val="00F61C87"/>
    <w:rsid w:val="00F61D5F"/>
    <w:rsid w:val="00F6214C"/>
    <w:rsid w:val="00F651F4"/>
    <w:rsid w:val="00F65B2F"/>
    <w:rsid w:val="00F65CD7"/>
    <w:rsid w:val="00F65D2E"/>
    <w:rsid w:val="00F6664D"/>
    <w:rsid w:val="00F66E8F"/>
    <w:rsid w:val="00F67330"/>
    <w:rsid w:val="00F67414"/>
    <w:rsid w:val="00F67C39"/>
    <w:rsid w:val="00F67E91"/>
    <w:rsid w:val="00F707FB"/>
    <w:rsid w:val="00F720E6"/>
    <w:rsid w:val="00F733DA"/>
    <w:rsid w:val="00F73F64"/>
    <w:rsid w:val="00F740F0"/>
    <w:rsid w:val="00F74116"/>
    <w:rsid w:val="00F74416"/>
    <w:rsid w:val="00F74FD2"/>
    <w:rsid w:val="00F75E33"/>
    <w:rsid w:val="00F75FE4"/>
    <w:rsid w:val="00F77CC0"/>
    <w:rsid w:val="00F81402"/>
    <w:rsid w:val="00F818A9"/>
    <w:rsid w:val="00F82026"/>
    <w:rsid w:val="00F82293"/>
    <w:rsid w:val="00F8229A"/>
    <w:rsid w:val="00F828BD"/>
    <w:rsid w:val="00F82D4D"/>
    <w:rsid w:val="00F83995"/>
    <w:rsid w:val="00F857C8"/>
    <w:rsid w:val="00F85A09"/>
    <w:rsid w:val="00F863AC"/>
    <w:rsid w:val="00F865CF"/>
    <w:rsid w:val="00F86BC9"/>
    <w:rsid w:val="00F86F23"/>
    <w:rsid w:val="00F87F32"/>
    <w:rsid w:val="00F9024E"/>
    <w:rsid w:val="00F91321"/>
    <w:rsid w:val="00F91BE0"/>
    <w:rsid w:val="00F922F2"/>
    <w:rsid w:val="00F92848"/>
    <w:rsid w:val="00F92DCB"/>
    <w:rsid w:val="00F92E15"/>
    <w:rsid w:val="00F93343"/>
    <w:rsid w:val="00F938A0"/>
    <w:rsid w:val="00F939F5"/>
    <w:rsid w:val="00F941ED"/>
    <w:rsid w:val="00F944CA"/>
    <w:rsid w:val="00F94953"/>
    <w:rsid w:val="00F951C0"/>
    <w:rsid w:val="00F9558F"/>
    <w:rsid w:val="00F962FB"/>
    <w:rsid w:val="00F970DC"/>
    <w:rsid w:val="00F9740D"/>
    <w:rsid w:val="00F9799C"/>
    <w:rsid w:val="00F979EA"/>
    <w:rsid w:val="00F97FF4"/>
    <w:rsid w:val="00FA02F7"/>
    <w:rsid w:val="00FA0698"/>
    <w:rsid w:val="00FA0AA5"/>
    <w:rsid w:val="00FA1372"/>
    <w:rsid w:val="00FA139B"/>
    <w:rsid w:val="00FA1433"/>
    <w:rsid w:val="00FA19F7"/>
    <w:rsid w:val="00FA27DD"/>
    <w:rsid w:val="00FA3976"/>
    <w:rsid w:val="00FA3EE9"/>
    <w:rsid w:val="00FA40B6"/>
    <w:rsid w:val="00FA427E"/>
    <w:rsid w:val="00FA4D19"/>
    <w:rsid w:val="00FA57F3"/>
    <w:rsid w:val="00FA6E46"/>
    <w:rsid w:val="00FA75E3"/>
    <w:rsid w:val="00FA76E4"/>
    <w:rsid w:val="00FA772A"/>
    <w:rsid w:val="00FA7C80"/>
    <w:rsid w:val="00FA7F6D"/>
    <w:rsid w:val="00FB09D2"/>
    <w:rsid w:val="00FB15BA"/>
    <w:rsid w:val="00FB18E2"/>
    <w:rsid w:val="00FB1982"/>
    <w:rsid w:val="00FB22C1"/>
    <w:rsid w:val="00FB258C"/>
    <w:rsid w:val="00FB294C"/>
    <w:rsid w:val="00FB379E"/>
    <w:rsid w:val="00FB3ACE"/>
    <w:rsid w:val="00FB3E52"/>
    <w:rsid w:val="00FB44E6"/>
    <w:rsid w:val="00FB4A68"/>
    <w:rsid w:val="00FB5D2E"/>
    <w:rsid w:val="00FB630B"/>
    <w:rsid w:val="00FB694C"/>
    <w:rsid w:val="00FB779E"/>
    <w:rsid w:val="00FC085B"/>
    <w:rsid w:val="00FC0CFA"/>
    <w:rsid w:val="00FC0DD8"/>
    <w:rsid w:val="00FC137C"/>
    <w:rsid w:val="00FC401D"/>
    <w:rsid w:val="00FC594F"/>
    <w:rsid w:val="00FC5FA9"/>
    <w:rsid w:val="00FC610B"/>
    <w:rsid w:val="00FC6AE4"/>
    <w:rsid w:val="00FC76DF"/>
    <w:rsid w:val="00FD0602"/>
    <w:rsid w:val="00FD0B79"/>
    <w:rsid w:val="00FD1384"/>
    <w:rsid w:val="00FD19BA"/>
    <w:rsid w:val="00FD1F34"/>
    <w:rsid w:val="00FD25D2"/>
    <w:rsid w:val="00FD2EA3"/>
    <w:rsid w:val="00FD3307"/>
    <w:rsid w:val="00FD39C8"/>
    <w:rsid w:val="00FD51E3"/>
    <w:rsid w:val="00FD5A6D"/>
    <w:rsid w:val="00FD6A1D"/>
    <w:rsid w:val="00FD6FCF"/>
    <w:rsid w:val="00FD7DD9"/>
    <w:rsid w:val="00FE0BB0"/>
    <w:rsid w:val="00FE0F0E"/>
    <w:rsid w:val="00FE1B85"/>
    <w:rsid w:val="00FE1D08"/>
    <w:rsid w:val="00FE23AD"/>
    <w:rsid w:val="00FE336E"/>
    <w:rsid w:val="00FE39C2"/>
    <w:rsid w:val="00FE43FA"/>
    <w:rsid w:val="00FE4B70"/>
    <w:rsid w:val="00FE5A07"/>
    <w:rsid w:val="00FE5A5D"/>
    <w:rsid w:val="00FE5AD2"/>
    <w:rsid w:val="00FE62EA"/>
    <w:rsid w:val="00FE6A4F"/>
    <w:rsid w:val="00FE7013"/>
    <w:rsid w:val="00FE702C"/>
    <w:rsid w:val="00FF06E9"/>
    <w:rsid w:val="00FF0CC5"/>
    <w:rsid w:val="00FF1FE7"/>
    <w:rsid w:val="00FF4023"/>
    <w:rsid w:val="00FF48DC"/>
    <w:rsid w:val="00FF60B5"/>
    <w:rsid w:val="015825A0"/>
    <w:rsid w:val="0158705B"/>
    <w:rsid w:val="015CD5D3"/>
    <w:rsid w:val="01AE3901"/>
    <w:rsid w:val="022D8CDA"/>
    <w:rsid w:val="0368898F"/>
    <w:rsid w:val="04799CF0"/>
    <w:rsid w:val="06148A90"/>
    <w:rsid w:val="0653EDEC"/>
    <w:rsid w:val="0703CDE0"/>
    <w:rsid w:val="07357475"/>
    <w:rsid w:val="07E0DA53"/>
    <w:rsid w:val="07E266FC"/>
    <w:rsid w:val="09242F1A"/>
    <w:rsid w:val="09B55800"/>
    <w:rsid w:val="0A1D59C3"/>
    <w:rsid w:val="0A359566"/>
    <w:rsid w:val="0B4C5C78"/>
    <w:rsid w:val="0B59072D"/>
    <w:rsid w:val="0C674EA2"/>
    <w:rsid w:val="0CB971F6"/>
    <w:rsid w:val="0DC3E2FC"/>
    <w:rsid w:val="0DD52067"/>
    <w:rsid w:val="0E7396A9"/>
    <w:rsid w:val="0E80A6A6"/>
    <w:rsid w:val="0EF8D3CE"/>
    <w:rsid w:val="0F4277D2"/>
    <w:rsid w:val="1094EA19"/>
    <w:rsid w:val="1186187E"/>
    <w:rsid w:val="1390B279"/>
    <w:rsid w:val="16F90F63"/>
    <w:rsid w:val="17875862"/>
    <w:rsid w:val="18D729D8"/>
    <w:rsid w:val="1960486A"/>
    <w:rsid w:val="19EDAF5F"/>
    <w:rsid w:val="1A3D5A1C"/>
    <w:rsid w:val="1B03AFAF"/>
    <w:rsid w:val="1B1B940B"/>
    <w:rsid w:val="1B20B83D"/>
    <w:rsid w:val="1BCA9E2D"/>
    <w:rsid w:val="1C0ABA2B"/>
    <w:rsid w:val="1CB920EE"/>
    <w:rsid w:val="1DA4DA60"/>
    <w:rsid w:val="1EABBF86"/>
    <w:rsid w:val="201870EC"/>
    <w:rsid w:val="20BACCE7"/>
    <w:rsid w:val="218FEA63"/>
    <w:rsid w:val="2216B113"/>
    <w:rsid w:val="24A5FF7C"/>
    <w:rsid w:val="255B4F20"/>
    <w:rsid w:val="2624FBEF"/>
    <w:rsid w:val="269331BA"/>
    <w:rsid w:val="273D7048"/>
    <w:rsid w:val="277C6ECA"/>
    <w:rsid w:val="28D940A9"/>
    <w:rsid w:val="2930511F"/>
    <w:rsid w:val="29B72FF3"/>
    <w:rsid w:val="29F708F2"/>
    <w:rsid w:val="2A025F8E"/>
    <w:rsid w:val="2A191705"/>
    <w:rsid w:val="2A76EE07"/>
    <w:rsid w:val="2B7FFD10"/>
    <w:rsid w:val="2BC3D7F1"/>
    <w:rsid w:val="2C5A001A"/>
    <w:rsid w:val="2D449D0E"/>
    <w:rsid w:val="2DDEE17B"/>
    <w:rsid w:val="2DE94E68"/>
    <w:rsid w:val="2DF4413B"/>
    <w:rsid w:val="2EDEC60C"/>
    <w:rsid w:val="30241C66"/>
    <w:rsid w:val="30454A85"/>
    <w:rsid w:val="305D14BC"/>
    <w:rsid w:val="309659A3"/>
    <w:rsid w:val="311FD4E9"/>
    <w:rsid w:val="31287F11"/>
    <w:rsid w:val="31DABFC3"/>
    <w:rsid w:val="32A522D7"/>
    <w:rsid w:val="33F53BEB"/>
    <w:rsid w:val="349E4C4F"/>
    <w:rsid w:val="355FCC36"/>
    <w:rsid w:val="36139BB2"/>
    <w:rsid w:val="364CF3F7"/>
    <w:rsid w:val="373FCBA5"/>
    <w:rsid w:val="376F23EC"/>
    <w:rsid w:val="38388FA8"/>
    <w:rsid w:val="38420F76"/>
    <w:rsid w:val="38EFE66F"/>
    <w:rsid w:val="39A73FF2"/>
    <w:rsid w:val="3AEA631C"/>
    <w:rsid w:val="3B02FB59"/>
    <w:rsid w:val="3B910578"/>
    <w:rsid w:val="3CE2AFE1"/>
    <w:rsid w:val="3DC1B3B7"/>
    <w:rsid w:val="3E658E23"/>
    <w:rsid w:val="3EB6CAA4"/>
    <w:rsid w:val="4298E107"/>
    <w:rsid w:val="42A99AC8"/>
    <w:rsid w:val="43132194"/>
    <w:rsid w:val="43F98E1D"/>
    <w:rsid w:val="4453B536"/>
    <w:rsid w:val="44F9625F"/>
    <w:rsid w:val="4609ECE2"/>
    <w:rsid w:val="471A5B41"/>
    <w:rsid w:val="4787E4D2"/>
    <w:rsid w:val="47A16E58"/>
    <w:rsid w:val="482B6320"/>
    <w:rsid w:val="4A1C41CF"/>
    <w:rsid w:val="4A9D39D8"/>
    <w:rsid w:val="4C537D31"/>
    <w:rsid w:val="4C8BA1B6"/>
    <w:rsid w:val="4D82C189"/>
    <w:rsid w:val="4DC47A9A"/>
    <w:rsid w:val="4E12AFD9"/>
    <w:rsid w:val="4F30C96C"/>
    <w:rsid w:val="4F9E9376"/>
    <w:rsid w:val="4FB53B2E"/>
    <w:rsid w:val="4FEF0022"/>
    <w:rsid w:val="508233B8"/>
    <w:rsid w:val="5206C492"/>
    <w:rsid w:val="52D0716A"/>
    <w:rsid w:val="52E925DA"/>
    <w:rsid w:val="53D227AD"/>
    <w:rsid w:val="54ACD451"/>
    <w:rsid w:val="54F76FBB"/>
    <w:rsid w:val="55022023"/>
    <w:rsid w:val="56AC5E53"/>
    <w:rsid w:val="56B11492"/>
    <w:rsid w:val="5724A2B5"/>
    <w:rsid w:val="5727BA8F"/>
    <w:rsid w:val="5845F20C"/>
    <w:rsid w:val="5900FAAB"/>
    <w:rsid w:val="59931F75"/>
    <w:rsid w:val="59AD713B"/>
    <w:rsid w:val="59B86CDA"/>
    <w:rsid w:val="5A031873"/>
    <w:rsid w:val="5A29C440"/>
    <w:rsid w:val="5A309647"/>
    <w:rsid w:val="5AA0111E"/>
    <w:rsid w:val="5BFF673F"/>
    <w:rsid w:val="5D25FFE7"/>
    <w:rsid w:val="5DD7AE53"/>
    <w:rsid w:val="5DE215BA"/>
    <w:rsid w:val="5E22A565"/>
    <w:rsid w:val="5E4E7880"/>
    <w:rsid w:val="5E9CBABD"/>
    <w:rsid w:val="5EECCA68"/>
    <w:rsid w:val="5F45DEA5"/>
    <w:rsid w:val="6049D6B8"/>
    <w:rsid w:val="60A127BB"/>
    <w:rsid w:val="6159DC7B"/>
    <w:rsid w:val="6327AD24"/>
    <w:rsid w:val="637708B3"/>
    <w:rsid w:val="63CDCB76"/>
    <w:rsid w:val="6405D48A"/>
    <w:rsid w:val="641D654C"/>
    <w:rsid w:val="641FCCE0"/>
    <w:rsid w:val="64A8270E"/>
    <w:rsid w:val="6575EF32"/>
    <w:rsid w:val="65F33ED9"/>
    <w:rsid w:val="6606BEBF"/>
    <w:rsid w:val="66A6D276"/>
    <w:rsid w:val="66CEF485"/>
    <w:rsid w:val="66F070A0"/>
    <w:rsid w:val="674EB634"/>
    <w:rsid w:val="67768D9C"/>
    <w:rsid w:val="680D2DFF"/>
    <w:rsid w:val="68A8321D"/>
    <w:rsid w:val="68B6208A"/>
    <w:rsid w:val="6A571DBC"/>
    <w:rsid w:val="6B408194"/>
    <w:rsid w:val="6BE4D881"/>
    <w:rsid w:val="6C8D806F"/>
    <w:rsid w:val="6CA158D9"/>
    <w:rsid w:val="6D7FC3EE"/>
    <w:rsid w:val="6ED290C2"/>
    <w:rsid w:val="7025ACB6"/>
    <w:rsid w:val="70DB770F"/>
    <w:rsid w:val="70EDB6F1"/>
    <w:rsid w:val="715AC370"/>
    <w:rsid w:val="723897F6"/>
    <w:rsid w:val="723BF8DC"/>
    <w:rsid w:val="7339ADA1"/>
    <w:rsid w:val="735C19AF"/>
    <w:rsid w:val="73B8A505"/>
    <w:rsid w:val="748BC4CA"/>
    <w:rsid w:val="754C6AA1"/>
    <w:rsid w:val="755EE84E"/>
    <w:rsid w:val="758F3CFC"/>
    <w:rsid w:val="75DF3CA2"/>
    <w:rsid w:val="761EB852"/>
    <w:rsid w:val="7692500A"/>
    <w:rsid w:val="77724586"/>
    <w:rsid w:val="77B44D2E"/>
    <w:rsid w:val="78811578"/>
    <w:rsid w:val="7895C882"/>
    <w:rsid w:val="78B1E3A0"/>
    <w:rsid w:val="78E8DE7C"/>
    <w:rsid w:val="798787A4"/>
    <w:rsid w:val="7A52AF77"/>
    <w:rsid w:val="7A838F6C"/>
    <w:rsid w:val="7B1E226E"/>
    <w:rsid w:val="7BB10F21"/>
    <w:rsid w:val="7CA04039"/>
    <w:rsid w:val="7D6EDD05"/>
    <w:rsid w:val="7D76512F"/>
    <w:rsid w:val="7E9995F7"/>
    <w:rsid w:val="7EF00AAA"/>
    <w:rsid w:val="7F0F82B6"/>
    <w:rsid w:val="7F6DD53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B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B25"/>
    <w:pPr>
      <w:spacing w:after="240" w:line="288" w:lineRule="auto"/>
    </w:pPr>
    <w:rPr>
      <w:rFonts w:ascii="Arial" w:hAnsi="Arial"/>
      <w:sz w:val="22"/>
      <w:lang w:val="en-GB"/>
    </w:rPr>
  </w:style>
  <w:style w:type="paragraph" w:styleId="Heading1">
    <w:name w:val="heading 1"/>
    <w:aliases w:val="Sub-heading"/>
    <w:basedOn w:val="Heading2"/>
    <w:next w:val="Normal"/>
    <w:link w:val="Heading1Char"/>
    <w:uiPriority w:val="99"/>
    <w:qFormat/>
    <w:rsid w:val="00721B10"/>
    <w:pPr>
      <w:widowControl w:val="0"/>
      <w:autoSpaceDE w:val="0"/>
      <w:autoSpaceDN w:val="0"/>
      <w:adjustRightInd w:val="0"/>
      <w:spacing w:before="360"/>
      <w:textAlignment w:val="center"/>
      <w:outlineLvl w:val="0"/>
    </w:pPr>
    <w:rPr>
      <w:rFonts w:cs="Arial-BoldMT"/>
      <w:bCs w:val="0"/>
      <w:sz w:val="28"/>
      <w:szCs w:val="32"/>
      <w:lang w:val="en-US"/>
    </w:rPr>
  </w:style>
  <w:style w:type="paragraph" w:styleId="Heading2">
    <w:name w:val="heading 2"/>
    <w:basedOn w:val="Normal"/>
    <w:next w:val="Normal"/>
    <w:link w:val="Heading2Char"/>
    <w:qFormat/>
    <w:rsid w:val="00721B10"/>
    <w:pPr>
      <w:keepNext/>
      <w:keepLines/>
      <w:spacing w:before="480" w:after="120"/>
      <w:outlineLvl w:val="1"/>
    </w:pPr>
    <w:rPr>
      <w:rFonts w:eastAsiaTheme="majorEastAsia" w:cstheme="majorBidi"/>
      <w:b/>
      <w:bCs/>
      <w:color w:val="00477E"/>
      <w:sz w:val="30"/>
      <w:szCs w:val="26"/>
    </w:rPr>
  </w:style>
  <w:style w:type="paragraph" w:styleId="Heading3">
    <w:name w:val="heading 3"/>
    <w:basedOn w:val="Normal"/>
    <w:next w:val="Normal"/>
    <w:link w:val="Heading3Char"/>
    <w:qFormat/>
    <w:rsid w:val="003E09C9"/>
    <w:pPr>
      <w:keepNext/>
      <w:keepLines/>
      <w:spacing w:before="360" w:after="120"/>
      <w:outlineLvl w:val="2"/>
    </w:pPr>
    <w:rPr>
      <w:rFonts w:eastAsiaTheme="majorEastAsia" w:cstheme="majorBidi"/>
      <w:b/>
      <w:bCs/>
      <w:sz w:val="24"/>
    </w:rPr>
  </w:style>
  <w:style w:type="paragraph" w:styleId="Heading4">
    <w:name w:val="heading 4"/>
    <w:basedOn w:val="Normal"/>
    <w:next w:val="Normal"/>
    <w:link w:val="Heading4Char"/>
    <w:rsid w:val="00951B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C057B"/>
    <w:pPr>
      <w:widowControl w:val="0"/>
      <w:autoSpaceDE w:val="0"/>
      <w:autoSpaceDN w:val="0"/>
      <w:adjustRightInd w:val="0"/>
      <w:textAlignment w:val="center"/>
    </w:pPr>
    <w:rPr>
      <w:rFonts w:ascii="TimesNewRomanPSMT" w:hAnsi="TimesNewRomanPSMT" w:cs="TimesNewRomanPSMT"/>
      <w:color w:val="000000"/>
    </w:rPr>
  </w:style>
  <w:style w:type="paragraph" w:customStyle="1" w:styleId="Default">
    <w:name w:val="Default"/>
    <w:basedOn w:val="Normal"/>
    <w:rsid w:val="006C057B"/>
    <w:pPr>
      <w:widowControl w:val="0"/>
      <w:autoSpaceDE w:val="0"/>
      <w:autoSpaceDN w:val="0"/>
      <w:adjustRightInd w:val="0"/>
      <w:textAlignment w:val="center"/>
    </w:pPr>
    <w:rPr>
      <w:rFonts w:ascii="MyriadPro-Regular" w:hAnsi="MyriadPro-Regular" w:cs="MyriadPro-Regular"/>
      <w:color w:val="000000"/>
      <w:lang w:val="en-US"/>
    </w:rPr>
  </w:style>
  <w:style w:type="paragraph" w:customStyle="1" w:styleId="TOC21">
    <w:name w:val="TOC 21"/>
    <w:basedOn w:val="Default"/>
    <w:next w:val="Default"/>
    <w:uiPriority w:val="99"/>
    <w:rsid w:val="006C057B"/>
  </w:style>
  <w:style w:type="character" w:customStyle="1" w:styleId="Largeblackheadingbold">
    <w:name w:val="Large black heading bold"/>
    <w:uiPriority w:val="99"/>
    <w:rsid w:val="006C057B"/>
    <w:rPr>
      <w:rFonts w:ascii="Arial-BoldMT" w:hAnsi="Arial-BoldMT" w:cs="Arial-BoldMT"/>
      <w:b/>
      <w:bCs/>
      <w:color w:val="000000"/>
      <w:sz w:val="48"/>
      <w:szCs w:val="48"/>
    </w:rPr>
  </w:style>
  <w:style w:type="character" w:styleId="Hyperlink">
    <w:name w:val="Hyperlink"/>
    <w:basedOn w:val="DefaultParagraphFont"/>
    <w:uiPriority w:val="99"/>
    <w:qFormat/>
    <w:rsid w:val="003A3E01"/>
    <w:rPr>
      <w:color w:val="0563C1"/>
      <w:w w:val="100"/>
      <w:u w:val="single"/>
    </w:rPr>
  </w:style>
  <w:style w:type="character" w:customStyle="1" w:styleId="highlightedsearchterm">
    <w:name w:val="highlightedsearchterm"/>
    <w:uiPriority w:val="99"/>
    <w:rsid w:val="006C057B"/>
    <w:rPr>
      <w:w w:val="100"/>
    </w:rPr>
  </w:style>
  <w:style w:type="paragraph" w:customStyle="1" w:styleId="NoParagraphStyle">
    <w:name w:val="[No Paragraph Style]"/>
    <w:rsid w:val="006C057B"/>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character" w:customStyle="1" w:styleId="BodyText1">
    <w:name w:val="Body Text1"/>
    <w:uiPriority w:val="99"/>
    <w:rsid w:val="006C057B"/>
    <w:rPr>
      <w:rFonts w:ascii="ArialMT" w:hAnsi="ArialMT" w:cs="ArialMT"/>
      <w:color w:val="000000"/>
      <w:sz w:val="22"/>
      <w:szCs w:val="22"/>
    </w:rPr>
  </w:style>
  <w:style w:type="character" w:customStyle="1" w:styleId="MediumheadingDeliveringPlaceMaking">
    <w:name w:val="Medium heading (Delivering Place Making)"/>
    <w:uiPriority w:val="99"/>
    <w:rsid w:val="006C057B"/>
    <w:rPr>
      <w:rFonts w:ascii="Arial-BoldMT" w:hAnsi="Arial-BoldMT" w:cs="Arial-BoldMT"/>
      <w:b/>
      <w:bCs/>
      <w:color w:val="D4320D"/>
      <w:sz w:val="28"/>
      <w:szCs w:val="28"/>
    </w:rPr>
  </w:style>
  <w:style w:type="paragraph" w:styleId="ListParagraph">
    <w:name w:val="List Paragraph"/>
    <w:basedOn w:val="Normal"/>
    <w:link w:val="ListParagraphChar"/>
    <w:uiPriority w:val="34"/>
    <w:qFormat/>
    <w:rsid w:val="003B2746"/>
    <w:pPr>
      <w:ind w:left="720"/>
      <w:contextualSpacing/>
    </w:pPr>
  </w:style>
  <w:style w:type="character" w:customStyle="1" w:styleId="Heading1Char">
    <w:name w:val="Heading 1 Char"/>
    <w:aliases w:val="Sub-heading Char"/>
    <w:basedOn w:val="DefaultParagraphFont"/>
    <w:link w:val="Heading1"/>
    <w:uiPriority w:val="99"/>
    <w:rsid w:val="00721B10"/>
    <w:rPr>
      <w:rFonts w:ascii="Arial" w:eastAsiaTheme="majorEastAsia" w:hAnsi="Arial" w:cs="Arial-BoldMT"/>
      <w:b/>
      <w:color w:val="00477E"/>
      <w:sz w:val="28"/>
      <w:szCs w:val="32"/>
    </w:rPr>
  </w:style>
  <w:style w:type="paragraph" w:styleId="BalloonText">
    <w:name w:val="Balloon Text"/>
    <w:basedOn w:val="Normal"/>
    <w:link w:val="BalloonTextChar"/>
    <w:unhideWhenUsed/>
    <w:rsid w:val="008D54EB"/>
    <w:rPr>
      <w:rFonts w:ascii="Lucida Grande" w:hAnsi="Lucida Grande" w:cs="Lucida Grande"/>
      <w:sz w:val="18"/>
      <w:szCs w:val="18"/>
    </w:rPr>
  </w:style>
  <w:style w:type="character" w:customStyle="1" w:styleId="BalloonTextChar">
    <w:name w:val="Balloon Text Char"/>
    <w:basedOn w:val="DefaultParagraphFont"/>
    <w:link w:val="BalloonText"/>
    <w:rsid w:val="008D54EB"/>
    <w:rPr>
      <w:rFonts w:ascii="Lucida Grande" w:hAnsi="Lucida Grande" w:cs="Lucida Grande"/>
      <w:sz w:val="18"/>
      <w:szCs w:val="18"/>
      <w:lang w:val="en-GB"/>
    </w:rPr>
  </w:style>
  <w:style w:type="paragraph" w:styleId="Header">
    <w:name w:val="header"/>
    <w:basedOn w:val="Normal"/>
    <w:link w:val="HeaderChar"/>
    <w:uiPriority w:val="99"/>
    <w:unhideWhenUsed/>
    <w:rsid w:val="00CB6769"/>
    <w:pPr>
      <w:tabs>
        <w:tab w:val="center" w:pos="4320"/>
        <w:tab w:val="right" w:pos="8640"/>
      </w:tabs>
    </w:pPr>
  </w:style>
  <w:style w:type="character" w:customStyle="1" w:styleId="HeaderChar">
    <w:name w:val="Header Char"/>
    <w:basedOn w:val="DefaultParagraphFont"/>
    <w:link w:val="Header"/>
    <w:uiPriority w:val="99"/>
    <w:rsid w:val="00CB6769"/>
    <w:rPr>
      <w:lang w:val="en-GB"/>
    </w:rPr>
  </w:style>
  <w:style w:type="paragraph" w:styleId="Footer">
    <w:name w:val="footer"/>
    <w:basedOn w:val="Normal"/>
    <w:link w:val="FooterChar"/>
    <w:uiPriority w:val="99"/>
    <w:unhideWhenUsed/>
    <w:rsid w:val="00CB6769"/>
    <w:pPr>
      <w:tabs>
        <w:tab w:val="center" w:pos="4320"/>
        <w:tab w:val="right" w:pos="8640"/>
      </w:tabs>
    </w:pPr>
  </w:style>
  <w:style w:type="character" w:customStyle="1" w:styleId="FooterChar">
    <w:name w:val="Footer Char"/>
    <w:basedOn w:val="DefaultParagraphFont"/>
    <w:link w:val="Footer"/>
    <w:uiPriority w:val="99"/>
    <w:rsid w:val="00CB6769"/>
    <w:rPr>
      <w:lang w:val="en-GB"/>
    </w:rPr>
  </w:style>
  <w:style w:type="paragraph" w:styleId="NormalWeb">
    <w:name w:val="Normal (Web)"/>
    <w:basedOn w:val="Normal"/>
    <w:uiPriority w:val="99"/>
    <w:rsid w:val="00177925"/>
    <w:pPr>
      <w:spacing w:beforeLines="1" w:afterLines="1"/>
    </w:pPr>
    <w:rPr>
      <w:rFonts w:ascii="Times" w:eastAsia="Times" w:hAnsi="Times" w:cs="Times New Roman"/>
      <w:sz w:val="20"/>
      <w:szCs w:val="20"/>
    </w:rPr>
  </w:style>
  <w:style w:type="character" w:styleId="PageNumber">
    <w:name w:val="page number"/>
    <w:basedOn w:val="DefaultParagraphFont"/>
    <w:rsid w:val="007C7CD4"/>
  </w:style>
  <w:style w:type="character" w:styleId="CommentReference">
    <w:name w:val="annotation reference"/>
    <w:basedOn w:val="DefaultParagraphFont"/>
    <w:rsid w:val="00AB7CFC"/>
    <w:rPr>
      <w:sz w:val="16"/>
      <w:szCs w:val="16"/>
    </w:rPr>
  </w:style>
  <w:style w:type="paragraph" w:styleId="CommentText">
    <w:name w:val="annotation text"/>
    <w:basedOn w:val="Normal"/>
    <w:link w:val="CommentTextChar"/>
    <w:rsid w:val="00AB7CFC"/>
    <w:rPr>
      <w:sz w:val="20"/>
      <w:szCs w:val="20"/>
    </w:rPr>
  </w:style>
  <w:style w:type="character" w:customStyle="1" w:styleId="CommentTextChar">
    <w:name w:val="Comment Text Char"/>
    <w:basedOn w:val="DefaultParagraphFont"/>
    <w:link w:val="CommentText"/>
    <w:rsid w:val="00AB7CFC"/>
    <w:rPr>
      <w:sz w:val="20"/>
      <w:szCs w:val="20"/>
      <w:lang w:val="en-GB"/>
    </w:rPr>
  </w:style>
  <w:style w:type="paragraph" w:styleId="CommentSubject">
    <w:name w:val="annotation subject"/>
    <w:basedOn w:val="CommentText"/>
    <w:next w:val="CommentText"/>
    <w:link w:val="CommentSubjectChar"/>
    <w:rsid w:val="00AB7CFC"/>
    <w:rPr>
      <w:b/>
      <w:bCs/>
    </w:rPr>
  </w:style>
  <w:style w:type="character" w:customStyle="1" w:styleId="CommentSubjectChar">
    <w:name w:val="Comment Subject Char"/>
    <w:basedOn w:val="CommentTextChar"/>
    <w:link w:val="CommentSubject"/>
    <w:rsid w:val="00AB7CFC"/>
    <w:rPr>
      <w:b/>
      <w:bCs/>
      <w:sz w:val="20"/>
      <w:szCs w:val="20"/>
      <w:lang w:val="en-GB"/>
    </w:rPr>
  </w:style>
  <w:style w:type="paragraph" w:styleId="Revision">
    <w:name w:val="Revision"/>
    <w:hidden/>
    <w:rsid w:val="00187AC1"/>
    <w:rPr>
      <w:lang w:val="en-GB"/>
    </w:rPr>
  </w:style>
  <w:style w:type="paragraph" w:customStyle="1" w:styleId="legtext1">
    <w:name w:val="legtext1"/>
    <w:basedOn w:val="Normal"/>
    <w:uiPriority w:val="99"/>
    <w:rsid w:val="00427224"/>
    <w:pPr>
      <w:shd w:val="clear" w:color="auto" w:fill="FFFFFF"/>
      <w:spacing w:after="120" w:line="360" w:lineRule="atLeast"/>
      <w:jc w:val="both"/>
    </w:pPr>
    <w:rPr>
      <w:rFonts w:ascii="Times New Roman" w:eastAsiaTheme="minorHAnsi" w:hAnsi="Times New Roman" w:cs="Times New Roman"/>
      <w:color w:val="494949"/>
      <w:sz w:val="19"/>
      <w:szCs w:val="19"/>
      <w:lang w:eastAsia="en-GB"/>
    </w:rPr>
  </w:style>
  <w:style w:type="table" w:customStyle="1" w:styleId="TableGrid1">
    <w:name w:val="Table Grid1"/>
    <w:basedOn w:val="TableNormal"/>
    <w:next w:val="TableGrid"/>
    <w:rsid w:val="00BA23E7"/>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21B10"/>
    <w:rPr>
      <w:rFonts w:ascii="Arial" w:eastAsiaTheme="majorEastAsia" w:hAnsi="Arial" w:cstheme="majorBidi"/>
      <w:b/>
      <w:bCs/>
      <w:color w:val="00477E"/>
      <w:sz w:val="30"/>
      <w:szCs w:val="26"/>
      <w:lang w:val="en-GB"/>
    </w:rPr>
  </w:style>
  <w:style w:type="character" w:customStyle="1" w:styleId="Heading3Char">
    <w:name w:val="Heading 3 Char"/>
    <w:basedOn w:val="DefaultParagraphFont"/>
    <w:link w:val="Heading3"/>
    <w:rsid w:val="003E09C9"/>
    <w:rPr>
      <w:rFonts w:ascii="Arial" w:eastAsiaTheme="majorEastAsia" w:hAnsi="Arial" w:cstheme="majorBidi"/>
      <w:b/>
      <w:bCs/>
      <w:lang w:val="en-GB"/>
    </w:rPr>
  </w:style>
  <w:style w:type="character" w:styleId="FollowedHyperlink">
    <w:name w:val="FollowedHyperlink"/>
    <w:basedOn w:val="DefaultParagraphFont"/>
    <w:rsid w:val="00685EB0"/>
    <w:rPr>
      <w:color w:val="800080" w:themeColor="followedHyperlink"/>
      <w:u w:val="single"/>
    </w:rPr>
  </w:style>
  <w:style w:type="table" w:styleId="ColorfulGrid-Accent6">
    <w:name w:val="Colorful Grid Accent 6"/>
    <w:basedOn w:val="TableNormal"/>
    <w:uiPriority w:val="73"/>
    <w:rsid w:val="005930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6">
    <w:name w:val="Colorful List Accent 6"/>
    <w:basedOn w:val="TableNormal"/>
    <w:uiPriority w:val="72"/>
    <w:rsid w:val="005930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DarkList-Accent6">
    <w:name w:val="Dark List Accent 6"/>
    <w:basedOn w:val="TableNormal"/>
    <w:rsid w:val="005930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Accent1">
    <w:name w:val="Light Grid Accent 1"/>
    <w:basedOn w:val="TableNormal"/>
    <w:rsid w:val="005930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rsid w:val="005930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146CCA"/>
    <w:rPr>
      <w:sz w:val="22"/>
      <w:szCs w:val="22"/>
      <w:lang w:eastAsia="ja-JP"/>
    </w:rPr>
  </w:style>
  <w:style w:type="character" w:customStyle="1" w:styleId="NoSpacingChar">
    <w:name w:val="No Spacing Char"/>
    <w:basedOn w:val="DefaultParagraphFont"/>
    <w:link w:val="NoSpacing"/>
    <w:uiPriority w:val="1"/>
    <w:rsid w:val="00146CCA"/>
    <w:rPr>
      <w:sz w:val="22"/>
      <w:szCs w:val="22"/>
      <w:lang w:eastAsia="ja-JP"/>
    </w:rPr>
  </w:style>
  <w:style w:type="paragraph" w:styleId="ListBullet">
    <w:name w:val="List Bullet"/>
    <w:basedOn w:val="Normal"/>
    <w:rsid w:val="00834E24"/>
    <w:pPr>
      <w:numPr>
        <w:numId w:val="6"/>
      </w:numPr>
      <w:contextualSpacing/>
    </w:pPr>
  </w:style>
  <w:style w:type="paragraph" w:styleId="EndnoteText">
    <w:name w:val="endnote text"/>
    <w:basedOn w:val="Normal"/>
    <w:link w:val="EndnoteTextChar"/>
    <w:rsid w:val="00834E24"/>
    <w:rPr>
      <w:sz w:val="20"/>
      <w:szCs w:val="20"/>
    </w:rPr>
  </w:style>
  <w:style w:type="character" w:customStyle="1" w:styleId="EndnoteTextChar">
    <w:name w:val="Endnote Text Char"/>
    <w:basedOn w:val="DefaultParagraphFont"/>
    <w:link w:val="EndnoteText"/>
    <w:rsid w:val="00834E24"/>
    <w:rPr>
      <w:sz w:val="20"/>
      <w:szCs w:val="20"/>
      <w:lang w:val="en-GB"/>
    </w:rPr>
  </w:style>
  <w:style w:type="character" w:styleId="EndnoteReference">
    <w:name w:val="endnote reference"/>
    <w:basedOn w:val="DefaultParagraphFont"/>
    <w:rsid w:val="00834E24"/>
    <w:rPr>
      <w:vertAlign w:val="superscript"/>
    </w:rPr>
  </w:style>
  <w:style w:type="character" w:styleId="FootnoteReference">
    <w:name w:val="footnote reference"/>
    <w:basedOn w:val="DefaultParagraphFont"/>
    <w:rsid w:val="000D47C2"/>
    <w:rPr>
      <w:vertAlign w:val="superscript"/>
    </w:rPr>
  </w:style>
  <w:style w:type="paragraph" w:styleId="FootnoteText">
    <w:name w:val="footnote text"/>
    <w:basedOn w:val="Normal"/>
    <w:link w:val="FootnoteTextChar"/>
    <w:rsid w:val="000D47C2"/>
    <w:rPr>
      <w:sz w:val="20"/>
      <w:szCs w:val="20"/>
    </w:rPr>
  </w:style>
  <w:style w:type="character" w:customStyle="1" w:styleId="FootnoteTextChar">
    <w:name w:val="Footnote Text Char"/>
    <w:basedOn w:val="DefaultParagraphFont"/>
    <w:link w:val="FootnoteText"/>
    <w:rsid w:val="000D47C2"/>
    <w:rPr>
      <w:sz w:val="20"/>
      <w:szCs w:val="20"/>
      <w:lang w:val="en-GB"/>
    </w:rPr>
  </w:style>
  <w:style w:type="character" w:styleId="Emphasis">
    <w:name w:val="Emphasis"/>
    <w:basedOn w:val="DefaultParagraphFont"/>
    <w:uiPriority w:val="20"/>
    <w:qFormat/>
    <w:rsid w:val="00E07362"/>
    <w:rPr>
      <w:b/>
      <w:bCs/>
      <w:i w:val="0"/>
      <w:iCs w:val="0"/>
    </w:rPr>
  </w:style>
  <w:style w:type="character" w:customStyle="1" w:styleId="st1">
    <w:name w:val="st1"/>
    <w:basedOn w:val="DefaultParagraphFont"/>
    <w:rsid w:val="00E07362"/>
  </w:style>
  <w:style w:type="paragraph" w:customStyle="1" w:styleId="Paragraphs">
    <w:name w:val="Paragraphs"/>
    <w:basedOn w:val="ListParagraph"/>
    <w:link w:val="ParagraphsChar"/>
    <w:qFormat/>
    <w:rsid w:val="00043531"/>
    <w:pPr>
      <w:widowControl w:val="0"/>
      <w:numPr>
        <w:ilvl w:val="1"/>
        <w:numId w:val="13"/>
      </w:numPr>
      <w:autoSpaceDE w:val="0"/>
      <w:autoSpaceDN w:val="0"/>
      <w:adjustRightInd w:val="0"/>
      <w:ind w:left="794" w:hanging="624"/>
      <w:contextualSpacing w:val="0"/>
      <w:jc w:val="both"/>
      <w:textAlignment w:val="center"/>
    </w:pPr>
    <w:rPr>
      <w:rFonts w:cs="Arial"/>
      <w:szCs w:val="22"/>
      <w:lang w:val="en-US"/>
    </w:rPr>
  </w:style>
  <w:style w:type="paragraph" w:customStyle="1" w:styleId="Headers">
    <w:name w:val="Headers"/>
    <w:basedOn w:val="Heading1"/>
    <w:next w:val="Paragraphs"/>
    <w:link w:val="HeadersChar"/>
    <w:autoRedefine/>
    <w:qFormat/>
    <w:rsid w:val="00721B10"/>
    <w:pPr>
      <w:numPr>
        <w:numId w:val="13"/>
      </w:numPr>
      <w:spacing w:before="0" w:after="240"/>
      <w:contextualSpacing/>
      <w:jc w:val="both"/>
      <w:outlineLvl w:val="9"/>
    </w:pPr>
    <w:rPr>
      <w:rFonts w:eastAsia="Times" w:cs="Arial"/>
      <w:color w:val="006BB6"/>
      <w:sz w:val="44"/>
      <w:szCs w:val="44"/>
    </w:rPr>
  </w:style>
  <w:style w:type="character" w:customStyle="1" w:styleId="ListParagraphChar">
    <w:name w:val="List Paragraph Char"/>
    <w:basedOn w:val="DefaultParagraphFont"/>
    <w:link w:val="ListParagraph"/>
    <w:uiPriority w:val="34"/>
    <w:rsid w:val="00241B6A"/>
    <w:rPr>
      <w:lang w:val="en-GB"/>
    </w:rPr>
  </w:style>
  <w:style w:type="character" w:customStyle="1" w:styleId="ParagraphsChar">
    <w:name w:val="Paragraphs Char"/>
    <w:basedOn w:val="ListParagraphChar"/>
    <w:link w:val="Paragraphs"/>
    <w:rsid w:val="00043531"/>
    <w:rPr>
      <w:rFonts w:ascii="Arial" w:hAnsi="Arial" w:cs="Arial"/>
      <w:sz w:val="22"/>
      <w:szCs w:val="22"/>
      <w:lang w:val="en-GB"/>
    </w:rPr>
  </w:style>
  <w:style w:type="character" w:customStyle="1" w:styleId="HeadersChar">
    <w:name w:val="Headers Char"/>
    <w:basedOn w:val="ListParagraphChar"/>
    <w:link w:val="Headers"/>
    <w:rsid w:val="00721B10"/>
    <w:rPr>
      <w:rFonts w:ascii="Arial" w:eastAsia="Times" w:hAnsi="Arial" w:cs="Arial"/>
      <w:b/>
      <w:color w:val="006BB6"/>
      <w:sz w:val="44"/>
      <w:szCs w:val="44"/>
      <w:lang w:val="en-GB"/>
    </w:rPr>
  </w:style>
  <w:style w:type="paragraph" w:styleId="BodyText">
    <w:name w:val="Body Text"/>
    <w:basedOn w:val="Normal"/>
    <w:link w:val="BodyTextChar"/>
    <w:uiPriority w:val="1"/>
    <w:qFormat/>
    <w:rsid w:val="008C1D60"/>
    <w:pPr>
      <w:widowControl w:val="0"/>
    </w:pPr>
    <w:rPr>
      <w:rFonts w:eastAsia="Arial" w:cs="Arial"/>
      <w:szCs w:val="22"/>
      <w:lang w:val="en-US"/>
    </w:rPr>
  </w:style>
  <w:style w:type="character" w:customStyle="1" w:styleId="BodyTextChar">
    <w:name w:val="Body Text Char"/>
    <w:basedOn w:val="DefaultParagraphFont"/>
    <w:link w:val="BodyText"/>
    <w:uiPriority w:val="1"/>
    <w:rsid w:val="008C1D60"/>
    <w:rPr>
      <w:rFonts w:ascii="Arial" w:eastAsia="Arial" w:hAnsi="Arial" w:cs="Arial"/>
      <w:sz w:val="22"/>
      <w:szCs w:val="22"/>
    </w:rPr>
  </w:style>
  <w:style w:type="paragraph" w:customStyle="1" w:styleId="ListParagraph1">
    <w:name w:val="List Paragraph1"/>
    <w:basedOn w:val="Normal"/>
    <w:next w:val="ListParagraph"/>
    <w:uiPriority w:val="34"/>
    <w:qFormat/>
    <w:rsid w:val="001342E3"/>
    <w:pPr>
      <w:ind w:left="720"/>
      <w:contextualSpacing/>
    </w:pPr>
    <w:rPr>
      <w:rFonts w:ascii="Cambria" w:eastAsia="MS Mincho" w:hAnsi="Cambria" w:cs="Times New Roman"/>
    </w:rPr>
  </w:style>
  <w:style w:type="character" w:customStyle="1" w:styleId="CommentTextChar1">
    <w:name w:val="Comment Text Char1"/>
    <w:basedOn w:val="DefaultParagraphFont"/>
    <w:rsid w:val="00E2508F"/>
    <w:rPr>
      <w:rFonts w:ascii="Arial" w:hAnsi="Arial"/>
    </w:rPr>
  </w:style>
  <w:style w:type="character" w:customStyle="1" w:styleId="highlight">
    <w:name w:val="highlight"/>
    <w:basedOn w:val="DefaultParagraphFont"/>
    <w:rsid w:val="00A52F35"/>
  </w:style>
  <w:style w:type="paragraph" w:customStyle="1" w:styleId="Headingnonumber">
    <w:name w:val="Heading no number"/>
    <w:basedOn w:val="Heading1"/>
    <w:next w:val="Paragraphs"/>
    <w:link w:val="HeadingnonumberChar"/>
    <w:qFormat/>
    <w:rsid w:val="00721B10"/>
    <w:pPr>
      <w:spacing w:before="0" w:after="240"/>
      <w:jc w:val="both"/>
      <w:outlineLvl w:val="9"/>
    </w:pPr>
    <w:rPr>
      <w:bCs/>
      <w:color w:val="0070C0"/>
      <w:sz w:val="44"/>
    </w:rPr>
  </w:style>
  <w:style w:type="paragraph" w:styleId="ListBullet2">
    <w:name w:val="List Bullet 2"/>
    <w:basedOn w:val="Normal"/>
    <w:qFormat/>
    <w:rsid w:val="00902C78"/>
    <w:pPr>
      <w:numPr>
        <w:numId w:val="16"/>
      </w:numPr>
      <w:spacing w:after="180"/>
      <w:ind w:left="641" w:hanging="357"/>
      <w:contextualSpacing/>
    </w:pPr>
  </w:style>
  <w:style w:type="character" w:customStyle="1" w:styleId="HeadingnonumberChar">
    <w:name w:val="Heading no number Char"/>
    <w:basedOn w:val="ListParagraphChar"/>
    <w:link w:val="Headingnonumber"/>
    <w:rsid w:val="00721B10"/>
    <w:rPr>
      <w:rFonts w:ascii="Arial" w:eastAsiaTheme="majorEastAsia" w:hAnsi="Arial" w:cs="Arial-BoldMT"/>
      <w:b/>
      <w:bCs/>
      <w:color w:val="0070C0"/>
      <w:sz w:val="44"/>
      <w:szCs w:val="32"/>
      <w:lang w:val="en-GB"/>
    </w:rPr>
  </w:style>
  <w:style w:type="paragraph" w:styleId="ListBullet3">
    <w:name w:val="List Bullet 3"/>
    <w:basedOn w:val="Normal"/>
    <w:rsid w:val="00E067C8"/>
    <w:pPr>
      <w:numPr>
        <w:numId w:val="17"/>
      </w:numPr>
      <w:contextualSpacing/>
    </w:pPr>
  </w:style>
  <w:style w:type="paragraph" w:styleId="ListBullet4">
    <w:name w:val="List Bullet 4"/>
    <w:basedOn w:val="Normal"/>
    <w:qFormat/>
    <w:rsid w:val="00902C78"/>
    <w:pPr>
      <w:numPr>
        <w:numId w:val="18"/>
      </w:numPr>
      <w:spacing w:after="180"/>
      <w:contextualSpacing/>
    </w:pPr>
  </w:style>
  <w:style w:type="paragraph" w:styleId="ListBullet5">
    <w:name w:val="List Bullet 5"/>
    <w:basedOn w:val="Normal"/>
    <w:rsid w:val="00E067C8"/>
    <w:pPr>
      <w:numPr>
        <w:numId w:val="19"/>
      </w:numPr>
      <w:contextualSpacing/>
    </w:pPr>
  </w:style>
  <w:style w:type="paragraph" w:styleId="List">
    <w:name w:val="List"/>
    <w:basedOn w:val="Normal"/>
    <w:rsid w:val="00E067C8"/>
    <w:pPr>
      <w:ind w:left="283" w:hanging="283"/>
      <w:contextualSpacing/>
    </w:pPr>
  </w:style>
  <w:style w:type="paragraph" w:styleId="List2">
    <w:name w:val="List 2"/>
    <w:basedOn w:val="Normal"/>
    <w:rsid w:val="00E067C8"/>
    <w:pPr>
      <w:ind w:left="566" w:hanging="283"/>
      <w:contextualSpacing/>
    </w:pPr>
  </w:style>
  <w:style w:type="paragraph" w:styleId="List3">
    <w:name w:val="List 3"/>
    <w:basedOn w:val="Normal"/>
    <w:rsid w:val="00E067C8"/>
    <w:pPr>
      <w:ind w:left="849" w:hanging="283"/>
      <w:contextualSpacing/>
    </w:pPr>
  </w:style>
  <w:style w:type="paragraph" w:styleId="List4">
    <w:name w:val="List 4"/>
    <w:basedOn w:val="Normal"/>
    <w:qFormat/>
    <w:rsid w:val="00043531"/>
    <w:pPr>
      <w:numPr>
        <w:numId w:val="20"/>
      </w:numPr>
      <w:spacing w:after="180"/>
      <w:ind w:left="1208" w:hanging="357"/>
    </w:pPr>
  </w:style>
  <w:style w:type="character" w:styleId="Strong">
    <w:name w:val="Strong"/>
    <w:basedOn w:val="DefaultParagraphFont"/>
    <w:qFormat/>
    <w:rsid w:val="00660023"/>
    <w:rPr>
      <w:rFonts w:ascii="Arial" w:hAnsi="Arial"/>
      <w:b/>
      <w:bCs/>
      <w:sz w:val="24"/>
    </w:rPr>
  </w:style>
  <w:style w:type="paragraph" w:styleId="ListNumber2">
    <w:name w:val="List Number 2"/>
    <w:basedOn w:val="Normal"/>
    <w:rsid w:val="00020E66"/>
    <w:pPr>
      <w:numPr>
        <w:numId w:val="22"/>
      </w:numPr>
      <w:contextualSpacing/>
    </w:pPr>
  </w:style>
  <w:style w:type="paragraph" w:styleId="ListNumber3">
    <w:name w:val="List Number 3"/>
    <w:basedOn w:val="Normal"/>
    <w:rsid w:val="00020E66"/>
    <w:pPr>
      <w:numPr>
        <w:numId w:val="23"/>
      </w:numPr>
      <w:contextualSpacing/>
    </w:pPr>
  </w:style>
  <w:style w:type="paragraph" w:styleId="ListNumber4">
    <w:name w:val="List Number 4"/>
    <w:basedOn w:val="Normal"/>
    <w:rsid w:val="00020E66"/>
    <w:pPr>
      <w:numPr>
        <w:numId w:val="24"/>
      </w:numPr>
      <w:contextualSpacing/>
    </w:pPr>
  </w:style>
  <w:style w:type="paragraph" w:styleId="ListContinue">
    <w:name w:val="List Continue"/>
    <w:basedOn w:val="Normal"/>
    <w:rsid w:val="00CC0E9E"/>
    <w:pPr>
      <w:spacing w:after="120"/>
      <w:ind w:left="283"/>
      <w:contextualSpacing/>
    </w:pPr>
  </w:style>
  <w:style w:type="paragraph" w:styleId="ListContinue2">
    <w:name w:val="List Continue 2"/>
    <w:basedOn w:val="Normal"/>
    <w:rsid w:val="00CC0E9E"/>
    <w:pPr>
      <w:spacing w:after="120"/>
      <w:ind w:left="566"/>
      <w:contextualSpacing/>
    </w:pPr>
  </w:style>
  <w:style w:type="paragraph" w:styleId="ListContinue3">
    <w:name w:val="List Continue 3"/>
    <w:basedOn w:val="Normal"/>
    <w:rsid w:val="00CC0E9E"/>
    <w:pPr>
      <w:spacing w:after="120"/>
      <w:ind w:left="849"/>
      <w:contextualSpacing/>
    </w:pPr>
  </w:style>
  <w:style w:type="paragraph" w:styleId="ListContinue4">
    <w:name w:val="List Continue 4"/>
    <w:basedOn w:val="Normal"/>
    <w:rsid w:val="00CC0E9E"/>
    <w:pPr>
      <w:spacing w:after="120"/>
      <w:ind w:left="1132"/>
      <w:contextualSpacing/>
    </w:pPr>
  </w:style>
  <w:style w:type="paragraph" w:styleId="ListNumber">
    <w:name w:val="List Number"/>
    <w:basedOn w:val="Normal"/>
    <w:rsid w:val="00CC0E9E"/>
    <w:pPr>
      <w:numPr>
        <w:numId w:val="21"/>
      </w:numPr>
      <w:contextualSpacing/>
    </w:pPr>
  </w:style>
  <w:style w:type="paragraph" w:customStyle="1" w:styleId="Style1">
    <w:name w:val="Style1"/>
    <w:basedOn w:val="ListNumber4"/>
    <w:qFormat/>
    <w:rsid w:val="00043531"/>
    <w:pPr>
      <w:spacing w:after="180"/>
      <w:ind w:left="1208" w:hanging="357"/>
      <w:contextualSpacing w:val="0"/>
    </w:pPr>
    <w:rPr>
      <w:lang w:val="en-US"/>
    </w:rPr>
  </w:style>
  <w:style w:type="paragraph" w:styleId="TOCHeading">
    <w:name w:val="TOC Heading"/>
    <w:basedOn w:val="Heading1"/>
    <w:next w:val="Normal"/>
    <w:uiPriority w:val="39"/>
    <w:unhideWhenUsed/>
    <w:qFormat/>
    <w:rsid w:val="008A5E93"/>
    <w:pPr>
      <w:widowControl/>
      <w:autoSpaceDE/>
      <w:autoSpaceDN/>
      <w:adjustRightInd/>
      <w:spacing w:before="480" w:after="0" w:line="276" w:lineRule="auto"/>
      <w:textAlignment w:val="auto"/>
      <w:outlineLvl w:val="9"/>
    </w:pPr>
    <w:rPr>
      <w:rFonts w:asciiTheme="majorHAnsi"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1825DD"/>
    <w:pPr>
      <w:tabs>
        <w:tab w:val="right" w:leader="dot" w:pos="9016"/>
      </w:tabs>
      <w:spacing w:after="100" w:line="276" w:lineRule="auto"/>
      <w:ind w:left="220"/>
    </w:pPr>
    <w:rPr>
      <w:rFonts w:asciiTheme="minorHAnsi" w:hAnsiTheme="minorHAnsi"/>
      <w:szCs w:val="22"/>
      <w:lang w:val="en-US" w:eastAsia="ja-JP"/>
    </w:rPr>
  </w:style>
  <w:style w:type="paragraph" w:styleId="TOC1">
    <w:name w:val="toc 1"/>
    <w:basedOn w:val="Normal"/>
    <w:next w:val="Normal"/>
    <w:autoRedefine/>
    <w:uiPriority w:val="39"/>
    <w:unhideWhenUsed/>
    <w:qFormat/>
    <w:rsid w:val="008A5E93"/>
    <w:pPr>
      <w:spacing w:after="100" w:line="276" w:lineRule="auto"/>
    </w:pPr>
    <w:rPr>
      <w:rFonts w:asciiTheme="minorHAnsi" w:hAnsiTheme="minorHAnsi"/>
      <w:szCs w:val="22"/>
      <w:lang w:val="en-US" w:eastAsia="ja-JP"/>
    </w:rPr>
  </w:style>
  <w:style w:type="paragraph" w:styleId="TOC3">
    <w:name w:val="toc 3"/>
    <w:basedOn w:val="Normal"/>
    <w:next w:val="Normal"/>
    <w:autoRedefine/>
    <w:uiPriority w:val="39"/>
    <w:unhideWhenUsed/>
    <w:qFormat/>
    <w:rsid w:val="008A5E93"/>
    <w:pPr>
      <w:spacing w:after="100" w:line="276" w:lineRule="auto"/>
      <w:ind w:left="440"/>
    </w:pPr>
    <w:rPr>
      <w:rFonts w:asciiTheme="minorHAnsi" w:hAnsiTheme="minorHAnsi"/>
      <w:szCs w:val="22"/>
      <w:lang w:val="en-US" w:eastAsia="ja-JP"/>
    </w:rPr>
  </w:style>
  <w:style w:type="character" w:customStyle="1" w:styleId="legamendingtext">
    <w:name w:val="legamendingtext"/>
    <w:basedOn w:val="DefaultParagraphFont"/>
    <w:rsid w:val="00AE4F0C"/>
  </w:style>
  <w:style w:type="paragraph" w:customStyle="1" w:styleId="legp1paratext">
    <w:name w:val="legp1paratext"/>
    <w:basedOn w:val="Normal"/>
    <w:rsid w:val="00AE4F0C"/>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legclearfix">
    <w:name w:val="legclearfix"/>
    <w:basedOn w:val="Normal"/>
    <w:rsid w:val="00AE4F0C"/>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eading4Char">
    <w:name w:val="Heading 4 Char"/>
    <w:basedOn w:val="DefaultParagraphFont"/>
    <w:link w:val="Heading4"/>
    <w:rsid w:val="00951B41"/>
    <w:rPr>
      <w:rFonts w:asciiTheme="majorHAnsi" w:eastAsiaTheme="majorEastAsia" w:hAnsiTheme="majorHAnsi" w:cstheme="majorBidi"/>
      <w:b/>
      <w:bCs/>
      <w:i/>
      <w:iCs/>
      <w:color w:val="4F81BD" w:themeColor="accent1"/>
      <w:sz w:val="22"/>
      <w:lang w:val="en-GB"/>
    </w:rPr>
  </w:style>
  <w:style w:type="character" w:styleId="PlaceholderText">
    <w:name w:val="Placeholder Text"/>
    <w:basedOn w:val="DefaultParagraphFont"/>
    <w:rsid w:val="00215807"/>
    <w:rPr>
      <w:color w:val="808080"/>
    </w:rPr>
  </w:style>
  <w:style w:type="character" w:styleId="UnresolvedMention">
    <w:name w:val="Unresolved Mention"/>
    <w:basedOn w:val="DefaultParagraphFont"/>
    <w:uiPriority w:val="99"/>
    <w:semiHidden/>
    <w:unhideWhenUsed/>
    <w:rsid w:val="003A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6985">
      <w:bodyDiv w:val="1"/>
      <w:marLeft w:val="0"/>
      <w:marRight w:val="0"/>
      <w:marTop w:val="0"/>
      <w:marBottom w:val="0"/>
      <w:divBdr>
        <w:top w:val="none" w:sz="0" w:space="0" w:color="auto"/>
        <w:left w:val="none" w:sz="0" w:space="0" w:color="auto"/>
        <w:bottom w:val="none" w:sz="0" w:space="0" w:color="auto"/>
        <w:right w:val="none" w:sz="0" w:space="0" w:color="auto"/>
      </w:divBdr>
    </w:div>
    <w:div w:id="81489157">
      <w:bodyDiv w:val="1"/>
      <w:marLeft w:val="0"/>
      <w:marRight w:val="0"/>
      <w:marTop w:val="0"/>
      <w:marBottom w:val="0"/>
      <w:divBdr>
        <w:top w:val="none" w:sz="0" w:space="0" w:color="auto"/>
        <w:left w:val="none" w:sz="0" w:space="0" w:color="auto"/>
        <w:bottom w:val="none" w:sz="0" w:space="0" w:color="auto"/>
        <w:right w:val="none" w:sz="0" w:space="0" w:color="auto"/>
      </w:divBdr>
      <w:divsChild>
        <w:div w:id="1041367303">
          <w:marLeft w:val="0"/>
          <w:marRight w:val="0"/>
          <w:marTop w:val="0"/>
          <w:marBottom w:val="0"/>
          <w:divBdr>
            <w:top w:val="none" w:sz="0" w:space="0" w:color="auto"/>
            <w:left w:val="none" w:sz="0" w:space="0" w:color="auto"/>
            <w:bottom w:val="none" w:sz="0" w:space="0" w:color="auto"/>
            <w:right w:val="none" w:sz="0" w:space="0" w:color="auto"/>
          </w:divBdr>
          <w:divsChild>
            <w:div w:id="809785655">
              <w:marLeft w:val="0"/>
              <w:marRight w:val="0"/>
              <w:marTop w:val="0"/>
              <w:marBottom w:val="0"/>
              <w:divBdr>
                <w:top w:val="single" w:sz="2" w:space="0" w:color="FFFFFF"/>
                <w:left w:val="single" w:sz="6" w:space="0" w:color="FFFFFF"/>
                <w:bottom w:val="single" w:sz="6" w:space="0" w:color="FFFFFF"/>
                <w:right w:val="single" w:sz="6" w:space="0" w:color="FFFFFF"/>
              </w:divBdr>
              <w:divsChild>
                <w:div w:id="1642492327">
                  <w:marLeft w:val="0"/>
                  <w:marRight w:val="0"/>
                  <w:marTop w:val="0"/>
                  <w:marBottom w:val="0"/>
                  <w:divBdr>
                    <w:top w:val="single" w:sz="6" w:space="1" w:color="D3D3D3"/>
                    <w:left w:val="none" w:sz="0" w:space="0" w:color="auto"/>
                    <w:bottom w:val="none" w:sz="0" w:space="0" w:color="auto"/>
                    <w:right w:val="none" w:sz="0" w:space="0" w:color="auto"/>
                  </w:divBdr>
                  <w:divsChild>
                    <w:div w:id="1456866647">
                      <w:marLeft w:val="0"/>
                      <w:marRight w:val="0"/>
                      <w:marTop w:val="0"/>
                      <w:marBottom w:val="0"/>
                      <w:divBdr>
                        <w:top w:val="none" w:sz="0" w:space="0" w:color="auto"/>
                        <w:left w:val="none" w:sz="0" w:space="0" w:color="auto"/>
                        <w:bottom w:val="none" w:sz="0" w:space="0" w:color="auto"/>
                        <w:right w:val="none" w:sz="0" w:space="0" w:color="auto"/>
                      </w:divBdr>
                      <w:divsChild>
                        <w:div w:id="10898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33762">
      <w:bodyDiv w:val="1"/>
      <w:marLeft w:val="0"/>
      <w:marRight w:val="0"/>
      <w:marTop w:val="0"/>
      <w:marBottom w:val="0"/>
      <w:divBdr>
        <w:top w:val="none" w:sz="0" w:space="0" w:color="auto"/>
        <w:left w:val="none" w:sz="0" w:space="0" w:color="auto"/>
        <w:bottom w:val="none" w:sz="0" w:space="0" w:color="auto"/>
        <w:right w:val="none" w:sz="0" w:space="0" w:color="auto"/>
      </w:divBdr>
    </w:div>
    <w:div w:id="189538566">
      <w:bodyDiv w:val="1"/>
      <w:marLeft w:val="0"/>
      <w:marRight w:val="0"/>
      <w:marTop w:val="0"/>
      <w:marBottom w:val="0"/>
      <w:divBdr>
        <w:top w:val="none" w:sz="0" w:space="0" w:color="auto"/>
        <w:left w:val="none" w:sz="0" w:space="0" w:color="auto"/>
        <w:bottom w:val="none" w:sz="0" w:space="0" w:color="auto"/>
        <w:right w:val="none" w:sz="0" w:space="0" w:color="auto"/>
      </w:divBdr>
    </w:div>
    <w:div w:id="213809050">
      <w:bodyDiv w:val="1"/>
      <w:marLeft w:val="0"/>
      <w:marRight w:val="0"/>
      <w:marTop w:val="0"/>
      <w:marBottom w:val="0"/>
      <w:divBdr>
        <w:top w:val="none" w:sz="0" w:space="0" w:color="auto"/>
        <w:left w:val="none" w:sz="0" w:space="0" w:color="auto"/>
        <w:bottom w:val="none" w:sz="0" w:space="0" w:color="auto"/>
        <w:right w:val="none" w:sz="0" w:space="0" w:color="auto"/>
      </w:divBdr>
    </w:div>
    <w:div w:id="271788706">
      <w:bodyDiv w:val="1"/>
      <w:marLeft w:val="0"/>
      <w:marRight w:val="0"/>
      <w:marTop w:val="0"/>
      <w:marBottom w:val="0"/>
      <w:divBdr>
        <w:top w:val="none" w:sz="0" w:space="0" w:color="auto"/>
        <w:left w:val="none" w:sz="0" w:space="0" w:color="auto"/>
        <w:bottom w:val="none" w:sz="0" w:space="0" w:color="auto"/>
        <w:right w:val="none" w:sz="0" w:space="0" w:color="auto"/>
      </w:divBdr>
      <w:divsChild>
        <w:div w:id="585579361">
          <w:marLeft w:val="0"/>
          <w:marRight w:val="0"/>
          <w:marTop w:val="0"/>
          <w:marBottom w:val="0"/>
          <w:divBdr>
            <w:top w:val="none" w:sz="0" w:space="0" w:color="auto"/>
            <w:left w:val="none" w:sz="0" w:space="0" w:color="auto"/>
            <w:bottom w:val="none" w:sz="0" w:space="0" w:color="auto"/>
            <w:right w:val="none" w:sz="0" w:space="0" w:color="auto"/>
          </w:divBdr>
        </w:div>
      </w:divsChild>
    </w:div>
    <w:div w:id="320306357">
      <w:bodyDiv w:val="1"/>
      <w:marLeft w:val="0"/>
      <w:marRight w:val="0"/>
      <w:marTop w:val="0"/>
      <w:marBottom w:val="0"/>
      <w:divBdr>
        <w:top w:val="none" w:sz="0" w:space="0" w:color="auto"/>
        <w:left w:val="none" w:sz="0" w:space="0" w:color="auto"/>
        <w:bottom w:val="none" w:sz="0" w:space="0" w:color="auto"/>
        <w:right w:val="none" w:sz="0" w:space="0" w:color="auto"/>
      </w:divBdr>
      <w:divsChild>
        <w:div w:id="975986932">
          <w:marLeft w:val="0"/>
          <w:marRight w:val="0"/>
          <w:marTop w:val="0"/>
          <w:marBottom w:val="0"/>
          <w:divBdr>
            <w:top w:val="none" w:sz="0" w:space="0" w:color="auto"/>
            <w:left w:val="none" w:sz="0" w:space="0" w:color="auto"/>
            <w:bottom w:val="none" w:sz="0" w:space="0" w:color="auto"/>
            <w:right w:val="none" w:sz="0" w:space="0" w:color="auto"/>
          </w:divBdr>
        </w:div>
      </w:divsChild>
    </w:div>
    <w:div w:id="329260043">
      <w:bodyDiv w:val="1"/>
      <w:marLeft w:val="0"/>
      <w:marRight w:val="0"/>
      <w:marTop w:val="0"/>
      <w:marBottom w:val="0"/>
      <w:divBdr>
        <w:top w:val="none" w:sz="0" w:space="0" w:color="auto"/>
        <w:left w:val="none" w:sz="0" w:space="0" w:color="auto"/>
        <w:bottom w:val="none" w:sz="0" w:space="0" w:color="auto"/>
        <w:right w:val="none" w:sz="0" w:space="0" w:color="auto"/>
      </w:divBdr>
    </w:div>
    <w:div w:id="334916946">
      <w:bodyDiv w:val="1"/>
      <w:marLeft w:val="0"/>
      <w:marRight w:val="0"/>
      <w:marTop w:val="0"/>
      <w:marBottom w:val="0"/>
      <w:divBdr>
        <w:top w:val="none" w:sz="0" w:space="0" w:color="auto"/>
        <w:left w:val="none" w:sz="0" w:space="0" w:color="auto"/>
        <w:bottom w:val="none" w:sz="0" w:space="0" w:color="auto"/>
        <w:right w:val="none" w:sz="0" w:space="0" w:color="auto"/>
      </w:divBdr>
    </w:div>
    <w:div w:id="352462063">
      <w:bodyDiv w:val="1"/>
      <w:marLeft w:val="0"/>
      <w:marRight w:val="0"/>
      <w:marTop w:val="0"/>
      <w:marBottom w:val="0"/>
      <w:divBdr>
        <w:top w:val="none" w:sz="0" w:space="0" w:color="auto"/>
        <w:left w:val="none" w:sz="0" w:space="0" w:color="auto"/>
        <w:bottom w:val="none" w:sz="0" w:space="0" w:color="auto"/>
        <w:right w:val="none" w:sz="0" w:space="0" w:color="auto"/>
      </w:divBdr>
      <w:divsChild>
        <w:div w:id="1947539188">
          <w:marLeft w:val="0"/>
          <w:marRight w:val="0"/>
          <w:marTop w:val="0"/>
          <w:marBottom w:val="0"/>
          <w:divBdr>
            <w:top w:val="none" w:sz="0" w:space="0" w:color="auto"/>
            <w:left w:val="none" w:sz="0" w:space="0" w:color="auto"/>
            <w:bottom w:val="none" w:sz="0" w:space="0" w:color="auto"/>
            <w:right w:val="none" w:sz="0" w:space="0" w:color="auto"/>
          </w:divBdr>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
    <w:div w:id="379473775">
      <w:bodyDiv w:val="1"/>
      <w:marLeft w:val="0"/>
      <w:marRight w:val="0"/>
      <w:marTop w:val="0"/>
      <w:marBottom w:val="0"/>
      <w:divBdr>
        <w:top w:val="none" w:sz="0" w:space="0" w:color="auto"/>
        <w:left w:val="none" w:sz="0" w:space="0" w:color="auto"/>
        <w:bottom w:val="none" w:sz="0" w:space="0" w:color="auto"/>
        <w:right w:val="none" w:sz="0" w:space="0" w:color="auto"/>
      </w:divBdr>
    </w:div>
    <w:div w:id="433675806">
      <w:bodyDiv w:val="1"/>
      <w:marLeft w:val="0"/>
      <w:marRight w:val="0"/>
      <w:marTop w:val="0"/>
      <w:marBottom w:val="0"/>
      <w:divBdr>
        <w:top w:val="none" w:sz="0" w:space="0" w:color="auto"/>
        <w:left w:val="none" w:sz="0" w:space="0" w:color="auto"/>
        <w:bottom w:val="none" w:sz="0" w:space="0" w:color="auto"/>
        <w:right w:val="none" w:sz="0" w:space="0" w:color="auto"/>
      </w:divBdr>
    </w:div>
    <w:div w:id="547032250">
      <w:bodyDiv w:val="1"/>
      <w:marLeft w:val="0"/>
      <w:marRight w:val="0"/>
      <w:marTop w:val="0"/>
      <w:marBottom w:val="0"/>
      <w:divBdr>
        <w:top w:val="none" w:sz="0" w:space="0" w:color="auto"/>
        <w:left w:val="none" w:sz="0" w:space="0" w:color="auto"/>
        <w:bottom w:val="none" w:sz="0" w:space="0" w:color="auto"/>
        <w:right w:val="none" w:sz="0" w:space="0" w:color="auto"/>
      </w:divBdr>
    </w:div>
    <w:div w:id="555706628">
      <w:bodyDiv w:val="1"/>
      <w:marLeft w:val="0"/>
      <w:marRight w:val="0"/>
      <w:marTop w:val="0"/>
      <w:marBottom w:val="0"/>
      <w:divBdr>
        <w:top w:val="none" w:sz="0" w:space="0" w:color="auto"/>
        <w:left w:val="none" w:sz="0" w:space="0" w:color="auto"/>
        <w:bottom w:val="none" w:sz="0" w:space="0" w:color="auto"/>
        <w:right w:val="none" w:sz="0" w:space="0" w:color="auto"/>
      </w:divBdr>
    </w:div>
    <w:div w:id="624311661">
      <w:bodyDiv w:val="1"/>
      <w:marLeft w:val="0"/>
      <w:marRight w:val="0"/>
      <w:marTop w:val="0"/>
      <w:marBottom w:val="0"/>
      <w:divBdr>
        <w:top w:val="none" w:sz="0" w:space="0" w:color="auto"/>
        <w:left w:val="none" w:sz="0" w:space="0" w:color="auto"/>
        <w:bottom w:val="none" w:sz="0" w:space="0" w:color="auto"/>
        <w:right w:val="none" w:sz="0" w:space="0" w:color="auto"/>
      </w:divBdr>
      <w:divsChild>
        <w:div w:id="1175268179">
          <w:marLeft w:val="0"/>
          <w:marRight w:val="0"/>
          <w:marTop w:val="0"/>
          <w:marBottom w:val="0"/>
          <w:divBdr>
            <w:top w:val="none" w:sz="0" w:space="0" w:color="auto"/>
            <w:left w:val="none" w:sz="0" w:space="0" w:color="auto"/>
            <w:bottom w:val="none" w:sz="0" w:space="0" w:color="auto"/>
            <w:right w:val="none" w:sz="0" w:space="0" w:color="auto"/>
          </w:divBdr>
        </w:div>
      </w:divsChild>
    </w:div>
    <w:div w:id="626281068">
      <w:bodyDiv w:val="1"/>
      <w:marLeft w:val="0"/>
      <w:marRight w:val="0"/>
      <w:marTop w:val="0"/>
      <w:marBottom w:val="0"/>
      <w:divBdr>
        <w:top w:val="none" w:sz="0" w:space="0" w:color="auto"/>
        <w:left w:val="none" w:sz="0" w:space="0" w:color="auto"/>
        <w:bottom w:val="none" w:sz="0" w:space="0" w:color="auto"/>
        <w:right w:val="none" w:sz="0" w:space="0" w:color="auto"/>
      </w:divBdr>
    </w:div>
    <w:div w:id="688069069">
      <w:bodyDiv w:val="1"/>
      <w:marLeft w:val="0"/>
      <w:marRight w:val="0"/>
      <w:marTop w:val="0"/>
      <w:marBottom w:val="0"/>
      <w:divBdr>
        <w:top w:val="none" w:sz="0" w:space="0" w:color="auto"/>
        <w:left w:val="none" w:sz="0" w:space="0" w:color="auto"/>
        <w:bottom w:val="none" w:sz="0" w:space="0" w:color="auto"/>
        <w:right w:val="none" w:sz="0" w:space="0" w:color="auto"/>
      </w:divBdr>
      <w:divsChild>
        <w:div w:id="488986594">
          <w:marLeft w:val="0"/>
          <w:marRight w:val="0"/>
          <w:marTop w:val="0"/>
          <w:marBottom w:val="0"/>
          <w:divBdr>
            <w:top w:val="none" w:sz="0" w:space="0" w:color="auto"/>
            <w:left w:val="none" w:sz="0" w:space="0" w:color="auto"/>
            <w:bottom w:val="none" w:sz="0" w:space="0" w:color="auto"/>
            <w:right w:val="none" w:sz="0" w:space="0" w:color="auto"/>
          </w:divBdr>
        </w:div>
      </w:divsChild>
    </w:div>
    <w:div w:id="775636551">
      <w:bodyDiv w:val="1"/>
      <w:marLeft w:val="0"/>
      <w:marRight w:val="0"/>
      <w:marTop w:val="0"/>
      <w:marBottom w:val="0"/>
      <w:divBdr>
        <w:top w:val="none" w:sz="0" w:space="0" w:color="auto"/>
        <w:left w:val="none" w:sz="0" w:space="0" w:color="auto"/>
        <w:bottom w:val="none" w:sz="0" w:space="0" w:color="auto"/>
        <w:right w:val="none" w:sz="0" w:space="0" w:color="auto"/>
      </w:divBdr>
      <w:divsChild>
        <w:div w:id="320236359">
          <w:marLeft w:val="0"/>
          <w:marRight w:val="0"/>
          <w:marTop w:val="0"/>
          <w:marBottom w:val="0"/>
          <w:divBdr>
            <w:top w:val="none" w:sz="0" w:space="0" w:color="auto"/>
            <w:left w:val="none" w:sz="0" w:space="0" w:color="auto"/>
            <w:bottom w:val="none" w:sz="0" w:space="0" w:color="auto"/>
            <w:right w:val="none" w:sz="0" w:space="0" w:color="auto"/>
          </w:divBdr>
          <w:divsChild>
            <w:div w:id="1444881958">
              <w:marLeft w:val="0"/>
              <w:marRight w:val="0"/>
              <w:marTop w:val="0"/>
              <w:marBottom w:val="0"/>
              <w:divBdr>
                <w:top w:val="none" w:sz="0" w:space="0" w:color="auto"/>
                <w:left w:val="none" w:sz="0" w:space="0" w:color="auto"/>
                <w:bottom w:val="none" w:sz="0" w:space="0" w:color="auto"/>
                <w:right w:val="none" w:sz="0" w:space="0" w:color="auto"/>
              </w:divBdr>
              <w:divsChild>
                <w:div w:id="1091198781">
                  <w:marLeft w:val="0"/>
                  <w:marRight w:val="0"/>
                  <w:marTop w:val="0"/>
                  <w:marBottom w:val="0"/>
                  <w:divBdr>
                    <w:top w:val="none" w:sz="0" w:space="0" w:color="auto"/>
                    <w:left w:val="none" w:sz="0" w:space="0" w:color="auto"/>
                    <w:bottom w:val="none" w:sz="0" w:space="0" w:color="auto"/>
                    <w:right w:val="none" w:sz="0" w:space="0" w:color="auto"/>
                  </w:divBdr>
                  <w:divsChild>
                    <w:div w:id="2487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42211">
      <w:bodyDiv w:val="1"/>
      <w:marLeft w:val="0"/>
      <w:marRight w:val="0"/>
      <w:marTop w:val="0"/>
      <w:marBottom w:val="0"/>
      <w:divBdr>
        <w:top w:val="none" w:sz="0" w:space="0" w:color="auto"/>
        <w:left w:val="none" w:sz="0" w:space="0" w:color="auto"/>
        <w:bottom w:val="none" w:sz="0" w:space="0" w:color="auto"/>
        <w:right w:val="none" w:sz="0" w:space="0" w:color="auto"/>
      </w:divBdr>
      <w:divsChild>
        <w:div w:id="1247812297">
          <w:marLeft w:val="0"/>
          <w:marRight w:val="0"/>
          <w:marTop w:val="0"/>
          <w:marBottom w:val="0"/>
          <w:divBdr>
            <w:top w:val="none" w:sz="0" w:space="0" w:color="auto"/>
            <w:left w:val="none" w:sz="0" w:space="0" w:color="auto"/>
            <w:bottom w:val="none" w:sz="0" w:space="0" w:color="auto"/>
            <w:right w:val="none" w:sz="0" w:space="0" w:color="auto"/>
          </w:divBdr>
          <w:divsChild>
            <w:div w:id="1018432044">
              <w:marLeft w:val="0"/>
              <w:marRight w:val="0"/>
              <w:marTop w:val="0"/>
              <w:marBottom w:val="0"/>
              <w:divBdr>
                <w:top w:val="none" w:sz="0" w:space="0" w:color="auto"/>
                <w:left w:val="none" w:sz="0" w:space="0" w:color="auto"/>
                <w:bottom w:val="none" w:sz="0" w:space="0" w:color="auto"/>
                <w:right w:val="none" w:sz="0" w:space="0" w:color="auto"/>
              </w:divBdr>
              <w:divsChild>
                <w:div w:id="6056001">
                  <w:marLeft w:val="0"/>
                  <w:marRight w:val="0"/>
                  <w:marTop w:val="0"/>
                  <w:marBottom w:val="0"/>
                  <w:divBdr>
                    <w:top w:val="none" w:sz="0" w:space="0" w:color="auto"/>
                    <w:left w:val="none" w:sz="0" w:space="0" w:color="auto"/>
                    <w:bottom w:val="none" w:sz="0" w:space="0" w:color="auto"/>
                    <w:right w:val="none" w:sz="0" w:space="0" w:color="auto"/>
                  </w:divBdr>
                  <w:divsChild>
                    <w:div w:id="684940728">
                      <w:marLeft w:val="0"/>
                      <w:marRight w:val="0"/>
                      <w:marTop w:val="0"/>
                      <w:marBottom w:val="0"/>
                      <w:divBdr>
                        <w:top w:val="none" w:sz="0" w:space="0" w:color="auto"/>
                        <w:left w:val="none" w:sz="0" w:space="0" w:color="auto"/>
                        <w:bottom w:val="none" w:sz="0" w:space="0" w:color="auto"/>
                        <w:right w:val="none" w:sz="0" w:space="0" w:color="auto"/>
                      </w:divBdr>
                      <w:divsChild>
                        <w:div w:id="35466888">
                          <w:marLeft w:val="0"/>
                          <w:marRight w:val="0"/>
                          <w:marTop w:val="0"/>
                          <w:marBottom w:val="0"/>
                          <w:divBdr>
                            <w:top w:val="none" w:sz="0" w:space="0" w:color="auto"/>
                            <w:left w:val="none" w:sz="0" w:space="0" w:color="auto"/>
                            <w:bottom w:val="none" w:sz="0" w:space="0" w:color="auto"/>
                            <w:right w:val="none" w:sz="0" w:space="0" w:color="auto"/>
                          </w:divBdr>
                          <w:divsChild>
                            <w:div w:id="2028673756">
                              <w:marLeft w:val="0"/>
                              <w:marRight w:val="0"/>
                              <w:marTop w:val="0"/>
                              <w:marBottom w:val="0"/>
                              <w:divBdr>
                                <w:top w:val="none" w:sz="0" w:space="0" w:color="auto"/>
                                <w:left w:val="none" w:sz="0" w:space="0" w:color="auto"/>
                                <w:bottom w:val="none" w:sz="0" w:space="0" w:color="auto"/>
                                <w:right w:val="none" w:sz="0" w:space="0" w:color="auto"/>
                              </w:divBdr>
                              <w:divsChild>
                                <w:div w:id="853809087">
                                  <w:marLeft w:val="0"/>
                                  <w:marRight w:val="0"/>
                                  <w:marTop w:val="0"/>
                                  <w:marBottom w:val="0"/>
                                  <w:divBdr>
                                    <w:top w:val="none" w:sz="0" w:space="0" w:color="auto"/>
                                    <w:left w:val="none" w:sz="0" w:space="0" w:color="auto"/>
                                    <w:bottom w:val="none" w:sz="0" w:space="0" w:color="auto"/>
                                    <w:right w:val="none" w:sz="0" w:space="0" w:color="auto"/>
                                  </w:divBdr>
                                  <w:divsChild>
                                    <w:div w:id="615599885">
                                      <w:marLeft w:val="0"/>
                                      <w:marRight w:val="0"/>
                                      <w:marTop w:val="0"/>
                                      <w:marBottom w:val="0"/>
                                      <w:divBdr>
                                        <w:top w:val="none" w:sz="0" w:space="0" w:color="auto"/>
                                        <w:left w:val="none" w:sz="0" w:space="0" w:color="auto"/>
                                        <w:bottom w:val="none" w:sz="0" w:space="0" w:color="auto"/>
                                        <w:right w:val="none" w:sz="0" w:space="0" w:color="auto"/>
                                      </w:divBdr>
                                      <w:divsChild>
                                        <w:div w:id="20013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786059">
      <w:bodyDiv w:val="1"/>
      <w:marLeft w:val="0"/>
      <w:marRight w:val="0"/>
      <w:marTop w:val="0"/>
      <w:marBottom w:val="0"/>
      <w:divBdr>
        <w:top w:val="none" w:sz="0" w:space="0" w:color="auto"/>
        <w:left w:val="none" w:sz="0" w:space="0" w:color="auto"/>
        <w:bottom w:val="none" w:sz="0" w:space="0" w:color="auto"/>
        <w:right w:val="none" w:sz="0" w:space="0" w:color="auto"/>
      </w:divBdr>
    </w:div>
    <w:div w:id="865021746">
      <w:bodyDiv w:val="1"/>
      <w:marLeft w:val="0"/>
      <w:marRight w:val="0"/>
      <w:marTop w:val="0"/>
      <w:marBottom w:val="0"/>
      <w:divBdr>
        <w:top w:val="none" w:sz="0" w:space="0" w:color="auto"/>
        <w:left w:val="none" w:sz="0" w:space="0" w:color="auto"/>
        <w:bottom w:val="none" w:sz="0" w:space="0" w:color="auto"/>
        <w:right w:val="none" w:sz="0" w:space="0" w:color="auto"/>
      </w:divBdr>
      <w:divsChild>
        <w:div w:id="1744836551">
          <w:marLeft w:val="0"/>
          <w:marRight w:val="0"/>
          <w:marTop w:val="0"/>
          <w:marBottom w:val="0"/>
          <w:divBdr>
            <w:top w:val="none" w:sz="0" w:space="0" w:color="auto"/>
            <w:left w:val="none" w:sz="0" w:space="0" w:color="auto"/>
            <w:bottom w:val="none" w:sz="0" w:space="0" w:color="auto"/>
            <w:right w:val="none" w:sz="0" w:space="0" w:color="auto"/>
          </w:divBdr>
        </w:div>
      </w:divsChild>
    </w:div>
    <w:div w:id="882988288">
      <w:bodyDiv w:val="1"/>
      <w:marLeft w:val="0"/>
      <w:marRight w:val="0"/>
      <w:marTop w:val="0"/>
      <w:marBottom w:val="0"/>
      <w:divBdr>
        <w:top w:val="none" w:sz="0" w:space="0" w:color="auto"/>
        <w:left w:val="none" w:sz="0" w:space="0" w:color="auto"/>
        <w:bottom w:val="none" w:sz="0" w:space="0" w:color="auto"/>
        <w:right w:val="none" w:sz="0" w:space="0" w:color="auto"/>
      </w:divBdr>
    </w:div>
    <w:div w:id="983895149">
      <w:bodyDiv w:val="1"/>
      <w:marLeft w:val="0"/>
      <w:marRight w:val="0"/>
      <w:marTop w:val="0"/>
      <w:marBottom w:val="0"/>
      <w:divBdr>
        <w:top w:val="none" w:sz="0" w:space="0" w:color="auto"/>
        <w:left w:val="none" w:sz="0" w:space="0" w:color="auto"/>
        <w:bottom w:val="none" w:sz="0" w:space="0" w:color="auto"/>
        <w:right w:val="none" w:sz="0" w:space="0" w:color="auto"/>
      </w:divBdr>
    </w:div>
    <w:div w:id="986201970">
      <w:bodyDiv w:val="1"/>
      <w:marLeft w:val="0"/>
      <w:marRight w:val="0"/>
      <w:marTop w:val="0"/>
      <w:marBottom w:val="0"/>
      <w:divBdr>
        <w:top w:val="none" w:sz="0" w:space="0" w:color="auto"/>
        <w:left w:val="none" w:sz="0" w:space="0" w:color="auto"/>
        <w:bottom w:val="none" w:sz="0" w:space="0" w:color="auto"/>
        <w:right w:val="none" w:sz="0" w:space="0" w:color="auto"/>
      </w:divBdr>
      <w:divsChild>
        <w:div w:id="880508601">
          <w:marLeft w:val="0"/>
          <w:marRight w:val="0"/>
          <w:marTop w:val="0"/>
          <w:marBottom w:val="0"/>
          <w:divBdr>
            <w:top w:val="none" w:sz="0" w:space="0" w:color="auto"/>
            <w:left w:val="none" w:sz="0" w:space="0" w:color="auto"/>
            <w:bottom w:val="none" w:sz="0" w:space="0" w:color="auto"/>
            <w:right w:val="none" w:sz="0" w:space="0" w:color="auto"/>
          </w:divBdr>
        </w:div>
      </w:divsChild>
    </w:div>
    <w:div w:id="994457772">
      <w:bodyDiv w:val="1"/>
      <w:marLeft w:val="0"/>
      <w:marRight w:val="0"/>
      <w:marTop w:val="0"/>
      <w:marBottom w:val="0"/>
      <w:divBdr>
        <w:top w:val="none" w:sz="0" w:space="0" w:color="auto"/>
        <w:left w:val="none" w:sz="0" w:space="0" w:color="auto"/>
        <w:bottom w:val="none" w:sz="0" w:space="0" w:color="auto"/>
        <w:right w:val="none" w:sz="0" w:space="0" w:color="auto"/>
      </w:divBdr>
    </w:div>
    <w:div w:id="1001741923">
      <w:bodyDiv w:val="1"/>
      <w:marLeft w:val="0"/>
      <w:marRight w:val="0"/>
      <w:marTop w:val="0"/>
      <w:marBottom w:val="0"/>
      <w:divBdr>
        <w:top w:val="none" w:sz="0" w:space="0" w:color="auto"/>
        <w:left w:val="none" w:sz="0" w:space="0" w:color="auto"/>
        <w:bottom w:val="none" w:sz="0" w:space="0" w:color="auto"/>
        <w:right w:val="none" w:sz="0" w:space="0" w:color="auto"/>
      </w:divBdr>
    </w:div>
    <w:div w:id="1017002432">
      <w:bodyDiv w:val="1"/>
      <w:marLeft w:val="0"/>
      <w:marRight w:val="0"/>
      <w:marTop w:val="0"/>
      <w:marBottom w:val="0"/>
      <w:divBdr>
        <w:top w:val="none" w:sz="0" w:space="0" w:color="auto"/>
        <w:left w:val="none" w:sz="0" w:space="0" w:color="auto"/>
        <w:bottom w:val="none" w:sz="0" w:space="0" w:color="auto"/>
        <w:right w:val="none" w:sz="0" w:space="0" w:color="auto"/>
      </w:divBdr>
      <w:divsChild>
        <w:div w:id="1291016803">
          <w:marLeft w:val="0"/>
          <w:marRight w:val="0"/>
          <w:marTop w:val="0"/>
          <w:marBottom w:val="0"/>
          <w:divBdr>
            <w:top w:val="none" w:sz="0" w:space="0" w:color="auto"/>
            <w:left w:val="none" w:sz="0" w:space="0" w:color="auto"/>
            <w:bottom w:val="none" w:sz="0" w:space="0" w:color="auto"/>
            <w:right w:val="none" w:sz="0" w:space="0" w:color="auto"/>
          </w:divBdr>
        </w:div>
      </w:divsChild>
    </w:div>
    <w:div w:id="1098526121">
      <w:bodyDiv w:val="1"/>
      <w:marLeft w:val="0"/>
      <w:marRight w:val="0"/>
      <w:marTop w:val="0"/>
      <w:marBottom w:val="0"/>
      <w:divBdr>
        <w:top w:val="none" w:sz="0" w:space="0" w:color="auto"/>
        <w:left w:val="none" w:sz="0" w:space="0" w:color="auto"/>
        <w:bottom w:val="none" w:sz="0" w:space="0" w:color="auto"/>
        <w:right w:val="none" w:sz="0" w:space="0" w:color="auto"/>
      </w:divBdr>
    </w:div>
    <w:div w:id="1166284969">
      <w:bodyDiv w:val="1"/>
      <w:marLeft w:val="0"/>
      <w:marRight w:val="0"/>
      <w:marTop w:val="0"/>
      <w:marBottom w:val="0"/>
      <w:divBdr>
        <w:top w:val="none" w:sz="0" w:space="0" w:color="auto"/>
        <w:left w:val="none" w:sz="0" w:space="0" w:color="auto"/>
        <w:bottom w:val="none" w:sz="0" w:space="0" w:color="auto"/>
        <w:right w:val="none" w:sz="0" w:space="0" w:color="auto"/>
      </w:divBdr>
      <w:divsChild>
        <w:div w:id="101265633">
          <w:marLeft w:val="0"/>
          <w:marRight w:val="0"/>
          <w:marTop w:val="0"/>
          <w:marBottom w:val="0"/>
          <w:divBdr>
            <w:top w:val="none" w:sz="0" w:space="0" w:color="auto"/>
            <w:left w:val="none" w:sz="0" w:space="0" w:color="auto"/>
            <w:bottom w:val="none" w:sz="0" w:space="0" w:color="auto"/>
            <w:right w:val="none" w:sz="0" w:space="0" w:color="auto"/>
          </w:divBdr>
        </w:div>
      </w:divsChild>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238782856">
      <w:bodyDiv w:val="1"/>
      <w:marLeft w:val="0"/>
      <w:marRight w:val="0"/>
      <w:marTop w:val="0"/>
      <w:marBottom w:val="0"/>
      <w:divBdr>
        <w:top w:val="none" w:sz="0" w:space="0" w:color="auto"/>
        <w:left w:val="none" w:sz="0" w:space="0" w:color="auto"/>
        <w:bottom w:val="none" w:sz="0" w:space="0" w:color="auto"/>
        <w:right w:val="none" w:sz="0" w:space="0" w:color="auto"/>
      </w:divBdr>
    </w:div>
    <w:div w:id="1259826549">
      <w:bodyDiv w:val="1"/>
      <w:marLeft w:val="0"/>
      <w:marRight w:val="0"/>
      <w:marTop w:val="0"/>
      <w:marBottom w:val="0"/>
      <w:divBdr>
        <w:top w:val="none" w:sz="0" w:space="0" w:color="auto"/>
        <w:left w:val="none" w:sz="0" w:space="0" w:color="auto"/>
        <w:bottom w:val="none" w:sz="0" w:space="0" w:color="auto"/>
        <w:right w:val="none" w:sz="0" w:space="0" w:color="auto"/>
      </w:divBdr>
    </w:div>
    <w:div w:id="1276713428">
      <w:bodyDiv w:val="1"/>
      <w:marLeft w:val="0"/>
      <w:marRight w:val="0"/>
      <w:marTop w:val="0"/>
      <w:marBottom w:val="0"/>
      <w:divBdr>
        <w:top w:val="none" w:sz="0" w:space="0" w:color="auto"/>
        <w:left w:val="none" w:sz="0" w:space="0" w:color="auto"/>
        <w:bottom w:val="none" w:sz="0" w:space="0" w:color="auto"/>
        <w:right w:val="none" w:sz="0" w:space="0" w:color="auto"/>
      </w:divBdr>
    </w:div>
    <w:div w:id="1347290648">
      <w:bodyDiv w:val="1"/>
      <w:marLeft w:val="0"/>
      <w:marRight w:val="0"/>
      <w:marTop w:val="0"/>
      <w:marBottom w:val="0"/>
      <w:divBdr>
        <w:top w:val="none" w:sz="0" w:space="0" w:color="auto"/>
        <w:left w:val="none" w:sz="0" w:space="0" w:color="auto"/>
        <w:bottom w:val="none" w:sz="0" w:space="0" w:color="auto"/>
        <w:right w:val="none" w:sz="0" w:space="0" w:color="auto"/>
      </w:divBdr>
    </w:div>
    <w:div w:id="1357777823">
      <w:bodyDiv w:val="1"/>
      <w:marLeft w:val="0"/>
      <w:marRight w:val="0"/>
      <w:marTop w:val="0"/>
      <w:marBottom w:val="0"/>
      <w:divBdr>
        <w:top w:val="none" w:sz="0" w:space="0" w:color="auto"/>
        <w:left w:val="none" w:sz="0" w:space="0" w:color="auto"/>
        <w:bottom w:val="none" w:sz="0" w:space="0" w:color="auto"/>
        <w:right w:val="none" w:sz="0" w:space="0" w:color="auto"/>
      </w:divBdr>
    </w:div>
    <w:div w:id="1358582483">
      <w:bodyDiv w:val="1"/>
      <w:marLeft w:val="0"/>
      <w:marRight w:val="0"/>
      <w:marTop w:val="0"/>
      <w:marBottom w:val="0"/>
      <w:divBdr>
        <w:top w:val="none" w:sz="0" w:space="0" w:color="auto"/>
        <w:left w:val="none" w:sz="0" w:space="0" w:color="auto"/>
        <w:bottom w:val="none" w:sz="0" w:space="0" w:color="auto"/>
        <w:right w:val="none" w:sz="0" w:space="0" w:color="auto"/>
      </w:divBdr>
      <w:divsChild>
        <w:div w:id="2042702119">
          <w:marLeft w:val="0"/>
          <w:marRight w:val="0"/>
          <w:marTop w:val="0"/>
          <w:marBottom w:val="0"/>
          <w:divBdr>
            <w:top w:val="none" w:sz="0" w:space="0" w:color="auto"/>
            <w:left w:val="none" w:sz="0" w:space="0" w:color="auto"/>
            <w:bottom w:val="none" w:sz="0" w:space="0" w:color="auto"/>
            <w:right w:val="none" w:sz="0" w:space="0" w:color="auto"/>
          </w:divBdr>
        </w:div>
      </w:divsChild>
    </w:div>
    <w:div w:id="1371760584">
      <w:bodyDiv w:val="1"/>
      <w:marLeft w:val="0"/>
      <w:marRight w:val="0"/>
      <w:marTop w:val="0"/>
      <w:marBottom w:val="0"/>
      <w:divBdr>
        <w:top w:val="none" w:sz="0" w:space="0" w:color="auto"/>
        <w:left w:val="none" w:sz="0" w:space="0" w:color="auto"/>
        <w:bottom w:val="none" w:sz="0" w:space="0" w:color="auto"/>
        <w:right w:val="none" w:sz="0" w:space="0" w:color="auto"/>
      </w:divBdr>
    </w:div>
    <w:div w:id="1372607240">
      <w:bodyDiv w:val="1"/>
      <w:marLeft w:val="0"/>
      <w:marRight w:val="0"/>
      <w:marTop w:val="0"/>
      <w:marBottom w:val="0"/>
      <w:divBdr>
        <w:top w:val="none" w:sz="0" w:space="0" w:color="auto"/>
        <w:left w:val="none" w:sz="0" w:space="0" w:color="auto"/>
        <w:bottom w:val="none" w:sz="0" w:space="0" w:color="auto"/>
        <w:right w:val="none" w:sz="0" w:space="0" w:color="auto"/>
      </w:divBdr>
    </w:div>
    <w:div w:id="1375160860">
      <w:bodyDiv w:val="1"/>
      <w:marLeft w:val="0"/>
      <w:marRight w:val="0"/>
      <w:marTop w:val="0"/>
      <w:marBottom w:val="0"/>
      <w:divBdr>
        <w:top w:val="none" w:sz="0" w:space="0" w:color="auto"/>
        <w:left w:val="none" w:sz="0" w:space="0" w:color="auto"/>
        <w:bottom w:val="none" w:sz="0" w:space="0" w:color="auto"/>
        <w:right w:val="none" w:sz="0" w:space="0" w:color="auto"/>
      </w:divBdr>
      <w:divsChild>
        <w:div w:id="491607635">
          <w:marLeft w:val="0"/>
          <w:marRight w:val="0"/>
          <w:marTop w:val="0"/>
          <w:marBottom w:val="0"/>
          <w:divBdr>
            <w:top w:val="none" w:sz="0" w:space="0" w:color="auto"/>
            <w:left w:val="none" w:sz="0" w:space="0" w:color="auto"/>
            <w:bottom w:val="none" w:sz="0" w:space="0" w:color="auto"/>
            <w:right w:val="none" w:sz="0" w:space="0" w:color="auto"/>
          </w:divBdr>
          <w:divsChild>
            <w:div w:id="643966933">
              <w:marLeft w:val="0"/>
              <w:marRight w:val="0"/>
              <w:marTop w:val="0"/>
              <w:marBottom w:val="0"/>
              <w:divBdr>
                <w:top w:val="none" w:sz="0" w:space="0" w:color="auto"/>
                <w:left w:val="none" w:sz="0" w:space="0" w:color="auto"/>
                <w:bottom w:val="none" w:sz="0" w:space="0" w:color="auto"/>
                <w:right w:val="none" w:sz="0" w:space="0" w:color="auto"/>
              </w:divBdr>
              <w:divsChild>
                <w:div w:id="4685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3853">
      <w:bodyDiv w:val="1"/>
      <w:marLeft w:val="0"/>
      <w:marRight w:val="0"/>
      <w:marTop w:val="0"/>
      <w:marBottom w:val="0"/>
      <w:divBdr>
        <w:top w:val="none" w:sz="0" w:space="0" w:color="auto"/>
        <w:left w:val="none" w:sz="0" w:space="0" w:color="auto"/>
        <w:bottom w:val="none" w:sz="0" w:space="0" w:color="auto"/>
        <w:right w:val="none" w:sz="0" w:space="0" w:color="auto"/>
      </w:divBdr>
    </w:div>
    <w:div w:id="1419671894">
      <w:bodyDiv w:val="1"/>
      <w:marLeft w:val="0"/>
      <w:marRight w:val="0"/>
      <w:marTop w:val="0"/>
      <w:marBottom w:val="0"/>
      <w:divBdr>
        <w:top w:val="none" w:sz="0" w:space="0" w:color="auto"/>
        <w:left w:val="none" w:sz="0" w:space="0" w:color="auto"/>
        <w:bottom w:val="none" w:sz="0" w:space="0" w:color="auto"/>
        <w:right w:val="none" w:sz="0" w:space="0" w:color="auto"/>
      </w:divBdr>
    </w:div>
    <w:div w:id="1428385932">
      <w:bodyDiv w:val="1"/>
      <w:marLeft w:val="0"/>
      <w:marRight w:val="0"/>
      <w:marTop w:val="0"/>
      <w:marBottom w:val="0"/>
      <w:divBdr>
        <w:top w:val="none" w:sz="0" w:space="0" w:color="auto"/>
        <w:left w:val="none" w:sz="0" w:space="0" w:color="auto"/>
        <w:bottom w:val="none" w:sz="0" w:space="0" w:color="auto"/>
        <w:right w:val="none" w:sz="0" w:space="0" w:color="auto"/>
      </w:divBdr>
      <w:divsChild>
        <w:div w:id="789593528">
          <w:marLeft w:val="0"/>
          <w:marRight w:val="0"/>
          <w:marTop w:val="0"/>
          <w:marBottom w:val="0"/>
          <w:divBdr>
            <w:top w:val="none" w:sz="0" w:space="0" w:color="auto"/>
            <w:left w:val="none" w:sz="0" w:space="0" w:color="auto"/>
            <w:bottom w:val="none" w:sz="0" w:space="0" w:color="auto"/>
            <w:right w:val="none" w:sz="0" w:space="0" w:color="auto"/>
          </w:divBdr>
          <w:divsChild>
            <w:div w:id="289022889">
              <w:marLeft w:val="0"/>
              <w:marRight w:val="0"/>
              <w:marTop w:val="0"/>
              <w:marBottom w:val="0"/>
              <w:divBdr>
                <w:top w:val="none" w:sz="0" w:space="0" w:color="auto"/>
                <w:left w:val="none" w:sz="0" w:space="0" w:color="auto"/>
                <w:bottom w:val="none" w:sz="0" w:space="0" w:color="auto"/>
                <w:right w:val="none" w:sz="0" w:space="0" w:color="auto"/>
              </w:divBdr>
              <w:divsChild>
                <w:div w:id="145781798">
                  <w:marLeft w:val="0"/>
                  <w:marRight w:val="0"/>
                  <w:marTop w:val="0"/>
                  <w:marBottom w:val="0"/>
                  <w:divBdr>
                    <w:top w:val="none" w:sz="0" w:space="0" w:color="auto"/>
                    <w:left w:val="none" w:sz="0" w:space="0" w:color="auto"/>
                    <w:bottom w:val="none" w:sz="0" w:space="0" w:color="auto"/>
                    <w:right w:val="none" w:sz="0" w:space="0" w:color="auto"/>
                  </w:divBdr>
                  <w:divsChild>
                    <w:div w:id="145053922">
                      <w:marLeft w:val="0"/>
                      <w:marRight w:val="0"/>
                      <w:marTop w:val="0"/>
                      <w:marBottom w:val="0"/>
                      <w:divBdr>
                        <w:top w:val="none" w:sz="0" w:space="0" w:color="auto"/>
                        <w:left w:val="none" w:sz="0" w:space="0" w:color="auto"/>
                        <w:bottom w:val="none" w:sz="0" w:space="0" w:color="auto"/>
                        <w:right w:val="none" w:sz="0" w:space="0" w:color="auto"/>
                      </w:divBdr>
                      <w:divsChild>
                        <w:div w:id="648897306">
                          <w:marLeft w:val="0"/>
                          <w:marRight w:val="0"/>
                          <w:marTop w:val="0"/>
                          <w:marBottom w:val="0"/>
                          <w:divBdr>
                            <w:top w:val="none" w:sz="0" w:space="0" w:color="auto"/>
                            <w:left w:val="none" w:sz="0" w:space="0" w:color="auto"/>
                            <w:bottom w:val="none" w:sz="0" w:space="0" w:color="auto"/>
                            <w:right w:val="none" w:sz="0" w:space="0" w:color="auto"/>
                          </w:divBdr>
                          <w:divsChild>
                            <w:div w:id="191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824507">
      <w:bodyDiv w:val="1"/>
      <w:marLeft w:val="0"/>
      <w:marRight w:val="0"/>
      <w:marTop w:val="0"/>
      <w:marBottom w:val="0"/>
      <w:divBdr>
        <w:top w:val="none" w:sz="0" w:space="0" w:color="auto"/>
        <w:left w:val="none" w:sz="0" w:space="0" w:color="auto"/>
        <w:bottom w:val="none" w:sz="0" w:space="0" w:color="auto"/>
        <w:right w:val="none" w:sz="0" w:space="0" w:color="auto"/>
      </w:divBdr>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52032390">
      <w:bodyDiv w:val="1"/>
      <w:marLeft w:val="0"/>
      <w:marRight w:val="0"/>
      <w:marTop w:val="0"/>
      <w:marBottom w:val="0"/>
      <w:divBdr>
        <w:top w:val="none" w:sz="0" w:space="0" w:color="auto"/>
        <w:left w:val="none" w:sz="0" w:space="0" w:color="auto"/>
        <w:bottom w:val="none" w:sz="0" w:space="0" w:color="auto"/>
        <w:right w:val="none" w:sz="0" w:space="0" w:color="auto"/>
      </w:divBdr>
    </w:div>
    <w:div w:id="1569221308">
      <w:bodyDiv w:val="1"/>
      <w:marLeft w:val="0"/>
      <w:marRight w:val="0"/>
      <w:marTop w:val="0"/>
      <w:marBottom w:val="0"/>
      <w:divBdr>
        <w:top w:val="none" w:sz="0" w:space="0" w:color="auto"/>
        <w:left w:val="none" w:sz="0" w:space="0" w:color="auto"/>
        <w:bottom w:val="none" w:sz="0" w:space="0" w:color="auto"/>
        <w:right w:val="none" w:sz="0" w:space="0" w:color="auto"/>
      </w:divBdr>
    </w:div>
    <w:div w:id="1642030664">
      <w:bodyDiv w:val="1"/>
      <w:marLeft w:val="0"/>
      <w:marRight w:val="0"/>
      <w:marTop w:val="0"/>
      <w:marBottom w:val="0"/>
      <w:divBdr>
        <w:top w:val="none" w:sz="0" w:space="0" w:color="auto"/>
        <w:left w:val="none" w:sz="0" w:space="0" w:color="auto"/>
        <w:bottom w:val="none" w:sz="0" w:space="0" w:color="auto"/>
        <w:right w:val="none" w:sz="0" w:space="0" w:color="auto"/>
      </w:divBdr>
    </w:div>
    <w:div w:id="1713456365">
      <w:bodyDiv w:val="1"/>
      <w:marLeft w:val="0"/>
      <w:marRight w:val="0"/>
      <w:marTop w:val="0"/>
      <w:marBottom w:val="0"/>
      <w:divBdr>
        <w:top w:val="none" w:sz="0" w:space="0" w:color="auto"/>
        <w:left w:val="none" w:sz="0" w:space="0" w:color="auto"/>
        <w:bottom w:val="none" w:sz="0" w:space="0" w:color="auto"/>
        <w:right w:val="none" w:sz="0" w:space="0" w:color="auto"/>
      </w:divBdr>
    </w:div>
    <w:div w:id="1758480240">
      <w:bodyDiv w:val="1"/>
      <w:marLeft w:val="0"/>
      <w:marRight w:val="0"/>
      <w:marTop w:val="0"/>
      <w:marBottom w:val="0"/>
      <w:divBdr>
        <w:top w:val="none" w:sz="0" w:space="0" w:color="auto"/>
        <w:left w:val="none" w:sz="0" w:space="0" w:color="auto"/>
        <w:bottom w:val="none" w:sz="0" w:space="0" w:color="auto"/>
        <w:right w:val="none" w:sz="0" w:space="0" w:color="auto"/>
      </w:divBdr>
    </w:div>
    <w:div w:id="1768309039">
      <w:bodyDiv w:val="1"/>
      <w:marLeft w:val="0"/>
      <w:marRight w:val="0"/>
      <w:marTop w:val="0"/>
      <w:marBottom w:val="0"/>
      <w:divBdr>
        <w:top w:val="none" w:sz="0" w:space="0" w:color="auto"/>
        <w:left w:val="none" w:sz="0" w:space="0" w:color="auto"/>
        <w:bottom w:val="none" w:sz="0" w:space="0" w:color="auto"/>
        <w:right w:val="none" w:sz="0" w:space="0" w:color="auto"/>
      </w:divBdr>
    </w:div>
    <w:div w:id="1782529119">
      <w:bodyDiv w:val="1"/>
      <w:marLeft w:val="0"/>
      <w:marRight w:val="0"/>
      <w:marTop w:val="0"/>
      <w:marBottom w:val="0"/>
      <w:divBdr>
        <w:top w:val="none" w:sz="0" w:space="0" w:color="auto"/>
        <w:left w:val="none" w:sz="0" w:space="0" w:color="auto"/>
        <w:bottom w:val="none" w:sz="0" w:space="0" w:color="auto"/>
        <w:right w:val="none" w:sz="0" w:space="0" w:color="auto"/>
      </w:divBdr>
    </w:div>
    <w:div w:id="1786608933">
      <w:bodyDiv w:val="1"/>
      <w:marLeft w:val="0"/>
      <w:marRight w:val="0"/>
      <w:marTop w:val="0"/>
      <w:marBottom w:val="0"/>
      <w:divBdr>
        <w:top w:val="none" w:sz="0" w:space="0" w:color="auto"/>
        <w:left w:val="none" w:sz="0" w:space="0" w:color="auto"/>
        <w:bottom w:val="none" w:sz="0" w:space="0" w:color="auto"/>
        <w:right w:val="none" w:sz="0" w:space="0" w:color="auto"/>
      </w:divBdr>
    </w:div>
    <w:div w:id="1815756046">
      <w:bodyDiv w:val="1"/>
      <w:marLeft w:val="0"/>
      <w:marRight w:val="0"/>
      <w:marTop w:val="0"/>
      <w:marBottom w:val="0"/>
      <w:divBdr>
        <w:top w:val="none" w:sz="0" w:space="0" w:color="auto"/>
        <w:left w:val="none" w:sz="0" w:space="0" w:color="auto"/>
        <w:bottom w:val="none" w:sz="0" w:space="0" w:color="auto"/>
        <w:right w:val="none" w:sz="0" w:space="0" w:color="auto"/>
      </w:divBdr>
    </w:div>
    <w:div w:id="1818106378">
      <w:bodyDiv w:val="1"/>
      <w:marLeft w:val="0"/>
      <w:marRight w:val="0"/>
      <w:marTop w:val="0"/>
      <w:marBottom w:val="0"/>
      <w:divBdr>
        <w:top w:val="none" w:sz="0" w:space="0" w:color="auto"/>
        <w:left w:val="none" w:sz="0" w:space="0" w:color="auto"/>
        <w:bottom w:val="none" w:sz="0" w:space="0" w:color="auto"/>
        <w:right w:val="none" w:sz="0" w:space="0" w:color="auto"/>
      </w:divBdr>
    </w:div>
    <w:div w:id="1818377923">
      <w:bodyDiv w:val="1"/>
      <w:marLeft w:val="0"/>
      <w:marRight w:val="0"/>
      <w:marTop w:val="0"/>
      <w:marBottom w:val="0"/>
      <w:divBdr>
        <w:top w:val="none" w:sz="0" w:space="0" w:color="auto"/>
        <w:left w:val="none" w:sz="0" w:space="0" w:color="auto"/>
        <w:bottom w:val="none" w:sz="0" w:space="0" w:color="auto"/>
        <w:right w:val="none" w:sz="0" w:space="0" w:color="auto"/>
      </w:divBdr>
    </w:div>
    <w:div w:id="1881435441">
      <w:bodyDiv w:val="1"/>
      <w:marLeft w:val="0"/>
      <w:marRight w:val="0"/>
      <w:marTop w:val="0"/>
      <w:marBottom w:val="0"/>
      <w:divBdr>
        <w:top w:val="none" w:sz="0" w:space="0" w:color="auto"/>
        <w:left w:val="none" w:sz="0" w:space="0" w:color="auto"/>
        <w:bottom w:val="none" w:sz="0" w:space="0" w:color="auto"/>
        <w:right w:val="none" w:sz="0" w:space="0" w:color="auto"/>
      </w:divBdr>
    </w:div>
    <w:div w:id="1888376146">
      <w:bodyDiv w:val="1"/>
      <w:marLeft w:val="0"/>
      <w:marRight w:val="0"/>
      <w:marTop w:val="0"/>
      <w:marBottom w:val="0"/>
      <w:divBdr>
        <w:top w:val="none" w:sz="0" w:space="0" w:color="auto"/>
        <w:left w:val="none" w:sz="0" w:space="0" w:color="auto"/>
        <w:bottom w:val="none" w:sz="0" w:space="0" w:color="auto"/>
        <w:right w:val="none" w:sz="0" w:space="0" w:color="auto"/>
      </w:divBdr>
    </w:div>
    <w:div w:id="1902903930">
      <w:bodyDiv w:val="1"/>
      <w:marLeft w:val="0"/>
      <w:marRight w:val="0"/>
      <w:marTop w:val="0"/>
      <w:marBottom w:val="0"/>
      <w:divBdr>
        <w:top w:val="none" w:sz="0" w:space="0" w:color="auto"/>
        <w:left w:val="none" w:sz="0" w:space="0" w:color="auto"/>
        <w:bottom w:val="none" w:sz="0" w:space="0" w:color="auto"/>
        <w:right w:val="none" w:sz="0" w:space="0" w:color="auto"/>
      </w:divBdr>
    </w:div>
    <w:div w:id="1930576152">
      <w:bodyDiv w:val="1"/>
      <w:marLeft w:val="0"/>
      <w:marRight w:val="0"/>
      <w:marTop w:val="0"/>
      <w:marBottom w:val="0"/>
      <w:divBdr>
        <w:top w:val="none" w:sz="0" w:space="0" w:color="auto"/>
        <w:left w:val="none" w:sz="0" w:space="0" w:color="auto"/>
        <w:bottom w:val="none" w:sz="0" w:space="0" w:color="auto"/>
        <w:right w:val="none" w:sz="0" w:space="0" w:color="auto"/>
      </w:divBdr>
    </w:div>
    <w:div w:id="1933854216">
      <w:bodyDiv w:val="1"/>
      <w:marLeft w:val="0"/>
      <w:marRight w:val="0"/>
      <w:marTop w:val="0"/>
      <w:marBottom w:val="0"/>
      <w:divBdr>
        <w:top w:val="none" w:sz="0" w:space="0" w:color="auto"/>
        <w:left w:val="none" w:sz="0" w:space="0" w:color="auto"/>
        <w:bottom w:val="none" w:sz="0" w:space="0" w:color="auto"/>
        <w:right w:val="none" w:sz="0" w:space="0" w:color="auto"/>
      </w:divBdr>
    </w:div>
    <w:div w:id="2010519747">
      <w:bodyDiv w:val="1"/>
      <w:marLeft w:val="0"/>
      <w:marRight w:val="0"/>
      <w:marTop w:val="0"/>
      <w:marBottom w:val="0"/>
      <w:divBdr>
        <w:top w:val="none" w:sz="0" w:space="0" w:color="auto"/>
        <w:left w:val="none" w:sz="0" w:space="0" w:color="auto"/>
        <w:bottom w:val="none" w:sz="0" w:space="0" w:color="auto"/>
        <w:right w:val="none" w:sz="0" w:space="0" w:color="auto"/>
      </w:divBdr>
    </w:div>
    <w:div w:id="2036997271">
      <w:bodyDiv w:val="1"/>
      <w:marLeft w:val="0"/>
      <w:marRight w:val="0"/>
      <w:marTop w:val="0"/>
      <w:marBottom w:val="0"/>
      <w:divBdr>
        <w:top w:val="none" w:sz="0" w:space="0" w:color="auto"/>
        <w:left w:val="none" w:sz="0" w:space="0" w:color="auto"/>
        <w:bottom w:val="none" w:sz="0" w:space="0" w:color="auto"/>
        <w:right w:val="none" w:sz="0" w:space="0" w:color="auto"/>
      </w:divBdr>
    </w:div>
    <w:div w:id="2046172396">
      <w:bodyDiv w:val="1"/>
      <w:marLeft w:val="0"/>
      <w:marRight w:val="0"/>
      <w:marTop w:val="0"/>
      <w:marBottom w:val="0"/>
      <w:divBdr>
        <w:top w:val="none" w:sz="0" w:space="0" w:color="auto"/>
        <w:left w:val="none" w:sz="0" w:space="0" w:color="auto"/>
        <w:bottom w:val="none" w:sz="0" w:space="0" w:color="auto"/>
        <w:right w:val="none" w:sz="0" w:space="0" w:color="auto"/>
      </w:divBdr>
    </w:div>
    <w:div w:id="2072804355">
      <w:bodyDiv w:val="1"/>
      <w:marLeft w:val="0"/>
      <w:marRight w:val="0"/>
      <w:marTop w:val="0"/>
      <w:marBottom w:val="0"/>
      <w:divBdr>
        <w:top w:val="none" w:sz="0" w:space="0" w:color="auto"/>
        <w:left w:val="none" w:sz="0" w:space="0" w:color="auto"/>
        <w:bottom w:val="none" w:sz="0" w:space="0" w:color="auto"/>
        <w:right w:val="none" w:sz="0" w:space="0" w:color="auto"/>
      </w:divBdr>
    </w:div>
    <w:div w:id="2080860444">
      <w:bodyDiv w:val="1"/>
      <w:marLeft w:val="0"/>
      <w:marRight w:val="0"/>
      <w:marTop w:val="0"/>
      <w:marBottom w:val="0"/>
      <w:divBdr>
        <w:top w:val="none" w:sz="0" w:space="0" w:color="auto"/>
        <w:left w:val="none" w:sz="0" w:space="0" w:color="auto"/>
        <w:bottom w:val="none" w:sz="0" w:space="0" w:color="auto"/>
        <w:right w:val="none" w:sz="0" w:space="0" w:color="auto"/>
      </w:divBdr>
    </w:div>
    <w:div w:id="2135903452">
      <w:bodyDiv w:val="1"/>
      <w:marLeft w:val="0"/>
      <w:marRight w:val="0"/>
      <w:marTop w:val="0"/>
      <w:marBottom w:val="0"/>
      <w:divBdr>
        <w:top w:val="none" w:sz="0" w:space="0" w:color="auto"/>
        <w:left w:val="none" w:sz="0" w:space="0" w:color="auto"/>
        <w:bottom w:val="none" w:sz="0" w:space="0" w:color="auto"/>
        <w:right w:val="none" w:sz="0" w:space="0" w:color="auto"/>
      </w:divBdr>
    </w:div>
    <w:div w:id="2137794659">
      <w:bodyDiv w:val="1"/>
      <w:marLeft w:val="0"/>
      <w:marRight w:val="0"/>
      <w:marTop w:val="0"/>
      <w:marBottom w:val="0"/>
      <w:divBdr>
        <w:top w:val="none" w:sz="0" w:space="0" w:color="auto"/>
        <w:left w:val="none" w:sz="0" w:space="0" w:color="auto"/>
        <w:bottom w:val="none" w:sz="0" w:space="0" w:color="auto"/>
        <w:right w:val="none" w:sz="0" w:space="0" w:color="auto"/>
      </w:divBdr>
    </w:div>
    <w:div w:id="2141536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owerhamlets.gov.uk/lgnl/housing/housing_statements_and_strateg/homelessness_strategy.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106@towerhamlets.gov.uk" TargetMode="External"/><Relationship Id="rId7" Type="http://schemas.openxmlformats.org/officeDocument/2006/relationships/endnotes" Target="endnotes.xml"/><Relationship Id="rId12" Type="http://schemas.openxmlformats.org/officeDocument/2006/relationships/hyperlink" Target="https://www.towerhamlets.gov.uk/lgnl/planning_and_building_control/Infrastructure_planning/section_106_planning_obligations.aspx" TargetMode="External"/><Relationship Id="rId25"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hyperlink" Target="https://www.towerhamlets.gov.uk/lgnl/planning_and_building_control/planning_policy_guidance/monitoring_and_programme_re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l.gov.uk/info-for/urban-planning-and-construction/planning-applications/pre-application-servic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owerhamlets.gov.uk/lgnl/planning_and_building_control/planning_policy_guidance/Local_plan/Local_Plan_2031_Examination_Library.aspx" TargetMode="External"/><Relationship Id="rId23" Type="http://schemas.openxmlformats.org/officeDocument/2006/relationships/footer" Target="footer1.xml"/><Relationship Id="rId10" Type="http://schemas.openxmlformats.org/officeDocument/2006/relationships/hyperlink" Target="https://www.london.gov.uk/what-we-do/planning/implementing-london-plan/mayoral-community-infrastructure-levy" TargetMode="External"/><Relationship Id="rId19" Type="http://schemas.openxmlformats.org/officeDocument/2006/relationships/hyperlink" Target="https://www.towerhamlets.gov.uk/lgnl/planning_and_building_control/planning_policy_guidance/Local_plan/Local_Plan_2031_Examination_Library.aspx" TargetMode="External"/><Relationship Id="rId4" Type="http://schemas.openxmlformats.org/officeDocument/2006/relationships/settings" Target="settings.xml"/><Relationship Id="rId9" Type="http://schemas.openxmlformats.org/officeDocument/2006/relationships/hyperlink" Target="https://www.towerhamlets.gov.uk/lgnl/planning_and_building_control/Infrastructure_planning/community_infrastructure_levy.aspx" TargetMode="External"/><Relationship Id="rId14" Type="http://schemas.openxmlformats.org/officeDocument/2006/relationships/hyperlink" Target="https://democracy.towerhamlets.gov.uk/mgConvert2PDF.aspx?ID=112138"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chitecture.com/knowledge-and-resources/resources-landing-page/whole-life-carbon-assessment-for-architects" TargetMode="External"/><Relationship Id="rId2" Type="http://schemas.openxmlformats.org/officeDocument/2006/relationships/hyperlink" Target="https://www.towerhamlets.gov.uk/lgnl/housing/Self_build_and_custom_build/Self_build_and_custom_build_register.aspx" TargetMode="External"/><Relationship Id="rId1" Type="http://schemas.openxmlformats.org/officeDocument/2006/relationships/hyperlink" Target="https://www.towerhamlets.gov.uk/lgnl/planning_and_building_control/planning_applications/search_and_comment_planning_applications.aspx" TargetMode="External"/><Relationship Id="rId5" Type="http://schemas.openxmlformats.org/officeDocument/2006/relationships/hyperlink" Target="http://erg.ic.ac.uk/research/home/projects/air-pollution-and-asthma-admissions-in-London.html" TargetMode="External"/><Relationship Id="rId4" Type="http://schemas.openxmlformats.org/officeDocument/2006/relationships/hyperlink" Target="https://www.towerhamlets.gov.uk/lgnl/environment_and_waste/flood_risk_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58A7-C5E3-4D7F-9279-C56A77A5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17384</Words>
  <Characters>99094</Characters>
  <Application>Microsoft Office Word</Application>
  <DocSecurity>0</DocSecurity>
  <Lines>825</Lines>
  <Paragraphs>232</Paragraphs>
  <ScaleCrop>false</ScaleCrop>
  <Company/>
  <LinksUpToDate>false</LinksUpToDate>
  <CharactersWithSpaces>116246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2021-04-23T14:18:00Z</dcterms:created>
  <dcterms:modified xsi:type="dcterms:W3CDTF">2021-04-23T14:18:00Z</dcterms:modified>
</cp:coreProperties>
</file>