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151092" w14:textId="79241E27" w:rsidR="009C0FB9" w:rsidRPr="007B7CEE" w:rsidRDefault="009C0FB9" w:rsidP="00657A37">
      <w:pPr>
        <w:pStyle w:val="Heading2"/>
        <w:numPr>
          <w:ilvl w:val="0"/>
          <w:numId w:val="0"/>
        </w:numPr>
        <w:rPr>
          <w:color w:val="000000" w:themeColor="text1"/>
        </w:rPr>
      </w:pPr>
      <w:bookmarkStart w:id="0" w:name="_Hlk211350735"/>
      <w:bookmarkEnd w:id="0"/>
    </w:p>
    <w:p w14:paraId="1E710386" w14:textId="67CE5318" w:rsidR="009C0FB9" w:rsidRDefault="009C0FB9">
      <w:pPr>
        <w:spacing w:before="0" w:after="160" w:line="278" w:lineRule="auto"/>
        <w:jc w:val="left"/>
        <w:rPr>
          <w:b/>
          <w:bCs/>
          <w:color w:val="00435D"/>
          <w:sz w:val="44"/>
          <w:szCs w:val="36"/>
        </w:rPr>
      </w:pPr>
    </w:p>
    <w:p w14:paraId="70A0EFDD" w14:textId="77777777" w:rsidR="009C0FB9" w:rsidRPr="00B92227" w:rsidRDefault="009C0FB9" w:rsidP="009C0FB9"/>
    <w:p w14:paraId="651D9478" w14:textId="04F55A32" w:rsidR="009C0FB9" w:rsidRPr="00B92227" w:rsidRDefault="009C0FB9" w:rsidP="009C0FB9">
      <w:pPr>
        <w:tabs>
          <w:tab w:val="left" w:pos="2310"/>
        </w:tabs>
      </w:pPr>
    </w:p>
    <w:p w14:paraId="3AD59B88" w14:textId="77777777" w:rsidR="009C0FB9" w:rsidRPr="00B92227" w:rsidRDefault="009C0FB9" w:rsidP="009C0FB9">
      <w:pPr>
        <w:tabs>
          <w:tab w:val="left" w:pos="2310"/>
        </w:tabs>
      </w:pPr>
    </w:p>
    <w:p w14:paraId="2C55A6BE" w14:textId="05CADC6F" w:rsidR="00310DB7" w:rsidRPr="00310DB7" w:rsidRDefault="00310DB7" w:rsidP="00310DB7">
      <w:pPr>
        <w:tabs>
          <w:tab w:val="left" w:pos="2310"/>
        </w:tabs>
      </w:pPr>
    </w:p>
    <w:p w14:paraId="2FBC8560" w14:textId="20B72E34" w:rsidR="009C0FB9" w:rsidRPr="00B92227" w:rsidRDefault="00FF334C" w:rsidP="009C0FB9">
      <w:pPr>
        <w:tabs>
          <w:tab w:val="left" w:pos="2310"/>
        </w:tabs>
      </w:pPr>
      <w:r w:rsidRPr="00310DB7">
        <w:rPr>
          <w:noProof/>
        </w:rPr>
        <w:drawing>
          <wp:anchor distT="0" distB="0" distL="114300" distR="114300" simplePos="0" relativeHeight="251658245" behindDoc="1" locked="0" layoutInCell="1" allowOverlap="1" wp14:anchorId="24D5777C" wp14:editId="35F59B3A">
            <wp:simplePos x="0" y="0"/>
            <wp:positionH relativeFrom="column">
              <wp:posOffset>403795</wp:posOffset>
            </wp:positionH>
            <wp:positionV relativeFrom="paragraph">
              <wp:posOffset>46180</wp:posOffset>
            </wp:positionV>
            <wp:extent cx="5734685" cy="3823335"/>
            <wp:effectExtent l="0" t="0" r="0" b="5715"/>
            <wp:wrapNone/>
            <wp:docPr id="1096176516" name="Picture 37" descr="A family eating a mea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76516" name="Picture 37" descr="A family eating a meal&#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4685" cy="3823335"/>
                    </a:xfrm>
                    <a:prstGeom prst="rect">
                      <a:avLst/>
                    </a:prstGeom>
                    <a:noFill/>
                    <a:ln>
                      <a:noFill/>
                    </a:ln>
                  </pic:spPr>
                </pic:pic>
              </a:graphicData>
            </a:graphic>
          </wp:anchor>
        </w:drawing>
      </w:r>
    </w:p>
    <w:p w14:paraId="6E558CF6" w14:textId="66D551FC" w:rsidR="009C0FB9" w:rsidRPr="00B92227" w:rsidRDefault="009C0FB9" w:rsidP="009C0FB9">
      <w:pPr>
        <w:tabs>
          <w:tab w:val="left" w:pos="2310"/>
        </w:tabs>
      </w:pPr>
    </w:p>
    <w:p w14:paraId="630DB872" w14:textId="77777777" w:rsidR="009C0FB9" w:rsidRPr="00B92227" w:rsidRDefault="009C0FB9" w:rsidP="009C0FB9">
      <w:pPr>
        <w:tabs>
          <w:tab w:val="left" w:pos="2310"/>
        </w:tabs>
      </w:pPr>
    </w:p>
    <w:p w14:paraId="2069C9A7" w14:textId="77777777" w:rsidR="009C0FB9" w:rsidRPr="00B92227" w:rsidRDefault="009C0FB9" w:rsidP="009C0FB9">
      <w:pPr>
        <w:tabs>
          <w:tab w:val="left" w:pos="2310"/>
        </w:tabs>
      </w:pPr>
      <w:r w:rsidRPr="00B92227">
        <w:tab/>
      </w:r>
    </w:p>
    <w:p w14:paraId="1569D626" w14:textId="77777777" w:rsidR="009C0FB9" w:rsidRPr="00B92227" w:rsidRDefault="009C0FB9" w:rsidP="009C0FB9">
      <w:pPr>
        <w:pStyle w:val="Title"/>
        <w:rPr>
          <w:b w:val="0"/>
          <w:sz w:val="72"/>
          <w:szCs w:val="72"/>
        </w:rPr>
      </w:pPr>
    </w:p>
    <w:p w14:paraId="1849386A" w14:textId="77777777" w:rsidR="009C0FB9" w:rsidRPr="00B92227" w:rsidRDefault="009C0FB9" w:rsidP="009C0FB9">
      <w:pPr>
        <w:pStyle w:val="Title"/>
        <w:rPr>
          <w:b w:val="0"/>
          <w:sz w:val="72"/>
          <w:szCs w:val="72"/>
        </w:rPr>
      </w:pPr>
    </w:p>
    <w:p w14:paraId="4C05EE5C" w14:textId="1D04AB88" w:rsidR="009C0FB9" w:rsidRPr="00B92227" w:rsidRDefault="00FF334C" w:rsidP="009C0FB9">
      <w:pPr>
        <w:pStyle w:val="Title"/>
        <w:rPr>
          <w:b w:val="0"/>
          <w:sz w:val="72"/>
          <w:szCs w:val="72"/>
        </w:rPr>
      </w:pPr>
      <w:r w:rsidRPr="00B92227">
        <w:rPr>
          <w:noProof/>
        </w:rPr>
        <mc:AlternateContent>
          <mc:Choice Requires="wps">
            <w:drawing>
              <wp:anchor distT="0" distB="0" distL="114300" distR="114300" simplePos="0" relativeHeight="251658246" behindDoc="1" locked="0" layoutInCell="1" allowOverlap="1" wp14:anchorId="18A224FC" wp14:editId="2AC5907B">
                <wp:simplePos x="0" y="0"/>
                <wp:positionH relativeFrom="margin">
                  <wp:align>center</wp:align>
                </wp:positionH>
                <wp:positionV relativeFrom="paragraph">
                  <wp:posOffset>519769</wp:posOffset>
                </wp:positionV>
                <wp:extent cx="6189784" cy="3158836"/>
                <wp:effectExtent l="0" t="0" r="1905" b="3810"/>
                <wp:wrapNone/>
                <wp:docPr id="1656610480" name="Rectangle 3"/>
                <wp:cNvGraphicFramePr/>
                <a:graphic xmlns:a="http://schemas.openxmlformats.org/drawingml/2006/main">
                  <a:graphicData uri="http://schemas.microsoft.com/office/word/2010/wordprocessingShape">
                    <wps:wsp>
                      <wps:cNvSpPr/>
                      <wps:spPr>
                        <a:xfrm>
                          <a:off x="0" y="0"/>
                          <a:ext cx="6189784" cy="3158836"/>
                        </a:xfrm>
                        <a:prstGeom prst="rect">
                          <a:avLst/>
                        </a:prstGeom>
                        <a:solidFill>
                          <a:srgbClr val="FFFFFF">
                            <a:alpha val="74902"/>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C6012" id="Rectangle 3" o:spid="_x0000_s1026" style="position:absolute;margin-left:0;margin-top:40.95pt;width:487.4pt;height:248.75pt;z-index:-25165823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" stroked="f" strokeweight="1.5pt">
                <v:fill opacity="49087f"/>
                <w10:wrap anchorx="margin"/>
              </v:rect>
            </w:pict>
          </mc:Fallback>
        </mc:AlternateContent>
      </w:r>
      <w:r w:rsidR="009C0FB9" w:rsidRPr="00B92227">
        <w:rPr>
          <w:noProof/>
        </w:rPr>
        <mc:AlternateContent>
          <mc:Choice Requires="wps">
            <w:drawing>
              <wp:anchor distT="0" distB="0" distL="114300" distR="114300" simplePos="0" relativeHeight="251658244" behindDoc="1" locked="0" layoutInCell="1" allowOverlap="1" wp14:anchorId="6198D84D" wp14:editId="768534ED">
                <wp:simplePos x="0" y="0"/>
                <wp:positionH relativeFrom="margin">
                  <wp:posOffset>-280768</wp:posOffset>
                </wp:positionH>
                <wp:positionV relativeFrom="paragraph">
                  <wp:posOffset>289023</wp:posOffset>
                </wp:positionV>
                <wp:extent cx="6189784" cy="2377440"/>
                <wp:effectExtent l="0" t="0" r="1905" b="3810"/>
                <wp:wrapNone/>
                <wp:docPr id="163355585" name="Rectangle 3"/>
                <wp:cNvGraphicFramePr/>
                <a:graphic xmlns:a="http://schemas.openxmlformats.org/drawingml/2006/main">
                  <a:graphicData uri="http://schemas.microsoft.com/office/word/2010/wordprocessingShape">
                    <wps:wsp>
                      <wps:cNvSpPr/>
                      <wps:spPr>
                        <a:xfrm>
                          <a:off x="0" y="0"/>
                          <a:ext cx="6189784" cy="2377440"/>
                        </a:xfrm>
                        <a:prstGeom prst="rect">
                          <a:avLst/>
                        </a:prstGeom>
                        <a:solidFill>
                          <a:srgbClr val="FFFFFF">
                            <a:alpha val="74902"/>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D1538A" id="Rectangle 3" o:spid="_x0000_s1026" style="position:absolute;margin-left:-22.1pt;margin-top:22.75pt;width:487.4pt;height:187.2pt;z-index:-2516582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" stroked="f" strokeweight="1.5pt">
                <v:fill opacity="49087f"/>
                <w10:wrap anchorx="margin"/>
              </v:rect>
            </w:pict>
          </mc:Fallback>
        </mc:AlternateContent>
      </w:r>
    </w:p>
    <w:p w14:paraId="1A960D93" w14:textId="01754BF1" w:rsidR="009C0FB9" w:rsidRPr="00B92227" w:rsidRDefault="00D63B0F" w:rsidP="00FF334C">
      <w:pPr>
        <w:pStyle w:val="Title"/>
        <w:jc w:val="left"/>
        <w:rPr>
          <w:b w:val="0"/>
          <w:bCs w:val="0"/>
          <w:sz w:val="96"/>
          <w:szCs w:val="96"/>
        </w:rPr>
      </w:pPr>
      <w:r>
        <w:rPr>
          <w:sz w:val="96"/>
          <w:szCs w:val="96"/>
        </w:rPr>
        <w:t>Tower Hamlets Children with SEND Joint Strategic</w:t>
      </w:r>
      <w:r w:rsidR="009C0FB9" w:rsidRPr="00B92227">
        <w:rPr>
          <w:sz w:val="96"/>
          <w:szCs w:val="96"/>
        </w:rPr>
        <w:t xml:space="preserve"> Needs Assessment</w:t>
      </w:r>
    </w:p>
    <w:p w14:paraId="09938531" w14:textId="77777777" w:rsidR="009C0FB9" w:rsidRPr="00B92227" w:rsidRDefault="009C0FB9" w:rsidP="009C0FB9"/>
    <w:p w14:paraId="7B695288" w14:textId="77777777" w:rsidR="009C0FB9" w:rsidRPr="00EB6622" w:rsidRDefault="009C0FB9" w:rsidP="00EB6622">
      <w:pPr>
        <w:pStyle w:val="BodyText"/>
        <w:rPr>
          <w:sz w:val="32"/>
          <w:szCs w:val="32"/>
        </w:rPr>
      </w:pPr>
      <w:r w:rsidRPr="00EB6622">
        <w:rPr>
          <w:sz w:val="32"/>
          <w:szCs w:val="32"/>
        </w:rPr>
        <w:t xml:space="preserve">Report </w:t>
      </w:r>
      <w:proofErr w:type="gramStart"/>
      <w:r w:rsidRPr="00EB6622">
        <w:rPr>
          <w:sz w:val="32"/>
          <w:szCs w:val="32"/>
        </w:rPr>
        <w:t>by</w:t>
      </w:r>
      <w:proofErr w:type="gramEnd"/>
      <w:r w:rsidRPr="00EB6622">
        <w:rPr>
          <w:sz w:val="32"/>
          <w:szCs w:val="32"/>
        </w:rPr>
        <w:t xml:space="preserve"> Healthy Dialogues</w:t>
      </w:r>
    </w:p>
    <w:p w14:paraId="3C2BD7B2" w14:textId="21FCD033" w:rsidR="009C0FB9" w:rsidRPr="00B92227" w:rsidRDefault="00D63B0F" w:rsidP="00EB6622">
      <w:pPr>
        <w:pStyle w:val="BodyText"/>
        <w:rPr>
          <w:rFonts w:eastAsia="Calibri"/>
          <w:color w:val="00435D" w:themeColor="accent1"/>
          <w:spacing w:val="20"/>
          <w:sz w:val="44"/>
          <w:szCs w:val="44"/>
        </w:rPr>
      </w:pPr>
      <w:r w:rsidRPr="00EB6622">
        <w:rPr>
          <w:sz w:val="32"/>
          <w:szCs w:val="32"/>
        </w:rPr>
        <w:t>August</w:t>
      </w:r>
      <w:r w:rsidR="009C0FB9" w:rsidRPr="00EB6622">
        <w:rPr>
          <w:sz w:val="32"/>
          <w:szCs w:val="32"/>
        </w:rPr>
        <w:t xml:space="preserve"> 2025</w:t>
      </w:r>
      <w:r w:rsidR="009C0FB9" w:rsidRPr="00B92227">
        <w:br w:type="page"/>
      </w:r>
    </w:p>
    <w:p w14:paraId="66598ED3" w14:textId="4D3AEE38" w:rsidR="003A1644" w:rsidRPr="002F1B11" w:rsidRDefault="003A1644" w:rsidP="00CE4A1C">
      <w:pPr>
        <w:pStyle w:val="Heading2"/>
        <w:numPr>
          <w:ilvl w:val="0"/>
          <w:numId w:val="0"/>
        </w:numPr>
      </w:pPr>
      <w:bookmarkStart w:id="1" w:name="_Toc211414090"/>
      <w:bookmarkStart w:id="2" w:name="_Toc211439988"/>
      <w:r w:rsidRPr="002F1B11">
        <w:lastRenderedPageBreak/>
        <w:t>Executive Summary</w:t>
      </w:r>
      <w:bookmarkEnd w:id="1"/>
      <w:bookmarkEnd w:id="2"/>
    </w:p>
    <w:p w14:paraId="1CC9523E" w14:textId="782D83F6" w:rsidR="00C1750E" w:rsidRDefault="005041E3" w:rsidP="005041E3">
      <w:r w:rsidRPr="005041E3">
        <w:t xml:space="preserve">The 2025 Tower Hamlets Joint Strategic Needs Assessment (JSNA) provides a comprehensive analysis of the current and future needs of children and young people with Special Educational Needs and Disabilities (SEND). Developed in partnership with local health, education, </w:t>
      </w:r>
      <w:r w:rsidR="0064428E">
        <w:t xml:space="preserve">social care, youth services, public health and </w:t>
      </w:r>
      <w:r w:rsidR="00416F11">
        <w:t xml:space="preserve">key </w:t>
      </w:r>
      <w:r w:rsidR="00416F11" w:rsidRPr="005041E3">
        <w:t>stakeholders</w:t>
      </w:r>
      <w:r w:rsidRPr="005041E3">
        <w:t>, this JSNA aims to inform strategic planning</w:t>
      </w:r>
      <w:r w:rsidR="000D7824">
        <w:t xml:space="preserve"> and support the improvement of health, education and social outcomes.</w:t>
      </w:r>
    </w:p>
    <w:p w14:paraId="179AF5A1" w14:textId="76EC87EA" w:rsidR="00915136" w:rsidRPr="00584FE1" w:rsidRDefault="00825803" w:rsidP="00825803">
      <w:pPr>
        <w:pStyle w:val="Heading3"/>
        <w:numPr>
          <w:ilvl w:val="0"/>
          <w:numId w:val="0"/>
        </w:numPr>
        <w:ind w:left="-72"/>
        <w:rPr>
          <w:color w:val="006B70"/>
        </w:rPr>
      </w:pPr>
      <w:r w:rsidRPr="00584FE1">
        <w:rPr>
          <w:color w:val="006B70"/>
        </w:rPr>
        <w:t xml:space="preserve"> </w:t>
      </w:r>
      <w:r w:rsidR="00915136" w:rsidRPr="00584FE1">
        <w:rPr>
          <w:color w:val="006B70"/>
        </w:rPr>
        <w:t>Key Findings</w:t>
      </w:r>
    </w:p>
    <w:p w14:paraId="2B9FD900" w14:textId="69BD9634" w:rsidR="002C46DB" w:rsidRPr="002C46DB" w:rsidRDefault="002C46DB" w:rsidP="002C46DB">
      <w:r>
        <w:t xml:space="preserve">The Tower Hamlets JSNA emphasises a borough with both notable strengths and critical challenges in supporting children and young people with SEND. As demand grows and complexity deepens, the local system is responding with </w:t>
      </w:r>
      <w:r w:rsidR="00245BD7">
        <w:t>ambition but</w:t>
      </w:r>
      <w:r>
        <w:t xml:space="preserve"> faces pressures that require coordinate</w:t>
      </w:r>
      <w:r w:rsidR="00660705">
        <w:t>d and</w:t>
      </w:r>
      <w:r>
        <w:t xml:space="preserve"> long-term solutions.</w:t>
      </w:r>
      <w:r w:rsidR="00B04C86">
        <w:t xml:space="preserve"> Key findings highlight:</w:t>
      </w:r>
    </w:p>
    <w:p w14:paraId="2ECDDFC1" w14:textId="7B439C3C" w:rsidR="00915136" w:rsidRPr="00293C95" w:rsidRDefault="00915136" w:rsidP="00BF63ED">
      <w:pPr>
        <w:numPr>
          <w:ilvl w:val="0"/>
          <w:numId w:val="39"/>
        </w:numPr>
        <w:tabs>
          <w:tab w:val="num" w:pos="720"/>
        </w:tabs>
      </w:pPr>
      <w:r w:rsidRPr="00293C95">
        <w:rPr>
          <w:b/>
        </w:rPr>
        <w:t xml:space="preserve">Rising SEND </w:t>
      </w:r>
      <w:r w:rsidR="00333544" w:rsidRPr="00293C95">
        <w:rPr>
          <w:b/>
        </w:rPr>
        <w:t>p</w:t>
      </w:r>
      <w:r w:rsidRPr="00293C95">
        <w:rPr>
          <w:b/>
        </w:rPr>
        <w:t>revalence</w:t>
      </w:r>
      <w:r w:rsidRPr="00293C95">
        <w:t>: Nationally, over 1.7 million pupils are identified with SEND in 2025. Tower Hamlets has the highest proportion of pupils with Education, Health and Care Plans (EHCPs</w:t>
      </w:r>
      <w:r w:rsidR="006703B9" w:rsidRPr="00293C95">
        <w:t>)</w:t>
      </w:r>
      <w:r w:rsidRPr="00293C95">
        <w:t xml:space="preserve"> in England at 6.8%, compared to the national average of 4.8%.</w:t>
      </w:r>
      <w:r w:rsidR="00EE0281" w:rsidRPr="00293C95">
        <w:t xml:space="preserve"> This reflects both a rising need and proactive identification, </w:t>
      </w:r>
      <w:r w:rsidR="002A7C06" w:rsidRPr="00293C95">
        <w:t>demonstrating</w:t>
      </w:r>
      <w:r w:rsidR="00E267B9" w:rsidRPr="00293C95">
        <w:t xml:space="preserve"> Tower Hamlets’ commitment to recognising and responding to need early, but also places increased pressure on service</w:t>
      </w:r>
      <w:r w:rsidR="001D30C7" w:rsidRPr="00293C95">
        <w:t xml:space="preserve">s </w:t>
      </w:r>
      <w:r w:rsidR="00E267B9" w:rsidRPr="00293C95">
        <w:t>and provision</w:t>
      </w:r>
      <w:r w:rsidR="001D30C7" w:rsidRPr="00293C95">
        <w:t>s</w:t>
      </w:r>
      <w:r w:rsidR="00E267B9" w:rsidRPr="00293C95">
        <w:t xml:space="preserve">. </w:t>
      </w:r>
    </w:p>
    <w:p w14:paraId="2B0DC6C8" w14:textId="4D3269B0" w:rsidR="00915136" w:rsidRPr="00915136" w:rsidRDefault="00560FD6" w:rsidP="00BF63ED">
      <w:pPr>
        <w:numPr>
          <w:ilvl w:val="0"/>
          <w:numId w:val="39"/>
        </w:numPr>
        <w:tabs>
          <w:tab w:val="num" w:pos="720"/>
        </w:tabs>
      </w:pPr>
      <w:r>
        <w:rPr>
          <w:b/>
          <w:bCs/>
        </w:rPr>
        <w:t>SEND Primary</w:t>
      </w:r>
      <w:r w:rsidR="00915136" w:rsidRPr="00915136">
        <w:rPr>
          <w:b/>
          <w:bCs/>
        </w:rPr>
        <w:t xml:space="preserve"> </w:t>
      </w:r>
      <w:r w:rsidR="00333544">
        <w:rPr>
          <w:b/>
          <w:bCs/>
        </w:rPr>
        <w:t>n</w:t>
      </w:r>
      <w:r w:rsidR="00915136" w:rsidRPr="00915136">
        <w:rPr>
          <w:b/>
          <w:bCs/>
        </w:rPr>
        <w:t>eeds</w:t>
      </w:r>
      <w:r w:rsidR="00C108C4">
        <w:rPr>
          <w:b/>
          <w:bCs/>
        </w:rPr>
        <w:t xml:space="preserve"> increases</w:t>
      </w:r>
      <w:r w:rsidR="00915136" w:rsidRPr="00915136">
        <w:t>: Speech, language, and communication needs are the most common in Tower Hamlets (40.6%), followed by social, emotional and mental health issues, and autism spectrum disorder (ASD).</w:t>
      </w:r>
      <w:r w:rsidR="00B25228">
        <w:t xml:space="preserve"> The </w:t>
      </w:r>
      <w:r w:rsidR="00332C03">
        <w:t>latter</w:t>
      </w:r>
      <w:r w:rsidR="00B25228">
        <w:t xml:space="preserve"> is also highly prevalent especially amongst those with E</w:t>
      </w:r>
      <w:r w:rsidR="00781056">
        <w:t>HCPs</w:t>
      </w:r>
      <w:r w:rsidR="000921CD">
        <w:t xml:space="preserve">. </w:t>
      </w:r>
      <w:r w:rsidR="000921CD" w:rsidRPr="000921CD">
        <w:t>Th</w:t>
      </w:r>
      <w:r w:rsidR="00834C42">
        <w:t xml:space="preserve">is </w:t>
      </w:r>
      <w:r w:rsidR="000921CD" w:rsidRPr="000921CD">
        <w:t>reflect</w:t>
      </w:r>
      <w:r w:rsidR="00834C42">
        <w:t>s</w:t>
      </w:r>
      <w:r w:rsidR="000921CD" w:rsidRPr="000921CD">
        <w:t xml:space="preserve"> the borough’s demographic complexity and underline</w:t>
      </w:r>
      <w:r w:rsidR="006F19EA">
        <w:t>s</w:t>
      </w:r>
      <w:r w:rsidR="000921CD" w:rsidRPr="000921CD">
        <w:t xml:space="preserve"> the importance of early language support and neurodevelopmental pathways.</w:t>
      </w:r>
    </w:p>
    <w:p w14:paraId="328DC5BA" w14:textId="6ABC6C75" w:rsidR="00655B25" w:rsidRPr="00655B25" w:rsidRDefault="00915136" w:rsidP="00BF63ED">
      <w:pPr>
        <w:numPr>
          <w:ilvl w:val="0"/>
          <w:numId w:val="39"/>
        </w:numPr>
        <w:tabs>
          <w:tab w:val="num" w:pos="720"/>
        </w:tabs>
      </w:pPr>
      <w:r w:rsidRPr="00915136">
        <w:rPr>
          <w:b/>
          <w:bCs/>
        </w:rPr>
        <w:t xml:space="preserve">Early </w:t>
      </w:r>
      <w:r w:rsidR="00333544">
        <w:rPr>
          <w:b/>
          <w:bCs/>
        </w:rPr>
        <w:t>y</w:t>
      </w:r>
      <w:r w:rsidRPr="00915136">
        <w:rPr>
          <w:b/>
          <w:bCs/>
        </w:rPr>
        <w:t>ears</w:t>
      </w:r>
      <w:r w:rsidRPr="00915136">
        <w:t xml:space="preserve">: The borough has made strides in early identification and intervention. However, children still show below-average outcomes in key developmental domains. </w:t>
      </w:r>
      <w:r w:rsidR="008A20FC">
        <w:t xml:space="preserve">This suggests that </w:t>
      </w:r>
      <w:r w:rsidR="008A20FC" w:rsidRPr="00655B25">
        <w:t xml:space="preserve">whilst screening systems are </w:t>
      </w:r>
      <w:r w:rsidR="00B12812" w:rsidRPr="00655B25">
        <w:t>effective</w:t>
      </w:r>
      <w:r w:rsidR="008A20FC" w:rsidRPr="00655B25">
        <w:t>, the scale and complexity of early needs are significant.</w:t>
      </w:r>
    </w:p>
    <w:p w14:paraId="68C0D6EC" w14:textId="17D872A8" w:rsidR="00655B25" w:rsidRDefault="00915136" w:rsidP="00293C95">
      <w:pPr>
        <w:numPr>
          <w:ilvl w:val="0"/>
          <w:numId w:val="39"/>
        </w:numPr>
        <w:tabs>
          <w:tab w:val="num" w:pos="720"/>
        </w:tabs>
      </w:pPr>
      <w:r w:rsidRPr="00655B25">
        <w:rPr>
          <w:b/>
          <w:bCs/>
        </w:rPr>
        <w:t xml:space="preserve">Educational </w:t>
      </w:r>
      <w:r w:rsidR="00333544" w:rsidRPr="00655B25">
        <w:rPr>
          <w:b/>
          <w:bCs/>
        </w:rPr>
        <w:t>o</w:t>
      </w:r>
      <w:r w:rsidRPr="00655B25">
        <w:rPr>
          <w:b/>
          <w:bCs/>
        </w:rPr>
        <w:t>utcomes</w:t>
      </w:r>
      <w:r w:rsidRPr="00655B25">
        <w:t xml:space="preserve">: Tower Hamlets ranks </w:t>
      </w:r>
      <w:r w:rsidR="007B1D7F" w:rsidRPr="00655B25">
        <w:t>among</w:t>
      </w:r>
      <w:r w:rsidR="000C5E55" w:rsidRPr="00655B25">
        <w:t>st</w:t>
      </w:r>
      <w:r w:rsidRPr="00655B25">
        <w:t xml:space="preserve"> the best in England for Key Stage 2 and 4 outcomes for SEND pupils, but Key Stage 5 (post-16) attainment is lower</w:t>
      </w:r>
      <w:r w:rsidR="004B57F7" w:rsidRPr="00655B25">
        <w:t>, underscoring a gap in tailored academic and vocational pathways for older SEND learners</w:t>
      </w:r>
      <w:r w:rsidRPr="00655B25">
        <w:t xml:space="preserve">. </w:t>
      </w:r>
    </w:p>
    <w:p w14:paraId="7BD8681E" w14:textId="20F4654F" w:rsidR="00655B25" w:rsidRPr="00293C95" w:rsidRDefault="00655B25" w:rsidP="00655B25">
      <w:pPr>
        <w:numPr>
          <w:ilvl w:val="0"/>
          <w:numId w:val="39"/>
        </w:numPr>
        <w:tabs>
          <w:tab w:val="num" w:pos="720"/>
        </w:tabs>
      </w:pPr>
      <w:r w:rsidRPr="00655B25">
        <w:rPr>
          <w:b/>
          <w:bCs/>
        </w:rPr>
        <w:t xml:space="preserve">Inequalities </w:t>
      </w:r>
      <w:r w:rsidR="00915136" w:rsidRPr="00293C95">
        <w:rPr>
          <w:b/>
          <w:bCs/>
        </w:rPr>
        <w:t xml:space="preserve">and </w:t>
      </w:r>
      <w:r w:rsidR="00333544" w:rsidRPr="00293C95">
        <w:rPr>
          <w:b/>
          <w:bCs/>
        </w:rPr>
        <w:t>d</w:t>
      </w:r>
      <w:r w:rsidR="00915136" w:rsidRPr="00293C95">
        <w:rPr>
          <w:b/>
          <w:bCs/>
        </w:rPr>
        <w:t>eprivation</w:t>
      </w:r>
      <w:r w:rsidR="00915136" w:rsidRPr="00293C95">
        <w:t xml:space="preserve">: </w:t>
      </w:r>
      <w:r w:rsidRPr="00293C95">
        <w:t>SEND in Tower Hamlets is closely intertwined with poverty, ethnicity, language and gender. Tower Hamlets has the highest child poverty rate in England (47%) and over half of pupils with EHCPs are eligible for free school meals, compared to 43.3% of all pupils in Tower Hamlets and about 25% nationally who are FSM-eligible. This highlights how SEND is disproportionately concentrated among disadvantaged groups.</w:t>
      </w:r>
    </w:p>
    <w:p w14:paraId="0AB72434" w14:textId="5ADF3F12" w:rsidR="00915136" w:rsidRPr="00EE783F" w:rsidRDefault="00915136">
      <w:pPr>
        <w:numPr>
          <w:ilvl w:val="0"/>
          <w:numId w:val="39"/>
        </w:numPr>
        <w:tabs>
          <w:tab w:val="num" w:pos="720"/>
        </w:tabs>
      </w:pPr>
      <w:r w:rsidRPr="00655B25">
        <w:rPr>
          <w:b/>
          <w:bCs/>
        </w:rPr>
        <w:t xml:space="preserve">Service </w:t>
      </w:r>
      <w:r w:rsidR="0053569C" w:rsidRPr="00655B25">
        <w:rPr>
          <w:b/>
          <w:bCs/>
        </w:rPr>
        <w:t>a</w:t>
      </w:r>
      <w:r w:rsidRPr="00655B25">
        <w:rPr>
          <w:b/>
          <w:bCs/>
        </w:rPr>
        <w:t xml:space="preserve">ccess and </w:t>
      </w:r>
      <w:r w:rsidR="0053569C" w:rsidRPr="00655B25">
        <w:rPr>
          <w:b/>
          <w:bCs/>
        </w:rPr>
        <w:t>c</w:t>
      </w:r>
      <w:r w:rsidRPr="00655B25">
        <w:rPr>
          <w:b/>
          <w:bCs/>
        </w:rPr>
        <w:t>apacity</w:t>
      </w:r>
      <w:r w:rsidRPr="00293C95">
        <w:rPr>
          <w:b/>
          <w:bCs/>
        </w:rPr>
        <w:t xml:space="preserve">: </w:t>
      </w:r>
      <w:r w:rsidRPr="00EE783F">
        <w:t>While access to speech and language therapy is strong, services face growing demand and limited capacity. Waiting times for ASD assessments can exceed 20 months</w:t>
      </w:r>
      <w:r w:rsidR="00A3409B" w:rsidRPr="00EE783F">
        <w:t>, s</w:t>
      </w:r>
      <w:r w:rsidRPr="00EE783F">
        <w:t>pecialist school placements are limited</w:t>
      </w:r>
      <w:r w:rsidR="00AF3DBF" w:rsidRPr="00EE783F">
        <w:t>,</w:t>
      </w:r>
      <w:r w:rsidR="00B54AF5" w:rsidRPr="00EE783F">
        <w:t xml:space="preserve"> and mainstream schools often struggle to accommodate children with complex needs. Families report falling into a “grey area</w:t>
      </w:r>
      <w:r w:rsidR="00EF5CA5">
        <w:t>,</w:t>
      </w:r>
      <w:r w:rsidR="00B54AF5" w:rsidRPr="00EE783F">
        <w:t>” where children</w:t>
      </w:r>
      <w:r w:rsidR="00FD4DF0">
        <w:t>’s support needs</w:t>
      </w:r>
      <w:r w:rsidR="00B54AF5" w:rsidRPr="00EE783F">
        <w:t xml:space="preserve"> are </w:t>
      </w:r>
      <w:r w:rsidR="00FD4DF0">
        <w:t>t</w:t>
      </w:r>
      <w:r w:rsidR="00B54AF5" w:rsidRPr="00EE783F">
        <w:t xml:space="preserve">oo complex for mainstream </w:t>
      </w:r>
      <w:r w:rsidR="00E01BED">
        <w:t>school</w:t>
      </w:r>
      <w:r w:rsidR="00B54AF5" w:rsidRPr="00EE783F">
        <w:t xml:space="preserve"> but </w:t>
      </w:r>
      <w:r w:rsidR="00113BC2" w:rsidRPr="00EE783F">
        <w:t>d</w:t>
      </w:r>
      <w:r w:rsidR="00B54AF5" w:rsidRPr="00EE783F">
        <w:t xml:space="preserve">o not meet the thresholds for specialist support. </w:t>
      </w:r>
      <w:r w:rsidRPr="00EE783F">
        <w:t xml:space="preserve"> </w:t>
      </w:r>
    </w:p>
    <w:p w14:paraId="2603F42A" w14:textId="11C98079" w:rsidR="004B61DA" w:rsidRDefault="004B61DA" w:rsidP="00BF63ED">
      <w:pPr>
        <w:numPr>
          <w:ilvl w:val="0"/>
          <w:numId w:val="39"/>
        </w:numPr>
      </w:pPr>
      <w:r w:rsidRPr="00987C2C">
        <w:rPr>
          <w:b/>
          <w:bCs/>
        </w:rPr>
        <w:lastRenderedPageBreak/>
        <w:t>System-wide commitment:</w:t>
      </w:r>
      <w:r>
        <w:t xml:space="preserve"> Tower Hamlets demonstrates a </w:t>
      </w:r>
      <w:r w:rsidR="00652649">
        <w:t xml:space="preserve">strong </w:t>
      </w:r>
      <w:r w:rsidR="005154DE">
        <w:t xml:space="preserve">dedication to </w:t>
      </w:r>
      <w:r w:rsidR="003A4458">
        <w:t xml:space="preserve">SEND, </w:t>
      </w:r>
      <w:r w:rsidR="005E1205">
        <w:t xml:space="preserve">which is </w:t>
      </w:r>
      <w:r w:rsidR="00A3409B">
        <w:t>evident</w:t>
      </w:r>
      <w:r w:rsidR="003A4458">
        <w:t xml:space="preserve"> in its comprehensive service provision, engagement strategies</w:t>
      </w:r>
      <w:r w:rsidR="00D024E6">
        <w:t>,</w:t>
      </w:r>
      <w:r w:rsidR="003A4458">
        <w:t xml:space="preserve"> and ongoing efforts to enhance support for children and young people with SEND and their families. </w:t>
      </w:r>
      <w:r w:rsidR="00987C2C">
        <w:t xml:space="preserve"> </w:t>
      </w:r>
    </w:p>
    <w:p w14:paraId="7C9F4A85" w14:textId="482EAC8D" w:rsidR="005B0F8E" w:rsidRPr="00584FE1" w:rsidRDefault="00825803" w:rsidP="00825803">
      <w:pPr>
        <w:pStyle w:val="Heading3"/>
        <w:numPr>
          <w:ilvl w:val="0"/>
          <w:numId w:val="0"/>
        </w:numPr>
        <w:ind w:left="-72"/>
        <w:rPr>
          <w:color w:val="006B70"/>
        </w:rPr>
      </w:pPr>
      <w:r w:rsidRPr="00584FE1">
        <w:rPr>
          <w:color w:val="006B70"/>
        </w:rPr>
        <w:t xml:space="preserve"> </w:t>
      </w:r>
      <w:r w:rsidR="005B0F8E" w:rsidRPr="00584FE1">
        <w:rPr>
          <w:color w:val="006B70"/>
        </w:rPr>
        <w:t>Methodology</w:t>
      </w:r>
    </w:p>
    <w:p w14:paraId="531A4C49" w14:textId="77777777" w:rsidR="00B04C86" w:rsidRPr="009840CF" w:rsidRDefault="00B04C86" w:rsidP="00B04C86">
      <w:r w:rsidRPr="009840CF">
        <w:t>The JSNA used a multi-method approach to build a rich and balanced understanding of the needs and experiences of children and young people with SEND in Tower Hamlets. This allowed the findings to be grounded in both robust data and lived experience. The key components included:</w:t>
      </w:r>
    </w:p>
    <w:p w14:paraId="6891AE58" w14:textId="3D34E2D6" w:rsidR="00B04C86" w:rsidRPr="00B04C86" w:rsidRDefault="00B04C86" w:rsidP="00BF63ED">
      <w:pPr>
        <w:pStyle w:val="ListParagraph"/>
        <w:numPr>
          <w:ilvl w:val="0"/>
          <w:numId w:val="40"/>
        </w:numPr>
      </w:pPr>
      <w:r w:rsidRPr="00260D70">
        <w:rPr>
          <w:b/>
          <w:bCs/>
        </w:rPr>
        <w:t xml:space="preserve">Quantitative </w:t>
      </w:r>
      <w:r w:rsidR="00245BD7" w:rsidRPr="00260D70">
        <w:rPr>
          <w:b/>
          <w:bCs/>
        </w:rPr>
        <w:t>d</w:t>
      </w:r>
      <w:r w:rsidRPr="00260D70">
        <w:rPr>
          <w:b/>
          <w:bCs/>
        </w:rPr>
        <w:t xml:space="preserve">ata </w:t>
      </w:r>
      <w:r w:rsidR="00245BD7" w:rsidRPr="00260D70">
        <w:rPr>
          <w:b/>
          <w:bCs/>
        </w:rPr>
        <w:t>a</w:t>
      </w:r>
      <w:r w:rsidRPr="00260D70">
        <w:rPr>
          <w:b/>
          <w:bCs/>
        </w:rPr>
        <w:t>nalysis</w:t>
      </w:r>
      <w:r w:rsidRPr="00B04C86">
        <w:t xml:space="preserve">: Data from sources such as the School Census, the Tower Hamlets SEND Dashboard, Department for Education statistics, and </w:t>
      </w:r>
      <w:r w:rsidR="005F3B47">
        <w:t>the Off</w:t>
      </w:r>
      <w:r w:rsidR="00DD5683">
        <w:t>ice for Health Improvement and Disparities (</w:t>
      </w:r>
      <w:r w:rsidRPr="00B04C86">
        <w:t>OHID</w:t>
      </w:r>
      <w:r w:rsidR="00DD5683">
        <w:t>)</w:t>
      </w:r>
      <w:r w:rsidRPr="00B04C86">
        <w:t xml:space="preserve"> </w:t>
      </w:r>
      <w:r w:rsidR="0016668D">
        <w:t>Public Health profiles</w:t>
      </w:r>
      <w:r w:rsidR="004A2CBE">
        <w:t xml:space="preserve"> </w:t>
      </w:r>
      <w:r w:rsidRPr="00B04C86">
        <w:t xml:space="preserve">were analysed to understand trends in prevalence, educational outcomes, and inequalities. </w:t>
      </w:r>
    </w:p>
    <w:p w14:paraId="37DA66C5" w14:textId="38D01BC1" w:rsidR="00B04C86" w:rsidRDefault="00B04C86" w:rsidP="00BF63ED">
      <w:pPr>
        <w:pStyle w:val="ListParagraph"/>
        <w:numPr>
          <w:ilvl w:val="0"/>
          <w:numId w:val="40"/>
        </w:numPr>
      </w:pPr>
      <w:r w:rsidRPr="00260D70">
        <w:rPr>
          <w:b/>
          <w:bCs/>
        </w:rPr>
        <w:t xml:space="preserve">Qualitative </w:t>
      </w:r>
      <w:r w:rsidR="00245BD7" w:rsidRPr="00260D70">
        <w:rPr>
          <w:b/>
          <w:bCs/>
        </w:rPr>
        <w:t>i</w:t>
      </w:r>
      <w:r w:rsidRPr="00260D70">
        <w:rPr>
          <w:b/>
          <w:bCs/>
        </w:rPr>
        <w:t>nsights</w:t>
      </w:r>
      <w:r w:rsidRPr="00B04C86">
        <w:t xml:space="preserve">: Voices of children, young people, parents/carers, and professionals were </w:t>
      </w:r>
      <w:r w:rsidR="00C77951">
        <w:t>capture</w:t>
      </w:r>
      <w:r w:rsidR="00974B6C">
        <w:t>d</w:t>
      </w:r>
      <w:r w:rsidR="00C77951">
        <w:t xml:space="preserve"> as part of</w:t>
      </w:r>
      <w:r w:rsidRPr="00B04C86">
        <w:t xml:space="preserve"> the assessment. Semi-structured interviews</w:t>
      </w:r>
      <w:r w:rsidR="00974B6C">
        <w:t xml:space="preserve"> </w:t>
      </w:r>
      <w:r w:rsidRPr="00B04C86">
        <w:t>and engagement events captured first-hand experiences of navigating the SEND system. Thematic analysis of this input highlighted perceived gaps, system strengths, and opportunities for improvement.</w:t>
      </w:r>
    </w:p>
    <w:p w14:paraId="259B2975" w14:textId="47FB1001" w:rsidR="007E4281" w:rsidRPr="00B04C86" w:rsidRDefault="007E4281" w:rsidP="00BF63ED">
      <w:pPr>
        <w:pStyle w:val="ListParagraph"/>
        <w:numPr>
          <w:ilvl w:val="0"/>
          <w:numId w:val="40"/>
        </w:numPr>
      </w:pPr>
      <w:r w:rsidRPr="00260D70">
        <w:rPr>
          <w:b/>
          <w:bCs/>
        </w:rPr>
        <w:t>Academic literature review</w:t>
      </w:r>
      <w:r w:rsidRPr="00B04C86">
        <w:t xml:space="preserve">: A structured review of peer-reviewed journals and evidence-based guidelines was undertaken for each category of SEND. This provided insights into effective interventions and models of </w:t>
      </w:r>
      <w:proofErr w:type="gramStart"/>
      <w:r w:rsidRPr="00B04C86">
        <w:t>support</w:t>
      </w:r>
      <w:r w:rsidR="00A775E6">
        <w:t>,</w:t>
      </w:r>
      <w:r>
        <w:t xml:space="preserve"> </w:t>
      </w:r>
      <w:r w:rsidRPr="00B04C86">
        <w:t>and</w:t>
      </w:r>
      <w:proofErr w:type="gramEnd"/>
      <w:r w:rsidRPr="00B04C86">
        <w:t xml:space="preserve"> helped align local strategy with current research and NICE guidance.</w:t>
      </w:r>
    </w:p>
    <w:p w14:paraId="50A5769F" w14:textId="77777777" w:rsidR="00B04C86" w:rsidRPr="00B04C86" w:rsidRDefault="00B04C86" w:rsidP="00B04C86">
      <w:r w:rsidRPr="00B04C86">
        <w:t>This triangulation of methods ensured that the JSNA was both evidence-informed and people-centred, providing a solid foundation for actionable recommendations.</w:t>
      </w:r>
    </w:p>
    <w:p w14:paraId="5B4837C4" w14:textId="4D40EFFD" w:rsidR="008F355C" w:rsidRPr="00A3032C" w:rsidRDefault="008F355C" w:rsidP="00825803">
      <w:pPr>
        <w:pStyle w:val="Heading3"/>
        <w:numPr>
          <w:ilvl w:val="0"/>
          <w:numId w:val="0"/>
        </w:numPr>
        <w:ind w:left="-72"/>
        <w:rPr>
          <w:color w:val="006B70"/>
        </w:rPr>
      </w:pPr>
      <w:r w:rsidRPr="00A3032C">
        <w:rPr>
          <w:color w:val="006B70"/>
        </w:rPr>
        <w:t>Recommendations</w:t>
      </w:r>
    </w:p>
    <w:p w14:paraId="086B7408" w14:textId="01E05F9C" w:rsidR="007C7552" w:rsidRDefault="00CB2F16" w:rsidP="007C7552">
      <w:r>
        <w:t xml:space="preserve">Building on detailed analysis across individual areas of need, the JSNA outlines overarching strategic recommendations to guide the future of SEND support in Tower Hamlets. These recommendations aim to deliver a more </w:t>
      </w:r>
      <w:r w:rsidR="00E96813">
        <w:t>inclusive</w:t>
      </w:r>
      <w:r>
        <w:t>, coordinated</w:t>
      </w:r>
      <w:r w:rsidR="00BB4482">
        <w:t>,</w:t>
      </w:r>
      <w:r>
        <w:t xml:space="preserve"> and needs-led system</w:t>
      </w:r>
      <w:r w:rsidR="00027759">
        <w:t>:</w:t>
      </w:r>
    </w:p>
    <w:p w14:paraId="2F92D11F" w14:textId="1A4CED81" w:rsidR="00912C04" w:rsidRDefault="00801871" w:rsidP="00293C95">
      <w:pPr>
        <w:pStyle w:val="Heading4"/>
        <w:numPr>
          <w:ilvl w:val="0"/>
          <w:numId w:val="0"/>
        </w:numPr>
        <w:spacing w:before="0"/>
        <w:ind w:left="357" w:hanging="357"/>
      </w:pPr>
      <w:r>
        <w:t>Enhancing decision-making through data and evidence</w:t>
      </w:r>
    </w:p>
    <w:p w14:paraId="5AFC4143" w14:textId="0418114C" w:rsidR="00653ACC" w:rsidRDefault="000C2AC5" w:rsidP="00293C95">
      <w:pPr>
        <w:pStyle w:val="ListParagraph"/>
        <w:numPr>
          <w:ilvl w:val="0"/>
          <w:numId w:val="41"/>
        </w:numPr>
        <w:spacing w:before="0" w:after="0" w:line="276" w:lineRule="auto"/>
      </w:pPr>
      <w:r w:rsidRPr="00027759">
        <w:rPr>
          <w:b/>
          <w:bCs/>
        </w:rPr>
        <w:t>Strengthen data-driving planning:</w:t>
      </w:r>
      <w:r>
        <w:t xml:space="preserve"> </w:t>
      </w:r>
      <w:r w:rsidRPr="000C2AC5">
        <w:t>Improve the quality of ethnicity and outcomes data and embed impact evaluation into service design to support smarter, more sustainable decisions.</w:t>
      </w:r>
    </w:p>
    <w:p w14:paraId="516A5678" w14:textId="3AF87EF3" w:rsidR="00864742" w:rsidRDefault="00864742" w:rsidP="00293C95">
      <w:pPr>
        <w:pStyle w:val="ListParagraph"/>
        <w:numPr>
          <w:ilvl w:val="0"/>
          <w:numId w:val="41"/>
        </w:numPr>
        <w:spacing w:before="0" w:after="0" w:line="276" w:lineRule="auto"/>
      </w:pPr>
      <w:r w:rsidRPr="00027759">
        <w:rPr>
          <w:b/>
          <w:bCs/>
        </w:rPr>
        <w:t>Use evidence-based practice:</w:t>
      </w:r>
      <w:r>
        <w:t xml:space="preserve"> </w:t>
      </w:r>
      <w:r w:rsidRPr="000C2AC5">
        <w:t>Regularly review interventions and frameworks to align with the latest research and best practice, ensuring services evolve to meet emerging needs.</w:t>
      </w:r>
    </w:p>
    <w:p w14:paraId="5C4B745E" w14:textId="187CCB56" w:rsidR="00742C3E" w:rsidRPr="008F473A" w:rsidRDefault="008F473A" w:rsidP="00293C95">
      <w:pPr>
        <w:pStyle w:val="ListParagraph"/>
        <w:numPr>
          <w:ilvl w:val="0"/>
          <w:numId w:val="41"/>
        </w:numPr>
        <w:spacing w:before="0" w:line="276" w:lineRule="auto"/>
      </w:pPr>
      <w:r w:rsidRPr="00293C95">
        <w:rPr>
          <w:b/>
          <w:bCs/>
        </w:rPr>
        <w:t>Understand demand</w:t>
      </w:r>
      <w:r w:rsidR="00742C3E" w:rsidRPr="00293C95">
        <w:t xml:space="preserve">: Conduct further research into the drivers of rising assessment demand (e.g., for ASD/ADHD) and build early, preventative </w:t>
      </w:r>
      <w:r w:rsidRPr="00293C95">
        <w:t>support</w:t>
      </w:r>
      <w:r w:rsidR="00742C3E" w:rsidRPr="00293C95">
        <w:t xml:space="preserve"> into service planning.</w:t>
      </w:r>
    </w:p>
    <w:p w14:paraId="0F6A6080" w14:textId="10CC2451" w:rsidR="00653ACC" w:rsidRDefault="002B1057" w:rsidP="00293C95">
      <w:pPr>
        <w:pStyle w:val="Heading4"/>
        <w:numPr>
          <w:ilvl w:val="0"/>
          <w:numId w:val="0"/>
        </w:numPr>
        <w:spacing w:before="0"/>
        <w:ind w:left="357" w:hanging="357"/>
      </w:pPr>
      <w:r>
        <w:t>Building capacity and collaboration for consistent support</w:t>
      </w:r>
    </w:p>
    <w:p w14:paraId="75A2DC26" w14:textId="77777777" w:rsidR="00864742" w:rsidRDefault="00864742" w:rsidP="00293C95">
      <w:pPr>
        <w:pStyle w:val="ListParagraph"/>
        <w:numPr>
          <w:ilvl w:val="0"/>
          <w:numId w:val="41"/>
        </w:numPr>
        <w:spacing w:before="0" w:after="0" w:line="276" w:lineRule="auto"/>
      </w:pPr>
      <w:r w:rsidRPr="00027759">
        <w:rPr>
          <w:b/>
          <w:bCs/>
        </w:rPr>
        <w:t>Embed continuous learning:</w:t>
      </w:r>
      <w:r>
        <w:t xml:space="preserve"> </w:t>
      </w:r>
      <w:r w:rsidRPr="000C2AC5">
        <w:t>Invest in ongoing professional development and specialist training for education, health and care staff to maintain high standards of practice.</w:t>
      </w:r>
    </w:p>
    <w:p w14:paraId="6C0C1040" w14:textId="77777777" w:rsidR="00864742" w:rsidRDefault="00864742" w:rsidP="00293C95">
      <w:pPr>
        <w:pStyle w:val="ListParagraph"/>
        <w:numPr>
          <w:ilvl w:val="0"/>
          <w:numId w:val="41"/>
        </w:numPr>
        <w:spacing w:before="0" w:after="0" w:line="276" w:lineRule="auto"/>
      </w:pPr>
      <w:r w:rsidRPr="00027759">
        <w:rPr>
          <w:b/>
          <w:bCs/>
        </w:rPr>
        <w:t>Enhance multi-agency collaboration</w:t>
      </w:r>
      <w:r>
        <w:t>: Continue to b</w:t>
      </w:r>
      <w:r w:rsidRPr="000C2AC5">
        <w:t>reak down siloed working across education, health and social care, fostering more integrated and creative service models with shared accountability.</w:t>
      </w:r>
    </w:p>
    <w:p w14:paraId="12D3B570" w14:textId="77777777" w:rsidR="009527A7" w:rsidRDefault="00864742" w:rsidP="00293C95">
      <w:pPr>
        <w:pStyle w:val="ListParagraph"/>
        <w:numPr>
          <w:ilvl w:val="0"/>
          <w:numId w:val="41"/>
        </w:numPr>
        <w:spacing w:before="0" w:after="0" w:line="276" w:lineRule="auto"/>
      </w:pPr>
      <w:r w:rsidRPr="00027759">
        <w:rPr>
          <w:b/>
          <w:bCs/>
        </w:rPr>
        <w:lastRenderedPageBreak/>
        <w:t>Clarify cross-borough responsibilities:</w:t>
      </w:r>
      <w:r>
        <w:t xml:space="preserve"> </w:t>
      </w:r>
      <w:r w:rsidRPr="000C2AC5">
        <w:t>Develop formal agreements to ensure children placed in or out of borough receive consistent, high-quality support regardless of location.</w:t>
      </w:r>
    </w:p>
    <w:p w14:paraId="5C274E09" w14:textId="105BD607" w:rsidR="00494092" w:rsidRPr="00864742" w:rsidRDefault="00A51E72" w:rsidP="00293C95">
      <w:pPr>
        <w:pStyle w:val="Heading4"/>
        <w:numPr>
          <w:ilvl w:val="0"/>
          <w:numId w:val="0"/>
        </w:numPr>
        <w:spacing w:before="0" w:line="276" w:lineRule="auto"/>
        <w:ind w:left="357" w:hanging="357"/>
      </w:pPr>
      <w:r>
        <w:t>Advancing equitable, needs-led support</w:t>
      </w:r>
    </w:p>
    <w:p w14:paraId="125E016C" w14:textId="77777777" w:rsidR="00D07B67" w:rsidRDefault="00E635AF" w:rsidP="00293C95">
      <w:pPr>
        <w:pStyle w:val="ListParagraph"/>
        <w:numPr>
          <w:ilvl w:val="0"/>
          <w:numId w:val="41"/>
        </w:numPr>
        <w:spacing w:before="0" w:after="0" w:line="276" w:lineRule="auto"/>
      </w:pPr>
      <w:r w:rsidRPr="00027759">
        <w:rPr>
          <w:b/>
          <w:bCs/>
        </w:rPr>
        <w:t>Prioritise a needs-led model:</w:t>
      </w:r>
      <w:r>
        <w:t xml:space="preserve"> </w:t>
      </w:r>
      <w:r w:rsidR="000C2AC5" w:rsidRPr="000C2AC5">
        <w:t>Deliver support based on presenting needs rather than diagnosis alone, enabling early intervention and avoiding delays for those awaiting formal assessments.</w:t>
      </w:r>
    </w:p>
    <w:p w14:paraId="59C35D86" w14:textId="77777777" w:rsidR="00886D03" w:rsidRDefault="00886D03" w:rsidP="00293C95">
      <w:pPr>
        <w:pStyle w:val="ListParagraph"/>
        <w:numPr>
          <w:ilvl w:val="0"/>
          <w:numId w:val="41"/>
        </w:numPr>
        <w:spacing w:before="0" w:after="0" w:line="276" w:lineRule="auto"/>
      </w:pPr>
      <w:r w:rsidRPr="00027759">
        <w:rPr>
          <w:b/>
          <w:bCs/>
        </w:rPr>
        <w:t>Maintain a balanced focus across needs:</w:t>
      </w:r>
      <w:r>
        <w:t xml:space="preserve"> </w:t>
      </w:r>
      <w:r w:rsidRPr="000C2AC5">
        <w:t xml:space="preserve">Ensure growing demand </w:t>
      </w:r>
      <w:r>
        <w:t>for children and young people with</w:t>
      </w:r>
      <w:r w:rsidRPr="000C2AC5">
        <w:t xml:space="preserve"> autism does not overshadow support for other needs, promoting equity across all SEND categories.</w:t>
      </w:r>
    </w:p>
    <w:p w14:paraId="2325E269" w14:textId="4ACA52E3" w:rsidR="00886D03" w:rsidRDefault="00886D03" w:rsidP="00293C95">
      <w:pPr>
        <w:pStyle w:val="ListParagraph"/>
        <w:numPr>
          <w:ilvl w:val="0"/>
          <w:numId w:val="41"/>
        </w:numPr>
        <w:spacing w:before="0" w:after="0" w:line="276" w:lineRule="auto"/>
      </w:pPr>
      <w:r w:rsidRPr="00027759">
        <w:rPr>
          <w:b/>
          <w:bCs/>
        </w:rPr>
        <w:t>Adopt a holistic approach to neurodiversity:</w:t>
      </w:r>
      <w:r>
        <w:t xml:space="preserve"> </w:t>
      </w:r>
      <w:r w:rsidRPr="000C2AC5">
        <w:t xml:space="preserve">Develop borough-wide, needs-led approaches that move beyond diagnostic labels, with integrated support for overlapping conditions like </w:t>
      </w:r>
      <w:r w:rsidR="00135FA6">
        <w:t>ADHD</w:t>
      </w:r>
      <w:r w:rsidRPr="000C2AC5">
        <w:t xml:space="preserve"> and ASD.</w:t>
      </w:r>
    </w:p>
    <w:p w14:paraId="79558D7E" w14:textId="77777777" w:rsidR="00CD68BF" w:rsidRPr="00CD68BF" w:rsidRDefault="00D07B67" w:rsidP="00293C95">
      <w:pPr>
        <w:pStyle w:val="Heading4"/>
        <w:numPr>
          <w:ilvl w:val="0"/>
          <w:numId w:val="0"/>
        </w:numPr>
        <w:spacing w:before="0" w:line="276" w:lineRule="auto"/>
      </w:pPr>
      <w:r w:rsidRPr="00CD68BF">
        <w:t>E</w:t>
      </w:r>
      <w:r w:rsidR="00CD68BF">
        <w:t xml:space="preserve">xpanding pathways and improving transitions </w:t>
      </w:r>
    </w:p>
    <w:p w14:paraId="118722A4" w14:textId="5384BEC7" w:rsidR="00FF2466" w:rsidRDefault="00E635AF" w:rsidP="00293C95">
      <w:pPr>
        <w:pStyle w:val="ListParagraph"/>
        <w:numPr>
          <w:ilvl w:val="0"/>
          <w:numId w:val="41"/>
        </w:numPr>
        <w:spacing w:before="0" w:after="0" w:line="276" w:lineRule="auto"/>
      </w:pPr>
      <w:r w:rsidRPr="00027759">
        <w:rPr>
          <w:b/>
          <w:bCs/>
        </w:rPr>
        <w:t>Improve transition pathways</w:t>
      </w:r>
      <w:r>
        <w:t xml:space="preserve">: </w:t>
      </w:r>
      <w:r w:rsidR="000C2AC5" w:rsidRPr="000C2AC5">
        <w:t>Strengthen post-16 and post-19 support for young people with SEND, ensuring clear, coordinated transitions between services and life stages.</w:t>
      </w:r>
    </w:p>
    <w:p w14:paraId="41B1ADA3" w14:textId="2522EFCE" w:rsidR="00D07B67" w:rsidRDefault="00D07B67" w:rsidP="00293C95">
      <w:pPr>
        <w:spacing w:before="0" w:line="276" w:lineRule="auto"/>
        <w:ind w:left="360"/>
      </w:pPr>
      <w:r w:rsidRPr="00027759">
        <w:rPr>
          <w:b/>
          <w:bCs/>
        </w:rPr>
        <w:t>Broaden education pathways</w:t>
      </w:r>
      <w:r>
        <w:t xml:space="preserve">: </w:t>
      </w:r>
      <w:r w:rsidRPr="000C2AC5">
        <w:t>Support alternative and flexible learning models that better meet the needs of neurodivergent pupils</w:t>
      </w:r>
      <w:r>
        <w:t xml:space="preserve">, </w:t>
      </w:r>
      <w:r w:rsidRPr="000C2AC5">
        <w:t>especially those who struggle in traditional classroom settings.</w:t>
      </w:r>
    </w:p>
    <w:p w14:paraId="0670ADF9" w14:textId="3403EC07" w:rsidR="00B67F12" w:rsidRDefault="00F83F66" w:rsidP="00293C95">
      <w:pPr>
        <w:pStyle w:val="Heading4"/>
        <w:numPr>
          <w:ilvl w:val="0"/>
          <w:numId w:val="0"/>
        </w:numPr>
        <w:spacing w:before="0" w:line="276" w:lineRule="auto"/>
        <w:ind w:left="357"/>
      </w:pPr>
      <w:r>
        <w:t>Enhancing accessibility, early support and empowerment for families and young people</w:t>
      </w:r>
    </w:p>
    <w:p w14:paraId="6C6C64B0" w14:textId="4CB9DBFD" w:rsidR="000C2AC5" w:rsidRDefault="00E635AF" w:rsidP="00293C95">
      <w:pPr>
        <w:pStyle w:val="ListParagraph"/>
        <w:numPr>
          <w:ilvl w:val="0"/>
          <w:numId w:val="41"/>
        </w:numPr>
        <w:spacing w:before="0" w:after="0" w:line="276" w:lineRule="auto"/>
      </w:pPr>
      <w:r w:rsidRPr="00027759">
        <w:rPr>
          <w:b/>
          <w:bCs/>
        </w:rPr>
        <w:t>Expand inclusive community opportunities:</w:t>
      </w:r>
      <w:r>
        <w:t xml:space="preserve"> </w:t>
      </w:r>
      <w:r w:rsidR="000C2AC5" w:rsidRPr="000C2AC5">
        <w:t>Improve accessibility in youth and community spaces</w:t>
      </w:r>
      <w:r>
        <w:t xml:space="preserve">, </w:t>
      </w:r>
      <w:r w:rsidR="000C2AC5" w:rsidRPr="000C2AC5">
        <w:t>particularly for those with moderate or personal care needs</w:t>
      </w:r>
      <w:r>
        <w:t xml:space="preserve"> </w:t>
      </w:r>
      <w:r w:rsidR="000C2AC5" w:rsidRPr="000C2AC5">
        <w:t>to promote social inclusion.</w:t>
      </w:r>
    </w:p>
    <w:p w14:paraId="09575DEB" w14:textId="5FD392C3" w:rsidR="000D77D0" w:rsidRDefault="000D77D0" w:rsidP="00293C95">
      <w:pPr>
        <w:pStyle w:val="ListParagraph"/>
        <w:numPr>
          <w:ilvl w:val="0"/>
          <w:numId w:val="41"/>
        </w:numPr>
        <w:spacing w:before="0" w:after="0" w:line="276" w:lineRule="auto"/>
      </w:pPr>
      <w:r w:rsidRPr="00027759">
        <w:rPr>
          <w:b/>
          <w:bCs/>
        </w:rPr>
        <w:t>Promote early support for families:</w:t>
      </w:r>
      <w:r>
        <w:t xml:space="preserve"> </w:t>
      </w:r>
      <w:r w:rsidRPr="000C2AC5">
        <w:t>Strengthen early years</w:t>
      </w:r>
      <w:r>
        <w:t xml:space="preserve">, </w:t>
      </w:r>
      <w:r w:rsidRPr="000C2AC5">
        <w:t>pre-natal</w:t>
      </w:r>
      <w:r>
        <w:t xml:space="preserve"> and maternity</w:t>
      </w:r>
      <w:r w:rsidRPr="000C2AC5">
        <w:t xml:space="preserve"> support, so that families can access help without needing to wait for an</w:t>
      </w:r>
      <w:r>
        <w:t xml:space="preserve"> </w:t>
      </w:r>
      <w:r w:rsidRPr="009A23DA">
        <w:t>EHCP,</w:t>
      </w:r>
      <w:r w:rsidRPr="000C2AC5">
        <w:t xml:space="preserve"> laying a foundation for better long-term outcomes.</w:t>
      </w:r>
    </w:p>
    <w:p w14:paraId="2255F897" w14:textId="688E573B" w:rsidR="000D77D0" w:rsidRDefault="000D77D0" w:rsidP="00293C95">
      <w:pPr>
        <w:pStyle w:val="ListParagraph"/>
        <w:numPr>
          <w:ilvl w:val="0"/>
          <w:numId w:val="41"/>
        </w:numPr>
        <w:spacing w:before="0" w:after="0" w:line="276" w:lineRule="auto"/>
      </w:pPr>
      <w:r w:rsidRPr="00027759">
        <w:rPr>
          <w:b/>
          <w:bCs/>
        </w:rPr>
        <w:t>Improve access to information:</w:t>
      </w:r>
      <w:r>
        <w:t xml:space="preserve"> </w:t>
      </w:r>
      <w:r w:rsidRPr="000C2AC5">
        <w:t xml:space="preserve">Enhance visibility and clarity of support services, particularly for families in mainstream settings, through </w:t>
      </w:r>
      <w:r>
        <w:t>targeted</w:t>
      </w:r>
      <w:r w:rsidRPr="000C2AC5">
        <w:t xml:space="preserve"> outreach, inclusive communication, and a more navigable Local Offer.</w:t>
      </w:r>
    </w:p>
    <w:p w14:paraId="601CD163" w14:textId="6123A14E" w:rsidR="000D77D0" w:rsidRDefault="000D77D0" w:rsidP="00293C95">
      <w:pPr>
        <w:pStyle w:val="ListParagraph"/>
        <w:numPr>
          <w:ilvl w:val="0"/>
          <w:numId w:val="41"/>
        </w:numPr>
        <w:spacing w:before="0" w:after="0" w:line="276" w:lineRule="auto"/>
      </w:pPr>
      <w:r w:rsidRPr="00027759">
        <w:rPr>
          <w:b/>
          <w:bCs/>
        </w:rPr>
        <w:t>Empower young people</w:t>
      </w:r>
      <w:r>
        <w:t xml:space="preserve">: </w:t>
      </w:r>
      <w:r w:rsidRPr="000C2AC5">
        <w:t>Shift some focus directly to children and young people</w:t>
      </w:r>
      <w:r>
        <w:t xml:space="preserve">, </w:t>
      </w:r>
      <w:r w:rsidRPr="000C2AC5">
        <w:t>supporting them to understand their needs, develop self-management skills, and gain confidence.</w:t>
      </w:r>
    </w:p>
    <w:p w14:paraId="56B901BC" w14:textId="4E75E22B" w:rsidR="000E6862" w:rsidRPr="00584FE1" w:rsidRDefault="000E6862" w:rsidP="00293C95">
      <w:pPr>
        <w:pStyle w:val="Heading3"/>
        <w:numPr>
          <w:ilvl w:val="0"/>
          <w:numId w:val="0"/>
        </w:numPr>
        <w:ind w:left="-74"/>
        <w:rPr>
          <w:color w:val="006B70"/>
        </w:rPr>
      </w:pPr>
      <w:r w:rsidRPr="00584FE1">
        <w:rPr>
          <w:color w:val="006B70"/>
        </w:rPr>
        <w:t>Conclusion</w:t>
      </w:r>
    </w:p>
    <w:p w14:paraId="739D6331" w14:textId="3648766C" w:rsidR="00D24F41" w:rsidRDefault="00C26EC0" w:rsidP="005041E3">
      <w:r w:rsidRPr="00293C95">
        <w:t xml:space="preserve">Amid </w:t>
      </w:r>
      <w:r w:rsidR="00E635AF" w:rsidRPr="00293C95">
        <w:t>the</w:t>
      </w:r>
      <w:r w:rsidRPr="00293C95">
        <w:t xml:space="preserve"> pressures, Tower Hamlets demonstrates </w:t>
      </w:r>
      <w:r w:rsidR="00C02E7D" w:rsidRPr="00293C95">
        <w:t xml:space="preserve">a </w:t>
      </w:r>
      <w:r w:rsidRPr="00293C95">
        <w:t xml:space="preserve">system-wide commitment to improving outcomes for children and young people with SEND. Investment in early years, the development of strong partnerships, innovative speech and language pathways, and co-produced strategies </w:t>
      </w:r>
      <w:r w:rsidR="24754C10">
        <w:t xml:space="preserve">form </w:t>
      </w:r>
      <w:r w:rsidRPr="00293C95">
        <w:t>building blocks for future transformation</w:t>
      </w:r>
      <w:r w:rsidR="004261A0" w:rsidRPr="00293C95">
        <w:t xml:space="preserve">. However, </w:t>
      </w:r>
      <w:r w:rsidR="000E6862" w:rsidRPr="00293C95">
        <w:t xml:space="preserve">rising demand, entrenched inequalities, and service capacity challenges require </w:t>
      </w:r>
      <w:r w:rsidR="00420BD9">
        <w:t>sustained</w:t>
      </w:r>
      <w:r w:rsidR="00420BD9" w:rsidRPr="00293C95">
        <w:t xml:space="preserve"> </w:t>
      </w:r>
      <w:r w:rsidR="000E6862" w:rsidRPr="00293C95">
        <w:t>strategic focus. By addressing these gaps, the borough can build a more equitable and responsive system where every child and young person with SEND is supported to thrive</w:t>
      </w:r>
      <w:r w:rsidR="00B57657" w:rsidRPr="00293C95">
        <w:t>.</w:t>
      </w:r>
      <w:r w:rsidR="00D24F41">
        <w:br w:type="page"/>
      </w:r>
    </w:p>
    <w:p w14:paraId="0C86298E" w14:textId="20FBB6B8" w:rsidR="00A258C8" w:rsidRDefault="00A258C8" w:rsidP="00240F1D">
      <w:pPr>
        <w:spacing w:before="0" w:after="0" w:line="240" w:lineRule="auto"/>
        <w:rPr>
          <w:b/>
          <w:bCs/>
          <w:color w:val="00435D"/>
          <w:sz w:val="44"/>
          <w:szCs w:val="36"/>
        </w:rPr>
      </w:pPr>
      <w:r w:rsidRPr="00504DEC">
        <w:rPr>
          <w:b/>
          <w:color w:val="00435D"/>
          <w:sz w:val="44"/>
          <w:szCs w:val="36"/>
        </w:rPr>
        <w:lastRenderedPageBreak/>
        <w:t>Contents</w:t>
      </w:r>
    </w:p>
    <w:p w14:paraId="1DD73112" w14:textId="444D4F0C" w:rsidR="00AD693C" w:rsidRDefault="00DE6ECC">
      <w:pPr>
        <w:pStyle w:val="TOC2"/>
        <w:tabs>
          <w:tab w:val="right" w:leader="dot" w:pos="9021"/>
        </w:tabs>
        <w:rPr>
          <w:rFonts w:asciiTheme="minorHAnsi" w:eastAsiaTheme="minorEastAsia" w:hAnsiTheme="minorHAnsi" w:cstheme="minorBidi"/>
          <w:noProof/>
          <w:color w:val="auto"/>
          <w:sz w:val="24"/>
        </w:rPr>
      </w:pPr>
      <w:r>
        <w:t xml:space="preserve"> </w:t>
      </w:r>
      <w:r w:rsidR="00AD693C">
        <w:fldChar w:fldCharType="begin"/>
      </w:r>
      <w:r w:rsidR="00AD693C">
        <w:instrText xml:space="preserve"> TOC \o "1-2" \h \z \u </w:instrText>
      </w:r>
      <w:r w:rsidR="00AD693C">
        <w:fldChar w:fldCharType="separate"/>
      </w:r>
      <w:hyperlink w:anchor="_Toc211439988" w:history="1">
        <w:r w:rsidR="00AD693C" w:rsidRPr="008A0EA3">
          <w:rPr>
            <w:rStyle w:val="Hyperlink"/>
            <w:noProof/>
          </w:rPr>
          <w:t>Executive Summary</w:t>
        </w:r>
        <w:r w:rsidR="00AD693C">
          <w:rPr>
            <w:noProof/>
            <w:webHidden/>
          </w:rPr>
          <w:tab/>
        </w:r>
        <w:r w:rsidR="00AD693C">
          <w:rPr>
            <w:noProof/>
            <w:webHidden/>
          </w:rPr>
          <w:fldChar w:fldCharType="begin"/>
        </w:r>
        <w:r w:rsidR="00AD693C">
          <w:rPr>
            <w:noProof/>
            <w:webHidden/>
          </w:rPr>
          <w:instrText xml:space="preserve"> PAGEREF _Toc211439988 \h </w:instrText>
        </w:r>
        <w:r w:rsidR="00AD693C">
          <w:rPr>
            <w:noProof/>
            <w:webHidden/>
          </w:rPr>
        </w:r>
        <w:r w:rsidR="00AD693C">
          <w:rPr>
            <w:noProof/>
            <w:webHidden/>
          </w:rPr>
          <w:fldChar w:fldCharType="separate"/>
        </w:r>
        <w:r w:rsidR="008722C4">
          <w:rPr>
            <w:noProof/>
            <w:webHidden/>
          </w:rPr>
          <w:t>2</w:t>
        </w:r>
        <w:r w:rsidR="00AD693C">
          <w:rPr>
            <w:noProof/>
            <w:webHidden/>
          </w:rPr>
          <w:fldChar w:fldCharType="end"/>
        </w:r>
      </w:hyperlink>
    </w:p>
    <w:p w14:paraId="638245BF" w14:textId="410D0440"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39989" w:history="1">
        <w:r w:rsidRPr="008A0EA3">
          <w:rPr>
            <w:rStyle w:val="Hyperlink"/>
            <w:noProof/>
          </w:rPr>
          <w:t>Glossary</w:t>
        </w:r>
        <w:r>
          <w:rPr>
            <w:noProof/>
            <w:webHidden/>
          </w:rPr>
          <w:tab/>
        </w:r>
        <w:r>
          <w:rPr>
            <w:noProof/>
            <w:webHidden/>
          </w:rPr>
          <w:fldChar w:fldCharType="begin"/>
        </w:r>
        <w:r>
          <w:rPr>
            <w:noProof/>
            <w:webHidden/>
          </w:rPr>
          <w:instrText xml:space="preserve"> PAGEREF _Toc211439989 \h </w:instrText>
        </w:r>
        <w:r>
          <w:rPr>
            <w:noProof/>
            <w:webHidden/>
          </w:rPr>
        </w:r>
        <w:r>
          <w:rPr>
            <w:noProof/>
            <w:webHidden/>
          </w:rPr>
          <w:fldChar w:fldCharType="separate"/>
        </w:r>
        <w:r w:rsidR="008722C4">
          <w:rPr>
            <w:noProof/>
            <w:webHidden/>
          </w:rPr>
          <w:t>6</w:t>
        </w:r>
        <w:r>
          <w:rPr>
            <w:noProof/>
            <w:webHidden/>
          </w:rPr>
          <w:fldChar w:fldCharType="end"/>
        </w:r>
      </w:hyperlink>
    </w:p>
    <w:p w14:paraId="17BA91CC" w14:textId="72C78DE9"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39990" w:history="1">
        <w:r w:rsidRPr="008A0EA3">
          <w:rPr>
            <w:rStyle w:val="Hyperlink"/>
            <w:noProof/>
          </w:rPr>
          <w:t>Glossary</w:t>
        </w:r>
        <w:r>
          <w:rPr>
            <w:noProof/>
            <w:webHidden/>
          </w:rPr>
          <w:tab/>
        </w:r>
        <w:r>
          <w:rPr>
            <w:noProof/>
            <w:webHidden/>
          </w:rPr>
          <w:fldChar w:fldCharType="begin"/>
        </w:r>
        <w:r>
          <w:rPr>
            <w:noProof/>
            <w:webHidden/>
          </w:rPr>
          <w:instrText xml:space="preserve"> PAGEREF _Toc211439990 \h </w:instrText>
        </w:r>
        <w:r>
          <w:rPr>
            <w:noProof/>
            <w:webHidden/>
          </w:rPr>
        </w:r>
        <w:r>
          <w:rPr>
            <w:noProof/>
            <w:webHidden/>
          </w:rPr>
          <w:fldChar w:fldCharType="separate"/>
        </w:r>
        <w:r w:rsidR="008722C4">
          <w:rPr>
            <w:noProof/>
            <w:webHidden/>
          </w:rPr>
          <w:t>6</w:t>
        </w:r>
        <w:r>
          <w:rPr>
            <w:noProof/>
            <w:webHidden/>
          </w:rPr>
          <w:fldChar w:fldCharType="end"/>
        </w:r>
      </w:hyperlink>
    </w:p>
    <w:p w14:paraId="6B77F7AE" w14:textId="3D8DE834"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39991" w:history="1">
        <w:r w:rsidRPr="008A0EA3">
          <w:rPr>
            <w:rStyle w:val="Hyperlink"/>
            <w:noProof/>
          </w:rPr>
          <w:t>1. About this Joint Strategic Needs Assessment</w:t>
        </w:r>
        <w:r>
          <w:rPr>
            <w:noProof/>
            <w:webHidden/>
          </w:rPr>
          <w:tab/>
        </w:r>
        <w:r>
          <w:rPr>
            <w:noProof/>
            <w:webHidden/>
          </w:rPr>
          <w:fldChar w:fldCharType="begin"/>
        </w:r>
        <w:r>
          <w:rPr>
            <w:noProof/>
            <w:webHidden/>
          </w:rPr>
          <w:instrText xml:space="preserve"> PAGEREF _Toc211439991 \h </w:instrText>
        </w:r>
        <w:r>
          <w:rPr>
            <w:noProof/>
            <w:webHidden/>
          </w:rPr>
        </w:r>
        <w:r>
          <w:rPr>
            <w:noProof/>
            <w:webHidden/>
          </w:rPr>
          <w:fldChar w:fldCharType="separate"/>
        </w:r>
        <w:r w:rsidR="008722C4">
          <w:rPr>
            <w:noProof/>
            <w:webHidden/>
          </w:rPr>
          <w:t>8</w:t>
        </w:r>
        <w:r>
          <w:rPr>
            <w:noProof/>
            <w:webHidden/>
          </w:rPr>
          <w:fldChar w:fldCharType="end"/>
        </w:r>
      </w:hyperlink>
    </w:p>
    <w:p w14:paraId="7465AD5E" w14:textId="30522F06"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40053" w:history="1">
        <w:r w:rsidRPr="008A0EA3">
          <w:rPr>
            <w:rStyle w:val="Hyperlink"/>
            <w:noProof/>
          </w:rPr>
          <w:t>2. SEND Population Overview</w:t>
        </w:r>
        <w:r>
          <w:rPr>
            <w:noProof/>
            <w:webHidden/>
          </w:rPr>
          <w:tab/>
        </w:r>
        <w:r>
          <w:rPr>
            <w:noProof/>
            <w:webHidden/>
          </w:rPr>
          <w:fldChar w:fldCharType="begin"/>
        </w:r>
        <w:r>
          <w:rPr>
            <w:noProof/>
            <w:webHidden/>
          </w:rPr>
          <w:instrText xml:space="preserve"> PAGEREF _Toc211440053 \h </w:instrText>
        </w:r>
        <w:r>
          <w:rPr>
            <w:noProof/>
            <w:webHidden/>
          </w:rPr>
        </w:r>
        <w:r>
          <w:rPr>
            <w:noProof/>
            <w:webHidden/>
          </w:rPr>
          <w:fldChar w:fldCharType="separate"/>
        </w:r>
        <w:r w:rsidR="008722C4">
          <w:rPr>
            <w:noProof/>
            <w:webHidden/>
          </w:rPr>
          <w:t>17</w:t>
        </w:r>
        <w:r>
          <w:rPr>
            <w:noProof/>
            <w:webHidden/>
          </w:rPr>
          <w:fldChar w:fldCharType="end"/>
        </w:r>
      </w:hyperlink>
    </w:p>
    <w:p w14:paraId="7BB8E35C" w14:textId="26678845"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40054" w:history="1">
        <w:r w:rsidRPr="008A0EA3">
          <w:rPr>
            <w:rStyle w:val="Hyperlink"/>
            <w:noProof/>
          </w:rPr>
          <w:t>3. Education</w:t>
        </w:r>
        <w:r>
          <w:rPr>
            <w:noProof/>
            <w:webHidden/>
          </w:rPr>
          <w:tab/>
        </w:r>
        <w:r>
          <w:rPr>
            <w:noProof/>
            <w:webHidden/>
          </w:rPr>
          <w:fldChar w:fldCharType="begin"/>
        </w:r>
        <w:r>
          <w:rPr>
            <w:noProof/>
            <w:webHidden/>
          </w:rPr>
          <w:instrText xml:space="preserve"> PAGEREF _Toc211440054 \h </w:instrText>
        </w:r>
        <w:r>
          <w:rPr>
            <w:noProof/>
            <w:webHidden/>
          </w:rPr>
        </w:r>
        <w:r>
          <w:rPr>
            <w:noProof/>
            <w:webHidden/>
          </w:rPr>
          <w:fldChar w:fldCharType="separate"/>
        </w:r>
        <w:r w:rsidR="008722C4">
          <w:rPr>
            <w:noProof/>
            <w:webHidden/>
          </w:rPr>
          <w:t>23</w:t>
        </w:r>
        <w:r>
          <w:rPr>
            <w:noProof/>
            <w:webHidden/>
          </w:rPr>
          <w:fldChar w:fldCharType="end"/>
        </w:r>
      </w:hyperlink>
    </w:p>
    <w:p w14:paraId="7EF73621" w14:textId="6D3809F5"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40055" w:history="1">
        <w:r w:rsidRPr="008A0EA3">
          <w:rPr>
            <w:rStyle w:val="Hyperlink"/>
            <w:noProof/>
          </w:rPr>
          <w:t>4. Communication and Interaction: Autism Spectrum Disorder (ASD)</w:t>
        </w:r>
        <w:r>
          <w:rPr>
            <w:noProof/>
            <w:webHidden/>
          </w:rPr>
          <w:tab/>
        </w:r>
        <w:r>
          <w:rPr>
            <w:noProof/>
            <w:webHidden/>
          </w:rPr>
          <w:fldChar w:fldCharType="begin"/>
        </w:r>
        <w:r>
          <w:rPr>
            <w:noProof/>
            <w:webHidden/>
          </w:rPr>
          <w:instrText xml:space="preserve"> PAGEREF _Toc211440055 \h </w:instrText>
        </w:r>
        <w:r>
          <w:rPr>
            <w:noProof/>
            <w:webHidden/>
          </w:rPr>
        </w:r>
        <w:r>
          <w:rPr>
            <w:noProof/>
            <w:webHidden/>
          </w:rPr>
          <w:fldChar w:fldCharType="separate"/>
        </w:r>
        <w:r w:rsidR="008722C4">
          <w:rPr>
            <w:noProof/>
            <w:webHidden/>
          </w:rPr>
          <w:t>34</w:t>
        </w:r>
        <w:r>
          <w:rPr>
            <w:noProof/>
            <w:webHidden/>
          </w:rPr>
          <w:fldChar w:fldCharType="end"/>
        </w:r>
      </w:hyperlink>
    </w:p>
    <w:p w14:paraId="6CE49DFA" w14:textId="3300D9DD"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40056" w:history="1">
        <w:r w:rsidRPr="008A0EA3">
          <w:rPr>
            <w:rStyle w:val="Hyperlink"/>
            <w:noProof/>
          </w:rPr>
          <w:t>5. Attention Deficit Hyperactivity Disorder (ADHD)</w:t>
        </w:r>
        <w:r>
          <w:rPr>
            <w:noProof/>
            <w:webHidden/>
          </w:rPr>
          <w:tab/>
        </w:r>
        <w:r>
          <w:rPr>
            <w:noProof/>
            <w:webHidden/>
          </w:rPr>
          <w:fldChar w:fldCharType="begin"/>
        </w:r>
        <w:r>
          <w:rPr>
            <w:noProof/>
            <w:webHidden/>
          </w:rPr>
          <w:instrText xml:space="preserve"> PAGEREF _Toc211440056 \h </w:instrText>
        </w:r>
        <w:r>
          <w:rPr>
            <w:noProof/>
            <w:webHidden/>
          </w:rPr>
        </w:r>
        <w:r>
          <w:rPr>
            <w:noProof/>
            <w:webHidden/>
          </w:rPr>
          <w:fldChar w:fldCharType="separate"/>
        </w:r>
        <w:r w:rsidR="008722C4">
          <w:rPr>
            <w:noProof/>
            <w:webHidden/>
          </w:rPr>
          <w:t>49</w:t>
        </w:r>
        <w:r>
          <w:rPr>
            <w:noProof/>
            <w:webHidden/>
          </w:rPr>
          <w:fldChar w:fldCharType="end"/>
        </w:r>
      </w:hyperlink>
    </w:p>
    <w:p w14:paraId="198D61C1" w14:textId="6190A97E"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40057" w:history="1">
        <w:r w:rsidRPr="008A0EA3">
          <w:rPr>
            <w:rStyle w:val="Hyperlink"/>
            <w:noProof/>
          </w:rPr>
          <w:t>6. Communication and Interaction: Speech Language and Communication Needs (SLCN)</w:t>
        </w:r>
        <w:r>
          <w:rPr>
            <w:noProof/>
            <w:webHidden/>
          </w:rPr>
          <w:tab/>
        </w:r>
        <w:r>
          <w:rPr>
            <w:noProof/>
            <w:webHidden/>
          </w:rPr>
          <w:fldChar w:fldCharType="begin"/>
        </w:r>
        <w:r>
          <w:rPr>
            <w:noProof/>
            <w:webHidden/>
          </w:rPr>
          <w:instrText xml:space="preserve"> PAGEREF _Toc211440057 \h </w:instrText>
        </w:r>
        <w:r>
          <w:rPr>
            <w:noProof/>
            <w:webHidden/>
          </w:rPr>
        </w:r>
        <w:r>
          <w:rPr>
            <w:noProof/>
            <w:webHidden/>
          </w:rPr>
          <w:fldChar w:fldCharType="separate"/>
        </w:r>
        <w:r w:rsidR="008722C4">
          <w:rPr>
            <w:noProof/>
            <w:webHidden/>
          </w:rPr>
          <w:t>58</w:t>
        </w:r>
        <w:r>
          <w:rPr>
            <w:noProof/>
            <w:webHidden/>
          </w:rPr>
          <w:fldChar w:fldCharType="end"/>
        </w:r>
      </w:hyperlink>
    </w:p>
    <w:p w14:paraId="5FEBEC2C" w14:textId="2BCF414D"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40058" w:history="1">
        <w:r w:rsidRPr="008A0EA3">
          <w:rPr>
            <w:rStyle w:val="Hyperlink"/>
            <w:noProof/>
          </w:rPr>
          <w:t>7. Cognition and Learning: Specific Learning Difficulty (SpLD)</w:t>
        </w:r>
        <w:r>
          <w:rPr>
            <w:noProof/>
            <w:webHidden/>
          </w:rPr>
          <w:tab/>
        </w:r>
        <w:r>
          <w:rPr>
            <w:noProof/>
            <w:webHidden/>
          </w:rPr>
          <w:fldChar w:fldCharType="begin"/>
        </w:r>
        <w:r>
          <w:rPr>
            <w:noProof/>
            <w:webHidden/>
          </w:rPr>
          <w:instrText xml:space="preserve"> PAGEREF _Toc211440058 \h </w:instrText>
        </w:r>
        <w:r>
          <w:rPr>
            <w:noProof/>
            <w:webHidden/>
          </w:rPr>
        </w:r>
        <w:r>
          <w:rPr>
            <w:noProof/>
            <w:webHidden/>
          </w:rPr>
          <w:fldChar w:fldCharType="separate"/>
        </w:r>
        <w:r w:rsidR="008722C4">
          <w:rPr>
            <w:noProof/>
            <w:webHidden/>
          </w:rPr>
          <w:t>70</w:t>
        </w:r>
        <w:r>
          <w:rPr>
            <w:noProof/>
            <w:webHidden/>
          </w:rPr>
          <w:fldChar w:fldCharType="end"/>
        </w:r>
      </w:hyperlink>
    </w:p>
    <w:p w14:paraId="78D043A0" w14:textId="76D33B5D"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40060" w:history="1">
        <w:r w:rsidRPr="008A0EA3">
          <w:rPr>
            <w:rStyle w:val="Hyperlink"/>
            <w:rFonts w:eastAsia="Trebuchet MS"/>
            <w:noProof/>
          </w:rPr>
          <w:t>8. Social, Emotional and Mental Health</w:t>
        </w:r>
        <w:r>
          <w:rPr>
            <w:noProof/>
            <w:webHidden/>
          </w:rPr>
          <w:tab/>
        </w:r>
        <w:r>
          <w:rPr>
            <w:noProof/>
            <w:webHidden/>
          </w:rPr>
          <w:fldChar w:fldCharType="begin"/>
        </w:r>
        <w:r>
          <w:rPr>
            <w:noProof/>
            <w:webHidden/>
          </w:rPr>
          <w:instrText xml:space="preserve"> PAGEREF _Toc211440060 \h </w:instrText>
        </w:r>
        <w:r>
          <w:rPr>
            <w:noProof/>
            <w:webHidden/>
          </w:rPr>
        </w:r>
        <w:r>
          <w:rPr>
            <w:noProof/>
            <w:webHidden/>
          </w:rPr>
          <w:fldChar w:fldCharType="separate"/>
        </w:r>
        <w:r w:rsidR="008722C4">
          <w:rPr>
            <w:noProof/>
            <w:webHidden/>
          </w:rPr>
          <w:t>77</w:t>
        </w:r>
        <w:r>
          <w:rPr>
            <w:noProof/>
            <w:webHidden/>
          </w:rPr>
          <w:fldChar w:fldCharType="end"/>
        </w:r>
      </w:hyperlink>
    </w:p>
    <w:p w14:paraId="68BF43B0" w14:textId="36F7C06B"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40061" w:history="1">
        <w:r w:rsidRPr="008A0EA3">
          <w:rPr>
            <w:rStyle w:val="Hyperlink"/>
            <w:noProof/>
          </w:rPr>
          <w:t>9. Sensory impairment</w:t>
        </w:r>
        <w:r>
          <w:rPr>
            <w:noProof/>
            <w:webHidden/>
          </w:rPr>
          <w:tab/>
        </w:r>
        <w:r>
          <w:rPr>
            <w:noProof/>
            <w:webHidden/>
          </w:rPr>
          <w:fldChar w:fldCharType="begin"/>
        </w:r>
        <w:r>
          <w:rPr>
            <w:noProof/>
            <w:webHidden/>
          </w:rPr>
          <w:instrText xml:space="preserve"> PAGEREF _Toc211440061 \h </w:instrText>
        </w:r>
        <w:r>
          <w:rPr>
            <w:noProof/>
            <w:webHidden/>
          </w:rPr>
        </w:r>
        <w:r>
          <w:rPr>
            <w:noProof/>
            <w:webHidden/>
          </w:rPr>
          <w:fldChar w:fldCharType="separate"/>
        </w:r>
        <w:r w:rsidR="008722C4">
          <w:rPr>
            <w:noProof/>
            <w:webHidden/>
          </w:rPr>
          <w:t>83</w:t>
        </w:r>
        <w:r>
          <w:rPr>
            <w:noProof/>
            <w:webHidden/>
          </w:rPr>
          <w:fldChar w:fldCharType="end"/>
        </w:r>
      </w:hyperlink>
    </w:p>
    <w:p w14:paraId="0C94ACCE" w14:textId="0F97905F"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40062" w:history="1">
        <w:r w:rsidRPr="008A0EA3">
          <w:rPr>
            <w:rStyle w:val="Hyperlink"/>
            <w:noProof/>
          </w:rPr>
          <w:t>10. Physical Needs</w:t>
        </w:r>
        <w:r>
          <w:rPr>
            <w:noProof/>
            <w:webHidden/>
          </w:rPr>
          <w:tab/>
        </w:r>
        <w:r>
          <w:rPr>
            <w:noProof/>
            <w:webHidden/>
          </w:rPr>
          <w:fldChar w:fldCharType="begin"/>
        </w:r>
        <w:r>
          <w:rPr>
            <w:noProof/>
            <w:webHidden/>
          </w:rPr>
          <w:instrText xml:space="preserve"> PAGEREF _Toc211440062 \h </w:instrText>
        </w:r>
        <w:r>
          <w:rPr>
            <w:noProof/>
            <w:webHidden/>
          </w:rPr>
        </w:r>
        <w:r>
          <w:rPr>
            <w:noProof/>
            <w:webHidden/>
          </w:rPr>
          <w:fldChar w:fldCharType="separate"/>
        </w:r>
        <w:r w:rsidR="008722C4">
          <w:rPr>
            <w:noProof/>
            <w:webHidden/>
          </w:rPr>
          <w:t>99</w:t>
        </w:r>
        <w:r>
          <w:rPr>
            <w:noProof/>
            <w:webHidden/>
          </w:rPr>
          <w:fldChar w:fldCharType="end"/>
        </w:r>
      </w:hyperlink>
    </w:p>
    <w:p w14:paraId="3EB60399" w14:textId="05A90B64"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40063" w:history="1">
        <w:r w:rsidRPr="008A0EA3">
          <w:rPr>
            <w:rStyle w:val="Hyperlink"/>
            <w:noProof/>
          </w:rPr>
          <w:t>11. Community Insights</w:t>
        </w:r>
        <w:r>
          <w:rPr>
            <w:noProof/>
            <w:webHidden/>
          </w:rPr>
          <w:tab/>
        </w:r>
        <w:r>
          <w:rPr>
            <w:noProof/>
            <w:webHidden/>
          </w:rPr>
          <w:fldChar w:fldCharType="begin"/>
        </w:r>
        <w:r>
          <w:rPr>
            <w:noProof/>
            <w:webHidden/>
          </w:rPr>
          <w:instrText xml:space="preserve"> PAGEREF _Toc211440063 \h </w:instrText>
        </w:r>
        <w:r>
          <w:rPr>
            <w:noProof/>
            <w:webHidden/>
          </w:rPr>
        </w:r>
        <w:r>
          <w:rPr>
            <w:noProof/>
            <w:webHidden/>
          </w:rPr>
          <w:fldChar w:fldCharType="separate"/>
        </w:r>
        <w:r w:rsidR="008722C4">
          <w:rPr>
            <w:noProof/>
            <w:webHidden/>
          </w:rPr>
          <w:t>110</w:t>
        </w:r>
        <w:r>
          <w:rPr>
            <w:noProof/>
            <w:webHidden/>
          </w:rPr>
          <w:fldChar w:fldCharType="end"/>
        </w:r>
      </w:hyperlink>
    </w:p>
    <w:p w14:paraId="67B4D73A" w14:textId="01E21F79"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40064" w:history="1">
        <w:r w:rsidRPr="008A0EA3">
          <w:rPr>
            <w:rStyle w:val="Hyperlink"/>
            <w:noProof/>
          </w:rPr>
          <w:t>12. Recommendations</w:t>
        </w:r>
        <w:r>
          <w:rPr>
            <w:noProof/>
            <w:webHidden/>
          </w:rPr>
          <w:tab/>
        </w:r>
        <w:r>
          <w:rPr>
            <w:noProof/>
            <w:webHidden/>
          </w:rPr>
          <w:fldChar w:fldCharType="begin"/>
        </w:r>
        <w:r>
          <w:rPr>
            <w:noProof/>
            <w:webHidden/>
          </w:rPr>
          <w:instrText xml:space="preserve"> PAGEREF _Toc211440064 \h </w:instrText>
        </w:r>
        <w:r>
          <w:rPr>
            <w:noProof/>
            <w:webHidden/>
          </w:rPr>
        </w:r>
        <w:r>
          <w:rPr>
            <w:noProof/>
            <w:webHidden/>
          </w:rPr>
          <w:fldChar w:fldCharType="separate"/>
        </w:r>
        <w:r w:rsidR="008722C4">
          <w:rPr>
            <w:noProof/>
            <w:webHidden/>
          </w:rPr>
          <w:t>118</w:t>
        </w:r>
        <w:r>
          <w:rPr>
            <w:noProof/>
            <w:webHidden/>
          </w:rPr>
          <w:fldChar w:fldCharType="end"/>
        </w:r>
      </w:hyperlink>
    </w:p>
    <w:p w14:paraId="1FB1B353" w14:textId="13C11E7F" w:rsidR="00AD693C" w:rsidRDefault="00AD693C">
      <w:pPr>
        <w:pStyle w:val="TOC2"/>
        <w:tabs>
          <w:tab w:val="right" w:leader="dot" w:pos="9021"/>
        </w:tabs>
        <w:rPr>
          <w:rFonts w:asciiTheme="minorHAnsi" w:eastAsiaTheme="minorEastAsia" w:hAnsiTheme="minorHAnsi" w:cstheme="minorBidi"/>
          <w:noProof/>
          <w:color w:val="auto"/>
          <w:sz w:val="24"/>
        </w:rPr>
      </w:pPr>
      <w:hyperlink w:anchor="_Toc211440065" w:history="1">
        <w:r w:rsidRPr="008A0EA3">
          <w:rPr>
            <w:rStyle w:val="Hyperlink"/>
            <w:noProof/>
          </w:rPr>
          <w:t>13. References</w:t>
        </w:r>
        <w:r>
          <w:rPr>
            <w:noProof/>
            <w:webHidden/>
          </w:rPr>
          <w:tab/>
        </w:r>
        <w:r>
          <w:rPr>
            <w:noProof/>
            <w:webHidden/>
          </w:rPr>
          <w:fldChar w:fldCharType="begin"/>
        </w:r>
        <w:r>
          <w:rPr>
            <w:noProof/>
            <w:webHidden/>
          </w:rPr>
          <w:instrText xml:space="preserve"> PAGEREF _Toc211440065 \h </w:instrText>
        </w:r>
        <w:r>
          <w:rPr>
            <w:noProof/>
            <w:webHidden/>
          </w:rPr>
        </w:r>
        <w:r>
          <w:rPr>
            <w:noProof/>
            <w:webHidden/>
          </w:rPr>
          <w:fldChar w:fldCharType="separate"/>
        </w:r>
        <w:r w:rsidR="008722C4">
          <w:rPr>
            <w:noProof/>
            <w:webHidden/>
          </w:rPr>
          <w:t>123</w:t>
        </w:r>
        <w:r>
          <w:rPr>
            <w:noProof/>
            <w:webHidden/>
          </w:rPr>
          <w:fldChar w:fldCharType="end"/>
        </w:r>
      </w:hyperlink>
    </w:p>
    <w:p w14:paraId="52A7B935" w14:textId="52159336" w:rsidR="00E63DF3" w:rsidRDefault="00AD693C">
      <w:pPr>
        <w:pStyle w:val="Heading2"/>
        <w:numPr>
          <w:ilvl w:val="0"/>
          <w:numId w:val="0"/>
        </w:numPr>
        <w:ind w:left="459" w:hanging="459"/>
      </w:pPr>
      <w:r>
        <w:fldChar w:fldCharType="end"/>
      </w:r>
      <w:r w:rsidR="00A24921">
        <w:br w:type="page"/>
      </w:r>
      <w:bookmarkStart w:id="3" w:name="_Toc211414091"/>
      <w:bookmarkStart w:id="4" w:name="_Toc211439989"/>
      <w:bookmarkStart w:id="5" w:name="_Toc211439990"/>
      <w:r w:rsidR="00E63DF3">
        <w:lastRenderedPageBreak/>
        <w:t>Glossary</w:t>
      </w:r>
      <w:bookmarkEnd w:id="3"/>
      <w:bookmarkEnd w:id="4"/>
      <w:bookmarkEnd w:id="5"/>
    </w:p>
    <w:p w14:paraId="3806563F" w14:textId="2F8E3D6B" w:rsidR="00E63DF3" w:rsidRPr="00B00818" w:rsidRDefault="00B00818">
      <w:pPr>
        <w:spacing w:before="0" w:after="160" w:line="278" w:lineRule="auto"/>
        <w:jc w:val="left"/>
      </w:pPr>
      <w:r w:rsidRPr="00B00818">
        <w:t>ADHD – Attention Deficit Hyperactivity Disorder</w:t>
      </w:r>
      <w:r w:rsidRPr="00B00818">
        <w:br/>
        <w:t>AOAE – Automated Otoacoustic Emission</w:t>
      </w:r>
      <w:r w:rsidRPr="00B00818">
        <w:br/>
        <w:t>AABR – Automated Auditory Brainstem Response</w:t>
      </w:r>
      <w:r w:rsidRPr="00B00818">
        <w:br/>
        <w:t>AP – Alternative Provision</w:t>
      </w:r>
      <w:r w:rsidRPr="00B00818">
        <w:br/>
        <w:t>APS – Average Point Score</w:t>
      </w:r>
      <w:r w:rsidRPr="00B00818">
        <w:br/>
        <w:t>ASD – Autism Spectrum Disorder</w:t>
      </w:r>
      <w:r w:rsidRPr="00B00818">
        <w:br/>
        <w:t>ASDAS – Autism Spectrum Disorder Assessment Service</w:t>
      </w:r>
      <w:r w:rsidRPr="00B00818">
        <w:br/>
        <w:t>ASQ – Ages and Stages Questionnaire</w:t>
      </w:r>
      <w:r w:rsidRPr="00B00818">
        <w:br/>
        <w:t>ASQ:SE-2 – Ages and Stages Questionnaire: Social-Emotional, 2nd edition</w:t>
      </w:r>
      <w:r w:rsidRPr="00B00818">
        <w:br/>
        <w:t>BATOD – British Association of Teachers of the Deaf</w:t>
      </w:r>
      <w:r w:rsidRPr="00B00818">
        <w:br/>
        <w:t>BSL – British Sign Language</w:t>
      </w:r>
      <w:r w:rsidRPr="00B00818">
        <w:br/>
        <w:t>CAMHS – Child and Adolescent Mental Health Services</w:t>
      </w:r>
      <w:r w:rsidRPr="00B00818">
        <w:br/>
        <w:t>CBT – Cognitive Behavioural Therapy</w:t>
      </w:r>
      <w:r w:rsidRPr="00B00818">
        <w:br/>
        <w:t>CQC – Care Quality Commission</w:t>
      </w:r>
      <w:r w:rsidRPr="00B00818">
        <w:br/>
        <w:t>CLDS – Community, Learning and Disability Service</w:t>
      </w:r>
      <w:r w:rsidRPr="00B00818">
        <w:br/>
        <w:t>CWD – Children with Disabilities</w:t>
      </w:r>
      <w:r w:rsidRPr="00B00818">
        <w:br/>
        <w:t>DCOS – Disabled Children’s Outreach Service</w:t>
      </w:r>
      <w:r w:rsidRPr="00B00818">
        <w:br/>
        <w:t>DS – Down Syndrome</w:t>
      </w:r>
      <w:r w:rsidRPr="00B00818">
        <w:br/>
        <w:t>DLD – Developmental Language Disorder</w:t>
      </w:r>
      <w:r w:rsidRPr="00B00818">
        <w:br/>
        <w:t>EET – Education, Employment or Training</w:t>
      </w:r>
      <w:r w:rsidRPr="00B00818">
        <w:br/>
        <w:t>EHCP – Education, Health and Care Plan</w:t>
      </w:r>
      <w:r w:rsidRPr="00B00818">
        <w:br/>
        <w:t>EPS – Educational Psychology Service</w:t>
      </w:r>
      <w:r w:rsidRPr="00B00818">
        <w:br/>
        <w:t>EYFS – Early Years Foundation Stage</w:t>
      </w:r>
      <w:r w:rsidRPr="00B00818">
        <w:br/>
        <w:t>EYFSP – Early Years Foundation Stage Profile</w:t>
      </w:r>
      <w:r w:rsidRPr="00B00818">
        <w:br/>
        <w:t>FSM – Free School Meals</w:t>
      </w:r>
      <w:r w:rsidRPr="00B00818">
        <w:br/>
        <w:t>GP – General Practitioner</w:t>
      </w:r>
      <w:r w:rsidRPr="00B00818">
        <w:br/>
        <w:t>GI – Gastrointestinal</w:t>
      </w:r>
      <w:r w:rsidRPr="00B00818">
        <w:br/>
        <w:t>HCP – Healthcare Professional</w:t>
      </w:r>
      <w:r w:rsidRPr="00B00818">
        <w:br/>
        <w:t>HI – Hearing Impairment</w:t>
      </w:r>
      <w:r w:rsidRPr="00B00818">
        <w:br/>
        <w:t>IASS – Information, Advice and Support Service</w:t>
      </w:r>
      <w:r w:rsidRPr="00B00818">
        <w:br/>
        <w:t>JSNA – Joint Strategic Needs Assessment</w:t>
      </w:r>
      <w:r w:rsidRPr="00B00818">
        <w:br/>
        <w:t>KS2 – Key Stage 2</w:t>
      </w:r>
      <w:r w:rsidRPr="00B00818">
        <w:br/>
        <w:t>KS4 – Key Stage 4</w:t>
      </w:r>
      <w:r w:rsidRPr="00B00818">
        <w:br/>
        <w:t>KS5 – Key Stage 5</w:t>
      </w:r>
      <w:r w:rsidRPr="00B00818">
        <w:br/>
        <w:t>LEA – Local Education Authority</w:t>
      </w:r>
      <w:r w:rsidRPr="00B00818">
        <w:br/>
        <w:t>LBTH – London Borough of Tower Hamlets</w:t>
      </w:r>
      <w:r w:rsidRPr="00B00818">
        <w:br/>
        <w:t>MAST – Multi-Agency Safeguarding Team</w:t>
      </w:r>
      <w:r w:rsidRPr="00B00818">
        <w:br/>
        <w:t>MDT – Multidisciplinary Team</w:t>
      </w:r>
      <w:r w:rsidRPr="00B00818">
        <w:br/>
        <w:t>NAS – National Autistic Society</w:t>
      </w:r>
      <w:r w:rsidRPr="00B00818">
        <w:br/>
        <w:t>NEET – Not in Education, Employment, or Training</w:t>
      </w:r>
      <w:r w:rsidRPr="00B00818">
        <w:br/>
        <w:t>NICE – National Institute for Health and Care Excellence</w:t>
      </w:r>
      <w:r w:rsidRPr="00B00818">
        <w:br/>
        <w:t>NIPE – Newborn and Infant Physical Examination</w:t>
      </w:r>
      <w:r w:rsidRPr="00B00818">
        <w:br/>
      </w:r>
      <w:r w:rsidRPr="00B00818">
        <w:lastRenderedPageBreak/>
        <w:t>NIPT – Non-Invasive Prenatal Testing</w:t>
      </w:r>
      <w:r w:rsidRPr="00B00818">
        <w:br/>
        <w:t>OHID – Office for Health Improvement and Disparities</w:t>
      </w:r>
      <w:r w:rsidRPr="00B00818">
        <w:br/>
        <w:t>Ofsted – Office for Standards in Education, Children’s Services and Skills</w:t>
      </w:r>
      <w:r w:rsidRPr="00B00818">
        <w:br/>
        <w:t>OT – Occupational Therapy / Therapist</w:t>
      </w:r>
      <w:r w:rsidRPr="00B00818">
        <w:br/>
        <w:t>PE – Physical Education</w:t>
      </w:r>
      <w:r w:rsidRPr="00B00818">
        <w:br/>
        <w:t>PD – Physical Disability</w:t>
      </w:r>
      <w:r w:rsidRPr="00B00818">
        <w:br/>
        <w:t>PH – Public Health (in NICE guideline codes)</w:t>
      </w:r>
      <w:r w:rsidRPr="00B00818">
        <w:br/>
      </w:r>
      <w:proofErr w:type="spellStart"/>
      <w:r w:rsidRPr="00B00818">
        <w:t>QToD</w:t>
      </w:r>
      <w:proofErr w:type="spellEnd"/>
      <w:r w:rsidRPr="00B00818">
        <w:t xml:space="preserve"> – Qualified Teacher of the Deaf</w:t>
      </w:r>
      <w:r w:rsidRPr="00B00818">
        <w:br/>
        <w:t>QTMSI – Qualified Teacher of Multi-Sensory Impairments</w:t>
      </w:r>
      <w:r w:rsidRPr="00B00818">
        <w:br/>
        <w:t>QTVI – Qualified Teacher of the Visually Impaired</w:t>
      </w:r>
      <w:r w:rsidRPr="00B00818">
        <w:br/>
        <w:t>RNIB – Royal National Institute of Blind People</w:t>
      </w:r>
      <w:r w:rsidRPr="00B00818">
        <w:br/>
        <w:t>SES – Socio-Economic Status</w:t>
      </w:r>
      <w:r w:rsidRPr="00B00818">
        <w:br/>
        <w:t>SEND – Special Educational Needs and Disabilities</w:t>
      </w:r>
      <w:r w:rsidRPr="00B00818">
        <w:br/>
        <w:t>SEND IASS – Special Educational Needs and Disabilities Information, Advice and Support Service</w:t>
      </w:r>
      <w:r w:rsidRPr="00B00818">
        <w:br/>
        <w:t>SEN – Special Educational Needs</w:t>
      </w:r>
      <w:r w:rsidRPr="00B00818">
        <w:br/>
        <w:t>SENCO – Special Educational Needs Coordinator</w:t>
      </w:r>
      <w:r w:rsidRPr="00B00818">
        <w:br/>
        <w:t>SEMH – Social, Emotional and Mental Health</w:t>
      </w:r>
      <w:r w:rsidRPr="00B00818">
        <w:br/>
        <w:t>SLD – Severe Learning Difficulties</w:t>
      </w:r>
      <w:r w:rsidRPr="00B00818">
        <w:br/>
        <w:t>SLT – Speech and Language Therapy / Therapist</w:t>
      </w:r>
      <w:r w:rsidRPr="00B00818">
        <w:br/>
        <w:t>SLCN – Speech, Language and Communication Needs</w:t>
      </w:r>
      <w:r w:rsidRPr="00B00818">
        <w:br/>
      </w:r>
      <w:proofErr w:type="spellStart"/>
      <w:r w:rsidRPr="00B00818">
        <w:t>SpLD</w:t>
      </w:r>
      <w:proofErr w:type="spellEnd"/>
      <w:r w:rsidRPr="00B00818">
        <w:t xml:space="preserve"> – Specific Learning Difficulty</w:t>
      </w:r>
      <w:r w:rsidRPr="00B00818">
        <w:br/>
        <w:t>SPD – Sensory Processing Disorder</w:t>
      </w:r>
      <w:r w:rsidRPr="00B00818">
        <w:br/>
        <w:t>STAG – Special Transport Advisory Group</w:t>
      </w:r>
      <w:r w:rsidRPr="00B00818">
        <w:br/>
        <w:t>UK – United Kingdom</w:t>
      </w:r>
      <w:r w:rsidRPr="00B00818">
        <w:br/>
        <w:t>VI – Visual Impairment</w:t>
      </w:r>
      <w:r w:rsidRPr="00B00818">
        <w:br/>
        <w:t>YP – Young People</w:t>
      </w:r>
      <w:r w:rsidRPr="00B00818">
        <w:br/>
      </w:r>
    </w:p>
    <w:p w14:paraId="4AB68A33" w14:textId="77777777" w:rsidR="00B00818" w:rsidRDefault="00B00818">
      <w:pPr>
        <w:spacing w:before="0" w:after="160" w:line="278" w:lineRule="auto"/>
        <w:jc w:val="left"/>
      </w:pPr>
    </w:p>
    <w:p w14:paraId="5085AFE7" w14:textId="77777777" w:rsidR="00B00818" w:rsidRDefault="00B00818">
      <w:pPr>
        <w:spacing w:before="0" w:after="160" w:line="278" w:lineRule="auto"/>
        <w:jc w:val="left"/>
      </w:pPr>
    </w:p>
    <w:p w14:paraId="05AB4A17" w14:textId="77777777" w:rsidR="00B00818" w:rsidRDefault="00B00818">
      <w:pPr>
        <w:spacing w:before="0" w:after="160" w:line="278" w:lineRule="auto"/>
        <w:jc w:val="left"/>
      </w:pPr>
    </w:p>
    <w:p w14:paraId="72CCFD63" w14:textId="77777777" w:rsidR="00B00818" w:rsidRDefault="00B00818">
      <w:pPr>
        <w:spacing w:before="0" w:after="160" w:line="278" w:lineRule="auto"/>
        <w:jc w:val="left"/>
      </w:pPr>
    </w:p>
    <w:p w14:paraId="0C74B4FC" w14:textId="77777777" w:rsidR="00B00818" w:rsidRDefault="00B00818">
      <w:pPr>
        <w:spacing w:before="0" w:after="160" w:line="278" w:lineRule="auto"/>
        <w:jc w:val="left"/>
      </w:pPr>
    </w:p>
    <w:p w14:paraId="520DC265" w14:textId="77777777" w:rsidR="00B00818" w:rsidRDefault="00B00818">
      <w:pPr>
        <w:spacing w:before="0" w:after="160" w:line="278" w:lineRule="auto"/>
        <w:jc w:val="left"/>
        <w:rPr>
          <w:b/>
          <w:bCs/>
          <w:color w:val="00435D"/>
          <w:sz w:val="44"/>
          <w:szCs w:val="36"/>
          <w:highlight w:val="lightGray"/>
        </w:rPr>
      </w:pPr>
    </w:p>
    <w:p w14:paraId="6900B5D2" w14:textId="77777777" w:rsidR="009B39EC" w:rsidRDefault="009B39EC">
      <w:pPr>
        <w:spacing w:before="0" w:after="160" w:line="278" w:lineRule="auto"/>
        <w:jc w:val="left"/>
        <w:rPr>
          <w:b/>
          <w:bCs/>
          <w:color w:val="00435D"/>
          <w:sz w:val="44"/>
          <w:szCs w:val="36"/>
        </w:rPr>
      </w:pPr>
      <w:bookmarkStart w:id="6" w:name="_Toc211414092"/>
      <w:r>
        <w:br w:type="page"/>
      </w:r>
    </w:p>
    <w:p w14:paraId="2E177687" w14:textId="6149D86D" w:rsidR="001D6DCD" w:rsidRDefault="00C0727F" w:rsidP="00FD5471">
      <w:pPr>
        <w:pStyle w:val="Heading2"/>
      </w:pPr>
      <w:bookmarkStart w:id="7" w:name="_Toc211439991"/>
      <w:r>
        <w:lastRenderedPageBreak/>
        <w:t>About this Joint Strategic Needs Assessment</w:t>
      </w:r>
      <w:bookmarkEnd w:id="6"/>
      <w:bookmarkEnd w:id="7"/>
    </w:p>
    <w:p w14:paraId="552AF0A3" w14:textId="3EC9778E" w:rsidR="001D6DCD" w:rsidRPr="00A3032C" w:rsidRDefault="00C0727F" w:rsidP="00C907EB">
      <w:pPr>
        <w:pStyle w:val="Heading3"/>
        <w:rPr>
          <w:color w:val="006B70"/>
        </w:rPr>
      </w:pPr>
      <w:bookmarkStart w:id="8" w:name="_Toc205386863"/>
      <w:bookmarkStart w:id="9" w:name="_Toc205387933"/>
      <w:bookmarkStart w:id="10" w:name="_Toc205445944"/>
      <w:r w:rsidRPr="00A3032C">
        <w:rPr>
          <w:color w:val="006B70"/>
        </w:rPr>
        <w:t>Aims and Purpose</w:t>
      </w:r>
      <w:bookmarkEnd w:id="8"/>
      <w:bookmarkEnd w:id="9"/>
      <w:bookmarkEnd w:id="10"/>
    </w:p>
    <w:p w14:paraId="127E3315" w14:textId="6F4CE9CD" w:rsidR="004E04E1" w:rsidRPr="0054454A" w:rsidRDefault="00C0727F" w:rsidP="0054454A">
      <w:r w:rsidRPr="0054454A">
        <w:t>The Special Educational Needs and Disability (SEND) Code of Practice</w:t>
      </w:r>
      <w:bookmarkStart w:id="11" w:name="_Ref205190196"/>
      <w:r w:rsidR="004E04E1">
        <w:rPr>
          <w:rStyle w:val="EndnoteReference"/>
        </w:rPr>
        <w:endnoteReference w:id="1"/>
      </w:r>
      <w:bookmarkEnd w:id="11"/>
      <w:r w:rsidR="004E04E1" w:rsidRPr="0054454A">
        <w:t xml:space="preserve"> states that a Joint Strategic Needs Assessment (JSNA) must be produced to analyse the needs of the local community.</w:t>
      </w:r>
      <w:r w:rsidR="004E04E1">
        <w:t xml:space="preserve"> </w:t>
      </w:r>
      <w:r w:rsidR="004E04E1" w:rsidRPr="002B3926">
        <w:t>It must be regularly reviewed and updated to reflect the needs of children and young people with SEND</w:t>
      </w:r>
      <w:r w:rsidR="004E04E1">
        <w:t xml:space="preserve">. </w:t>
      </w:r>
    </w:p>
    <w:p w14:paraId="0E7A5E16" w14:textId="26AA2DE4" w:rsidR="004E04E1" w:rsidRPr="0054454A" w:rsidRDefault="004E04E1" w:rsidP="0054454A">
      <w:r w:rsidRPr="0054454A">
        <w:t>This JSNA is sponsored by the Tower Hamlets SEND Improvement Board and has been developed in collaboration with partners from health, education,</w:t>
      </w:r>
      <w:r w:rsidR="006D5963">
        <w:t xml:space="preserve"> social care</w:t>
      </w:r>
      <w:r w:rsidRPr="0054454A">
        <w:t xml:space="preserve"> and the voluntary sector in the borough. Its primary aim is to assess the current and future needs of children and young people </w:t>
      </w:r>
      <w:r w:rsidR="00855A8B">
        <w:t xml:space="preserve">with </w:t>
      </w:r>
      <w:r w:rsidRPr="0054454A">
        <w:t>SEND, with a focus on identifying specific challenges across each category of need. The JSNA will propose recommendations to improve outcomes and guide strategic planning and resource allocation, to ensure timely, high-quality, and personalised support for children</w:t>
      </w:r>
      <w:r w:rsidR="009552C4">
        <w:t xml:space="preserve"> and young people with SEND</w:t>
      </w:r>
      <w:r w:rsidRPr="0054454A">
        <w:t>.</w:t>
      </w:r>
    </w:p>
    <w:p w14:paraId="077820FA" w14:textId="5693ACED" w:rsidR="004E04E1" w:rsidRPr="0054454A" w:rsidRDefault="004E04E1" w:rsidP="0054454A">
      <w:r w:rsidRPr="0054454A">
        <w:t>The JSNA should be considered alongside the Tower Hamlets SEND and Inclusion Strategy 2024</w:t>
      </w:r>
      <w:bookmarkStart w:id="12" w:name="_Ref204367603"/>
      <w:r>
        <w:rPr>
          <w:rStyle w:val="EndnoteReference"/>
        </w:rPr>
        <w:endnoteReference w:id="2"/>
      </w:r>
      <w:bookmarkEnd w:id="12"/>
      <w:r w:rsidRPr="0054454A">
        <w:t>, as both documents work together to enhance the health, educational achievement, and overall well-being of children and young people with SEND.</w:t>
      </w:r>
    </w:p>
    <w:p w14:paraId="612F0C58" w14:textId="42390421" w:rsidR="004E04E1" w:rsidRDefault="004E04E1" w:rsidP="00FD70DA">
      <w:r w:rsidRPr="0054454A">
        <w:t>The London Borough of Tower Hamlets has a strong commitment to supporting children and young people with SEND and has previously published two JSNAs on SEND in 2015 and 2019. This updated JSNA builds on past progress, providing a current analysis of the SEND population and undertaking a review into each category of need. This approach ensures that the unique needs of all children are effectively addressed.</w:t>
      </w:r>
    </w:p>
    <w:p w14:paraId="21AE29E6" w14:textId="22AB00D5" w:rsidR="004E04E1" w:rsidRPr="00584FE1" w:rsidRDefault="004E04E1" w:rsidP="00C907EB">
      <w:pPr>
        <w:pStyle w:val="Heading3"/>
        <w:rPr>
          <w:color w:val="006B70"/>
        </w:rPr>
      </w:pPr>
      <w:bookmarkStart w:id="13" w:name="_Toc205386864"/>
      <w:bookmarkStart w:id="14" w:name="_Toc205387934"/>
      <w:bookmarkStart w:id="15" w:name="_Toc205445945"/>
      <w:r w:rsidRPr="00584FE1">
        <w:rPr>
          <w:color w:val="006B70"/>
        </w:rPr>
        <w:t>Methodology</w:t>
      </w:r>
      <w:bookmarkEnd w:id="13"/>
      <w:bookmarkEnd w:id="14"/>
      <w:bookmarkEnd w:id="15"/>
    </w:p>
    <w:p w14:paraId="318A2084" w14:textId="12E52134" w:rsidR="004E04E1" w:rsidRDefault="004E04E1" w:rsidP="00660637">
      <w:r>
        <w:t>This JSNA adopted a multi-method design, incorporating four key components: desk-based research, literature synthesis, data analysis and qualitative insights. This approach enables a comprehensive understanding through the triangulation of sources and methods.</w:t>
      </w:r>
      <w:r w:rsidR="00665CB3">
        <w:t xml:space="preserve"> </w:t>
      </w:r>
      <w:r>
        <w:t xml:space="preserve">By </w:t>
      </w:r>
      <w:r w:rsidRPr="00934266">
        <w:t xml:space="preserve">combining literature-based analysis with real-world data and human perspectives, the </w:t>
      </w:r>
      <w:r>
        <w:t>JSNA</w:t>
      </w:r>
      <w:r w:rsidRPr="00934266">
        <w:t xml:space="preserve"> provides a robust foundation for analysis, discussion, and conclusions.</w:t>
      </w:r>
    </w:p>
    <w:p w14:paraId="43233C6A" w14:textId="0D27AB70" w:rsidR="004E04E1" w:rsidRPr="00A24921" w:rsidRDefault="004E04E1" w:rsidP="00F469F9">
      <w:pPr>
        <w:pStyle w:val="Heading5"/>
      </w:pPr>
      <w:r w:rsidRPr="00A24921">
        <w:t>Desk-based research</w:t>
      </w:r>
    </w:p>
    <w:p w14:paraId="49FABBE6" w14:textId="47AC5E28" w:rsidR="004E04E1" w:rsidRDefault="004E04E1" w:rsidP="00660637">
      <w:r>
        <w:t>This initial phase involved extensive desk-based research to map the existing landscape of SEND service and support. This included the systematic review of in</w:t>
      </w:r>
      <w:r w:rsidRPr="00660637">
        <w:t>formation from a wide array of sources, including statutory policy documents, organisational reports, strategic frameworks, relevant government publications, and grey literature from academic and non-academic settings</w:t>
      </w:r>
      <w:r>
        <w:t>. T</w:t>
      </w:r>
      <w:r w:rsidRPr="00660637">
        <w:t>he goal of this phase was to gather robust contextual information on the current provision, challenges, and best practices in SEND. This foundational evidence base was critical in framing the key areas of focus for subsequent stages of the JSNA, ensuring alignment with local priorities and national policy directives.</w:t>
      </w:r>
    </w:p>
    <w:p w14:paraId="3AD11A3B" w14:textId="7DA9D511" w:rsidR="004E04E1" w:rsidRPr="00A24921" w:rsidRDefault="004E04E1" w:rsidP="00F469F9">
      <w:pPr>
        <w:pStyle w:val="Heading5"/>
      </w:pPr>
      <w:r w:rsidRPr="00A24921">
        <w:t xml:space="preserve">Literature </w:t>
      </w:r>
      <w:r w:rsidR="00B9724D">
        <w:t>s</w:t>
      </w:r>
      <w:r w:rsidR="00B9724D" w:rsidRPr="00A24921">
        <w:t>ynthesis</w:t>
      </w:r>
    </w:p>
    <w:p w14:paraId="7716223D" w14:textId="59F07DA8" w:rsidR="004E04E1" w:rsidRDefault="004E04E1" w:rsidP="004525BA">
      <w:r>
        <w:t>A</w:t>
      </w:r>
      <w:r w:rsidRPr="00660637">
        <w:t xml:space="preserve"> structured synthesis of academic literature was undertaken for each identified category of </w:t>
      </w:r>
      <w:r w:rsidR="003778A4">
        <w:t>need</w:t>
      </w:r>
      <w:r w:rsidRPr="00660637">
        <w:t xml:space="preserve">. This involved targeted searches of peer-reviewed journals, systematic reviews, and evidence-based guidelines. The literature synthesis aimed to identify </w:t>
      </w:r>
      <w:r>
        <w:t xml:space="preserve">evidence-based </w:t>
      </w:r>
      <w:r w:rsidRPr="00660637">
        <w:t xml:space="preserve">practices in supporting children and young people with SEND, as well as families and professionals who work with them. Any emerging </w:t>
      </w:r>
      <w:r w:rsidRPr="00660637">
        <w:lastRenderedPageBreak/>
        <w:t>evidence that provided insights into scalable and contextually appropriate strategies w</w:t>
      </w:r>
      <w:r w:rsidR="00E858FC">
        <w:t>ere</w:t>
      </w:r>
      <w:r w:rsidRPr="00660637">
        <w:t xml:space="preserve"> documented. The purpose of this exercise was not only to inform local strategy development but also to embed a culture of continuous learning and reflective practice within </w:t>
      </w:r>
      <w:r w:rsidR="00773632">
        <w:t xml:space="preserve">the </w:t>
      </w:r>
      <w:r w:rsidRPr="00660637">
        <w:t>Tower Hamlets’ SEND provision.</w:t>
      </w:r>
    </w:p>
    <w:p w14:paraId="06D5AF2F" w14:textId="775FE79B" w:rsidR="004E04E1" w:rsidRPr="00A24921" w:rsidRDefault="004E04E1" w:rsidP="00F469F9">
      <w:pPr>
        <w:pStyle w:val="Heading5"/>
      </w:pPr>
      <w:r w:rsidRPr="00A24921">
        <w:t xml:space="preserve">Data </w:t>
      </w:r>
      <w:r w:rsidR="00B9724D">
        <w:t>a</w:t>
      </w:r>
      <w:r w:rsidR="00B9724D" w:rsidRPr="00A24921">
        <w:t>nalysis</w:t>
      </w:r>
    </w:p>
    <w:p w14:paraId="27FDADE0" w14:textId="77777777" w:rsidR="004E04E1" w:rsidRDefault="004E04E1" w:rsidP="00934266">
      <w:r w:rsidRPr="004525BA">
        <w:t xml:space="preserve">This phase involved the systematic examination of quantitative data to build a clear picture of the local SEND landscape. </w:t>
      </w:r>
      <w:r>
        <w:t>Data</w:t>
      </w:r>
      <w:r w:rsidRPr="004525BA">
        <w:t xml:space="preserve"> sources included publicly available datasets such as</w:t>
      </w:r>
      <w:r>
        <w:t xml:space="preserve">: </w:t>
      </w:r>
    </w:p>
    <w:p w14:paraId="5799E40C" w14:textId="0373C6A0" w:rsidR="004E04E1" w:rsidRDefault="004E04E1" w:rsidP="00BF63ED">
      <w:pPr>
        <w:pStyle w:val="ListParagraph"/>
        <w:numPr>
          <w:ilvl w:val="0"/>
          <w:numId w:val="15"/>
        </w:numPr>
      </w:pPr>
      <w:r>
        <w:t>T</w:t>
      </w:r>
      <w:r w:rsidRPr="004525BA">
        <w:t>he School Census</w:t>
      </w:r>
      <w:r>
        <w:t xml:space="preserve"> (processed</w:t>
      </w:r>
      <w:r w:rsidRPr="004525BA">
        <w:t xml:space="preserve"> and </w:t>
      </w:r>
      <w:r>
        <w:t>analysed by LBTH)</w:t>
      </w:r>
      <w:bookmarkStart w:id="16" w:name="_Ref204587357"/>
      <w:r>
        <w:rPr>
          <w:rStyle w:val="EndnoteReference"/>
        </w:rPr>
        <w:endnoteReference w:id="3"/>
      </w:r>
      <w:bookmarkEnd w:id="16"/>
    </w:p>
    <w:p w14:paraId="0F6C1F2D" w14:textId="1622547F" w:rsidR="004E04E1" w:rsidRDefault="004E04E1" w:rsidP="00BF63ED">
      <w:pPr>
        <w:pStyle w:val="ListParagraph"/>
        <w:numPr>
          <w:ilvl w:val="0"/>
          <w:numId w:val="15"/>
        </w:numPr>
      </w:pPr>
      <w:r w:rsidRPr="004525BA">
        <w:t>Department for Education statistics</w:t>
      </w:r>
      <w:r w:rsidR="000E6484">
        <w:rPr>
          <w:rStyle w:val="EndnoteReference"/>
        </w:rPr>
        <w:fldChar w:fldCharType="begin"/>
      </w:r>
      <w:r w:rsidR="000E6484">
        <w:rPr>
          <w:rStyle w:val="EndnoteReference"/>
        </w:rPr>
        <w:instrText xml:space="preserve"> NOTEREF  _Ref204587357 \f \h </w:instrText>
      </w:r>
      <w:r w:rsidR="000E6484">
        <w:rPr>
          <w:rStyle w:val="EndnoteReference"/>
        </w:rPr>
      </w:r>
      <w:r w:rsidR="000E6484">
        <w:rPr>
          <w:rStyle w:val="EndnoteReference"/>
        </w:rPr>
        <w:fldChar w:fldCharType="separate"/>
      </w:r>
      <w:r w:rsidR="008722C4" w:rsidRPr="008722C4">
        <w:rPr>
          <w:rStyle w:val="EndnoteReference"/>
        </w:rPr>
        <w:t>3</w:t>
      </w:r>
      <w:r w:rsidR="000E6484">
        <w:rPr>
          <w:rStyle w:val="EndnoteReference"/>
        </w:rPr>
        <w:fldChar w:fldCharType="end"/>
      </w:r>
    </w:p>
    <w:p w14:paraId="252B2920" w14:textId="7A8568CC" w:rsidR="004E04E1" w:rsidRDefault="004E04E1" w:rsidP="00BF63ED">
      <w:pPr>
        <w:pStyle w:val="ListParagraph"/>
        <w:numPr>
          <w:ilvl w:val="0"/>
          <w:numId w:val="15"/>
        </w:numPr>
      </w:pPr>
      <w:r w:rsidRPr="004525BA">
        <w:t xml:space="preserve">Tower Hamlets </w:t>
      </w:r>
      <w:r>
        <w:t xml:space="preserve">SEND </w:t>
      </w:r>
      <w:bookmarkStart w:id="17" w:name="_Ref204583153"/>
      <w:r w:rsidR="00A00389">
        <w:t>Dashboard</w:t>
      </w:r>
      <w:bookmarkStart w:id="18" w:name="_Ref205455107"/>
      <w:r>
        <w:rPr>
          <w:rStyle w:val="EndnoteReference"/>
        </w:rPr>
        <w:endnoteReference w:id="4"/>
      </w:r>
      <w:bookmarkEnd w:id="17"/>
      <w:bookmarkEnd w:id="18"/>
    </w:p>
    <w:p w14:paraId="25EFF54F" w14:textId="10055AB0" w:rsidR="004E04E1" w:rsidRDefault="004E04E1" w:rsidP="00BF63ED">
      <w:pPr>
        <w:pStyle w:val="ListParagraph"/>
        <w:numPr>
          <w:ilvl w:val="0"/>
          <w:numId w:val="15"/>
        </w:numPr>
      </w:pPr>
      <w:r>
        <w:t>OHID Fingertips</w:t>
      </w:r>
      <w:bookmarkStart w:id="19" w:name="_Ref204720059"/>
      <w:r>
        <w:rPr>
          <w:rStyle w:val="EndnoteReference"/>
        </w:rPr>
        <w:endnoteReference w:id="5"/>
      </w:r>
      <w:bookmarkEnd w:id="19"/>
    </w:p>
    <w:p w14:paraId="27DCA92E" w14:textId="0EEEF84B" w:rsidR="004E04E1" w:rsidRDefault="004E04E1" w:rsidP="00934266">
      <w:r w:rsidRPr="004525BA">
        <w:t>Th</w:t>
      </w:r>
      <w:r>
        <w:t>ese</w:t>
      </w:r>
      <w:r w:rsidRPr="004525BA">
        <w:t xml:space="preserve"> allowed for the analysis of demographic trends, prevalence rates, service utilisation, and outcomes for children and young people with SEND</w:t>
      </w:r>
      <w:r w:rsidR="00550A41">
        <w:t xml:space="preserve">, and included </w:t>
      </w:r>
      <w:r w:rsidR="00A85C48">
        <w:t xml:space="preserve">analysis of </w:t>
      </w:r>
      <w:r w:rsidR="00550A41">
        <w:t xml:space="preserve">key characteristics such as age, gender, ethnicity and type of need, </w:t>
      </w:r>
      <w:r w:rsidR="0071304A">
        <w:t>to</w:t>
      </w:r>
      <w:r w:rsidR="00550A41">
        <w:t xml:space="preserve"> identify disparities and inform targeted recommendations. </w:t>
      </w:r>
    </w:p>
    <w:p w14:paraId="02E4EF66" w14:textId="379D7145" w:rsidR="004E04E1" w:rsidRPr="00567421" w:rsidRDefault="004E04E1" w:rsidP="00F469F9">
      <w:pPr>
        <w:pStyle w:val="Heading5"/>
      </w:pPr>
      <w:r w:rsidRPr="00567421">
        <w:t xml:space="preserve">Qualitative </w:t>
      </w:r>
      <w:r w:rsidR="004B4F37">
        <w:t>i</w:t>
      </w:r>
      <w:r w:rsidRPr="00567421">
        <w:t>nsights</w:t>
      </w:r>
    </w:p>
    <w:p w14:paraId="0DE611FB" w14:textId="3B065116" w:rsidR="004E04E1" w:rsidRPr="004525BA" w:rsidRDefault="004E04E1" w:rsidP="004525BA">
      <w:r>
        <w:t xml:space="preserve">To </w:t>
      </w:r>
      <w:r w:rsidRPr="004525BA">
        <w:t>deepen understanding and ensure the voices of stakeholders were central to the needs assessment, qualitative insights were gathered through a variety of methods. These included semi-structured interviews, focus groups, and informal or opportunistic conversations at SEND-related events and engagement forums. Participants included parents and carers, children and young people, frontline practitioners, education staff, voluntary sector representatives, and strategic leads.</w:t>
      </w:r>
    </w:p>
    <w:p w14:paraId="56ADAB1E" w14:textId="482E78A6" w:rsidR="004E04E1" w:rsidRDefault="004E04E1" w:rsidP="00934266">
      <w:r w:rsidRPr="004525BA">
        <w:t xml:space="preserve">The qualitative data was analysed using thematic analysis, </w:t>
      </w:r>
      <w:r>
        <w:t>guided by</w:t>
      </w:r>
      <w:r w:rsidRPr="004525BA">
        <w:t xml:space="preserve"> Braun and Clarke’s</w:t>
      </w:r>
      <w:r>
        <w:rPr>
          <w:rStyle w:val="EndnoteReference"/>
        </w:rPr>
        <w:endnoteReference w:id="6"/>
      </w:r>
      <w:r>
        <w:t xml:space="preserve"> approach. </w:t>
      </w:r>
      <w:r w:rsidRPr="004525BA">
        <w:t>This rigorous process allowed for the extraction of nuanced insights from lived experiences and professional perspectives. Themes emerging from this qualitative analysis provided valuable depth and context to the quantitative findings, highlighting areas such as unmet needs, barriers to access, perceived gaps in support, and suggestions for service improvement.</w:t>
      </w:r>
    </w:p>
    <w:p w14:paraId="2856C6BA" w14:textId="52EC64EE" w:rsidR="00687F22" w:rsidRPr="00A3032C" w:rsidRDefault="00687F22" w:rsidP="00687F22">
      <w:pPr>
        <w:pStyle w:val="Heading3"/>
        <w:rPr>
          <w:color w:val="006B70"/>
        </w:rPr>
      </w:pPr>
      <w:bookmarkStart w:id="20" w:name="_Toc205386865"/>
      <w:bookmarkStart w:id="21" w:name="_Toc205387935"/>
      <w:bookmarkStart w:id="22" w:name="_Toc205445946"/>
      <w:r w:rsidRPr="00A3032C">
        <w:rPr>
          <w:color w:val="006B70"/>
        </w:rPr>
        <w:t>Structure</w:t>
      </w:r>
      <w:r w:rsidR="00D47FBA" w:rsidRPr="00A3032C">
        <w:rPr>
          <w:color w:val="006B70"/>
        </w:rPr>
        <w:t xml:space="preserve"> of the document</w:t>
      </w:r>
      <w:bookmarkEnd w:id="20"/>
      <w:bookmarkEnd w:id="21"/>
      <w:bookmarkEnd w:id="22"/>
    </w:p>
    <w:p w14:paraId="07410BFB" w14:textId="354A64EA" w:rsidR="00687F22" w:rsidRDefault="00DD010F" w:rsidP="00687F22">
      <w:r w:rsidRPr="00DD010F">
        <w:t>The following sections of this document (Chapters 4 onwards) are structured to explore each category of need in detail. For each area, we outline the key causal factors, examine the local picture within Tower Hamlets, and describe current approaches to diagnosis and pathways into support. We also consider how these needs impact access to a healthy lifestyle and shape experiences within school life. Each chapter includes a review of evidence-based practice, highlights the support services currently available in Tower Hamlets, and concludes with relevant recommendations to inform future planning and provision.</w:t>
      </w:r>
    </w:p>
    <w:p w14:paraId="69348312" w14:textId="194564C7" w:rsidR="001774B2" w:rsidRDefault="00156072" w:rsidP="00687F22">
      <w:r w:rsidRPr="00FB574D">
        <w:t>This structure was co-developed and endorsed by Tower Hamlets SEND leads</w:t>
      </w:r>
      <w:r w:rsidR="00ED0C94">
        <w:t xml:space="preserve"> </w:t>
      </w:r>
      <w:r w:rsidR="001774B2" w:rsidRPr="001774B2">
        <w:t xml:space="preserve">as the key lines of enquiry for assessing the health needs of children with SEND. Each chapter is intended to be self-contained so practitioners and families can access the full picture for a </w:t>
      </w:r>
      <w:proofErr w:type="gramStart"/>
      <w:r w:rsidR="001774B2" w:rsidRPr="001774B2">
        <w:t xml:space="preserve">specific SEND </w:t>
      </w:r>
      <w:r w:rsidR="00EC1C97" w:rsidRPr="001774B2">
        <w:t>categories</w:t>
      </w:r>
      <w:r w:rsidR="001774B2" w:rsidRPr="001774B2">
        <w:t xml:space="preserve"> of interest</w:t>
      </w:r>
      <w:proofErr w:type="gramEnd"/>
      <w:r w:rsidR="001774B2" w:rsidRPr="001774B2">
        <w:t xml:space="preserve"> with </w:t>
      </w:r>
      <w:r w:rsidR="001774B2" w:rsidRPr="001774B2">
        <w:lastRenderedPageBreak/>
        <w:t>ease. As a result, some content is intentionally repeated across chapters when the document is read from start to finish.</w:t>
      </w:r>
    </w:p>
    <w:p w14:paraId="6473EC93" w14:textId="77777777" w:rsidR="004E04E1" w:rsidRPr="00584FE1" w:rsidRDefault="004E04E1" w:rsidP="00C907EB">
      <w:pPr>
        <w:pStyle w:val="Heading3"/>
        <w:rPr>
          <w:color w:val="006B70"/>
        </w:rPr>
      </w:pPr>
      <w:bookmarkStart w:id="23" w:name="_Toc211413843"/>
      <w:bookmarkStart w:id="24" w:name="_Toc211439701"/>
      <w:bookmarkStart w:id="25" w:name="_Toc205386866"/>
      <w:bookmarkStart w:id="26" w:name="_Toc205387936"/>
      <w:bookmarkStart w:id="27" w:name="_Toc205445947"/>
      <w:bookmarkEnd w:id="23"/>
      <w:bookmarkEnd w:id="24"/>
      <w:r w:rsidRPr="00584FE1">
        <w:rPr>
          <w:color w:val="006B70"/>
        </w:rPr>
        <w:t>Definitions</w:t>
      </w:r>
      <w:bookmarkEnd w:id="25"/>
      <w:bookmarkEnd w:id="26"/>
      <w:bookmarkEnd w:id="27"/>
    </w:p>
    <w:p w14:paraId="1F67A5EB" w14:textId="10DB1668" w:rsidR="004E04E1" w:rsidRPr="004525BA" w:rsidRDefault="004E04E1" w:rsidP="004525BA">
      <w:r>
        <w:t xml:space="preserve">According </w:t>
      </w:r>
      <w:r w:rsidRPr="007904EC">
        <w:t>to the SEND Code of Practice (2015)</w:t>
      </w:r>
      <w:r w:rsidR="00A2047F">
        <w:rPr>
          <w:rStyle w:val="EndnoteReference"/>
        </w:rPr>
        <w:fldChar w:fldCharType="begin"/>
      </w:r>
      <w:r w:rsidR="00A2047F">
        <w:rPr>
          <w:rStyle w:val="EndnoteReference"/>
        </w:rPr>
        <w:instrText xml:space="preserve"> NOTEREF  _Ref205190196 \f \h </w:instrText>
      </w:r>
      <w:r w:rsidR="00A2047F">
        <w:rPr>
          <w:rStyle w:val="EndnoteReference"/>
        </w:rPr>
      </w:r>
      <w:r w:rsidR="00A2047F">
        <w:rPr>
          <w:rStyle w:val="EndnoteReference"/>
        </w:rPr>
        <w:fldChar w:fldCharType="separate"/>
      </w:r>
      <w:r w:rsidR="008722C4" w:rsidRPr="008722C4">
        <w:rPr>
          <w:rStyle w:val="EndnoteReference"/>
        </w:rPr>
        <w:t>1</w:t>
      </w:r>
      <w:r w:rsidR="00A2047F">
        <w:rPr>
          <w:rStyle w:val="EndnoteReference"/>
        </w:rPr>
        <w:fldChar w:fldCharType="end"/>
      </w:r>
      <w:r w:rsidRPr="007904EC">
        <w:t>, a child</w:t>
      </w:r>
      <w:r w:rsidRPr="004525BA">
        <w:t xml:space="preserve"> or young person has special educational needs (SEN) if they have a learning difficulty or disability which requires special educational provision. This includes those who have a significantly greater difficulty in learning than </w:t>
      </w:r>
      <w:proofErr w:type="gramStart"/>
      <w:r w:rsidRPr="004525BA">
        <w:t>the majority of</w:t>
      </w:r>
      <w:proofErr w:type="gramEnd"/>
      <w:r w:rsidRPr="004525BA">
        <w:t xml:space="preserve"> others of the same age, or a disability that prevents them from accessing facilities generally available in mainstream schools or post-16 institutions.</w:t>
      </w:r>
    </w:p>
    <w:p w14:paraId="6654E429" w14:textId="2CF29986" w:rsidR="004E04E1" w:rsidRPr="004525BA" w:rsidRDefault="004E04E1" w:rsidP="004525BA">
      <w:r w:rsidRPr="004525BA">
        <w:t>The Equality Act (2010)</w:t>
      </w:r>
      <w:bookmarkStart w:id="28" w:name="_Ref205191496"/>
      <w:r w:rsidRPr="007904EC">
        <w:rPr>
          <w:rStyle w:val="EndnoteReference"/>
        </w:rPr>
        <w:endnoteReference w:id="7"/>
      </w:r>
      <w:bookmarkEnd w:id="28"/>
      <w:r w:rsidRPr="004525BA">
        <w:t xml:space="preserve"> defines disability as a physical or mental impairment that has a long-term and substantial adverse effect on day-to-day activities. While many children with SE</w:t>
      </w:r>
      <w:r w:rsidR="003B0E3B">
        <w:t>N</w:t>
      </w:r>
      <w:r w:rsidRPr="004525BA">
        <w:t xml:space="preserve"> may also meet the legal definition of disability, not all children </w:t>
      </w:r>
      <w:r w:rsidR="009E6DB7">
        <w:t>with disabilities</w:t>
      </w:r>
      <w:r w:rsidRPr="004525BA">
        <w:t xml:space="preserve"> have SEN. To reflect this overlap and ensure inclusive support, the term Special Educational Needs and Disabilities (SEND) is commonly used.</w:t>
      </w:r>
    </w:p>
    <w:p w14:paraId="61C1F726" w14:textId="33F47A2C" w:rsidR="004E04E1" w:rsidRPr="004525BA" w:rsidRDefault="004E04E1" w:rsidP="004525BA">
      <w:r w:rsidRPr="004525BA">
        <w:t>Long-term conditions such as asthma, diabetes, epilepsy, or cancer fall under the legal definition of disability, but do not automatically result in SEN unless they also impact learning in a way that requires special provision.</w:t>
      </w:r>
      <w:r>
        <w:t xml:space="preserve"> For this reason, these conditions are outside the scope of this JSNA. </w:t>
      </w:r>
    </w:p>
    <w:p w14:paraId="6933491D" w14:textId="3CDBD51A" w:rsidR="004E04E1" w:rsidRPr="004525BA" w:rsidRDefault="004E04E1" w:rsidP="004525BA">
      <w:r w:rsidRPr="004525BA">
        <w:t>The SEND Code of Practice groups needs into four broad areas:</w:t>
      </w:r>
    </w:p>
    <w:p w14:paraId="78FEE75B" w14:textId="49AE0DD1" w:rsidR="004E04E1" w:rsidRDefault="004E04E1" w:rsidP="00616074">
      <w:pPr>
        <w:rPr>
          <w:w w:val="105"/>
        </w:rPr>
      </w:pPr>
      <w:r w:rsidRPr="004525BA">
        <w:rPr>
          <w:b/>
          <w:bCs/>
        </w:rPr>
        <w:t>Communication and Interaction</w:t>
      </w:r>
      <w:r w:rsidR="00D209CE">
        <w:t xml:space="preserve">: </w:t>
      </w:r>
      <w:r w:rsidRPr="00616074">
        <w:rPr>
          <w:w w:val="105"/>
        </w:rPr>
        <w:t>This area covers children and young people who have difficulty communicating with others. This can include problems with:</w:t>
      </w:r>
    </w:p>
    <w:p w14:paraId="28063671" w14:textId="746C3F96" w:rsidR="004E04E1" w:rsidRPr="00616074" w:rsidRDefault="004E04E1" w:rsidP="00BF63ED">
      <w:pPr>
        <w:pStyle w:val="ListParagraph"/>
        <w:numPr>
          <w:ilvl w:val="0"/>
          <w:numId w:val="13"/>
        </w:numPr>
        <w:rPr>
          <w:w w:val="105"/>
        </w:rPr>
      </w:pPr>
      <w:r w:rsidRPr="00616074">
        <w:rPr>
          <w:w w:val="105"/>
        </w:rPr>
        <w:t>Understanding what others say</w:t>
      </w:r>
    </w:p>
    <w:p w14:paraId="17B9B230" w14:textId="77D04843" w:rsidR="004E04E1" w:rsidRPr="00616074" w:rsidRDefault="004E04E1" w:rsidP="00BF63ED">
      <w:pPr>
        <w:pStyle w:val="ListParagraph"/>
        <w:numPr>
          <w:ilvl w:val="0"/>
          <w:numId w:val="13"/>
        </w:numPr>
        <w:rPr>
          <w:w w:val="105"/>
        </w:rPr>
      </w:pPr>
      <w:r w:rsidRPr="00616074">
        <w:rPr>
          <w:w w:val="105"/>
        </w:rPr>
        <w:t>Expressing themselves</w:t>
      </w:r>
    </w:p>
    <w:p w14:paraId="316A2FF4" w14:textId="228BC0EE" w:rsidR="004E04E1" w:rsidRPr="00616074" w:rsidRDefault="004E04E1" w:rsidP="00BF63ED">
      <w:pPr>
        <w:pStyle w:val="ListParagraph"/>
        <w:numPr>
          <w:ilvl w:val="0"/>
          <w:numId w:val="13"/>
        </w:numPr>
        <w:rPr>
          <w:w w:val="105"/>
        </w:rPr>
      </w:pPr>
      <w:r w:rsidRPr="00616074">
        <w:rPr>
          <w:w w:val="105"/>
        </w:rPr>
        <w:t>Social communication, such as understanding the rules of conversation or body language</w:t>
      </w:r>
    </w:p>
    <w:p w14:paraId="51BE73E3" w14:textId="77777777" w:rsidR="004E04E1" w:rsidRPr="00616074" w:rsidRDefault="004E04E1" w:rsidP="00616074">
      <w:pPr>
        <w:rPr>
          <w:w w:val="105"/>
        </w:rPr>
      </w:pPr>
      <w:r w:rsidRPr="00616074">
        <w:rPr>
          <w:w w:val="105"/>
        </w:rPr>
        <w:t>It includes conditions such as:</w:t>
      </w:r>
    </w:p>
    <w:p w14:paraId="1270B9EA" w14:textId="66753576" w:rsidR="004E04E1" w:rsidRPr="00616074" w:rsidRDefault="004E04E1" w:rsidP="00BF63ED">
      <w:pPr>
        <w:pStyle w:val="ListParagraph"/>
        <w:numPr>
          <w:ilvl w:val="0"/>
          <w:numId w:val="12"/>
        </w:numPr>
        <w:rPr>
          <w:w w:val="105"/>
        </w:rPr>
      </w:pPr>
      <w:r w:rsidRPr="00616074">
        <w:rPr>
          <w:w w:val="105"/>
        </w:rPr>
        <w:t>Speech, Language and Communication Needs (SLCN)</w:t>
      </w:r>
    </w:p>
    <w:p w14:paraId="33CC4623" w14:textId="3990E940" w:rsidR="004E04E1" w:rsidRPr="00616074" w:rsidRDefault="004E04E1" w:rsidP="00BF63ED">
      <w:pPr>
        <w:pStyle w:val="ListParagraph"/>
        <w:numPr>
          <w:ilvl w:val="0"/>
          <w:numId w:val="12"/>
        </w:numPr>
        <w:rPr>
          <w:w w:val="105"/>
        </w:rPr>
      </w:pPr>
      <w:r w:rsidRPr="00616074">
        <w:rPr>
          <w:w w:val="105"/>
        </w:rPr>
        <w:t>Autism Spectrum Disorder (ASD), including Asperger Syndrome</w:t>
      </w:r>
    </w:p>
    <w:p w14:paraId="2661234D" w14:textId="26FDE2D3" w:rsidR="004E04E1" w:rsidRPr="00616074" w:rsidRDefault="004E04E1" w:rsidP="00616074">
      <w:r w:rsidRPr="004525BA">
        <w:rPr>
          <w:b/>
          <w:bCs/>
        </w:rPr>
        <w:t>Cognition and Learning</w:t>
      </w:r>
      <w:r w:rsidR="00D209CE">
        <w:t xml:space="preserve">: </w:t>
      </w:r>
      <w:r w:rsidRPr="00616074">
        <w:t>Children in this category learn at a slower pace than their peers, even with appropriate differentiation. Their needs can vary widely in severity and may include:</w:t>
      </w:r>
    </w:p>
    <w:p w14:paraId="77941AE2" w14:textId="07511FFC" w:rsidR="004E04E1" w:rsidRPr="00616074" w:rsidRDefault="004E04E1" w:rsidP="00BF63ED">
      <w:pPr>
        <w:pStyle w:val="ListParagraph"/>
        <w:numPr>
          <w:ilvl w:val="0"/>
          <w:numId w:val="11"/>
        </w:numPr>
      </w:pPr>
      <w:r w:rsidRPr="00616074">
        <w:t>M</w:t>
      </w:r>
      <w:r>
        <w:t>ild</w:t>
      </w:r>
      <w:r w:rsidRPr="00616074">
        <w:t xml:space="preserve"> </w:t>
      </w:r>
      <w:r>
        <w:t>l</w:t>
      </w:r>
      <w:r w:rsidRPr="00616074">
        <w:t xml:space="preserve">earning </w:t>
      </w:r>
      <w:r>
        <w:t>d</w:t>
      </w:r>
      <w:r w:rsidRPr="00616074">
        <w:t>ifficulties (MLD)</w:t>
      </w:r>
    </w:p>
    <w:p w14:paraId="07D84F1C" w14:textId="4E44B0F5" w:rsidR="004E04E1" w:rsidRPr="00616074" w:rsidRDefault="004E04E1" w:rsidP="00BF63ED">
      <w:pPr>
        <w:pStyle w:val="ListParagraph"/>
        <w:numPr>
          <w:ilvl w:val="0"/>
          <w:numId w:val="11"/>
        </w:numPr>
      </w:pPr>
      <w:r w:rsidRPr="00616074">
        <w:t xml:space="preserve">Severe </w:t>
      </w:r>
      <w:r>
        <w:t>l</w:t>
      </w:r>
      <w:r w:rsidRPr="00616074">
        <w:t xml:space="preserve">earning </w:t>
      </w:r>
      <w:r>
        <w:t>d</w:t>
      </w:r>
      <w:r w:rsidRPr="00616074">
        <w:t>ifficulties (SLD)</w:t>
      </w:r>
    </w:p>
    <w:p w14:paraId="3DC371BD" w14:textId="722DC006" w:rsidR="004E04E1" w:rsidRPr="00616074" w:rsidRDefault="004E04E1" w:rsidP="00616074">
      <w:r w:rsidRPr="00616074">
        <w:t>It also includes Specific Learning Difficulties (</w:t>
      </w:r>
      <w:proofErr w:type="spellStart"/>
      <w:r w:rsidRPr="00616074">
        <w:t>SpLD</w:t>
      </w:r>
      <w:proofErr w:type="spellEnd"/>
      <w:r w:rsidRPr="00616074">
        <w:t xml:space="preserve">), which affect </w:t>
      </w:r>
      <w:r w:rsidR="006E3D49" w:rsidRPr="00616074">
        <w:t>aspects</w:t>
      </w:r>
      <w:r w:rsidRPr="00616074">
        <w:t xml:space="preserve"> of learning such as:</w:t>
      </w:r>
    </w:p>
    <w:p w14:paraId="0DEF23C6" w14:textId="3C457980" w:rsidR="004E04E1" w:rsidRPr="00616074" w:rsidRDefault="004E04E1" w:rsidP="00BF63ED">
      <w:pPr>
        <w:pStyle w:val="ListParagraph"/>
        <w:numPr>
          <w:ilvl w:val="0"/>
          <w:numId w:val="10"/>
        </w:numPr>
      </w:pPr>
      <w:r w:rsidRPr="00616074">
        <w:t>Dyslexia (reading and spelling)</w:t>
      </w:r>
    </w:p>
    <w:p w14:paraId="2A3C1AAE" w14:textId="5052FCD0" w:rsidR="004E04E1" w:rsidRPr="00616074" w:rsidRDefault="004E04E1" w:rsidP="00BF63ED">
      <w:pPr>
        <w:pStyle w:val="ListParagraph"/>
        <w:numPr>
          <w:ilvl w:val="0"/>
          <w:numId w:val="10"/>
        </w:numPr>
      </w:pPr>
      <w:r w:rsidRPr="00616074">
        <w:t>Dyscalculia (maths)</w:t>
      </w:r>
    </w:p>
    <w:p w14:paraId="5ED83E14" w14:textId="1AB9A52F" w:rsidR="004E04E1" w:rsidRPr="00616074" w:rsidRDefault="004E04E1" w:rsidP="00BF63ED">
      <w:pPr>
        <w:pStyle w:val="ListParagraph"/>
        <w:numPr>
          <w:ilvl w:val="0"/>
          <w:numId w:val="10"/>
        </w:numPr>
      </w:pPr>
      <w:r w:rsidRPr="00616074">
        <w:t>Dyspraxia (coordination and motor skills)</w:t>
      </w:r>
    </w:p>
    <w:p w14:paraId="2C409F0A" w14:textId="6C493E60" w:rsidR="004E04E1" w:rsidRPr="009E73A4" w:rsidRDefault="004E04E1" w:rsidP="00616074">
      <w:pPr>
        <w:rPr>
          <w:b/>
          <w:bCs/>
        </w:rPr>
      </w:pPr>
      <w:r w:rsidRPr="00616074">
        <w:rPr>
          <w:b/>
          <w:bCs/>
        </w:rPr>
        <w:t>Social, Emotional and Mental Health (SEMH)</w:t>
      </w:r>
      <w:r w:rsidR="00D209CE">
        <w:rPr>
          <w:b/>
          <w:bCs/>
        </w:rPr>
        <w:t>:</w:t>
      </w:r>
      <w:r w:rsidR="009E73A4">
        <w:rPr>
          <w:b/>
          <w:bCs/>
        </w:rPr>
        <w:t xml:space="preserve"> </w:t>
      </w:r>
      <w:r w:rsidRPr="00616074">
        <w:t xml:space="preserve">This area covers difficulties in managing emotions, forming relationships, </w:t>
      </w:r>
      <w:r>
        <w:t>and behaviours</w:t>
      </w:r>
      <w:r w:rsidRPr="00616074">
        <w:t>. These can include:</w:t>
      </w:r>
    </w:p>
    <w:p w14:paraId="462206F8" w14:textId="77777777" w:rsidR="004E04E1" w:rsidRPr="00616074" w:rsidRDefault="004E04E1" w:rsidP="00BF63ED">
      <w:pPr>
        <w:pStyle w:val="ListParagraph"/>
        <w:numPr>
          <w:ilvl w:val="0"/>
          <w:numId w:val="9"/>
        </w:numPr>
      </w:pPr>
      <w:r w:rsidRPr="00616074">
        <w:t>Being withdrawn or isolated</w:t>
      </w:r>
    </w:p>
    <w:p w14:paraId="227224BF" w14:textId="77777777" w:rsidR="004E04E1" w:rsidRPr="00616074" w:rsidRDefault="004E04E1" w:rsidP="00BF63ED">
      <w:pPr>
        <w:pStyle w:val="ListParagraph"/>
        <w:numPr>
          <w:ilvl w:val="0"/>
          <w:numId w:val="9"/>
        </w:numPr>
      </w:pPr>
      <w:r w:rsidRPr="00616074">
        <w:lastRenderedPageBreak/>
        <w:t>Displaying challenging or disruptive behaviour</w:t>
      </w:r>
    </w:p>
    <w:p w14:paraId="0FF88643" w14:textId="0C45C873" w:rsidR="004E04E1" w:rsidRPr="00616074" w:rsidRDefault="004E04E1" w:rsidP="00616074">
      <w:r>
        <w:t>The</w:t>
      </w:r>
      <w:r>
        <w:rPr>
          <w:spacing w:val="40"/>
        </w:rPr>
        <w:t xml:space="preserve"> </w:t>
      </w:r>
      <w:r>
        <w:t>code</w:t>
      </w:r>
      <w:r>
        <w:rPr>
          <w:spacing w:val="40"/>
        </w:rPr>
        <w:t xml:space="preserve"> </w:t>
      </w:r>
      <w:r>
        <w:t>states</w:t>
      </w:r>
      <w:r>
        <w:rPr>
          <w:spacing w:val="40"/>
        </w:rPr>
        <w:t xml:space="preserve"> </w:t>
      </w:r>
      <w:r>
        <w:t>these behaviours may reflect underlying mental health difficulties which might include:</w:t>
      </w:r>
    </w:p>
    <w:p w14:paraId="4C4367C5" w14:textId="5F02CBF2" w:rsidR="004E04E1" w:rsidRPr="00616074" w:rsidRDefault="004E04E1" w:rsidP="00BF63ED">
      <w:pPr>
        <w:pStyle w:val="ListParagraph"/>
        <w:numPr>
          <w:ilvl w:val="0"/>
          <w:numId w:val="7"/>
        </w:numPr>
      </w:pPr>
      <w:r w:rsidRPr="00616074">
        <w:t>Anxiety or depression</w:t>
      </w:r>
    </w:p>
    <w:p w14:paraId="50F0C995" w14:textId="0956F4E2" w:rsidR="004E04E1" w:rsidRPr="00616074" w:rsidRDefault="004E04E1" w:rsidP="00BF63ED">
      <w:pPr>
        <w:pStyle w:val="ListParagraph"/>
        <w:numPr>
          <w:ilvl w:val="0"/>
          <w:numId w:val="7"/>
        </w:numPr>
      </w:pPr>
      <w:r w:rsidRPr="00616074">
        <w:t>Self-harming</w:t>
      </w:r>
    </w:p>
    <w:p w14:paraId="40722AE0" w14:textId="67FD4024" w:rsidR="004E04E1" w:rsidRPr="00616074" w:rsidRDefault="004E04E1" w:rsidP="00BF63ED">
      <w:pPr>
        <w:pStyle w:val="ListParagraph"/>
        <w:numPr>
          <w:ilvl w:val="0"/>
          <w:numId w:val="7"/>
        </w:numPr>
      </w:pPr>
      <w:r w:rsidRPr="00616074">
        <w:t>Eating disorders</w:t>
      </w:r>
    </w:p>
    <w:p w14:paraId="76E3B3BB" w14:textId="79928E33" w:rsidR="004E04E1" w:rsidRPr="00616074" w:rsidRDefault="004E04E1" w:rsidP="00BF63ED">
      <w:pPr>
        <w:pStyle w:val="ListParagraph"/>
        <w:numPr>
          <w:ilvl w:val="0"/>
          <w:numId w:val="7"/>
        </w:numPr>
      </w:pPr>
      <w:r>
        <w:t>Substance use</w:t>
      </w:r>
    </w:p>
    <w:p w14:paraId="3B43FAC6" w14:textId="04AF4615" w:rsidR="004E04E1" w:rsidRPr="00616074" w:rsidRDefault="004E04E1" w:rsidP="00E86855">
      <w:r>
        <w:t>Nationally, A</w:t>
      </w:r>
      <w:r w:rsidR="00DA722A">
        <w:t>ttention Deficit Hyperactivity Disorder (</w:t>
      </w:r>
      <w:r>
        <w:t>ADHD</w:t>
      </w:r>
      <w:r w:rsidR="00DA722A">
        <w:t>)</w:t>
      </w:r>
      <w:r>
        <w:t xml:space="preserve"> prevalence in assessment and diagnosis has increased significantly</w:t>
      </w:r>
      <w:bookmarkStart w:id="29" w:name="_Ref205199806"/>
      <w:r>
        <w:rPr>
          <w:rStyle w:val="EndnoteReference"/>
        </w:rPr>
        <w:endnoteReference w:id="8"/>
      </w:r>
      <w:bookmarkEnd w:id="29"/>
      <w:r>
        <w:t>. As a result, an ADHD chapter has been incorporated into this review.</w:t>
      </w:r>
    </w:p>
    <w:p w14:paraId="1E4B6436" w14:textId="7AD0CCAC" w:rsidR="004E04E1" w:rsidRPr="00A42193" w:rsidRDefault="004E04E1" w:rsidP="00616074">
      <w:pPr>
        <w:rPr>
          <w:b/>
          <w:bCs/>
        </w:rPr>
      </w:pPr>
      <w:r w:rsidRPr="00616074">
        <w:rPr>
          <w:b/>
          <w:bCs/>
        </w:rPr>
        <w:t>Sensory and/or Physical Needs</w:t>
      </w:r>
      <w:r w:rsidR="00D209CE">
        <w:rPr>
          <w:b/>
          <w:bCs/>
        </w:rPr>
        <w:t>:</w:t>
      </w:r>
      <w:r w:rsidR="00A42193">
        <w:rPr>
          <w:b/>
          <w:bCs/>
        </w:rPr>
        <w:t xml:space="preserve"> </w:t>
      </w:r>
      <w:r w:rsidRPr="00616074">
        <w:t>This category includes children with physical or sensory impairments that make it harder to access the curriculum or physical environment.</w:t>
      </w:r>
      <w:r>
        <w:t xml:space="preserve"> </w:t>
      </w:r>
      <w:r w:rsidRPr="00616074">
        <w:t>Children may need specialist equipment, adaptations, or ongoing support to participate fully in education.</w:t>
      </w:r>
    </w:p>
    <w:p w14:paraId="1783085C" w14:textId="4D502982" w:rsidR="004E04E1" w:rsidRPr="00616074" w:rsidRDefault="004E04E1" w:rsidP="00616074">
      <w:r w:rsidRPr="00616074">
        <w:t xml:space="preserve"> It can include:</w:t>
      </w:r>
    </w:p>
    <w:p w14:paraId="18E47C0E" w14:textId="711F8EF3" w:rsidR="004E04E1" w:rsidRPr="00616074" w:rsidRDefault="004E04E1" w:rsidP="00BF63ED">
      <w:pPr>
        <w:pStyle w:val="ListParagraph"/>
        <w:numPr>
          <w:ilvl w:val="0"/>
          <w:numId w:val="8"/>
        </w:numPr>
      </w:pPr>
      <w:r w:rsidRPr="00616074">
        <w:t>Visual impairment (VI)</w:t>
      </w:r>
    </w:p>
    <w:p w14:paraId="1077D545" w14:textId="4802F95D" w:rsidR="004E04E1" w:rsidRPr="00616074" w:rsidRDefault="004E04E1" w:rsidP="00BF63ED">
      <w:pPr>
        <w:pStyle w:val="ListParagraph"/>
        <w:numPr>
          <w:ilvl w:val="0"/>
          <w:numId w:val="8"/>
        </w:numPr>
      </w:pPr>
      <w:r w:rsidRPr="00616074">
        <w:t>Hearing impairment (HI)</w:t>
      </w:r>
    </w:p>
    <w:p w14:paraId="603D63AC" w14:textId="5F435942" w:rsidR="004E04E1" w:rsidRPr="00616074" w:rsidRDefault="004E04E1" w:rsidP="00BF63ED">
      <w:pPr>
        <w:pStyle w:val="ListParagraph"/>
        <w:numPr>
          <w:ilvl w:val="0"/>
          <w:numId w:val="8"/>
        </w:numPr>
      </w:pPr>
      <w:r w:rsidRPr="00616074">
        <w:t>Multi-sensory impairment (MSI)</w:t>
      </w:r>
    </w:p>
    <w:p w14:paraId="4FB8A8EE" w14:textId="200BF8E6" w:rsidR="004E04E1" w:rsidRDefault="004E04E1" w:rsidP="00BF63ED">
      <w:pPr>
        <w:pStyle w:val="ListParagraph"/>
        <w:numPr>
          <w:ilvl w:val="0"/>
          <w:numId w:val="8"/>
        </w:numPr>
      </w:pPr>
      <w:r w:rsidRPr="00616074">
        <w:t>Physical Disability (PD) – including conditions that limit mobility, coordination, or access to learning environments</w:t>
      </w:r>
    </w:p>
    <w:p w14:paraId="0499DB54" w14:textId="77777777" w:rsidR="004E04E1" w:rsidRPr="004525BA" w:rsidRDefault="004E04E1" w:rsidP="004525BA">
      <w:r w:rsidRPr="004525BA">
        <w:t>A child may have needs spanning more than one category, and needs may evolve over time. Early identification is vital to avoid compounding or unmet needs.</w:t>
      </w:r>
    </w:p>
    <w:p w14:paraId="0B8C0B1B" w14:textId="0F7FAAEC" w:rsidR="004E04E1" w:rsidRDefault="004E04E1" w:rsidP="00283F27">
      <w:pPr>
        <w:ind w:left="11" w:hanging="11"/>
      </w:pPr>
      <w:r w:rsidRPr="004525BA">
        <w:t xml:space="preserve">Support for children and young people with SEND is delivered via two pathways: </w:t>
      </w:r>
      <w:r w:rsidRPr="004C1997">
        <w:t xml:space="preserve">SEN Support, available within mainstream settings without a formal plan, and Education, Health and Care Plans (EHCPs) for those with more complex need. </w:t>
      </w:r>
      <w:r w:rsidR="00712993">
        <w:t>EHC</w:t>
      </w:r>
      <w:r w:rsidR="00B36E21">
        <w:t>Ps</w:t>
      </w:r>
      <w:r w:rsidRPr="004C1997">
        <w:t xml:space="preserve"> are legally</w:t>
      </w:r>
      <w:r w:rsidRPr="004525BA">
        <w:t xml:space="preserve"> binding and outline a coordinated package of educational, health, and social care provision</w:t>
      </w:r>
      <w:r>
        <w:t>s</w:t>
      </w:r>
      <w:r w:rsidRPr="004525BA">
        <w:t>.</w:t>
      </w:r>
    </w:p>
    <w:p w14:paraId="41B47CDE" w14:textId="7F578EC7" w:rsidR="000E1454" w:rsidRDefault="00001771" w:rsidP="00283F27">
      <w:pPr>
        <w:ind w:left="11" w:hanging="11"/>
      </w:pPr>
      <w:r w:rsidRPr="00001771">
        <w:t xml:space="preserve">In this document, </w:t>
      </w:r>
      <w:r w:rsidRPr="00001771">
        <w:rPr>
          <w:i/>
          <w:iCs/>
        </w:rPr>
        <w:t>primary need</w:t>
      </w:r>
      <w:r w:rsidRPr="00001771">
        <w:t xml:space="preserve"> refers to the main category of difficulty identified for a child or young person (e.g. </w:t>
      </w:r>
      <w:proofErr w:type="gramStart"/>
      <w:r w:rsidRPr="00001771">
        <w:t>Autism Spectrum Disorder</w:t>
      </w:r>
      <w:proofErr w:type="gramEnd"/>
      <w:r w:rsidRPr="00001771">
        <w:t xml:space="preserve">), while </w:t>
      </w:r>
      <w:r w:rsidRPr="00001771">
        <w:rPr>
          <w:i/>
          <w:iCs/>
        </w:rPr>
        <w:t>secondary need</w:t>
      </w:r>
      <w:r w:rsidRPr="00001771">
        <w:t xml:space="preserve"> refers to additional areas of difficulty that may coexist but are not the primary reason for support.</w:t>
      </w:r>
    </w:p>
    <w:p w14:paraId="1692B85E" w14:textId="50946B66" w:rsidR="004E04E1" w:rsidRPr="0022368C" w:rsidRDefault="004E04E1" w:rsidP="00C907EB">
      <w:pPr>
        <w:pStyle w:val="Heading3"/>
        <w:rPr>
          <w:color w:val="006B70"/>
        </w:rPr>
      </w:pPr>
      <w:bookmarkStart w:id="30" w:name="_Toc205386867"/>
      <w:bookmarkStart w:id="31" w:name="_Toc205387937"/>
      <w:bookmarkStart w:id="32" w:name="_Toc205445948"/>
      <w:r w:rsidRPr="0022368C">
        <w:rPr>
          <w:color w:val="006B70"/>
        </w:rPr>
        <w:t>Disability Models</w:t>
      </w:r>
      <w:bookmarkEnd w:id="30"/>
      <w:bookmarkEnd w:id="31"/>
      <w:bookmarkEnd w:id="32"/>
    </w:p>
    <w:p w14:paraId="316BF53C" w14:textId="1C319F8A" w:rsidR="004E04E1" w:rsidRPr="0054454A" w:rsidRDefault="004E04E1" w:rsidP="0054454A">
      <w:pPr>
        <w:rPr>
          <w:lang w:eastAsia="en-US"/>
        </w:rPr>
      </w:pPr>
      <w:r w:rsidRPr="0054454A">
        <w:rPr>
          <w:lang w:eastAsia="en-US"/>
        </w:rPr>
        <w:t xml:space="preserve">Attitudes towards disability shape how individuals behave towards </w:t>
      </w:r>
      <w:r w:rsidRPr="0054454A">
        <w:t>people living with disabilities. These attitudes can then</w:t>
      </w:r>
      <w:r w:rsidRPr="0054454A">
        <w:rPr>
          <w:lang w:eastAsia="en-US"/>
        </w:rPr>
        <w:t xml:space="preserve"> influence opportunities, treatment, and ability </w:t>
      </w:r>
      <w:r w:rsidRPr="0054454A">
        <w:t xml:space="preserve">for people living with disabilities </w:t>
      </w:r>
      <w:r w:rsidRPr="0054454A">
        <w:rPr>
          <w:lang w:eastAsia="en-US"/>
        </w:rPr>
        <w:t>to participate fully in society. These attitudes are often informed by underlying beliefs about the nature of disability itself.</w:t>
      </w:r>
    </w:p>
    <w:p w14:paraId="15ABC7B4" w14:textId="63B25540" w:rsidR="004E04E1" w:rsidRPr="001704BB" w:rsidRDefault="004E04E1" w:rsidP="0054454A">
      <w:pPr>
        <w:rPr>
          <w:lang w:eastAsia="en-US"/>
        </w:rPr>
      </w:pPr>
      <w:r w:rsidRPr="001704BB">
        <w:rPr>
          <w:lang w:eastAsia="en-US"/>
        </w:rPr>
        <w:t>Disability is commonly understood through two primary conceptual frameworks: the Medical Model and the Social Model</w:t>
      </w:r>
      <w:r w:rsidR="00780CB7">
        <w:rPr>
          <w:lang w:eastAsia="en-US"/>
        </w:rPr>
        <w:t>:</w:t>
      </w:r>
    </w:p>
    <w:p w14:paraId="4764A167" w14:textId="4560169A" w:rsidR="004E04E1" w:rsidRPr="00FD0393" w:rsidRDefault="004E04E1" w:rsidP="00BF63ED">
      <w:pPr>
        <w:pStyle w:val="ListParagraph"/>
        <w:numPr>
          <w:ilvl w:val="0"/>
          <w:numId w:val="16"/>
        </w:numPr>
      </w:pPr>
      <w:r w:rsidRPr="00FD0393">
        <w:lastRenderedPageBreak/>
        <w:t xml:space="preserve">The </w:t>
      </w:r>
      <w:r w:rsidRPr="00FD0393">
        <w:rPr>
          <w:b/>
          <w:bCs/>
        </w:rPr>
        <w:t>Medical Model</w:t>
      </w:r>
      <w:r w:rsidRPr="00FD0393">
        <w:t xml:space="preserve"> </w:t>
      </w:r>
      <w:r w:rsidR="00054D4C">
        <w:t>views</w:t>
      </w:r>
      <w:r w:rsidRPr="00FD0393">
        <w:t xml:space="preserve"> disability primarily </w:t>
      </w:r>
      <w:proofErr w:type="gramStart"/>
      <w:r w:rsidRPr="00FD0393">
        <w:t xml:space="preserve">as </w:t>
      </w:r>
      <w:r w:rsidR="00054D4C">
        <w:t xml:space="preserve">a result </w:t>
      </w:r>
      <w:r w:rsidRPr="00FD0393">
        <w:t>of</w:t>
      </w:r>
      <w:proofErr w:type="gramEnd"/>
      <w:r w:rsidRPr="00FD0393">
        <w:t xml:space="preserve"> an individual's physical or mental impairments</w:t>
      </w:r>
      <w:r w:rsidR="00054D4C">
        <w:t>. It emphasis</w:t>
      </w:r>
      <w:r w:rsidR="00ED1AB4">
        <w:t>es</w:t>
      </w:r>
      <w:r w:rsidR="00054D4C">
        <w:t xml:space="preserve"> diagnosis, treatment </w:t>
      </w:r>
      <w:r w:rsidR="000E2B54">
        <w:t>and</w:t>
      </w:r>
      <w:r w:rsidRPr="00FD0393">
        <w:t xml:space="preserve"> care</w:t>
      </w:r>
      <w:r w:rsidR="000E2B54">
        <w:t xml:space="preserve">, placing the source of </w:t>
      </w:r>
      <w:r w:rsidRPr="00FD0393">
        <w:t xml:space="preserve">problem within the </w:t>
      </w:r>
      <w:r w:rsidR="000E2B54">
        <w:t xml:space="preserve">individual, rather than considering the influence of environmental or social factors. </w:t>
      </w:r>
    </w:p>
    <w:p w14:paraId="7A90D40A" w14:textId="42B32C24" w:rsidR="004E04E1" w:rsidRPr="00FD0393" w:rsidRDefault="004E04E1" w:rsidP="00BF63ED">
      <w:pPr>
        <w:pStyle w:val="ListParagraph"/>
        <w:numPr>
          <w:ilvl w:val="0"/>
          <w:numId w:val="16"/>
        </w:numPr>
      </w:pPr>
      <w:r w:rsidRPr="00FD0393">
        <w:t xml:space="preserve">The </w:t>
      </w:r>
      <w:r w:rsidRPr="00FD0393">
        <w:rPr>
          <w:b/>
          <w:bCs/>
        </w:rPr>
        <w:t>Social Model</w:t>
      </w:r>
      <w:r w:rsidRPr="00FD0393">
        <w:t xml:space="preserve">, in contrast, understands disability as the result of social, environmental, and attitudinal barriers that restrict participation and inclusion. </w:t>
      </w:r>
    </w:p>
    <w:p w14:paraId="4CC20108" w14:textId="71F8744E" w:rsidR="004E04E1" w:rsidRPr="001704BB" w:rsidRDefault="004E04E1" w:rsidP="0054454A">
      <w:pPr>
        <w:rPr>
          <w:lang w:eastAsia="en-US"/>
        </w:rPr>
      </w:pPr>
      <w:r w:rsidRPr="001704BB">
        <w:rPr>
          <w:lang w:eastAsia="en-US"/>
        </w:rPr>
        <w:t xml:space="preserve">This JSNA adopts the Social Model of disability, in line with the approach recommended by the Government Equalities </w:t>
      </w:r>
      <w:r w:rsidRPr="00AB255D">
        <w:rPr>
          <w:lang w:eastAsia="en-US"/>
        </w:rPr>
        <w:t>Office (now part of the Equality Hub under the Department</w:t>
      </w:r>
      <w:r w:rsidRPr="001704BB">
        <w:rPr>
          <w:lang w:eastAsia="en-US"/>
        </w:rPr>
        <w:t xml:space="preserve"> for Education) in 2014</w:t>
      </w:r>
      <w:r>
        <w:rPr>
          <w:rStyle w:val="EndnoteReference"/>
          <w:lang w:eastAsia="en-US"/>
        </w:rPr>
        <w:endnoteReference w:id="9"/>
      </w:r>
      <w:r w:rsidRPr="001704BB">
        <w:rPr>
          <w:lang w:eastAsia="en-US"/>
        </w:rPr>
        <w:t xml:space="preserve">. The Office </w:t>
      </w:r>
      <w:r w:rsidRPr="00224D04">
        <w:rPr>
          <w:lang w:eastAsia="en-US"/>
        </w:rPr>
        <w:t>recommended that all government departments adopt the Social Model in their engagement with people</w:t>
      </w:r>
      <w:r w:rsidR="000A02AE">
        <w:rPr>
          <w:lang w:eastAsia="en-US"/>
        </w:rPr>
        <w:t xml:space="preserve"> who have</w:t>
      </w:r>
      <w:r w:rsidR="000A02AE" w:rsidRPr="000A02AE">
        <w:rPr>
          <w:lang w:eastAsia="en-US"/>
        </w:rPr>
        <w:t xml:space="preserve"> </w:t>
      </w:r>
      <w:r w:rsidR="000A02AE">
        <w:rPr>
          <w:lang w:eastAsia="en-US"/>
        </w:rPr>
        <w:t>disabilities</w:t>
      </w:r>
      <w:r w:rsidRPr="00224D04">
        <w:rPr>
          <w:lang w:eastAsia="en-US"/>
        </w:rPr>
        <w:t>, acknowledging that removing barriers, rather than ‘fixing’ individuals, is key to enabling full societal participation.</w:t>
      </w:r>
    </w:p>
    <w:p w14:paraId="52AE9125" w14:textId="254A77F1" w:rsidR="004E04E1" w:rsidRPr="00584FE1" w:rsidRDefault="004E04E1" w:rsidP="00C907EB">
      <w:pPr>
        <w:pStyle w:val="Heading3"/>
        <w:rPr>
          <w:color w:val="006B70"/>
        </w:rPr>
      </w:pPr>
      <w:bookmarkStart w:id="33" w:name="_Toc205386868"/>
      <w:bookmarkStart w:id="34" w:name="_Toc205387938"/>
      <w:bookmarkStart w:id="35" w:name="_Toc205445949"/>
      <w:r w:rsidRPr="00584FE1">
        <w:rPr>
          <w:color w:val="006B70"/>
        </w:rPr>
        <w:t>National legislation and guidance</w:t>
      </w:r>
      <w:bookmarkEnd w:id="33"/>
      <w:bookmarkEnd w:id="34"/>
      <w:bookmarkEnd w:id="35"/>
    </w:p>
    <w:p w14:paraId="2C78F63B" w14:textId="53F3A079" w:rsidR="004E04E1" w:rsidRPr="006C1ED1" w:rsidRDefault="004E04E1" w:rsidP="006C1ED1">
      <w:r w:rsidRPr="002C331A">
        <w:t xml:space="preserve">The development of the </w:t>
      </w:r>
      <w:r>
        <w:t xml:space="preserve">approach to </w:t>
      </w:r>
      <w:r w:rsidRPr="002C331A">
        <w:t>SEND</w:t>
      </w:r>
      <w:r w:rsidRPr="006C1ED1">
        <w:t xml:space="preserve"> has been shaped by </w:t>
      </w:r>
      <w:proofErr w:type="gramStart"/>
      <w:r w:rsidRPr="006C1ED1">
        <w:t>a number of</w:t>
      </w:r>
      <w:proofErr w:type="gramEnd"/>
      <w:r w:rsidRPr="006C1ED1">
        <w:t xml:space="preserve"> key legislative and policy documents. These set out the statutory duties and responsibilities of local authorities, schools, and other agencies in identifying, assessing, and supporting children and young people with SEND.</w:t>
      </w:r>
    </w:p>
    <w:p w14:paraId="378AFA5E" w14:textId="6F15921E" w:rsidR="004E04E1" w:rsidRPr="006C1ED1" w:rsidRDefault="004E04E1" w:rsidP="006C1ED1">
      <w:r w:rsidRPr="006C1ED1">
        <w:t xml:space="preserve">The framework reflects a shift towards inclusive education, early intervention, and person-centred support, and is underpinned by principles of equality, participation, and </w:t>
      </w:r>
      <w:r w:rsidR="00457A16" w:rsidRPr="006C1ED1">
        <w:t>joined up</w:t>
      </w:r>
      <w:r w:rsidRPr="006C1ED1">
        <w:t xml:space="preserve"> working across education, health, and social care.</w:t>
      </w:r>
    </w:p>
    <w:p w14:paraId="281B78B7" w14:textId="6BC93BBC" w:rsidR="004E04E1" w:rsidRDefault="004E04E1" w:rsidP="0054454A">
      <w:r w:rsidRPr="006C1ED1">
        <w:t>Below is a non-exhaustive list of significant national legislation and policy documents that have influenced the current SEND system in England.</w:t>
      </w:r>
    </w:p>
    <w:p w14:paraId="6CE9DC14" w14:textId="6CF59AA9" w:rsidR="004E04E1" w:rsidRPr="00B7335C" w:rsidRDefault="004E04E1" w:rsidP="00B7335C">
      <w:pPr>
        <w:pStyle w:val="ListParagraph"/>
      </w:pPr>
      <w:r w:rsidRPr="00B7335C">
        <w:rPr>
          <w:b/>
          <w:bCs/>
        </w:rPr>
        <w:t>Education Act 1981</w:t>
      </w:r>
      <w:r>
        <w:rPr>
          <w:rStyle w:val="EndnoteReference"/>
          <w:b/>
          <w:bCs/>
        </w:rPr>
        <w:endnoteReference w:id="10"/>
      </w:r>
      <w:r w:rsidRPr="00B7335C">
        <w:rPr>
          <w:b/>
          <w:bCs/>
        </w:rPr>
        <w:t>:</w:t>
      </w:r>
      <w:r w:rsidRPr="00B7335C">
        <w:t xml:space="preserve"> This was the first major piece of legislation in the UK to formally recognise and define special educational needs. It required Local Education Authorities (LEAs) to identify, assess, and make provisions for children with SEN. The Act introduced the concept of statements of SEN, which later evolved into EHCPs under the 2014 reforms.</w:t>
      </w:r>
    </w:p>
    <w:p w14:paraId="1CFDA159" w14:textId="178330E1" w:rsidR="004E04E1" w:rsidRPr="00B7335C" w:rsidRDefault="004E04E1" w:rsidP="00B7335C">
      <w:pPr>
        <w:pStyle w:val="ListParagraph"/>
      </w:pPr>
      <w:r w:rsidRPr="00B7335C">
        <w:rPr>
          <w:b/>
          <w:bCs/>
        </w:rPr>
        <w:t>Every Child Matters 2003</w:t>
      </w:r>
      <w:r>
        <w:rPr>
          <w:rStyle w:val="EndnoteReference"/>
          <w:b/>
          <w:bCs/>
        </w:rPr>
        <w:endnoteReference w:id="11"/>
      </w:r>
      <w:r w:rsidRPr="00B7335C">
        <w:rPr>
          <w:b/>
          <w:bCs/>
        </w:rPr>
        <w:t>:</w:t>
      </w:r>
      <w:r w:rsidRPr="00B7335C">
        <w:t xml:space="preserve"> A landmark governmental initiative following the Laming Report into the death of Victoria Climbié. It aimed to improve outcomes for all children and young people (aged 0–19), with a focus on five key outcomes: being healthy, staying safe, enjoying and achieving, making a positive contribution, and achieving economic well-being. While not legislation, it strongly influenced the direction of inclusive education and multi-agency working.</w:t>
      </w:r>
    </w:p>
    <w:p w14:paraId="75D483E4" w14:textId="0FD0F9FC" w:rsidR="004E04E1" w:rsidRPr="00B7335C" w:rsidRDefault="004E04E1" w:rsidP="00B7335C">
      <w:pPr>
        <w:pStyle w:val="ListParagraph"/>
      </w:pPr>
      <w:r w:rsidRPr="00B7335C">
        <w:rPr>
          <w:b/>
          <w:bCs/>
        </w:rPr>
        <w:t>The Equality Act 2010</w:t>
      </w:r>
      <w:r w:rsidR="0094116E">
        <w:rPr>
          <w:rStyle w:val="EndnoteReference"/>
          <w:b/>
          <w:bCs/>
        </w:rPr>
        <w:fldChar w:fldCharType="begin"/>
      </w:r>
      <w:r w:rsidR="0094116E">
        <w:rPr>
          <w:rStyle w:val="EndnoteReference"/>
          <w:b/>
          <w:bCs/>
        </w:rPr>
        <w:instrText xml:space="preserve"> NOTEREF  _Ref205191496 \f \h </w:instrText>
      </w:r>
      <w:r w:rsidR="0094116E">
        <w:rPr>
          <w:rStyle w:val="EndnoteReference"/>
          <w:b/>
          <w:bCs/>
        </w:rPr>
      </w:r>
      <w:r w:rsidR="0094116E">
        <w:rPr>
          <w:rStyle w:val="EndnoteReference"/>
          <w:b/>
          <w:bCs/>
        </w:rPr>
        <w:fldChar w:fldCharType="separate"/>
      </w:r>
      <w:r w:rsidR="008722C4" w:rsidRPr="008722C4">
        <w:rPr>
          <w:rStyle w:val="EndnoteReference"/>
        </w:rPr>
        <w:t>7</w:t>
      </w:r>
      <w:r w:rsidR="0094116E">
        <w:rPr>
          <w:rStyle w:val="EndnoteReference"/>
          <w:b/>
          <w:bCs/>
        </w:rPr>
        <w:fldChar w:fldCharType="end"/>
      </w:r>
      <w:r w:rsidRPr="00B7335C">
        <w:rPr>
          <w:b/>
          <w:bCs/>
        </w:rPr>
        <w:t>:</w:t>
      </w:r>
      <w:r w:rsidRPr="00B7335C">
        <w:t xml:space="preserve"> This consolidated and strengthened previous anti-discrimination laws, providing legal protection for individuals with disabilities, including those with SEN, against direct and indirect discrimination, harassment, and victimisation in education, employment, and wider society. </w:t>
      </w:r>
    </w:p>
    <w:p w14:paraId="1ED1795A" w14:textId="2B5B2D73" w:rsidR="004E04E1" w:rsidRPr="00B7335C" w:rsidRDefault="004E04E1" w:rsidP="00B7335C">
      <w:pPr>
        <w:pStyle w:val="ListParagraph"/>
      </w:pPr>
      <w:r w:rsidRPr="00B7335C">
        <w:rPr>
          <w:b/>
          <w:bCs/>
        </w:rPr>
        <w:t>Children and Families Act 2014</w:t>
      </w:r>
      <w:r>
        <w:rPr>
          <w:rStyle w:val="EndnoteReference"/>
          <w:b/>
          <w:bCs/>
        </w:rPr>
        <w:endnoteReference w:id="12"/>
      </w:r>
      <w:r w:rsidRPr="00B7335C">
        <w:rPr>
          <w:b/>
          <w:bCs/>
        </w:rPr>
        <w:t>:</w:t>
      </w:r>
      <w:r w:rsidRPr="00B7335C">
        <w:t xml:space="preserve"> A pivotal reform of the SEND system in England. It introduced EHC</w:t>
      </w:r>
      <w:r w:rsidR="009C4F8D">
        <w:t xml:space="preserve">Ps </w:t>
      </w:r>
      <w:r w:rsidRPr="00B7335C">
        <w:t xml:space="preserve">to replace statements of SEN and extended statutory support to young people up to age 25. The Act placed duties on local authorities to work jointly with health and social care partners, and to identify all children and young people who have or may have SEN or disabilities. It </w:t>
      </w:r>
      <w:r w:rsidR="00AF4190">
        <w:t>placed an emphasis on</w:t>
      </w:r>
      <w:r w:rsidRPr="00B7335C">
        <w:t xml:space="preserve"> person-centred planning and family engagement</w:t>
      </w:r>
      <w:r w:rsidR="00AF4190">
        <w:t>.</w:t>
      </w:r>
    </w:p>
    <w:p w14:paraId="77D14BA7" w14:textId="7334DC83" w:rsidR="004E04E1" w:rsidRPr="00B7335C" w:rsidRDefault="004E04E1" w:rsidP="00B7335C">
      <w:pPr>
        <w:pStyle w:val="ListParagraph"/>
      </w:pPr>
      <w:r w:rsidRPr="00AF42E2">
        <w:rPr>
          <w:b/>
          <w:bCs/>
        </w:rPr>
        <w:lastRenderedPageBreak/>
        <w:t>SEND Code of Practice: 0-25 Years 2015</w:t>
      </w:r>
      <w:r w:rsidR="00B46177">
        <w:rPr>
          <w:rStyle w:val="EndnoteReference"/>
          <w:b/>
          <w:bCs/>
        </w:rPr>
        <w:fldChar w:fldCharType="begin"/>
      </w:r>
      <w:r w:rsidR="00B46177">
        <w:rPr>
          <w:rStyle w:val="EndnoteReference"/>
          <w:b/>
          <w:bCs/>
        </w:rPr>
        <w:instrText xml:space="preserve"> NOTEREF  _Ref205190196 \f \h </w:instrText>
      </w:r>
      <w:r w:rsidR="00B46177">
        <w:rPr>
          <w:rStyle w:val="EndnoteReference"/>
          <w:b/>
          <w:bCs/>
        </w:rPr>
      </w:r>
      <w:r w:rsidR="00B46177">
        <w:rPr>
          <w:rStyle w:val="EndnoteReference"/>
          <w:b/>
          <w:bCs/>
        </w:rPr>
        <w:fldChar w:fldCharType="separate"/>
      </w:r>
      <w:r w:rsidR="008722C4" w:rsidRPr="008722C4">
        <w:rPr>
          <w:rStyle w:val="EndnoteReference"/>
        </w:rPr>
        <w:t>1</w:t>
      </w:r>
      <w:r w:rsidR="00B46177">
        <w:rPr>
          <w:rStyle w:val="EndnoteReference"/>
          <w:b/>
          <w:bCs/>
        </w:rPr>
        <w:fldChar w:fldCharType="end"/>
      </w:r>
      <w:r w:rsidRPr="00AF42E2">
        <w:rPr>
          <w:b/>
          <w:bCs/>
        </w:rPr>
        <w:t>:</w:t>
      </w:r>
      <w:r>
        <w:t xml:space="preserve"> </w:t>
      </w:r>
      <w:r w:rsidRPr="00B7335C">
        <w:t>Statutory guidance issued under the Children and Families Act 2014</w:t>
      </w:r>
      <w:r w:rsidR="00192416">
        <w:t xml:space="preserve"> s</w:t>
      </w:r>
      <w:r w:rsidRPr="00B7335C">
        <w:t>ets out the duties of local authorities, schools, early years providers, and other professionals in identifying, assessing, and supporting children and young people with SEND. The Code highlights the importance of early identification, high-quality teaching, and co-production with families and young people.</w:t>
      </w:r>
    </w:p>
    <w:p w14:paraId="51535F10" w14:textId="3BB148EA" w:rsidR="004E04E1" w:rsidRPr="00283F27" w:rsidRDefault="004E04E1" w:rsidP="00283F27">
      <w:pPr>
        <w:pStyle w:val="ListParagraph"/>
      </w:pPr>
      <w:r w:rsidRPr="00AF42E2">
        <w:rPr>
          <w:b/>
          <w:bCs/>
        </w:rPr>
        <w:t>SEND and AP Green Paper: “SEND Review</w:t>
      </w:r>
      <w:r w:rsidRPr="002651AC">
        <w:rPr>
          <w:b/>
        </w:rPr>
        <w:t>: Right Support, Right Place, Right Time” 2022</w:t>
      </w:r>
      <w:r>
        <w:rPr>
          <w:rStyle w:val="EndnoteReference"/>
          <w:b/>
          <w:bCs/>
        </w:rPr>
        <w:endnoteReference w:id="13"/>
      </w:r>
      <w:r w:rsidRPr="002651AC">
        <w:rPr>
          <w:b/>
        </w:rPr>
        <w:t>:</w:t>
      </w:r>
      <w:r w:rsidRPr="00283F27">
        <w:t xml:space="preserve"> This policy consultation paper was launched in response to growing concerns about inconsistency, inefficiency, and delays in the SEND system. It proposes reforms to ensure earlier identification of need, clearer national standards, stronger accountability, and better alignment between mainstream, special, and alternative provision (AP). The green paper forms part of an ongoing reform process.</w:t>
      </w:r>
    </w:p>
    <w:p w14:paraId="3F1A12A3" w14:textId="22B4BA52" w:rsidR="004E04E1" w:rsidRPr="006C1ED1" w:rsidRDefault="004E04E1" w:rsidP="006C1ED1">
      <w:r w:rsidRPr="006C1ED1">
        <w:t xml:space="preserve">In addition to legislation, the National Institute for Health and Care Excellence (NICE) provides </w:t>
      </w:r>
      <w:r w:rsidR="00AC1118" w:rsidRPr="006C1ED1">
        <w:t>several</w:t>
      </w:r>
      <w:r w:rsidRPr="006C1ED1">
        <w:t xml:space="preserve"> evidence-based guidelines relevant to the care and support of children and young people with SEND. These guidelines provide best-practice recommendations for professionals across health, education, and social care, and cover topics such as:</w:t>
      </w:r>
    </w:p>
    <w:p w14:paraId="1AFE87F4" w14:textId="239326AC" w:rsidR="004E04E1" w:rsidRDefault="004E04E1" w:rsidP="00BF63ED">
      <w:pPr>
        <w:pStyle w:val="ListParagraph"/>
        <w:numPr>
          <w:ilvl w:val="0"/>
          <w:numId w:val="52"/>
        </w:numPr>
      </w:pPr>
      <w:r w:rsidRPr="0023106F">
        <w:rPr>
          <w:b/>
          <w:bCs/>
        </w:rPr>
        <w:t>Autism spectrum disorder in under 19s: support and management – NICE guideline [NG170] (2021)</w:t>
      </w:r>
      <w:bookmarkStart w:id="36" w:name="_Ref205198371"/>
      <w:r>
        <w:rPr>
          <w:rStyle w:val="EndnoteReference"/>
          <w:b/>
          <w:bCs/>
        </w:rPr>
        <w:endnoteReference w:id="14"/>
      </w:r>
      <w:bookmarkEnd w:id="36"/>
      <w:r>
        <w:t xml:space="preserve">: </w:t>
      </w:r>
      <w:r w:rsidRPr="009477F7">
        <w:t>This guideline covers the recognition, referral, diagnosis, and management of autism in children and young people under 19. It promotes early identification, multidisciplinary assessment, and tailored interventions, including support for communication, behaviour, and education.</w:t>
      </w:r>
    </w:p>
    <w:p w14:paraId="38B8FCCC" w14:textId="7BD10C3D" w:rsidR="004E04E1" w:rsidRDefault="004E04E1" w:rsidP="00BF63ED">
      <w:pPr>
        <w:pStyle w:val="ListParagraph"/>
        <w:numPr>
          <w:ilvl w:val="0"/>
          <w:numId w:val="52"/>
        </w:numPr>
      </w:pPr>
      <w:r w:rsidRPr="0023106F">
        <w:rPr>
          <w:b/>
          <w:bCs/>
        </w:rPr>
        <w:t xml:space="preserve">Attention deficit hyperactivity </w:t>
      </w:r>
      <w:r w:rsidR="0023106F" w:rsidRPr="0023106F">
        <w:rPr>
          <w:b/>
          <w:bCs/>
        </w:rPr>
        <w:t>disorder (ADHD)</w:t>
      </w:r>
      <w:r w:rsidRPr="0023106F">
        <w:rPr>
          <w:b/>
          <w:bCs/>
        </w:rPr>
        <w:t>: diagnosis and management – NICE guideline [NG87] (2018, updated 2023)</w:t>
      </w:r>
      <w:r>
        <w:rPr>
          <w:rStyle w:val="EndnoteReference"/>
          <w:b/>
          <w:bCs/>
        </w:rPr>
        <w:endnoteReference w:id="15"/>
      </w:r>
      <w:r>
        <w:t xml:space="preserve">: </w:t>
      </w:r>
      <w:r w:rsidRPr="009477F7">
        <w:t>This guideline provides evidence-based recommendations on the diagnosis and management of ADHD in children, young people</w:t>
      </w:r>
      <w:r w:rsidR="004053A5">
        <w:t xml:space="preserve"> </w:t>
      </w:r>
      <w:r w:rsidRPr="009477F7">
        <w:t>and adults. It covers clinical assessment, pharmacological and non-pharmacological interventions, and support in education, social care, and family contexts.</w:t>
      </w:r>
    </w:p>
    <w:p w14:paraId="43DB283A" w14:textId="2897D093" w:rsidR="004E04E1" w:rsidRDefault="004E04E1" w:rsidP="00BF63ED">
      <w:pPr>
        <w:pStyle w:val="ListParagraph"/>
        <w:numPr>
          <w:ilvl w:val="0"/>
          <w:numId w:val="52"/>
        </w:numPr>
      </w:pPr>
      <w:r w:rsidRPr="0023106F">
        <w:rPr>
          <w:b/>
          <w:bCs/>
        </w:rPr>
        <w:t>Learning disabilities and behaviour that challenges: service design and delivery – NICE guideline [NG93] (2018)</w:t>
      </w:r>
      <w:r>
        <w:rPr>
          <w:rStyle w:val="EndnoteReference"/>
          <w:b/>
          <w:bCs/>
        </w:rPr>
        <w:endnoteReference w:id="16"/>
      </w:r>
      <w:r w:rsidRPr="0023106F">
        <w:rPr>
          <w:b/>
          <w:bCs/>
        </w:rPr>
        <w:t xml:space="preserve">: </w:t>
      </w:r>
      <w:r w:rsidRPr="009477F7">
        <w:t>This guideline focuses on services for people with a learning disability and behaviours that challenge, including children and young people. It outlines principles for person-centred planning, early intervention, and collaborative working across health, education, and care settings.</w:t>
      </w:r>
    </w:p>
    <w:p w14:paraId="1E458D89" w14:textId="02C5E449" w:rsidR="004E04E1" w:rsidRDefault="004E04E1" w:rsidP="00BF63ED">
      <w:pPr>
        <w:pStyle w:val="ListParagraph"/>
        <w:numPr>
          <w:ilvl w:val="0"/>
          <w:numId w:val="52"/>
        </w:numPr>
      </w:pPr>
      <w:r w:rsidRPr="0023106F">
        <w:rPr>
          <w:b/>
          <w:bCs/>
        </w:rPr>
        <w:t>Social and emotional wellbeing in primary education – NICE public health guideline [PH12] (2008)</w:t>
      </w:r>
      <w:r>
        <w:t xml:space="preserve"> </w:t>
      </w:r>
      <w:r w:rsidRPr="006C1ED1">
        <w:t>and</w:t>
      </w:r>
      <w:r>
        <w:t xml:space="preserve"> </w:t>
      </w:r>
      <w:r w:rsidRPr="0023106F">
        <w:rPr>
          <w:b/>
          <w:bCs/>
        </w:rPr>
        <w:t>Social and emotional wellbeing in secondary education – NICE public health guideline [PH20] (2009)</w:t>
      </w:r>
      <w:r>
        <w:rPr>
          <w:rStyle w:val="EndnoteReference"/>
          <w:b/>
          <w:bCs/>
        </w:rPr>
        <w:endnoteReference w:id="17"/>
      </w:r>
      <w:r>
        <w:t xml:space="preserve">: </w:t>
      </w:r>
      <w:r w:rsidRPr="009477F7">
        <w:t xml:space="preserve">These guidelines promote social and emotional wellbeing in schools by recommending whole-school approaches, including positive behaviour policies, staff training, and targeted interventions. While not SEND-specific, they are relevant for preventing emotional and behavioural difficulties, particularly for those at-risk.  </w:t>
      </w:r>
    </w:p>
    <w:p w14:paraId="132C6AA9" w14:textId="09F3C5DB" w:rsidR="004E04E1" w:rsidRDefault="004E04E1" w:rsidP="00BF63ED">
      <w:pPr>
        <w:pStyle w:val="ListParagraph"/>
        <w:numPr>
          <w:ilvl w:val="0"/>
          <w:numId w:val="52"/>
        </w:numPr>
      </w:pPr>
      <w:r w:rsidRPr="0023106F">
        <w:rPr>
          <w:b/>
          <w:bCs/>
        </w:rPr>
        <w:t>Developmental follow-up of children and young people born preterm – NICE guideline [NG72] (2017)</w:t>
      </w:r>
      <w:r>
        <w:rPr>
          <w:rStyle w:val="EndnoteReference"/>
        </w:rPr>
        <w:endnoteReference w:id="18"/>
      </w:r>
      <w:r>
        <w:t xml:space="preserve">: </w:t>
      </w:r>
      <w:r w:rsidRPr="009477F7">
        <w:t>This guidance addresses the long-term developmental needs of preterm infants. It provides recommendations for monitoring to identify and respond early to potential cognitive, behavioural, or physical developments, many of which overlap with SEND.</w:t>
      </w:r>
    </w:p>
    <w:p w14:paraId="3EECC057" w14:textId="3AC64F19" w:rsidR="004E04E1" w:rsidRPr="006C1ED1" w:rsidRDefault="004E04E1" w:rsidP="00BF63ED">
      <w:pPr>
        <w:pStyle w:val="ListParagraph"/>
        <w:numPr>
          <w:ilvl w:val="0"/>
          <w:numId w:val="52"/>
        </w:numPr>
      </w:pPr>
      <w:r w:rsidRPr="0023106F">
        <w:rPr>
          <w:b/>
          <w:bCs/>
        </w:rPr>
        <w:lastRenderedPageBreak/>
        <w:t>Mental health problems in people with learning disabilities: prevention, assessment and management – NICE guideline [NG54] (2016)</w:t>
      </w:r>
      <w:r>
        <w:rPr>
          <w:rStyle w:val="EndnoteReference"/>
          <w:b/>
          <w:bCs/>
        </w:rPr>
        <w:endnoteReference w:id="19"/>
      </w:r>
      <w:r>
        <w:t xml:space="preserve">: </w:t>
      </w:r>
      <w:r w:rsidRPr="006C1ED1">
        <w:t>T</w:t>
      </w:r>
      <w:r w:rsidRPr="009477F7">
        <w:t>his guideline provides a framework for recognising, assessing, and treating mental health conditions in people with a learning disability, including children and young people. It supports a person-centred, holistic approach, and emphasises making reasonable adjustments in healthcare and education.</w:t>
      </w:r>
    </w:p>
    <w:p w14:paraId="0E0314FB" w14:textId="0F63B4FA" w:rsidR="004E04E1" w:rsidRDefault="004E04E1" w:rsidP="006F043D">
      <w:r w:rsidRPr="006C1ED1">
        <w:t>NICE guidelines are not legally binding, but they are widely recognised as authoritative standards that inform commissioning, service delivery, and quality assurance across the system.</w:t>
      </w:r>
    </w:p>
    <w:p w14:paraId="2748A12D" w14:textId="5095AD17" w:rsidR="004E04E1" w:rsidRPr="0022368C" w:rsidRDefault="004E04E1" w:rsidP="00C907EB">
      <w:pPr>
        <w:pStyle w:val="Heading3"/>
        <w:rPr>
          <w:color w:val="006B70"/>
        </w:rPr>
      </w:pPr>
      <w:bookmarkStart w:id="37" w:name="_Toc205386869"/>
      <w:bookmarkStart w:id="38" w:name="_Toc205387939"/>
      <w:bookmarkStart w:id="39" w:name="_Toc205445950"/>
      <w:r w:rsidRPr="0022368C">
        <w:rPr>
          <w:color w:val="006B70"/>
        </w:rPr>
        <w:t>Local Strategies</w:t>
      </w:r>
      <w:bookmarkEnd w:id="37"/>
      <w:bookmarkEnd w:id="38"/>
      <w:bookmarkEnd w:id="39"/>
    </w:p>
    <w:p w14:paraId="0BAD1A41" w14:textId="54EC360E" w:rsidR="004E04E1" w:rsidRDefault="004E04E1" w:rsidP="00650A56">
      <w:r w:rsidRPr="007D0E09">
        <w:t>Tower Hamlets has developed a range of local strategies aimed at improving outcomes for children and young people with Special Educational Needs and Disabilities (SEND). These strategies align with national policy and are shaped by local priorities, data, and lived experiences. Together, they provide a framework for delivering coordinated, inclusive, and effective support across education, health, and care services.</w:t>
      </w:r>
    </w:p>
    <w:p w14:paraId="4D6D7443" w14:textId="6DE98A48" w:rsidR="004E04E1" w:rsidRDefault="004E04E1">
      <w:pPr>
        <w:spacing w:line="278" w:lineRule="auto"/>
        <w:jc w:val="left"/>
      </w:pPr>
      <w:bookmarkStart w:id="40" w:name="_Toc197008159"/>
      <w:r w:rsidRPr="000838A4">
        <w:rPr>
          <w:b/>
          <w:bCs/>
        </w:rPr>
        <w:t>Tower Hamlets Special Educational Needs, Disabilities and Inclusion Strategy 2024-29</w:t>
      </w:r>
      <w:r w:rsidRPr="001E1DF0">
        <w:rPr>
          <w:b/>
          <w:bCs/>
          <w:vertAlign w:val="superscript"/>
        </w:rPr>
        <w:fldChar w:fldCharType="begin"/>
      </w:r>
      <w:r w:rsidRPr="001E1DF0">
        <w:rPr>
          <w:b/>
          <w:bCs/>
          <w:vertAlign w:val="superscript"/>
        </w:rPr>
        <w:instrText xml:space="preserve"> NOTEREF _Ref204367603 \h </w:instrText>
      </w:r>
      <w:r>
        <w:rPr>
          <w:b/>
          <w:bCs/>
          <w:vertAlign w:val="superscript"/>
        </w:rPr>
        <w:instrText xml:space="preserve"> \* MERGEFORMAT </w:instrText>
      </w:r>
      <w:r w:rsidRPr="001E1DF0">
        <w:rPr>
          <w:b/>
          <w:bCs/>
          <w:vertAlign w:val="superscript"/>
        </w:rPr>
      </w:r>
      <w:r w:rsidRPr="001E1DF0">
        <w:rPr>
          <w:b/>
          <w:bCs/>
          <w:vertAlign w:val="superscript"/>
        </w:rPr>
        <w:fldChar w:fldCharType="separate"/>
      </w:r>
      <w:r w:rsidR="008722C4">
        <w:rPr>
          <w:b/>
          <w:bCs/>
          <w:vertAlign w:val="superscript"/>
        </w:rPr>
        <w:t>2</w:t>
      </w:r>
      <w:r w:rsidRPr="001E1DF0">
        <w:rPr>
          <w:b/>
          <w:bCs/>
          <w:vertAlign w:val="superscript"/>
        </w:rPr>
        <w:fldChar w:fldCharType="end"/>
      </w:r>
      <w:r w:rsidRPr="000838A4">
        <w:rPr>
          <w:b/>
          <w:bCs/>
        </w:rPr>
        <w:t>:</w:t>
      </w:r>
      <w:r>
        <w:t xml:space="preserve"> This strategy outlines the boroughs approach to supporting children and young people with SEND. I</w:t>
      </w:r>
      <w:r w:rsidRPr="007D0E09">
        <w:t>t presents the evidence base and consultation feedback that informed its development, highlighting key data trends and a co-produced vision. The strategy focuses on building an inclusive, coordinated, and supportive local system and identifies six priorities:</w:t>
      </w:r>
    </w:p>
    <w:p w14:paraId="36A93049" w14:textId="13E7B1EE" w:rsidR="004E04E1" w:rsidRPr="00A658C1" w:rsidRDefault="004E04E1" w:rsidP="00A658C1">
      <w:pPr>
        <w:pStyle w:val="ListParagraph"/>
      </w:pPr>
      <w:r w:rsidRPr="00A658C1">
        <w:t>Timely, effective and well-coordinated support for children and young people with SEND.</w:t>
      </w:r>
    </w:p>
    <w:p w14:paraId="6DB7C33E" w14:textId="3AA1A8D7" w:rsidR="004E04E1" w:rsidRPr="00A658C1" w:rsidRDefault="004E04E1" w:rsidP="00A658C1">
      <w:pPr>
        <w:pStyle w:val="ListParagraph"/>
      </w:pPr>
      <w:r w:rsidRPr="00A658C1">
        <w:t>User-friendly services for children and young people with SEND and their families.</w:t>
      </w:r>
    </w:p>
    <w:p w14:paraId="01AD1B98" w14:textId="66D70E7A" w:rsidR="004E04E1" w:rsidRPr="00A658C1" w:rsidRDefault="004E04E1" w:rsidP="00A658C1">
      <w:pPr>
        <w:pStyle w:val="ListParagraph"/>
      </w:pPr>
      <w:r w:rsidRPr="00A658C1">
        <w:t>Early identification and support for the under-fives.</w:t>
      </w:r>
    </w:p>
    <w:p w14:paraId="77ACD064" w14:textId="63535E5F" w:rsidR="004E04E1" w:rsidRPr="00A658C1" w:rsidRDefault="004E04E1" w:rsidP="00A658C1">
      <w:pPr>
        <w:pStyle w:val="ListParagraph"/>
      </w:pPr>
      <w:r w:rsidRPr="00A658C1">
        <w:t>Effective education and support for school-age children with SEND and additional needs.</w:t>
      </w:r>
    </w:p>
    <w:p w14:paraId="304CEEFD" w14:textId="10584C9D" w:rsidR="004E04E1" w:rsidRPr="00A658C1" w:rsidRDefault="004E04E1" w:rsidP="00A658C1">
      <w:pPr>
        <w:pStyle w:val="ListParagraph"/>
      </w:pPr>
      <w:r w:rsidRPr="00A658C1">
        <w:t>Opportunities and support for young adults with SEND and additional needs.</w:t>
      </w:r>
    </w:p>
    <w:p w14:paraId="628E7586" w14:textId="267FDE4E" w:rsidR="004E04E1" w:rsidRPr="00A658C1" w:rsidRDefault="004E04E1" w:rsidP="00A658C1">
      <w:pPr>
        <w:pStyle w:val="ListParagraph"/>
      </w:pPr>
      <w:r w:rsidRPr="00A658C1">
        <w:t>Children and young people with SEND and neurodiversity are valued, celebrated and supported to thrive.</w:t>
      </w:r>
    </w:p>
    <w:p w14:paraId="2E06619C" w14:textId="37C56239" w:rsidR="004E04E1" w:rsidRPr="00F12CDB" w:rsidRDefault="004E04E1" w:rsidP="00A658C1">
      <w:r>
        <w:rPr>
          <w:b/>
        </w:rPr>
        <w:t xml:space="preserve">TH_IS </w:t>
      </w:r>
      <w:r w:rsidRPr="00F12CDB">
        <w:rPr>
          <w:b/>
        </w:rPr>
        <w:t>Accelerate! Strategy (2024 -2029)</w:t>
      </w:r>
      <w:r>
        <w:rPr>
          <w:rStyle w:val="EndnoteReference"/>
          <w:b/>
        </w:rPr>
        <w:endnoteReference w:id="20"/>
      </w:r>
      <w:r w:rsidRPr="00F12CDB">
        <w:rPr>
          <w:b/>
        </w:rPr>
        <w:t xml:space="preserve">: </w:t>
      </w:r>
      <w:r w:rsidRPr="00F12CDB">
        <w:t>The Accelerate! Strategy is a six-year plan developed by the Tower Hamlets Children and Families Partnership. It outlines eight key ambitions co-produced with children, young people, families, and partners, and acts as a strategic vehicle for delivering improvements in child and family outcomes. It places a strong emphasis on equity, early intervention, and partnership working.</w:t>
      </w:r>
    </w:p>
    <w:p w14:paraId="26B3CEE5" w14:textId="735BB71B" w:rsidR="004E04E1" w:rsidRPr="00F12CDB" w:rsidRDefault="004E04E1" w:rsidP="00A658C1">
      <w:r w:rsidRPr="00F12CDB">
        <w:rPr>
          <w:b/>
        </w:rPr>
        <w:t>Tower Hamlets Early Help Strategy 2023-</w:t>
      </w:r>
      <w:r w:rsidRPr="00141587">
        <w:rPr>
          <w:b/>
        </w:rPr>
        <w:t>2025</w:t>
      </w:r>
      <w:r>
        <w:rPr>
          <w:rStyle w:val="EndnoteReference"/>
        </w:rPr>
        <w:endnoteReference w:id="21"/>
      </w:r>
      <w:r w:rsidRPr="00F12CDB">
        <w:t>: This strategy outlines a collaborative, locality-based approach via Family Hubs to provide early, coordinated support to families before issues escalate. Co-produced with families and partners, it focuses on improving child and maternal health, education, employment, wellbeing, and safety. The strategy sets shared outcomes, guiding principles (e.g., relational, trauma-informed practice), and eight key priorities to build an integrated workforce and streamlined pathways. Governance is led by a new Early Help Partnership Board, which will track progress through a Quality Assurance Framework and active stakeholder feedback.</w:t>
      </w:r>
    </w:p>
    <w:p w14:paraId="58D5E46C" w14:textId="27507B7B" w:rsidR="004E04E1" w:rsidRPr="00F12CDB" w:rsidRDefault="004E04E1" w:rsidP="00A658C1">
      <w:pPr>
        <w:rPr>
          <w:spacing w:val="-2"/>
        </w:rPr>
      </w:pPr>
      <w:r w:rsidRPr="00F12CDB">
        <w:rPr>
          <w:b/>
        </w:rPr>
        <w:lastRenderedPageBreak/>
        <w:t>Tower</w:t>
      </w:r>
      <w:r w:rsidRPr="00F12CDB">
        <w:rPr>
          <w:b/>
          <w:spacing w:val="40"/>
        </w:rPr>
        <w:t xml:space="preserve"> </w:t>
      </w:r>
      <w:r w:rsidRPr="00F12CDB">
        <w:rPr>
          <w:b/>
        </w:rPr>
        <w:t>Hamlets</w:t>
      </w:r>
      <w:r w:rsidRPr="00F12CDB">
        <w:rPr>
          <w:b/>
          <w:spacing w:val="40"/>
        </w:rPr>
        <w:t xml:space="preserve"> </w:t>
      </w:r>
      <w:r w:rsidRPr="00F12CDB">
        <w:rPr>
          <w:b/>
        </w:rPr>
        <w:t>Health</w:t>
      </w:r>
      <w:r w:rsidRPr="00F12CDB">
        <w:rPr>
          <w:b/>
          <w:spacing w:val="40"/>
        </w:rPr>
        <w:t xml:space="preserve"> </w:t>
      </w:r>
      <w:r w:rsidRPr="00F12CDB">
        <w:rPr>
          <w:b/>
        </w:rPr>
        <w:t>and Wellbeing</w:t>
      </w:r>
      <w:r w:rsidRPr="00F12CDB">
        <w:rPr>
          <w:b/>
          <w:spacing w:val="40"/>
        </w:rPr>
        <w:t xml:space="preserve"> </w:t>
      </w:r>
      <w:r w:rsidRPr="00F12CDB">
        <w:rPr>
          <w:b/>
        </w:rPr>
        <w:t>Strategy</w:t>
      </w:r>
      <w:r w:rsidRPr="00F12CDB">
        <w:rPr>
          <w:b/>
          <w:spacing w:val="40"/>
        </w:rPr>
        <w:t xml:space="preserve"> </w:t>
      </w:r>
      <w:r w:rsidRPr="00F12CDB">
        <w:rPr>
          <w:b/>
        </w:rPr>
        <w:t>(2021-2025)</w:t>
      </w:r>
      <w:r>
        <w:rPr>
          <w:rStyle w:val="EndnoteReference"/>
          <w:b/>
        </w:rPr>
        <w:endnoteReference w:id="22"/>
      </w:r>
      <w:r w:rsidRPr="00F12CDB">
        <w:rPr>
          <w:b/>
        </w:rPr>
        <w:t>:</w:t>
      </w:r>
      <w:r w:rsidRPr="00F12CDB">
        <w:rPr>
          <w:b/>
          <w:spacing w:val="40"/>
        </w:rPr>
        <w:t xml:space="preserve"> </w:t>
      </w:r>
      <w:r w:rsidRPr="00F12CDB">
        <w:t>This strategy focuses on improving population health and reducing inequalities. A key priority is giving every child the best start in life, which includes improving outcomes for children with SEND. The strategy promotes early intervention, integrated working across services, and addressing the wider determinants of health that impact children’s development and well-being.</w:t>
      </w:r>
    </w:p>
    <w:p w14:paraId="1D7430DA" w14:textId="431402EF" w:rsidR="004E04E1" w:rsidRPr="00F12CDB" w:rsidRDefault="004E04E1" w:rsidP="00A658C1">
      <w:r w:rsidRPr="00F12CDB">
        <w:rPr>
          <w:b/>
        </w:rPr>
        <w:t>Youth</w:t>
      </w:r>
      <w:r w:rsidRPr="00F12CDB">
        <w:rPr>
          <w:b/>
          <w:spacing w:val="-2"/>
        </w:rPr>
        <w:t xml:space="preserve"> </w:t>
      </w:r>
      <w:r w:rsidRPr="00F12CDB">
        <w:rPr>
          <w:b/>
        </w:rPr>
        <w:t>Justice Plan</w:t>
      </w:r>
      <w:r w:rsidRPr="00F12CDB">
        <w:rPr>
          <w:b/>
          <w:spacing w:val="-2"/>
        </w:rPr>
        <w:t xml:space="preserve"> </w:t>
      </w:r>
      <w:r w:rsidRPr="00F12CDB">
        <w:rPr>
          <w:b/>
        </w:rPr>
        <w:t>(2023-2025)</w:t>
      </w:r>
      <w:r>
        <w:rPr>
          <w:rStyle w:val="EndnoteReference"/>
          <w:b/>
        </w:rPr>
        <w:endnoteReference w:id="23"/>
      </w:r>
      <w:r w:rsidRPr="00F12CDB">
        <w:rPr>
          <w:b/>
        </w:rPr>
        <w:t xml:space="preserve">: </w:t>
      </w:r>
      <w:r w:rsidRPr="00F12CDB">
        <w:t>Developed collaboratively with young people, professionals, and strategic partners, this plan outlines Tower Hamlets’ approach to youth justice. It focuses on four cross-cutting themes: adopting a "Child First" approach, improving practice standards, expanding access to health services, and increasing participation in education, employment, and training. The plan aligns closely with other local strategies to ensure joined-up support for young people, including those with SEND.</w:t>
      </w:r>
    </w:p>
    <w:p w14:paraId="4A6F0874" w14:textId="33C4EB6C" w:rsidR="001241E8" w:rsidRDefault="004E04E1" w:rsidP="00A658C1">
      <w:r w:rsidRPr="00F12CDB">
        <w:rPr>
          <w:b/>
        </w:rPr>
        <w:t>Tower Hamlets Local Offer</w:t>
      </w:r>
      <w:r>
        <w:rPr>
          <w:rStyle w:val="EndnoteReference"/>
          <w:b/>
        </w:rPr>
        <w:endnoteReference w:id="24"/>
      </w:r>
      <w:r w:rsidRPr="00F12CDB">
        <w:rPr>
          <w:b/>
        </w:rPr>
        <w:t xml:space="preserve">: </w:t>
      </w:r>
      <w:r w:rsidRPr="00F12CDB">
        <w:t>In line with the Children and Families Act 2014, Tower Hamlets publishes a Local Offer, that sets out the education, health, and care services available for children and young people with SEND. This helps families understanding what support is available locally and how to access it.</w:t>
      </w:r>
    </w:p>
    <w:p w14:paraId="1339CEA1" w14:textId="035F6F71" w:rsidR="004D3938" w:rsidRPr="00584FE1" w:rsidRDefault="00FF062D" w:rsidP="0087158A">
      <w:pPr>
        <w:pStyle w:val="Heading3"/>
        <w:rPr>
          <w:color w:val="006B70"/>
        </w:rPr>
      </w:pPr>
      <w:r w:rsidRPr="00584FE1">
        <w:rPr>
          <w:color w:val="006B70"/>
        </w:rPr>
        <w:t>Care Quality Commission – SEND Inspection</w:t>
      </w:r>
      <w:r w:rsidR="00D438A6" w:rsidRPr="00584FE1">
        <w:rPr>
          <w:color w:val="006B70"/>
        </w:rPr>
        <w:t xml:space="preserve"> Summary</w:t>
      </w:r>
      <w:r w:rsidRPr="00584FE1">
        <w:rPr>
          <w:color w:val="006B70"/>
        </w:rPr>
        <w:t xml:space="preserve"> </w:t>
      </w:r>
      <w:r w:rsidR="0087158A" w:rsidRPr="00584FE1">
        <w:rPr>
          <w:color w:val="006B70"/>
        </w:rPr>
        <w:t>(2025)</w:t>
      </w:r>
    </w:p>
    <w:p w14:paraId="6892D8A9" w14:textId="3AE9068E" w:rsidR="004977B7" w:rsidRDefault="0087158A" w:rsidP="0087158A">
      <w:r>
        <w:t>At the time th</w:t>
      </w:r>
      <w:r w:rsidR="00F618A1">
        <w:t xml:space="preserve">is needs assessment was undertaken, Tower Hamlets </w:t>
      </w:r>
      <w:r w:rsidR="001247C5">
        <w:t xml:space="preserve">were inspected by the Care Quality </w:t>
      </w:r>
      <w:r w:rsidR="00AB1ED8">
        <w:t>Commission</w:t>
      </w:r>
      <w:r w:rsidR="001247C5">
        <w:t xml:space="preserve"> (CQC)</w:t>
      </w:r>
      <w:r w:rsidR="001E25CA">
        <w:t xml:space="preserve">. This ran in </w:t>
      </w:r>
      <w:r w:rsidR="00AB1ED8">
        <w:t>parallel</w:t>
      </w:r>
      <w:r w:rsidR="001E25CA">
        <w:t xml:space="preserve"> to but in isolation of the JSNA. </w:t>
      </w:r>
      <w:r w:rsidR="00A67DF5">
        <w:t xml:space="preserve">The CQC assessment report was issued August 2025. </w:t>
      </w:r>
    </w:p>
    <w:p w14:paraId="359C8D0C" w14:textId="3BE5FBE8" w:rsidR="004977B7" w:rsidRDefault="004977B7" w:rsidP="0087158A">
      <w:r>
        <w:t xml:space="preserve">The report indicated that since the last inspection, provision for children and young people with SEND in Tower Hamlets has improved, but experiences remain inconsistent. </w:t>
      </w:r>
      <w:r w:rsidR="00AA2884">
        <w:t xml:space="preserve">Progress was </w:t>
      </w:r>
      <w:r w:rsidR="00AB1ED8">
        <w:t>evident</w:t>
      </w:r>
      <w:r w:rsidR="00AA2884">
        <w:t xml:space="preserve"> in co-production with children and young people, early years</w:t>
      </w:r>
      <w:r w:rsidR="00CC069C">
        <w:t xml:space="preserve">, alternative provisions and partnership working. </w:t>
      </w:r>
      <w:r w:rsidR="003D2A17">
        <w:t>However, delays,</w:t>
      </w:r>
      <w:r w:rsidR="00CC069C">
        <w:t xml:space="preserve"> inconsistencies in </w:t>
      </w:r>
      <w:r w:rsidR="00F7519A">
        <w:t>EHCP</w:t>
      </w:r>
      <w:r w:rsidR="00CC069C">
        <w:t>s, gaps in transition support for older youth</w:t>
      </w:r>
      <w:r w:rsidR="003D2A17">
        <w:t xml:space="preserve">s </w:t>
      </w:r>
      <w:r w:rsidR="00CC069C">
        <w:t xml:space="preserve">and </w:t>
      </w:r>
      <w:r w:rsidR="003D2A17">
        <w:t>continued challenges with the speech and language provision for school-aged children require improvement.</w:t>
      </w:r>
    </w:p>
    <w:p w14:paraId="6D740BF5" w14:textId="395C7382" w:rsidR="00CB79DB" w:rsidRDefault="00352E76" w:rsidP="0031406A">
      <w:r>
        <w:t xml:space="preserve">It highlighted </w:t>
      </w:r>
      <w:r w:rsidR="00CB79DB">
        <w:t xml:space="preserve">a variety of areas the Tower Hamlets SEND Partnership is doing well within the borough </w:t>
      </w:r>
      <w:r w:rsidR="0031406A">
        <w:t>including:</w:t>
      </w:r>
    </w:p>
    <w:p w14:paraId="5AB2C0CB" w14:textId="61A6438D" w:rsidR="0031406A" w:rsidRDefault="00B65D7D" w:rsidP="00BF63ED">
      <w:pPr>
        <w:pStyle w:val="ListParagraph"/>
        <w:numPr>
          <w:ilvl w:val="0"/>
          <w:numId w:val="56"/>
        </w:numPr>
      </w:pPr>
      <w:r>
        <w:t>Ambitious</w:t>
      </w:r>
      <w:r w:rsidR="0031406A">
        <w:t xml:space="preserve"> leaders with a clear SEND strategy </w:t>
      </w:r>
      <w:r w:rsidR="00305143">
        <w:t>which provides</w:t>
      </w:r>
      <w:r w:rsidR="00090687">
        <w:t xml:space="preserve"> effective governance and accountability, with</w:t>
      </w:r>
      <w:r w:rsidR="00305143">
        <w:t xml:space="preserve"> noted</w:t>
      </w:r>
      <w:r w:rsidR="00090687">
        <w:t xml:space="preserve"> improvements made on previous inspections.</w:t>
      </w:r>
    </w:p>
    <w:p w14:paraId="18F4F19D" w14:textId="16FD84F9" w:rsidR="00090687" w:rsidRDefault="00090687" w:rsidP="00BF63ED">
      <w:pPr>
        <w:pStyle w:val="ListParagraph"/>
        <w:numPr>
          <w:ilvl w:val="0"/>
          <w:numId w:val="56"/>
        </w:numPr>
      </w:pPr>
      <w:r>
        <w:t xml:space="preserve">A positive relationship with Parent Forums with parents influencing </w:t>
      </w:r>
      <w:r w:rsidR="00BD1A72">
        <w:t>commissioning and strategy</w:t>
      </w:r>
      <w:r w:rsidR="00DE119C">
        <w:t xml:space="preserve">, with </w:t>
      </w:r>
      <w:r w:rsidR="00BD1A72">
        <w:t>leaders learning from complaints.</w:t>
      </w:r>
    </w:p>
    <w:p w14:paraId="439FAA49" w14:textId="0425C540" w:rsidR="00BD1A72" w:rsidRDefault="00BD1A72" w:rsidP="00BF63ED">
      <w:pPr>
        <w:pStyle w:val="ListParagraph"/>
        <w:numPr>
          <w:ilvl w:val="0"/>
          <w:numId w:val="56"/>
        </w:numPr>
      </w:pPr>
      <w:r>
        <w:t>Prompt referrals and effective support for children with complex needs</w:t>
      </w:r>
      <w:r w:rsidR="00305143">
        <w:t xml:space="preserve"> were h</w:t>
      </w:r>
      <w:r>
        <w:t xml:space="preserve">ighlighted within early </w:t>
      </w:r>
      <w:r w:rsidR="00DE119C">
        <w:t>identification</w:t>
      </w:r>
      <w:r>
        <w:t xml:space="preserve"> and care.</w:t>
      </w:r>
    </w:p>
    <w:p w14:paraId="3DC688E4" w14:textId="65C48D4A" w:rsidR="002067FE" w:rsidRDefault="002067FE" w:rsidP="00BF63ED">
      <w:pPr>
        <w:pStyle w:val="ListParagraph"/>
        <w:numPr>
          <w:ilvl w:val="0"/>
          <w:numId w:val="56"/>
        </w:numPr>
      </w:pPr>
      <w:r>
        <w:t xml:space="preserve">A comprehensive Healthy Child Programme with close work between health professionals and family hubs, specialist nurses and </w:t>
      </w:r>
      <w:r w:rsidR="00E0214C">
        <w:t>GPs</w:t>
      </w:r>
      <w:r>
        <w:t>.</w:t>
      </w:r>
    </w:p>
    <w:p w14:paraId="62A0DA7C" w14:textId="606B5694" w:rsidR="009B710C" w:rsidRDefault="009B710C" w:rsidP="00BF63ED">
      <w:pPr>
        <w:pStyle w:val="ListParagraph"/>
        <w:numPr>
          <w:ilvl w:val="0"/>
          <w:numId w:val="56"/>
        </w:numPr>
      </w:pPr>
      <w:r>
        <w:t>Broad emotional wellbeing support was clear, with CAMHS risk assessment / signposting and crisis teams available for urgent needs</w:t>
      </w:r>
      <w:r w:rsidR="004657A1">
        <w:t>.</w:t>
      </w:r>
    </w:p>
    <w:p w14:paraId="46616058" w14:textId="6E9D1191" w:rsidR="004657A1" w:rsidRDefault="004657A1" w:rsidP="004657A1">
      <w:r>
        <w:lastRenderedPageBreak/>
        <w:t>Overall, l</w:t>
      </w:r>
      <w:r w:rsidRPr="004657A1">
        <w:t xml:space="preserve">eaders, practitioners and services are working effectively together, with strong early help, health, therapies, mental health and inclusive education support, underpinned by </w:t>
      </w:r>
      <w:r w:rsidR="00FA7726">
        <w:t xml:space="preserve">an </w:t>
      </w:r>
      <w:r w:rsidRPr="004657A1">
        <w:t>ambitious strategy and genuine parent partnership.</w:t>
      </w:r>
    </w:p>
    <w:p w14:paraId="7BFFEE55" w14:textId="1BCEB9EB" w:rsidR="004977B7" w:rsidRDefault="00B65D7D" w:rsidP="0087158A">
      <w:r>
        <w:t xml:space="preserve">The report also indicated </w:t>
      </w:r>
      <w:r w:rsidR="00FA7726">
        <w:t>several</w:t>
      </w:r>
      <w:r>
        <w:t xml:space="preserve"> areas for improvement</w:t>
      </w:r>
      <w:r w:rsidR="00C21FB2">
        <w:t xml:space="preserve"> highlighting:</w:t>
      </w:r>
    </w:p>
    <w:p w14:paraId="2A169DA8" w14:textId="4DD0910B" w:rsidR="00B65D7D" w:rsidRDefault="00C21FB2" w:rsidP="00BF63ED">
      <w:pPr>
        <w:pStyle w:val="ListParagraph"/>
        <w:numPr>
          <w:ilvl w:val="0"/>
          <w:numId w:val="57"/>
        </w:numPr>
      </w:pPr>
      <w:r>
        <w:t xml:space="preserve">A lack of coordinated approach for learning disability </w:t>
      </w:r>
      <w:r w:rsidR="00E0214C">
        <w:t>diagnosis</w:t>
      </w:r>
      <w:r>
        <w:t xml:space="preserve"> with some young people missing annual health checks limiting access to service and benefits</w:t>
      </w:r>
      <w:r w:rsidR="00E0214C">
        <w:t>.</w:t>
      </w:r>
    </w:p>
    <w:p w14:paraId="1C88B3D0" w14:textId="36613156" w:rsidR="00C21FB2" w:rsidRDefault="00E56E1B" w:rsidP="00BF63ED">
      <w:pPr>
        <w:pStyle w:val="ListParagraph"/>
        <w:numPr>
          <w:ilvl w:val="0"/>
          <w:numId w:val="57"/>
        </w:numPr>
      </w:pPr>
      <w:r>
        <w:t>EH</w:t>
      </w:r>
      <w:r w:rsidR="00AF5313">
        <w:t>C</w:t>
      </w:r>
      <w:r w:rsidR="0072700A">
        <w:t>Ps</w:t>
      </w:r>
      <w:r>
        <w:t xml:space="preserve">/reviews are not used consistently, </w:t>
      </w:r>
      <w:r w:rsidR="002316BA">
        <w:t xml:space="preserve">with timeliness and quality still inconsistent. </w:t>
      </w:r>
    </w:p>
    <w:p w14:paraId="721BD156" w14:textId="4F93E102" w:rsidR="002316BA" w:rsidRDefault="002316BA" w:rsidP="00BF63ED">
      <w:pPr>
        <w:pStyle w:val="ListParagraph"/>
        <w:numPr>
          <w:ilvl w:val="0"/>
          <w:numId w:val="57"/>
        </w:numPr>
      </w:pPr>
      <w:r>
        <w:t>Too few families know about or use the local offer</w:t>
      </w:r>
      <w:r w:rsidR="0038262A">
        <w:t xml:space="preserve"> that is available.</w:t>
      </w:r>
    </w:p>
    <w:p w14:paraId="697866D6" w14:textId="46777F3A" w:rsidR="0038262A" w:rsidRDefault="0038262A" w:rsidP="00BF63ED">
      <w:pPr>
        <w:pStyle w:val="ListParagraph"/>
        <w:numPr>
          <w:ilvl w:val="0"/>
          <w:numId w:val="57"/>
        </w:numPr>
      </w:pPr>
      <w:r>
        <w:t>Delays in equipment provision and unsuitable housing still affect some children and families.</w:t>
      </w:r>
    </w:p>
    <w:p w14:paraId="741FBDC7" w14:textId="49AE7673" w:rsidR="0038262A" w:rsidRDefault="00D35B84" w:rsidP="0038262A">
      <w:r>
        <w:t xml:space="preserve">Overall, it emphasised that improvements were needed </w:t>
      </w:r>
      <w:r w:rsidRPr="00D35B84">
        <w:t xml:space="preserve">in diagnosis, </w:t>
      </w:r>
      <w:r>
        <w:t>preparation for adulthoo</w:t>
      </w:r>
      <w:r w:rsidR="00305155">
        <w:t>d</w:t>
      </w:r>
      <w:r w:rsidRPr="00D35B84">
        <w:t xml:space="preserve">, </w:t>
      </w:r>
      <w:r w:rsidR="00F7519A">
        <w:t>EHCP</w:t>
      </w:r>
      <w:r w:rsidRPr="00D35B84">
        <w:t xml:space="preserve"> timeliness/quality, communication, staff expertis</w:t>
      </w:r>
      <w:r w:rsidR="00305155">
        <w:t xml:space="preserve">e </w:t>
      </w:r>
      <w:r w:rsidRPr="00D35B84">
        <w:t>and practical support to ensure children and young people consistently get the right help at the right time.</w:t>
      </w:r>
    </w:p>
    <w:p w14:paraId="173A860B" w14:textId="70AEEC69" w:rsidR="00E66FC4" w:rsidRDefault="002F46F8" w:rsidP="00184DB0">
      <w:r>
        <w:t xml:space="preserve">These observations led to a series of areas of </w:t>
      </w:r>
      <w:r w:rsidR="00BB602A">
        <w:t>improvement</w:t>
      </w:r>
      <w:r>
        <w:t xml:space="preserve"> </w:t>
      </w:r>
      <w:r w:rsidR="00184DB0">
        <w:t>which are summarised below:</w:t>
      </w:r>
    </w:p>
    <w:p w14:paraId="02E9BA41" w14:textId="4502FB2F" w:rsidR="000F4414" w:rsidRPr="000F4414" w:rsidRDefault="00F7519A" w:rsidP="006642AC">
      <w:pPr>
        <w:pStyle w:val="ListParagraph"/>
        <w:numPr>
          <w:ilvl w:val="0"/>
          <w:numId w:val="58"/>
        </w:numPr>
      </w:pPr>
      <w:r>
        <w:rPr>
          <w:b/>
          <w:bCs/>
        </w:rPr>
        <w:t>EHCP</w:t>
      </w:r>
      <w:r w:rsidR="000F4414" w:rsidRPr="006642AC">
        <w:rPr>
          <w:b/>
          <w:bCs/>
        </w:rPr>
        <w:t xml:space="preserve">s </w:t>
      </w:r>
      <w:r w:rsidR="00B63C6D" w:rsidRPr="006642AC">
        <w:rPr>
          <w:b/>
          <w:bCs/>
        </w:rPr>
        <w:t>and</w:t>
      </w:r>
      <w:r w:rsidR="000F4414" w:rsidRPr="006642AC">
        <w:rPr>
          <w:b/>
          <w:bCs/>
        </w:rPr>
        <w:t xml:space="preserve"> </w:t>
      </w:r>
      <w:r w:rsidR="00BF63ED" w:rsidRPr="006642AC">
        <w:rPr>
          <w:b/>
          <w:bCs/>
        </w:rPr>
        <w:t>preparation for adulthood</w:t>
      </w:r>
      <w:r w:rsidR="000F4414" w:rsidRPr="000F4414">
        <w:t>: Plans should be timely, accurate, up to date, and accessible to all relevant practitioners, with earlier and better planning from Year 9.</w:t>
      </w:r>
    </w:p>
    <w:p w14:paraId="5B9AFCF2" w14:textId="3B8C3164" w:rsidR="000F4414" w:rsidRPr="000F4414" w:rsidRDefault="000F4414" w:rsidP="006642AC">
      <w:pPr>
        <w:pStyle w:val="ListParagraph"/>
        <w:numPr>
          <w:ilvl w:val="0"/>
          <w:numId w:val="58"/>
        </w:numPr>
      </w:pPr>
      <w:r w:rsidRPr="006642AC">
        <w:rPr>
          <w:b/>
          <w:bCs/>
        </w:rPr>
        <w:t xml:space="preserve">Transitions </w:t>
      </w:r>
      <w:r w:rsidR="00B63C6D" w:rsidRPr="006642AC">
        <w:rPr>
          <w:b/>
          <w:bCs/>
        </w:rPr>
        <w:t>and</w:t>
      </w:r>
      <w:r w:rsidRPr="006642AC">
        <w:rPr>
          <w:b/>
          <w:bCs/>
        </w:rPr>
        <w:t xml:space="preserve"> post-16/19 support</w:t>
      </w:r>
      <w:r w:rsidRPr="000F4414">
        <w:t>: Improve diagnosis consistency, expand local education options, start planning for adulthood earlier</w:t>
      </w:r>
      <w:r w:rsidR="00BF63ED">
        <w:t xml:space="preserve"> </w:t>
      </w:r>
      <w:r w:rsidRPr="000F4414">
        <w:t>and strengthen support for those 19+ to prevent them from falling out of education, employment or training.</w:t>
      </w:r>
    </w:p>
    <w:p w14:paraId="63E6A5A2" w14:textId="1C3930CA" w:rsidR="000F4414" w:rsidRPr="000F4414" w:rsidRDefault="000F4414" w:rsidP="006642AC">
      <w:pPr>
        <w:pStyle w:val="ListParagraph"/>
        <w:numPr>
          <w:ilvl w:val="0"/>
          <w:numId w:val="58"/>
        </w:numPr>
      </w:pPr>
      <w:r w:rsidRPr="006642AC">
        <w:rPr>
          <w:b/>
          <w:bCs/>
        </w:rPr>
        <w:t xml:space="preserve">Oversight </w:t>
      </w:r>
      <w:r w:rsidR="00B63C6D" w:rsidRPr="006642AC">
        <w:rPr>
          <w:b/>
          <w:bCs/>
        </w:rPr>
        <w:t>and</w:t>
      </w:r>
      <w:r w:rsidRPr="006642AC">
        <w:rPr>
          <w:b/>
          <w:bCs/>
        </w:rPr>
        <w:t xml:space="preserve"> staff capacity</w:t>
      </w:r>
      <w:r w:rsidRPr="000F4414">
        <w:t>: Strengthen monitoring of out-of-school provision and develop staff knowledge, accessibility, and signposting for families.</w:t>
      </w:r>
    </w:p>
    <w:p w14:paraId="7D4FC17D" w14:textId="46F53D41" w:rsidR="0087158A" w:rsidRDefault="000F4414" w:rsidP="006642AC">
      <w:pPr>
        <w:pStyle w:val="ListParagraph"/>
        <w:numPr>
          <w:ilvl w:val="0"/>
          <w:numId w:val="58"/>
        </w:numPr>
      </w:pPr>
      <w:r w:rsidRPr="006642AC">
        <w:rPr>
          <w:b/>
          <w:bCs/>
        </w:rPr>
        <w:t>Health services</w:t>
      </w:r>
      <w:r w:rsidRPr="000F4414">
        <w:t>: Cut waiting times for neurodevelopmental assessments and improve timely, consistent access to speech and language therapy.</w:t>
      </w:r>
    </w:p>
    <w:p w14:paraId="11C6712C" w14:textId="5EFED3BC" w:rsidR="00BF63ED" w:rsidRDefault="00E12E6E" w:rsidP="0087158A">
      <w:r>
        <w:t xml:space="preserve">The full Inspection Report can be found here: </w:t>
      </w:r>
      <w:hyperlink r:id="rId12" w:history="1">
        <w:r w:rsidRPr="00E12E6E">
          <w:rPr>
            <w:rStyle w:val="Hyperlink"/>
          </w:rPr>
          <w:t>Partnership inspection finds children and young people with SEND are valued in Tower Hamlets</w:t>
        </w:r>
      </w:hyperlink>
    </w:p>
    <w:p w14:paraId="4E444EA6" w14:textId="06C38CC0" w:rsidR="00342A94" w:rsidRPr="0087158A" w:rsidRDefault="00342A94" w:rsidP="00342A94">
      <w:pPr>
        <w:spacing w:before="0" w:after="160" w:line="278" w:lineRule="auto"/>
        <w:jc w:val="left"/>
      </w:pPr>
      <w:r>
        <w:br w:type="page"/>
      </w:r>
    </w:p>
    <w:bookmarkEnd w:id="40"/>
    <w:p w14:paraId="1DC436E9" w14:textId="664223C8" w:rsidR="004E04E1" w:rsidRDefault="004E04E1" w:rsidP="00293C95"/>
    <w:p w14:paraId="2C2928EB" w14:textId="29CF0122" w:rsidR="004E04E1" w:rsidRDefault="004E04E1" w:rsidP="00F4457D">
      <w:pPr>
        <w:pStyle w:val="Heading2"/>
      </w:pPr>
      <w:bookmarkStart w:id="41" w:name="_Toc211413909"/>
      <w:bookmarkStart w:id="42" w:name="_Toc211414153"/>
      <w:bookmarkStart w:id="43" w:name="_Toc211439767"/>
      <w:bookmarkStart w:id="44" w:name="_Toc211440052"/>
      <w:bookmarkStart w:id="45" w:name="_Toc211414154"/>
      <w:bookmarkStart w:id="46" w:name="_Toc211440053"/>
      <w:bookmarkEnd w:id="41"/>
      <w:bookmarkEnd w:id="42"/>
      <w:bookmarkEnd w:id="43"/>
      <w:bookmarkEnd w:id="44"/>
      <w:r>
        <w:t>SEND Population Overview</w:t>
      </w:r>
      <w:bookmarkEnd w:id="45"/>
      <w:bookmarkEnd w:id="46"/>
    </w:p>
    <w:p w14:paraId="57D233A0" w14:textId="426FA31A" w:rsidR="00EC6F40" w:rsidRPr="0040303C" w:rsidRDefault="0040303C" w:rsidP="00EC6F40">
      <w:r w:rsidRPr="0040303C">
        <w:t>This chapter presents an in-depth overview of key statistics related to children and young people with SEND in Tower Hamlets, set within the wider national context of England.</w:t>
      </w:r>
    </w:p>
    <w:p w14:paraId="724A95F8" w14:textId="77777777" w:rsidR="004E04E1" w:rsidRPr="0022368C" w:rsidRDefault="004E04E1" w:rsidP="006F488E">
      <w:pPr>
        <w:pStyle w:val="Heading3"/>
        <w:rPr>
          <w:color w:val="006B70"/>
        </w:rPr>
      </w:pPr>
      <w:bookmarkStart w:id="47" w:name="_Toc205386872"/>
      <w:bookmarkStart w:id="48" w:name="_Toc205387942"/>
      <w:bookmarkStart w:id="49" w:name="_Toc205445953"/>
      <w:r w:rsidRPr="0022368C">
        <w:rPr>
          <w:color w:val="006B70"/>
        </w:rPr>
        <w:t>Key statistics</w:t>
      </w:r>
      <w:bookmarkEnd w:id="47"/>
      <w:bookmarkEnd w:id="48"/>
      <w:bookmarkEnd w:id="49"/>
      <w:r w:rsidRPr="0022368C">
        <w:rPr>
          <w:color w:val="006B70"/>
        </w:rPr>
        <w:t xml:space="preserve"> </w:t>
      </w:r>
    </w:p>
    <w:p w14:paraId="2BA6F389" w14:textId="7350F0EF" w:rsidR="004E04E1" w:rsidRDefault="004E04E1" w:rsidP="00234C5A">
      <w:r>
        <w:t>I</w:t>
      </w:r>
      <w:r w:rsidRPr="00234C5A">
        <w:t xml:space="preserve">n recent years, the number of children and young people in England identified with SEND has </w:t>
      </w:r>
      <w:r w:rsidRPr="00C602D4">
        <w:t>steadily increased. In 2025, that number surpassed 1.7 million pupils, an increase of over 93,000 compared to the previous year</w:t>
      </w:r>
      <w:r w:rsidR="00B87369">
        <w:rPr>
          <w:rStyle w:val="EndnoteReference"/>
        </w:rPr>
        <w:fldChar w:fldCharType="begin"/>
      </w:r>
      <w:r w:rsidR="00B87369">
        <w:rPr>
          <w:rStyle w:val="EndnoteReference"/>
        </w:rPr>
        <w:instrText xml:space="preserve"> NOTEREF  _Ref204587357 \f \h </w:instrText>
      </w:r>
      <w:r w:rsidR="00B87369">
        <w:rPr>
          <w:rStyle w:val="EndnoteReference"/>
        </w:rPr>
      </w:r>
      <w:r w:rsidR="00B87369">
        <w:rPr>
          <w:rStyle w:val="EndnoteReference"/>
        </w:rPr>
        <w:fldChar w:fldCharType="separate"/>
      </w:r>
      <w:r w:rsidR="008722C4" w:rsidRPr="008722C4">
        <w:rPr>
          <w:rStyle w:val="EndnoteReference"/>
        </w:rPr>
        <w:t>3</w:t>
      </w:r>
      <w:r w:rsidR="00B87369">
        <w:rPr>
          <w:rStyle w:val="EndnoteReference"/>
        </w:rPr>
        <w:fldChar w:fldCharType="end"/>
      </w:r>
      <w:r w:rsidRPr="00C602D4">
        <w:t>. This ongoing rise has continued a trend that has been building since 2016, reflecting the growing complexity and visibility of young people’s needs in schools.</w:t>
      </w:r>
    </w:p>
    <w:p w14:paraId="09F257E9" w14:textId="4A6AA9A4" w:rsidR="00306D09" w:rsidRPr="007945B8" w:rsidRDefault="001130E1" w:rsidP="00234C5A">
      <w:pPr>
        <w:rPr>
          <w:b/>
          <w:bCs/>
          <w:sz w:val="18"/>
          <w:szCs w:val="18"/>
        </w:rPr>
      </w:pPr>
      <w:r>
        <w:rPr>
          <w:b/>
          <w:bCs/>
          <w:sz w:val="18"/>
          <w:szCs w:val="18"/>
        </w:rPr>
        <w:t xml:space="preserve">Table </w:t>
      </w:r>
      <w:r w:rsidR="002A7E13">
        <w:rPr>
          <w:b/>
          <w:bCs/>
          <w:sz w:val="18"/>
          <w:szCs w:val="18"/>
        </w:rPr>
        <w:t>3.</w:t>
      </w:r>
      <w:r w:rsidR="00304FCB">
        <w:rPr>
          <w:b/>
          <w:bCs/>
          <w:sz w:val="18"/>
          <w:szCs w:val="18"/>
        </w:rPr>
        <w:t>1</w:t>
      </w:r>
      <w:r w:rsidR="00306D09" w:rsidRPr="007945B8">
        <w:rPr>
          <w:b/>
          <w:bCs/>
          <w:sz w:val="18"/>
          <w:szCs w:val="18"/>
        </w:rPr>
        <w:t xml:space="preserve">: </w:t>
      </w:r>
      <w:r w:rsidR="00C81181" w:rsidRPr="007945B8">
        <w:rPr>
          <w:b/>
          <w:bCs/>
          <w:sz w:val="18"/>
          <w:szCs w:val="18"/>
        </w:rPr>
        <w:t>‘Pupils in all schools, by type of SEN provision - 2016 to 2025' in England between 2015/16 and 2024/25</w:t>
      </w:r>
    </w:p>
    <w:tbl>
      <w:tblPr>
        <w:tblStyle w:val="ListTable3-Accent1"/>
        <w:tblW w:w="8860" w:type="dxa"/>
        <w:tblLook w:val="04A0" w:firstRow="1" w:lastRow="0" w:firstColumn="1" w:lastColumn="0" w:noHBand="0" w:noVBand="1"/>
      </w:tblPr>
      <w:tblGrid>
        <w:gridCol w:w="1129"/>
        <w:gridCol w:w="1560"/>
        <w:gridCol w:w="1559"/>
        <w:gridCol w:w="2126"/>
        <w:gridCol w:w="2486"/>
      </w:tblGrid>
      <w:tr w:rsidR="00020DE9" w:rsidRPr="001C1FF6" w14:paraId="7BDA8E8F" w14:textId="77777777" w:rsidTr="00F36FA4">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129" w:type="dxa"/>
            <w:hideMark/>
          </w:tcPr>
          <w:p w14:paraId="30621EB9" w14:textId="77777777" w:rsidR="00306D09" w:rsidRPr="00293C95" w:rsidRDefault="00306D09" w:rsidP="00306D09">
            <w:pPr>
              <w:spacing w:before="0" w:after="0" w:line="240" w:lineRule="auto"/>
              <w:jc w:val="center"/>
              <w:rPr>
                <w:color w:val="FFFFFF" w:themeColor="background1"/>
                <w:kern w:val="0"/>
                <w:sz w:val="20"/>
                <w:szCs w:val="20"/>
                <w14:ligatures w14:val="none"/>
              </w:rPr>
            </w:pPr>
            <w:r w:rsidRPr="00293C95">
              <w:rPr>
                <w:color w:val="FFFFFF" w:themeColor="background1"/>
                <w:kern w:val="0"/>
                <w:sz w:val="20"/>
                <w:szCs w:val="20"/>
                <w14:ligatures w14:val="none"/>
              </w:rPr>
              <w:t>Year</w:t>
            </w:r>
          </w:p>
        </w:tc>
        <w:tc>
          <w:tcPr>
            <w:tcW w:w="1560" w:type="dxa"/>
            <w:hideMark/>
          </w:tcPr>
          <w:p w14:paraId="3F415F45" w14:textId="1120DE52" w:rsidR="00306D09" w:rsidRPr="00293C95" w:rsidRDefault="00306D09" w:rsidP="00306D0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kern w:val="0"/>
                <w:sz w:val="20"/>
                <w:szCs w:val="20"/>
                <w14:ligatures w14:val="none"/>
              </w:rPr>
            </w:pPr>
            <w:r w:rsidRPr="00293C95">
              <w:rPr>
                <w:color w:val="FFFFFF" w:themeColor="background1"/>
                <w:kern w:val="0"/>
                <w:sz w:val="20"/>
                <w:szCs w:val="20"/>
                <w14:ligatures w14:val="none"/>
              </w:rPr>
              <w:t>EHC</w:t>
            </w:r>
            <w:r w:rsidR="005A6CEF" w:rsidRPr="00293C95">
              <w:rPr>
                <w:color w:val="FFFFFF" w:themeColor="background1"/>
                <w:kern w:val="0"/>
                <w:sz w:val="20"/>
                <w:szCs w:val="20"/>
                <w14:ligatures w14:val="none"/>
              </w:rPr>
              <w:t>Ps</w:t>
            </w:r>
          </w:p>
        </w:tc>
        <w:tc>
          <w:tcPr>
            <w:tcW w:w="1559" w:type="dxa"/>
            <w:hideMark/>
          </w:tcPr>
          <w:p w14:paraId="49F0BF85" w14:textId="7204A1D0" w:rsidR="00306D09" w:rsidRPr="00293C95" w:rsidRDefault="00306D09" w:rsidP="00306D0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kern w:val="0"/>
                <w:sz w:val="20"/>
                <w:szCs w:val="20"/>
                <w14:ligatures w14:val="none"/>
              </w:rPr>
            </w:pPr>
            <w:r w:rsidRPr="00293C95">
              <w:rPr>
                <w:color w:val="FFFFFF" w:themeColor="background1"/>
                <w:kern w:val="0"/>
                <w:sz w:val="20"/>
                <w:szCs w:val="20"/>
                <w14:ligatures w14:val="none"/>
              </w:rPr>
              <w:t>EHC</w:t>
            </w:r>
            <w:r w:rsidR="005A6CEF" w:rsidRPr="00293C95">
              <w:rPr>
                <w:color w:val="FFFFFF" w:themeColor="background1"/>
                <w:kern w:val="0"/>
                <w:sz w:val="20"/>
                <w:szCs w:val="20"/>
                <w14:ligatures w14:val="none"/>
              </w:rPr>
              <w:t>Ps</w:t>
            </w:r>
            <w:r w:rsidRPr="00293C95">
              <w:rPr>
                <w:color w:val="FFFFFF" w:themeColor="background1"/>
                <w:kern w:val="0"/>
                <w:sz w:val="20"/>
                <w:szCs w:val="20"/>
                <w14:ligatures w14:val="none"/>
              </w:rPr>
              <w:t xml:space="preserve"> (percent)</w:t>
            </w:r>
          </w:p>
        </w:tc>
        <w:tc>
          <w:tcPr>
            <w:tcW w:w="2126" w:type="dxa"/>
            <w:hideMark/>
          </w:tcPr>
          <w:p w14:paraId="33F028E9" w14:textId="1BBADFDF" w:rsidR="00306D09" w:rsidRPr="00293C95" w:rsidRDefault="00306D09" w:rsidP="00306D0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kern w:val="0"/>
                <w:sz w:val="20"/>
                <w:szCs w:val="20"/>
                <w14:ligatures w14:val="none"/>
              </w:rPr>
            </w:pPr>
            <w:r w:rsidRPr="00293C95">
              <w:rPr>
                <w:color w:val="FFFFFF" w:themeColor="background1"/>
                <w:kern w:val="0"/>
                <w:sz w:val="20"/>
                <w:szCs w:val="20"/>
                <w14:ligatures w14:val="none"/>
              </w:rPr>
              <w:t>SEN support/SEN without an EHC</w:t>
            </w:r>
            <w:r w:rsidR="005A6CEF" w:rsidRPr="00293C95">
              <w:rPr>
                <w:color w:val="FFFFFF" w:themeColor="background1"/>
                <w:kern w:val="0"/>
                <w:sz w:val="20"/>
                <w:szCs w:val="20"/>
                <w14:ligatures w14:val="none"/>
              </w:rPr>
              <w:t>P</w:t>
            </w:r>
          </w:p>
        </w:tc>
        <w:tc>
          <w:tcPr>
            <w:tcW w:w="2486" w:type="dxa"/>
            <w:hideMark/>
          </w:tcPr>
          <w:p w14:paraId="1F5E3316" w14:textId="38620544" w:rsidR="00306D09" w:rsidRPr="00293C95" w:rsidRDefault="00306D09" w:rsidP="00306D0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kern w:val="0"/>
                <w:sz w:val="20"/>
                <w:szCs w:val="20"/>
                <w14:ligatures w14:val="none"/>
              </w:rPr>
            </w:pPr>
            <w:r w:rsidRPr="00293C95">
              <w:rPr>
                <w:color w:val="FFFFFF" w:themeColor="background1"/>
                <w:kern w:val="0"/>
                <w:sz w:val="20"/>
                <w:szCs w:val="20"/>
                <w14:ligatures w14:val="none"/>
              </w:rPr>
              <w:t>SEN support/SEN without an EHC</w:t>
            </w:r>
            <w:r w:rsidR="005A6CEF" w:rsidRPr="00293C95">
              <w:rPr>
                <w:color w:val="FFFFFF" w:themeColor="background1"/>
                <w:kern w:val="0"/>
                <w:sz w:val="20"/>
                <w:szCs w:val="20"/>
                <w14:ligatures w14:val="none"/>
              </w:rPr>
              <w:t>P</w:t>
            </w:r>
            <w:r w:rsidRPr="00293C95">
              <w:rPr>
                <w:color w:val="FFFFFF" w:themeColor="background1"/>
                <w:kern w:val="0"/>
                <w:sz w:val="20"/>
                <w:szCs w:val="20"/>
                <w14:ligatures w14:val="none"/>
              </w:rPr>
              <w:t xml:space="preserve"> (percent)</w:t>
            </w:r>
          </w:p>
        </w:tc>
      </w:tr>
      <w:tr w:rsidR="00020DE9" w:rsidRPr="001C1FF6" w14:paraId="47C66962" w14:textId="77777777" w:rsidTr="00F36F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0A9BED4D" w14:textId="77777777" w:rsidR="00306D09" w:rsidRPr="00293C95" w:rsidRDefault="00306D09" w:rsidP="00306D09">
            <w:pPr>
              <w:spacing w:before="0" w:after="0" w:line="240" w:lineRule="auto"/>
              <w:jc w:val="left"/>
              <w:rPr>
                <w:kern w:val="0"/>
                <w:sz w:val="20"/>
                <w:szCs w:val="20"/>
                <w14:ligatures w14:val="none"/>
              </w:rPr>
            </w:pPr>
            <w:r w:rsidRPr="00293C95">
              <w:rPr>
                <w:kern w:val="0"/>
                <w:sz w:val="20"/>
                <w:szCs w:val="20"/>
                <w14:ligatures w14:val="none"/>
              </w:rPr>
              <w:t>2015/16</w:t>
            </w:r>
          </w:p>
        </w:tc>
        <w:tc>
          <w:tcPr>
            <w:tcW w:w="1560" w:type="dxa"/>
            <w:noWrap/>
            <w:hideMark/>
          </w:tcPr>
          <w:p w14:paraId="1AEB6570"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236,806</w:t>
            </w:r>
          </w:p>
        </w:tc>
        <w:tc>
          <w:tcPr>
            <w:tcW w:w="1559" w:type="dxa"/>
            <w:noWrap/>
            <w:hideMark/>
          </w:tcPr>
          <w:p w14:paraId="539F3195"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2.8</w:t>
            </w:r>
          </w:p>
        </w:tc>
        <w:tc>
          <w:tcPr>
            <w:tcW w:w="2126" w:type="dxa"/>
            <w:noWrap/>
            <w:hideMark/>
          </w:tcPr>
          <w:p w14:paraId="1D3E0E4D"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991,981</w:t>
            </w:r>
          </w:p>
        </w:tc>
        <w:tc>
          <w:tcPr>
            <w:tcW w:w="2486" w:type="dxa"/>
            <w:noWrap/>
            <w:hideMark/>
          </w:tcPr>
          <w:p w14:paraId="70B76C66"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11.6</w:t>
            </w:r>
          </w:p>
        </w:tc>
      </w:tr>
      <w:tr w:rsidR="00020DE9" w:rsidRPr="001C1FF6" w14:paraId="3C04B537" w14:textId="77777777" w:rsidTr="00293C95">
        <w:trPr>
          <w:trHeight w:val="290"/>
        </w:trPr>
        <w:tc>
          <w:tcPr>
            <w:cnfStyle w:val="001000000000" w:firstRow="0" w:lastRow="0" w:firstColumn="1" w:lastColumn="0" w:oddVBand="0" w:evenVBand="0" w:oddHBand="0" w:evenHBand="0" w:firstRowFirstColumn="0" w:firstRowLastColumn="0" w:lastRowFirstColumn="0" w:lastRowLastColumn="0"/>
            <w:tcW w:w="0" w:type="dxa"/>
            <w:noWrap/>
            <w:hideMark/>
          </w:tcPr>
          <w:p w14:paraId="21C5B6D6" w14:textId="77777777" w:rsidR="00306D09" w:rsidRPr="00293C95" w:rsidRDefault="00306D09" w:rsidP="00306D09">
            <w:pPr>
              <w:spacing w:before="0" w:after="0" w:line="240" w:lineRule="auto"/>
              <w:jc w:val="left"/>
              <w:rPr>
                <w:kern w:val="0"/>
                <w:sz w:val="20"/>
                <w:szCs w:val="20"/>
                <w14:ligatures w14:val="none"/>
              </w:rPr>
            </w:pPr>
            <w:r w:rsidRPr="00293C95">
              <w:rPr>
                <w:kern w:val="0"/>
                <w:sz w:val="20"/>
                <w:szCs w:val="20"/>
                <w14:ligatures w14:val="none"/>
              </w:rPr>
              <w:t>2016/17</w:t>
            </w:r>
          </w:p>
        </w:tc>
        <w:tc>
          <w:tcPr>
            <w:tcW w:w="0" w:type="dxa"/>
            <w:noWrap/>
            <w:hideMark/>
          </w:tcPr>
          <w:p w14:paraId="3903E83D"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242,184</w:t>
            </w:r>
          </w:p>
        </w:tc>
        <w:tc>
          <w:tcPr>
            <w:tcW w:w="1559" w:type="dxa"/>
            <w:noWrap/>
            <w:hideMark/>
          </w:tcPr>
          <w:p w14:paraId="65F14459"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2.8</w:t>
            </w:r>
          </w:p>
        </w:tc>
        <w:tc>
          <w:tcPr>
            <w:tcW w:w="2126" w:type="dxa"/>
            <w:noWrap/>
            <w:hideMark/>
          </w:tcPr>
          <w:p w14:paraId="73D80284"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1,002,069</w:t>
            </w:r>
          </w:p>
        </w:tc>
        <w:tc>
          <w:tcPr>
            <w:tcW w:w="2486" w:type="dxa"/>
            <w:noWrap/>
            <w:hideMark/>
          </w:tcPr>
          <w:p w14:paraId="40E56948"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11.6</w:t>
            </w:r>
          </w:p>
        </w:tc>
      </w:tr>
      <w:tr w:rsidR="00020DE9" w:rsidRPr="001C1FF6" w14:paraId="1EB1903F" w14:textId="77777777" w:rsidTr="00F36F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1BA8D274" w14:textId="77777777" w:rsidR="00306D09" w:rsidRPr="00293C95" w:rsidRDefault="00306D09" w:rsidP="00306D09">
            <w:pPr>
              <w:spacing w:before="0" w:after="0" w:line="240" w:lineRule="auto"/>
              <w:jc w:val="left"/>
              <w:rPr>
                <w:kern w:val="0"/>
                <w:sz w:val="20"/>
                <w:szCs w:val="20"/>
                <w14:ligatures w14:val="none"/>
              </w:rPr>
            </w:pPr>
            <w:r w:rsidRPr="00293C95">
              <w:rPr>
                <w:kern w:val="0"/>
                <w:sz w:val="20"/>
                <w:szCs w:val="20"/>
                <w14:ligatures w14:val="none"/>
              </w:rPr>
              <w:t>2017/18</w:t>
            </w:r>
          </w:p>
        </w:tc>
        <w:tc>
          <w:tcPr>
            <w:tcW w:w="1560" w:type="dxa"/>
            <w:noWrap/>
            <w:hideMark/>
          </w:tcPr>
          <w:p w14:paraId="369E6CF4"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253,679</w:t>
            </w:r>
          </w:p>
        </w:tc>
        <w:tc>
          <w:tcPr>
            <w:tcW w:w="1559" w:type="dxa"/>
            <w:noWrap/>
            <w:hideMark/>
          </w:tcPr>
          <w:p w14:paraId="76C6AB0C"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2.9</w:t>
            </w:r>
          </w:p>
        </w:tc>
        <w:tc>
          <w:tcPr>
            <w:tcW w:w="2126" w:type="dxa"/>
            <w:noWrap/>
            <w:hideMark/>
          </w:tcPr>
          <w:p w14:paraId="3E9CE678"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1,022,537</w:t>
            </w:r>
          </w:p>
        </w:tc>
        <w:tc>
          <w:tcPr>
            <w:tcW w:w="2486" w:type="dxa"/>
            <w:noWrap/>
            <w:hideMark/>
          </w:tcPr>
          <w:p w14:paraId="24424DDB"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11.7</w:t>
            </w:r>
          </w:p>
        </w:tc>
      </w:tr>
      <w:tr w:rsidR="00020DE9" w:rsidRPr="001C1FF6" w14:paraId="5CEF0CA8" w14:textId="77777777" w:rsidTr="00293C95">
        <w:trPr>
          <w:trHeight w:val="290"/>
        </w:trPr>
        <w:tc>
          <w:tcPr>
            <w:cnfStyle w:val="001000000000" w:firstRow="0" w:lastRow="0" w:firstColumn="1" w:lastColumn="0" w:oddVBand="0" w:evenVBand="0" w:oddHBand="0" w:evenHBand="0" w:firstRowFirstColumn="0" w:firstRowLastColumn="0" w:lastRowFirstColumn="0" w:lastRowLastColumn="0"/>
            <w:tcW w:w="0" w:type="dxa"/>
            <w:noWrap/>
            <w:hideMark/>
          </w:tcPr>
          <w:p w14:paraId="1CF77185" w14:textId="77777777" w:rsidR="00306D09" w:rsidRPr="00293C95" w:rsidRDefault="00306D09" w:rsidP="00306D09">
            <w:pPr>
              <w:spacing w:before="0" w:after="0" w:line="240" w:lineRule="auto"/>
              <w:jc w:val="left"/>
              <w:rPr>
                <w:kern w:val="0"/>
                <w:sz w:val="20"/>
                <w:szCs w:val="20"/>
                <w14:ligatures w14:val="none"/>
              </w:rPr>
            </w:pPr>
            <w:r w:rsidRPr="00293C95">
              <w:rPr>
                <w:kern w:val="0"/>
                <w:sz w:val="20"/>
                <w:szCs w:val="20"/>
                <w14:ligatures w14:val="none"/>
              </w:rPr>
              <w:t>2018/19</w:t>
            </w:r>
          </w:p>
        </w:tc>
        <w:tc>
          <w:tcPr>
            <w:tcW w:w="0" w:type="dxa"/>
            <w:noWrap/>
            <w:hideMark/>
          </w:tcPr>
          <w:p w14:paraId="5BCAAA5F"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271,165</w:t>
            </w:r>
          </w:p>
        </w:tc>
        <w:tc>
          <w:tcPr>
            <w:tcW w:w="1559" w:type="dxa"/>
            <w:noWrap/>
            <w:hideMark/>
          </w:tcPr>
          <w:p w14:paraId="08F6DB0D"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3.1</w:t>
            </w:r>
          </w:p>
        </w:tc>
        <w:tc>
          <w:tcPr>
            <w:tcW w:w="2126" w:type="dxa"/>
            <w:noWrap/>
            <w:hideMark/>
          </w:tcPr>
          <w:p w14:paraId="013E41B7"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1,047,163</w:t>
            </w:r>
          </w:p>
        </w:tc>
        <w:tc>
          <w:tcPr>
            <w:tcW w:w="2486" w:type="dxa"/>
            <w:noWrap/>
            <w:hideMark/>
          </w:tcPr>
          <w:p w14:paraId="4C6BC19A"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11.9</w:t>
            </w:r>
          </w:p>
        </w:tc>
      </w:tr>
      <w:tr w:rsidR="00020DE9" w:rsidRPr="001C1FF6" w14:paraId="0883064C" w14:textId="77777777" w:rsidTr="00F36F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59C57AEC" w14:textId="77777777" w:rsidR="00306D09" w:rsidRPr="00293C95" w:rsidRDefault="00306D09" w:rsidP="00306D09">
            <w:pPr>
              <w:spacing w:before="0" w:after="0" w:line="240" w:lineRule="auto"/>
              <w:jc w:val="left"/>
              <w:rPr>
                <w:kern w:val="0"/>
                <w:sz w:val="20"/>
                <w:szCs w:val="20"/>
                <w14:ligatures w14:val="none"/>
              </w:rPr>
            </w:pPr>
            <w:r w:rsidRPr="00293C95">
              <w:rPr>
                <w:kern w:val="0"/>
                <w:sz w:val="20"/>
                <w:szCs w:val="20"/>
                <w14:ligatures w14:val="none"/>
              </w:rPr>
              <w:t>2019/20</w:t>
            </w:r>
          </w:p>
        </w:tc>
        <w:tc>
          <w:tcPr>
            <w:tcW w:w="1560" w:type="dxa"/>
            <w:noWrap/>
            <w:hideMark/>
          </w:tcPr>
          <w:p w14:paraId="08098D2C"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294,758</w:t>
            </w:r>
          </w:p>
        </w:tc>
        <w:tc>
          <w:tcPr>
            <w:tcW w:w="1559" w:type="dxa"/>
            <w:noWrap/>
            <w:hideMark/>
          </w:tcPr>
          <w:p w14:paraId="717997DD"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3.3</w:t>
            </w:r>
          </w:p>
        </w:tc>
        <w:tc>
          <w:tcPr>
            <w:tcW w:w="2126" w:type="dxa"/>
            <w:noWrap/>
            <w:hideMark/>
          </w:tcPr>
          <w:p w14:paraId="60C3F30B"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1,079,000</w:t>
            </w:r>
          </w:p>
        </w:tc>
        <w:tc>
          <w:tcPr>
            <w:tcW w:w="2486" w:type="dxa"/>
            <w:noWrap/>
            <w:hideMark/>
          </w:tcPr>
          <w:p w14:paraId="584FCD47"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12.1</w:t>
            </w:r>
          </w:p>
        </w:tc>
      </w:tr>
      <w:tr w:rsidR="00020DE9" w:rsidRPr="001C1FF6" w14:paraId="1F1B9E5A" w14:textId="77777777" w:rsidTr="00293C95">
        <w:trPr>
          <w:trHeight w:val="290"/>
        </w:trPr>
        <w:tc>
          <w:tcPr>
            <w:cnfStyle w:val="001000000000" w:firstRow="0" w:lastRow="0" w:firstColumn="1" w:lastColumn="0" w:oddVBand="0" w:evenVBand="0" w:oddHBand="0" w:evenHBand="0" w:firstRowFirstColumn="0" w:firstRowLastColumn="0" w:lastRowFirstColumn="0" w:lastRowLastColumn="0"/>
            <w:tcW w:w="0" w:type="dxa"/>
            <w:noWrap/>
            <w:hideMark/>
          </w:tcPr>
          <w:p w14:paraId="25953B7F" w14:textId="77777777" w:rsidR="00306D09" w:rsidRPr="00293C95" w:rsidRDefault="00306D09" w:rsidP="00306D09">
            <w:pPr>
              <w:spacing w:before="0" w:after="0" w:line="240" w:lineRule="auto"/>
              <w:jc w:val="left"/>
              <w:rPr>
                <w:kern w:val="0"/>
                <w:sz w:val="20"/>
                <w:szCs w:val="20"/>
                <w14:ligatures w14:val="none"/>
              </w:rPr>
            </w:pPr>
            <w:r w:rsidRPr="00293C95">
              <w:rPr>
                <w:kern w:val="0"/>
                <w:sz w:val="20"/>
                <w:szCs w:val="20"/>
                <w14:ligatures w14:val="none"/>
              </w:rPr>
              <w:t>2020/21</w:t>
            </w:r>
          </w:p>
        </w:tc>
        <w:tc>
          <w:tcPr>
            <w:tcW w:w="0" w:type="dxa"/>
            <w:noWrap/>
            <w:hideMark/>
          </w:tcPr>
          <w:p w14:paraId="69183F37"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325,618</w:t>
            </w:r>
          </w:p>
        </w:tc>
        <w:tc>
          <w:tcPr>
            <w:tcW w:w="1559" w:type="dxa"/>
            <w:noWrap/>
            <w:hideMark/>
          </w:tcPr>
          <w:p w14:paraId="623E1724"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3.7</w:t>
            </w:r>
          </w:p>
        </w:tc>
        <w:tc>
          <w:tcPr>
            <w:tcW w:w="2126" w:type="dxa"/>
            <w:noWrap/>
            <w:hideMark/>
          </w:tcPr>
          <w:p w14:paraId="030AAB14"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1,083,083</w:t>
            </w:r>
          </w:p>
        </w:tc>
        <w:tc>
          <w:tcPr>
            <w:tcW w:w="2486" w:type="dxa"/>
            <w:noWrap/>
            <w:hideMark/>
          </w:tcPr>
          <w:p w14:paraId="4B51E06D"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12.2</w:t>
            </w:r>
          </w:p>
        </w:tc>
      </w:tr>
      <w:tr w:rsidR="00020DE9" w:rsidRPr="001C1FF6" w14:paraId="7E3C9359" w14:textId="77777777" w:rsidTr="00F36F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0196AAA1" w14:textId="77777777" w:rsidR="00306D09" w:rsidRPr="00293C95" w:rsidRDefault="00306D09" w:rsidP="00306D09">
            <w:pPr>
              <w:spacing w:before="0" w:after="0" w:line="240" w:lineRule="auto"/>
              <w:jc w:val="left"/>
              <w:rPr>
                <w:kern w:val="0"/>
                <w:sz w:val="20"/>
                <w:szCs w:val="20"/>
                <w14:ligatures w14:val="none"/>
              </w:rPr>
            </w:pPr>
            <w:r w:rsidRPr="00293C95">
              <w:rPr>
                <w:kern w:val="0"/>
                <w:sz w:val="20"/>
                <w:szCs w:val="20"/>
                <w14:ligatures w14:val="none"/>
              </w:rPr>
              <w:t>2021/22</w:t>
            </w:r>
          </w:p>
        </w:tc>
        <w:tc>
          <w:tcPr>
            <w:tcW w:w="1560" w:type="dxa"/>
            <w:noWrap/>
            <w:hideMark/>
          </w:tcPr>
          <w:p w14:paraId="0C1CA45B"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355,566</w:t>
            </w:r>
          </w:p>
        </w:tc>
        <w:tc>
          <w:tcPr>
            <w:tcW w:w="1559" w:type="dxa"/>
            <w:noWrap/>
            <w:hideMark/>
          </w:tcPr>
          <w:p w14:paraId="41D9DD93"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4.0</w:t>
            </w:r>
          </w:p>
        </w:tc>
        <w:tc>
          <w:tcPr>
            <w:tcW w:w="2126" w:type="dxa"/>
            <w:noWrap/>
            <w:hideMark/>
          </w:tcPr>
          <w:p w14:paraId="5E161D51"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1,129,843</w:t>
            </w:r>
          </w:p>
        </w:tc>
        <w:tc>
          <w:tcPr>
            <w:tcW w:w="2486" w:type="dxa"/>
            <w:noWrap/>
            <w:hideMark/>
          </w:tcPr>
          <w:p w14:paraId="116F848B"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12.6</w:t>
            </w:r>
          </w:p>
        </w:tc>
      </w:tr>
      <w:tr w:rsidR="00020DE9" w:rsidRPr="001C1FF6" w14:paraId="0AB06270" w14:textId="77777777" w:rsidTr="00293C95">
        <w:trPr>
          <w:trHeight w:val="290"/>
        </w:trPr>
        <w:tc>
          <w:tcPr>
            <w:cnfStyle w:val="001000000000" w:firstRow="0" w:lastRow="0" w:firstColumn="1" w:lastColumn="0" w:oddVBand="0" w:evenVBand="0" w:oddHBand="0" w:evenHBand="0" w:firstRowFirstColumn="0" w:firstRowLastColumn="0" w:lastRowFirstColumn="0" w:lastRowLastColumn="0"/>
            <w:tcW w:w="0" w:type="dxa"/>
            <w:noWrap/>
            <w:hideMark/>
          </w:tcPr>
          <w:p w14:paraId="74EDA8C7" w14:textId="77777777" w:rsidR="00306D09" w:rsidRPr="00293C95" w:rsidRDefault="00306D09" w:rsidP="00306D09">
            <w:pPr>
              <w:spacing w:before="0" w:after="0" w:line="240" w:lineRule="auto"/>
              <w:jc w:val="left"/>
              <w:rPr>
                <w:kern w:val="0"/>
                <w:sz w:val="20"/>
                <w:szCs w:val="20"/>
                <w14:ligatures w14:val="none"/>
              </w:rPr>
            </w:pPr>
            <w:r w:rsidRPr="00293C95">
              <w:rPr>
                <w:kern w:val="0"/>
                <w:sz w:val="20"/>
                <w:szCs w:val="20"/>
                <w14:ligatures w14:val="none"/>
              </w:rPr>
              <w:t>2022/23</w:t>
            </w:r>
          </w:p>
        </w:tc>
        <w:tc>
          <w:tcPr>
            <w:tcW w:w="0" w:type="dxa"/>
            <w:noWrap/>
            <w:hideMark/>
          </w:tcPr>
          <w:p w14:paraId="5C70C66A"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389,171</w:t>
            </w:r>
          </w:p>
        </w:tc>
        <w:tc>
          <w:tcPr>
            <w:tcW w:w="1559" w:type="dxa"/>
            <w:noWrap/>
            <w:hideMark/>
          </w:tcPr>
          <w:p w14:paraId="6D78AE8A"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4.3</w:t>
            </w:r>
          </w:p>
        </w:tc>
        <w:tc>
          <w:tcPr>
            <w:tcW w:w="2126" w:type="dxa"/>
            <w:noWrap/>
            <w:hideMark/>
          </w:tcPr>
          <w:p w14:paraId="49CCE2C3"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1,183,384</w:t>
            </w:r>
          </w:p>
        </w:tc>
        <w:tc>
          <w:tcPr>
            <w:tcW w:w="2486" w:type="dxa"/>
            <w:noWrap/>
            <w:hideMark/>
          </w:tcPr>
          <w:p w14:paraId="54242BC7"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13.0</w:t>
            </w:r>
          </w:p>
        </w:tc>
      </w:tr>
      <w:tr w:rsidR="00020DE9" w:rsidRPr="001C1FF6" w14:paraId="1AF56EAE" w14:textId="77777777" w:rsidTr="00F36F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2BBD20CE" w14:textId="77777777" w:rsidR="00306D09" w:rsidRPr="00293C95" w:rsidRDefault="00306D09" w:rsidP="00306D09">
            <w:pPr>
              <w:spacing w:before="0" w:after="0" w:line="240" w:lineRule="auto"/>
              <w:jc w:val="left"/>
              <w:rPr>
                <w:kern w:val="0"/>
                <w:sz w:val="20"/>
                <w:szCs w:val="20"/>
                <w14:ligatures w14:val="none"/>
              </w:rPr>
            </w:pPr>
            <w:r w:rsidRPr="00293C95">
              <w:rPr>
                <w:kern w:val="0"/>
                <w:sz w:val="20"/>
                <w:szCs w:val="20"/>
                <w14:ligatures w14:val="none"/>
              </w:rPr>
              <w:t>2023/24</w:t>
            </w:r>
          </w:p>
        </w:tc>
        <w:tc>
          <w:tcPr>
            <w:tcW w:w="1560" w:type="dxa"/>
            <w:noWrap/>
            <w:hideMark/>
          </w:tcPr>
          <w:p w14:paraId="11A04892"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434,354</w:t>
            </w:r>
          </w:p>
        </w:tc>
        <w:tc>
          <w:tcPr>
            <w:tcW w:w="1559" w:type="dxa"/>
            <w:noWrap/>
            <w:hideMark/>
          </w:tcPr>
          <w:p w14:paraId="4D0CB253"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4.8</w:t>
            </w:r>
          </w:p>
        </w:tc>
        <w:tc>
          <w:tcPr>
            <w:tcW w:w="2126" w:type="dxa"/>
            <w:noWrap/>
            <w:hideMark/>
          </w:tcPr>
          <w:p w14:paraId="7B21F736"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1,238,851</w:t>
            </w:r>
          </w:p>
        </w:tc>
        <w:tc>
          <w:tcPr>
            <w:tcW w:w="2486" w:type="dxa"/>
            <w:noWrap/>
            <w:hideMark/>
          </w:tcPr>
          <w:p w14:paraId="6115C362" w14:textId="77777777" w:rsidR="00306D09" w:rsidRPr="00293C95" w:rsidRDefault="00306D09" w:rsidP="00306D0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kern w:val="0"/>
                <w:sz w:val="20"/>
                <w:szCs w:val="20"/>
                <w14:ligatures w14:val="none"/>
              </w:rPr>
            </w:pPr>
            <w:r w:rsidRPr="00293C95">
              <w:rPr>
                <w:kern w:val="0"/>
                <w:sz w:val="20"/>
                <w:szCs w:val="20"/>
                <w14:ligatures w14:val="none"/>
              </w:rPr>
              <w:t>13.6</w:t>
            </w:r>
          </w:p>
        </w:tc>
      </w:tr>
      <w:tr w:rsidR="00020DE9" w:rsidRPr="001C1FF6" w14:paraId="2C40E0A1" w14:textId="77777777" w:rsidTr="00293C95">
        <w:trPr>
          <w:trHeight w:val="290"/>
        </w:trPr>
        <w:tc>
          <w:tcPr>
            <w:cnfStyle w:val="001000000000" w:firstRow="0" w:lastRow="0" w:firstColumn="1" w:lastColumn="0" w:oddVBand="0" w:evenVBand="0" w:oddHBand="0" w:evenHBand="0" w:firstRowFirstColumn="0" w:firstRowLastColumn="0" w:lastRowFirstColumn="0" w:lastRowLastColumn="0"/>
            <w:tcW w:w="0" w:type="dxa"/>
            <w:noWrap/>
            <w:hideMark/>
          </w:tcPr>
          <w:p w14:paraId="54A3C826" w14:textId="77777777" w:rsidR="00306D09" w:rsidRPr="00293C95" w:rsidRDefault="00306D09" w:rsidP="00306D09">
            <w:pPr>
              <w:spacing w:before="0" w:after="0" w:line="240" w:lineRule="auto"/>
              <w:jc w:val="left"/>
              <w:rPr>
                <w:kern w:val="0"/>
                <w:sz w:val="20"/>
                <w:szCs w:val="20"/>
                <w14:ligatures w14:val="none"/>
              </w:rPr>
            </w:pPr>
            <w:r w:rsidRPr="00293C95">
              <w:rPr>
                <w:kern w:val="0"/>
                <w:sz w:val="20"/>
                <w:szCs w:val="20"/>
                <w14:ligatures w14:val="none"/>
              </w:rPr>
              <w:t>2024/25</w:t>
            </w:r>
          </w:p>
        </w:tc>
        <w:tc>
          <w:tcPr>
            <w:tcW w:w="0" w:type="dxa"/>
            <w:noWrap/>
            <w:hideMark/>
          </w:tcPr>
          <w:p w14:paraId="2A4249D3"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482,640</w:t>
            </w:r>
          </w:p>
        </w:tc>
        <w:tc>
          <w:tcPr>
            <w:tcW w:w="1559" w:type="dxa"/>
            <w:noWrap/>
            <w:hideMark/>
          </w:tcPr>
          <w:p w14:paraId="4C16EC55"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5.3</w:t>
            </w:r>
          </w:p>
        </w:tc>
        <w:tc>
          <w:tcPr>
            <w:tcW w:w="2126" w:type="dxa"/>
            <w:noWrap/>
            <w:hideMark/>
          </w:tcPr>
          <w:p w14:paraId="26755A10"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1,284,284</w:t>
            </w:r>
          </w:p>
        </w:tc>
        <w:tc>
          <w:tcPr>
            <w:tcW w:w="2486" w:type="dxa"/>
            <w:noWrap/>
            <w:hideMark/>
          </w:tcPr>
          <w:p w14:paraId="7F0CE1D7" w14:textId="77777777" w:rsidR="00306D09" w:rsidRPr="00293C95" w:rsidRDefault="00306D09" w:rsidP="00306D0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kern w:val="0"/>
                <w:sz w:val="20"/>
                <w:szCs w:val="20"/>
                <w14:ligatures w14:val="none"/>
              </w:rPr>
            </w:pPr>
            <w:r w:rsidRPr="00293C95">
              <w:rPr>
                <w:kern w:val="0"/>
                <w:sz w:val="20"/>
                <w:szCs w:val="20"/>
                <w14:ligatures w14:val="none"/>
              </w:rPr>
              <w:t>14.2</w:t>
            </w:r>
          </w:p>
        </w:tc>
      </w:tr>
    </w:tbl>
    <w:p w14:paraId="3ED9A0AB" w14:textId="54B62876" w:rsidR="004E04E1" w:rsidRPr="00C602D4" w:rsidRDefault="004E04E1" w:rsidP="00234C5A">
      <w:r w:rsidRPr="00234C5A">
        <w:t xml:space="preserve">This national figure includes children with formal </w:t>
      </w:r>
      <w:r w:rsidRPr="00C602D4">
        <w:t>EH</w:t>
      </w:r>
      <w:r w:rsidR="00AF5313">
        <w:t>C</w:t>
      </w:r>
      <w:r w:rsidR="00292BD0">
        <w:t>Ps</w:t>
      </w:r>
      <w:r w:rsidRPr="00C602D4">
        <w:t>, as well as those receiving SEN support in schools without a formal plan. In 2025 alone, 482,640 pupils in England had an EH</w:t>
      </w:r>
      <w:r w:rsidR="00CF3DD2">
        <w:t>CP</w:t>
      </w:r>
      <w:r w:rsidRPr="00C602D4">
        <w:t>, an 11.1% increase from 2024, while more than 1.28 million pupils were receiving SEN support. Together, they represented nearly 1 in 5 school-aged children.</w:t>
      </w:r>
    </w:p>
    <w:p w14:paraId="3DF5880D" w14:textId="1707D5CE" w:rsidR="004E04E1" w:rsidRPr="00234C5A" w:rsidRDefault="004E04E1" w:rsidP="00234C5A">
      <w:r w:rsidRPr="00234C5A">
        <w:t xml:space="preserve">In Tower Hamlets, these national trends are clearly reflected, and in some cases, more pronounced. </w:t>
      </w:r>
      <w:r w:rsidRPr="00234C5A">
        <w:br/>
        <w:t xml:space="preserve">In </w:t>
      </w:r>
      <w:r>
        <w:t xml:space="preserve">January </w:t>
      </w:r>
      <w:r w:rsidRPr="00234C5A">
        <w:t xml:space="preserve">2024, </w:t>
      </w:r>
      <w:r>
        <w:t>nearly</w:t>
      </w:r>
      <w:r w:rsidRPr="00234C5A">
        <w:t xml:space="preserve"> </w:t>
      </w:r>
      <w:r w:rsidRPr="00C602D4">
        <w:t xml:space="preserve">9,000 children and young people aged 0–25 with SEND were living in or attending school in the borough. Of these, </w:t>
      </w:r>
      <w:r w:rsidRPr="006C4344">
        <w:t>3</w:t>
      </w:r>
      <w:r>
        <w:t>,</w:t>
      </w:r>
      <w:r w:rsidRPr="006C4344">
        <w:t>109</w:t>
      </w:r>
      <w:r>
        <w:t xml:space="preserve"> </w:t>
      </w:r>
      <w:r w:rsidRPr="00C602D4">
        <w:t>had an EHC</w:t>
      </w:r>
      <w:r w:rsidR="00CF3DD2">
        <w:t xml:space="preserve">P </w:t>
      </w:r>
      <w:r w:rsidRPr="00C602D4">
        <w:t>and 5,778</w:t>
      </w:r>
      <w:r w:rsidRPr="00234C5A">
        <w:t xml:space="preserve"> were receiving SEN support without one</w:t>
      </w:r>
      <w:r w:rsidRPr="00765E60">
        <w:rPr>
          <w:vertAlign w:val="superscript"/>
        </w:rPr>
        <w:fldChar w:fldCharType="begin"/>
      </w:r>
      <w:r w:rsidRPr="00765E60">
        <w:rPr>
          <w:vertAlign w:val="superscript"/>
        </w:rPr>
        <w:instrText xml:space="preserve"> NOTEREF _Ref204587357 \h </w:instrText>
      </w:r>
      <w:r>
        <w:rPr>
          <w:vertAlign w:val="superscript"/>
        </w:rPr>
        <w:instrText xml:space="preserve"> \* MERGEFORMAT </w:instrText>
      </w:r>
      <w:r w:rsidRPr="00765E60">
        <w:rPr>
          <w:vertAlign w:val="superscript"/>
        </w:rPr>
      </w:r>
      <w:r w:rsidRPr="00765E60">
        <w:rPr>
          <w:vertAlign w:val="superscript"/>
        </w:rPr>
        <w:fldChar w:fldCharType="separate"/>
      </w:r>
      <w:r w:rsidR="008722C4">
        <w:rPr>
          <w:vertAlign w:val="superscript"/>
        </w:rPr>
        <w:t>3</w:t>
      </w:r>
      <w:r w:rsidRPr="00765E60">
        <w:rPr>
          <w:vertAlign w:val="superscript"/>
        </w:rPr>
        <w:fldChar w:fldCharType="end"/>
      </w:r>
      <w:r w:rsidRPr="00234C5A">
        <w:t>.</w:t>
      </w:r>
      <w:r w:rsidR="00572E52" w:rsidRPr="00234C5A">
        <w:t xml:space="preserve"> </w:t>
      </w:r>
    </w:p>
    <w:p w14:paraId="1B60B219" w14:textId="3E361C3E" w:rsidR="004E04E1" w:rsidRDefault="004E04E1" w:rsidP="006F488E">
      <w:r w:rsidRPr="00234C5A">
        <w:t xml:space="preserve">Tower Hamlets had </w:t>
      </w:r>
      <w:r w:rsidRPr="00542BF6">
        <w:t>the highest proportion of school pupils with an EHC</w:t>
      </w:r>
      <w:r w:rsidR="00CF3DD2">
        <w:t xml:space="preserve">P </w:t>
      </w:r>
      <w:r w:rsidRPr="00542BF6">
        <w:t>in the entire country, 6.8%, compared to the national average of 4.8%. Conversely, the percentage of pupils receiving SEN support without a plan was 12.</w:t>
      </w:r>
      <w:r>
        <w:t>6</w:t>
      </w:r>
      <w:r w:rsidRPr="00542BF6">
        <w:t>%, slightly below the national average of 13.6%</w:t>
      </w:r>
      <w:r w:rsidRPr="00765E60">
        <w:rPr>
          <w:vertAlign w:val="superscript"/>
        </w:rPr>
        <w:fldChar w:fldCharType="begin"/>
      </w:r>
      <w:r w:rsidRPr="00765E60">
        <w:rPr>
          <w:vertAlign w:val="superscript"/>
        </w:rPr>
        <w:instrText xml:space="preserve"> NOTEREF _Ref204587357 \h </w:instrText>
      </w:r>
      <w:r>
        <w:rPr>
          <w:vertAlign w:val="superscript"/>
        </w:rPr>
        <w:instrText xml:space="preserve"> \* MERGEFORMAT </w:instrText>
      </w:r>
      <w:r w:rsidRPr="00765E60">
        <w:rPr>
          <w:vertAlign w:val="superscript"/>
        </w:rPr>
      </w:r>
      <w:r w:rsidRPr="00765E60">
        <w:rPr>
          <w:vertAlign w:val="superscript"/>
        </w:rPr>
        <w:fldChar w:fldCharType="separate"/>
      </w:r>
      <w:r w:rsidR="008722C4">
        <w:rPr>
          <w:vertAlign w:val="superscript"/>
        </w:rPr>
        <w:t>3</w:t>
      </w:r>
      <w:r w:rsidRPr="00765E60">
        <w:rPr>
          <w:vertAlign w:val="superscript"/>
        </w:rPr>
        <w:fldChar w:fldCharType="end"/>
      </w:r>
      <w:r w:rsidRPr="00542BF6">
        <w:t>.</w:t>
      </w:r>
    </w:p>
    <w:p w14:paraId="231EE401" w14:textId="77777777" w:rsidR="004E04E1" w:rsidRPr="00584FE1" w:rsidRDefault="004E04E1" w:rsidP="006F488E">
      <w:pPr>
        <w:pStyle w:val="Heading3"/>
        <w:rPr>
          <w:color w:val="006B70"/>
        </w:rPr>
      </w:pPr>
      <w:bookmarkStart w:id="50" w:name="_Toc205386873"/>
      <w:bookmarkStart w:id="51" w:name="_Toc205387943"/>
      <w:bookmarkStart w:id="52" w:name="_Toc205445954"/>
      <w:r w:rsidRPr="00584FE1">
        <w:rPr>
          <w:color w:val="006B70"/>
        </w:rPr>
        <w:t>Gender</w:t>
      </w:r>
      <w:bookmarkEnd w:id="50"/>
      <w:bookmarkEnd w:id="51"/>
      <w:bookmarkEnd w:id="52"/>
    </w:p>
    <w:p w14:paraId="3BCE19E7" w14:textId="1E891E6A" w:rsidR="004E04E1" w:rsidRDefault="004E04E1" w:rsidP="006F488E">
      <w:r w:rsidRPr="002B2420">
        <w:t xml:space="preserve">In the UK, males are consistently more likely than females to be identified with SEND and to receive support. This pattern holds true </w:t>
      </w:r>
      <w:r>
        <w:t>for</w:t>
      </w:r>
      <w:r w:rsidRPr="002B2420">
        <w:t xml:space="preserve"> those with EHC</w:t>
      </w:r>
      <w:r w:rsidR="00CF3DD2">
        <w:t xml:space="preserve">Ps </w:t>
      </w:r>
      <w:r>
        <w:t>and those</w:t>
      </w:r>
      <w:r w:rsidRPr="002B2420">
        <w:t xml:space="preserve"> receiving SEN support</w:t>
      </w:r>
      <w:r>
        <w:t xml:space="preserve">, </w:t>
      </w:r>
      <w:r w:rsidRPr="002B2420">
        <w:t>and is observed across different regions, age groups, ethnicities, and types of need.</w:t>
      </w:r>
    </w:p>
    <w:p w14:paraId="06CB6C9A" w14:textId="6CD005F8" w:rsidR="004E04E1" w:rsidRDefault="004E04E1" w:rsidP="006F488E">
      <w:r w:rsidRPr="00487BE2">
        <w:lastRenderedPageBreak/>
        <w:t>However, the degree of gender disproportionality varies substantially depending on the type of disability, geographic location, and the child’s developmental stage. For example, conditions such as ASD have historically shown a strong male skew, but recent changes in identification patterns suggest evolving diagnostic practices. These shifts may reflect improved recognition and diagnosis of females, who have traditionally been under-identified, particularly in conditions where presentation differs by gender.</w:t>
      </w:r>
    </w:p>
    <w:p w14:paraId="27F37899" w14:textId="083FA9EB" w:rsidR="004E04E1" w:rsidRDefault="004E04E1" w:rsidP="006F488E">
      <w:r w:rsidRPr="002B2420">
        <w:t xml:space="preserve">In recent years, there are signs that this gender gap is beginning to narrow. An increasing proportion of females are now being identified with SEND, </w:t>
      </w:r>
      <w:r>
        <w:t>indicating progress</w:t>
      </w:r>
      <w:r w:rsidRPr="002B2420">
        <w:t xml:space="preserve"> toward greater awareness and possibly improved identification practices for girls</w:t>
      </w:r>
      <w:r>
        <w:rPr>
          <w:rStyle w:val="EndnoteReference"/>
        </w:rPr>
        <w:endnoteReference w:id="25"/>
      </w:r>
      <w:r w:rsidRPr="002B2420">
        <w:t>.</w:t>
      </w:r>
    </w:p>
    <w:p w14:paraId="5664AE86" w14:textId="56835C4A" w:rsidR="004E04E1" w:rsidRDefault="004E04E1" w:rsidP="006F488E">
      <w:pPr>
        <w:ind w:left="11" w:hanging="11"/>
      </w:pPr>
      <w:r w:rsidRPr="004D70CB">
        <w:t>In Tower Hamlets, the proportion of males with EHC</w:t>
      </w:r>
      <w:r w:rsidR="00CF3DD2">
        <w:t xml:space="preserve">Ps </w:t>
      </w:r>
      <w:r w:rsidRPr="004D70CB">
        <w:t>and SEN support rose between 2022/23 and 2023/24, reflecting a trend seen across England. However, in 2024/25, the percentage of males receiving support decreased slightly both locally and nationally.</w:t>
      </w:r>
      <w:r>
        <w:t xml:space="preserve"> </w:t>
      </w:r>
    </w:p>
    <w:p w14:paraId="229BDAD3" w14:textId="77777777" w:rsidR="004E04E1" w:rsidRPr="00025F46" w:rsidRDefault="004E04E1" w:rsidP="00025F46">
      <w:pPr>
        <w:ind w:left="11" w:hanging="11"/>
      </w:pPr>
      <w:r w:rsidRPr="00025F46">
        <w:t>Looking at the gender breakdown for 2024/25 in Tower Hamlets:</w:t>
      </w:r>
    </w:p>
    <w:p w14:paraId="50269A4E" w14:textId="6D4DC7E0" w:rsidR="004E04E1" w:rsidRPr="00025F46" w:rsidRDefault="004E04E1" w:rsidP="00BF63ED">
      <w:pPr>
        <w:numPr>
          <w:ilvl w:val="0"/>
          <w:numId w:val="18"/>
        </w:numPr>
      </w:pPr>
      <w:r w:rsidRPr="00025F46">
        <w:rPr>
          <w:b/>
          <w:bCs/>
        </w:rPr>
        <w:t>27%</w:t>
      </w:r>
      <w:r w:rsidRPr="00025F46">
        <w:t xml:space="preserve"> of those with an EHC</w:t>
      </w:r>
      <w:r w:rsidR="00CF3DD2">
        <w:t xml:space="preserve">P </w:t>
      </w:r>
      <w:r w:rsidRPr="00025F46">
        <w:t>were female</w:t>
      </w:r>
      <w:r>
        <w:t xml:space="preserve">, </w:t>
      </w:r>
      <w:r w:rsidRPr="00025F46">
        <w:t xml:space="preserve">below the national figure of </w:t>
      </w:r>
      <w:r w:rsidRPr="00025F46">
        <w:rPr>
          <w:b/>
          <w:bCs/>
        </w:rPr>
        <w:t>28.6%</w:t>
      </w:r>
      <w:r w:rsidRPr="00025F46">
        <w:t>.</w:t>
      </w:r>
    </w:p>
    <w:p w14:paraId="73FA9160" w14:textId="571A680C" w:rsidR="004E04E1" w:rsidRPr="00025F46" w:rsidRDefault="004E04E1" w:rsidP="00BF63ED">
      <w:pPr>
        <w:numPr>
          <w:ilvl w:val="0"/>
          <w:numId w:val="18"/>
        </w:numPr>
      </w:pPr>
      <w:r w:rsidRPr="00025F46">
        <w:t xml:space="preserve">For those receiving SEN support, </w:t>
      </w:r>
      <w:r w:rsidRPr="00025F46">
        <w:rPr>
          <w:b/>
          <w:bCs/>
        </w:rPr>
        <w:t>40.4%</w:t>
      </w:r>
      <w:r w:rsidRPr="00025F46">
        <w:t xml:space="preserve"> were female</w:t>
      </w:r>
      <w:r>
        <w:t xml:space="preserve">, </w:t>
      </w:r>
      <w:r w:rsidRPr="00025F46">
        <w:t xml:space="preserve">higher than the national rate of </w:t>
      </w:r>
      <w:r w:rsidRPr="00025F46">
        <w:rPr>
          <w:b/>
          <w:bCs/>
        </w:rPr>
        <w:t>38.8%</w:t>
      </w:r>
      <w:r w:rsidRPr="00025F46">
        <w:t xml:space="preserve"> (see Table </w:t>
      </w:r>
      <w:r w:rsidR="00EF3030">
        <w:t>3.</w:t>
      </w:r>
      <w:r w:rsidR="00AD45C8">
        <w:t>2</w:t>
      </w:r>
      <w:r w:rsidRPr="00025F46">
        <w:t>).</w:t>
      </w:r>
    </w:p>
    <w:p w14:paraId="435BA00A" w14:textId="3E9E49FA" w:rsidR="004E04E1" w:rsidRDefault="004E04E1" w:rsidP="004B0745">
      <w:pPr>
        <w:pStyle w:val="BodyText"/>
        <w:rPr>
          <w:rFonts w:ascii="Calibri" w:eastAsia="Times New Roman" w:hAnsi="Calibri" w:cs="Calibri"/>
          <w:color w:val="000000"/>
          <w:kern w:val="2"/>
          <w:szCs w:val="24"/>
          <w:lang w:val="en-GB" w:eastAsia="en-GB"/>
          <w14:ligatures w14:val="standardContextual"/>
        </w:rPr>
      </w:pPr>
      <w:r w:rsidRPr="00742E81">
        <w:rPr>
          <w:rFonts w:ascii="Calibri" w:eastAsia="Times New Roman" w:hAnsi="Calibri" w:cs="Calibri"/>
          <w:color w:val="000000"/>
          <w:kern w:val="2"/>
          <w:szCs w:val="24"/>
          <w:lang w:val="en-GB" w:eastAsia="en-GB"/>
          <w14:ligatures w14:val="standardContextual"/>
        </w:rPr>
        <w:t>These figures highlight ongoing disparities in SEND identification between genders, while also pointing to a gradual increase in female identification, particularly at the SEN support level. The shifting patterns in conditions like ASD further suggest that the landscape of SEND identification is evolving, likely due to greater awareness of how different needs may present in girls.</w:t>
      </w:r>
    </w:p>
    <w:p w14:paraId="74B2FB15" w14:textId="77777777" w:rsidR="004E04E1" w:rsidRPr="001D2B5D" w:rsidRDefault="004E04E1" w:rsidP="004B0745">
      <w:pPr>
        <w:pStyle w:val="BodyText"/>
        <w:rPr>
          <w:rFonts w:ascii="Calibri" w:hAnsi="Calibri" w:cs="Calibri"/>
          <w:sz w:val="8"/>
          <w:szCs w:val="10"/>
        </w:rPr>
      </w:pPr>
    </w:p>
    <w:p w14:paraId="1927006F" w14:textId="6CECFF37" w:rsidR="004E04E1" w:rsidRDefault="004E04E1" w:rsidP="006F488E">
      <w:pPr>
        <w:pStyle w:val="BodyText"/>
        <w:spacing w:before="53" w:line="276" w:lineRule="auto"/>
        <w:ind w:right="-239"/>
        <w:rPr>
          <w:rFonts w:ascii="Calibri" w:hAnsi="Calibri" w:cs="Calibri"/>
          <w:b/>
          <w:bCs/>
          <w:sz w:val="16"/>
          <w:szCs w:val="16"/>
          <w:lang w:val="en-GB"/>
        </w:rPr>
      </w:pPr>
      <w:r w:rsidRPr="001E22CA">
        <w:rPr>
          <w:rFonts w:ascii="Calibri" w:hAnsi="Calibri" w:cs="Calibri"/>
          <w:b/>
          <w:bCs/>
          <w:sz w:val="16"/>
          <w:szCs w:val="16"/>
          <w:lang w:val="en-GB"/>
        </w:rPr>
        <w:t xml:space="preserve">Table </w:t>
      </w:r>
      <w:r w:rsidR="00EF3030">
        <w:rPr>
          <w:rFonts w:ascii="Calibri" w:hAnsi="Calibri" w:cs="Calibri"/>
          <w:b/>
          <w:bCs/>
          <w:sz w:val="16"/>
          <w:szCs w:val="16"/>
          <w:lang w:val="en-GB"/>
        </w:rPr>
        <w:t>3.</w:t>
      </w:r>
      <w:r w:rsidR="00304FCB" w:rsidRPr="001E22CA">
        <w:rPr>
          <w:rFonts w:ascii="Calibri" w:hAnsi="Calibri" w:cs="Calibri"/>
          <w:b/>
          <w:bCs/>
          <w:sz w:val="16"/>
          <w:szCs w:val="16"/>
          <w:lang w:val="en-GB"/>
        </w:rPr>
        <w:t>2</w:t>
      </w:r>
      <w:r w:rsidR="001130E1" w:rsidRPr="001E22CA">
        <w:rPr>
          <w:rFonts w:ascii="Calibri" w:hAnsi="Calibri" w:cs="Calibri"/>
          <w:b/>
          <w:bCs/>
          <w:sz w:val="16"/>
          <w:szCs w:val="16"/>
          <w:lang w:val="en-GB"/>
        </w:rPr>
        <w:t>:</w:t>
      </w:r>
      <w:r w:rsidRPr="001E22CA">
        <w:rPr>
          <w:rFonts w:ascii="Calibri" w:hAnsi="Calibri" w:cs="Calibri"/>
          <w:b/>
          <w:bCs/>
          <w:sz w:val="16"/>
          <w:szCs w:val="16"/>
          <w:lang w:val="en-GB"/>
        </w:rPr>
        <w:t xml:space="preserve"> 'Age and Gender, by type of SEN provision and type of need - 2016 to 2025' for </w:t>
      </w:r>
      <w:r w:rsidR="00937CCC">
        <w:rPr>
          <w:rFonts w:ascii="Calibri" w:hAnsi="Calibri" w:cs="Calibri"/>
          <w:b/>
          <w:bCs/>
          <w:sz w:val="16"/>
          <w:szCs w:val="16"/>
          <w:lang w:val="en-GB"/>
        </w:rPr>
        <w:t>EHCPs</w:t>
      </w:r>
      <w:r w:rsidRPr="001E22CA">
        <w:rPr>
          <w:rFonts w:ascii="Calibri" w:hAnsi="Calibri" w:cs="Calibri"/>
          <w:b/>
          <w:bCs/>
          <w:sz w:val="16"/>
          <w:szCs w:val="16"/>
          <w:lang w:val="en-GB"/>
        </w:rPr>
        <w:t xml:space="preserve"> and SEN support / SEN without an EHC</w:t>
      </w:r>
      <w:r w:rsidR="00CF3DD2" w:rsidRPr="001E22CA">
        <w:rPr>
          <w:rFonts w:ascii="Calibri" w:hAnsi="Calibri" w:cs="Calibri"/>
          <w:b/>
          <w:bCs/>
          <w:sz w:val="16"/>
          <w:szCs w:val="16"/>
          <w:lang w:val="en-GB"/>
        </w:rPr>
        <w:t xml:space="preserve">P </w:t>
      </w:r>
      <w:r w:rsidRPr="001E22CA">
        <w:rPr>
          <w:rFonts w:ascii="Calibri" w:hAnsi="Calibri" w:cs="Calibri"/>
          <w:b/>
          <w:bCs/>
          <w:sz w:val="16"/>
          <w:szCs w:val="16"/>
          <w:lang w:val="en-GB"/>
        </w:rPr>
        <w:t>in England and Tower Hamlets between 2022/23 and 2024/25</w:t>
      </w:r>
    </w:p>
    <w:p w14:paraId="37F0D6EF" w14:textId="77777777" w:rsidR="002B2155" w:rsidRDefault="002B2155" w:rsidP="006F488E">
      <w:pPr>
        <w:pStyle w:val="BodyText"/>
        <w:spacing w:before="53" w:line="276" w:lineRule="auto"/>
        <w:ind w:right="-239"/>
        <w:rPr>
          <w:rFonts w:ascii="Calibri" w:hAnsi="Calibri" w:cs="Calibri"/>
          <w:b/>
          <w:bCs/>
          <w:sz w:val="16"/>
          <w:szCs w:val="16"/>
          <w:lang w:val="en-GB"/>
        </w:rPr>
      </w:pPr>
    </w:p>
    <w:tbl>
      <w:tblPr>
        <w:tblStyle w:val="TableGrid0"/>
        <w:tblW w:w="9209" w:type="dxa"/>
        <w:tblLook w:val="04A0" w:firstRow="1" w:lastRow="0" w:firstColumn="1" w:lastColumn="0" w:noHBand="0" w:noVBand="1"/>
      </w:tblPr>
      <w:tblGrid>
        <w:gridCol w:w="1271"/>
        <w:gridCol w:w="992"/>
        <w:gridCol w:w="1276"/>
        <w:gridCol w:w="970"/>
        <w:gridCol w:w="1015"/>
        <w:gridCol w:w="1559"/>
        <w:gridCol w:w="992"/>
        <w:gridCol w:w="1134"/>
      </w:tblGrid>
      <w:tr w:rsidR="00293AEB" w14:paraId="5F17FB98" w14:textId="5554D806" w:rsidTr="002315BB">
        <w:trPr>
          <w:trHeight w:val="547"/>
        </w:trPr>
        <w:tc>
          <w:tcPr>
            <w:tcW w:w="1271" w:type="dxa"/>
            <w:shd w:val="clear" w:color="auto" w:fill="00435D" w:themeFill="accent1"/>
          </w:tcPr>
          <w:p w14:paraId="31F08895" w14:textId="77777777" w:rsidR="00293AEB" w:rsidRPr="00016D16" w:rsidRDefault="00293AEB" w:rsidP="006F488E">
            <w:pPr>
              <w:pStyle w:val="BodyText"/>
              <w:spacing w:before="53" w:line="276" w:lineRule="auto"/>
              <w:ind w:right="-239"/>
              <w:rPr>
                <w:rFonts w:ascii="Calibri" w:hAnsi="Calibri" w:cs="Calibri"/>
                <w:b/>
                <w:bCs/>
                <w:sz w:val="18"/>
                <w:szCs w:val="18"/>
                <w:lang w:val="en-GB"/>
              </w:rPr>
            </w:pPr>
          </w:p>
        </w:tc>
        <w:tc>
          <w:tcPr>
            <w:tcW w:w="992" w:type="dxa"/>
            <w:shd w:val="clear" w:color="auto" w:fill="00435D" w:themeFill="accent1"/>
          </w:tcPr>
          <w:p w14:paraId="73B47E4A" w14:textId="77777777" w:rsidR="00293AEB" w:rsidRPr="00016D16" w:rsidRDefault="00293AEB" w:rsidP="006F488E">
            <w:pPr>
              <w:pStyle w:val="BodyText"/>
              <w:spacing w:before="53" w:line="276" w:lineRule="auto"/>
              <w:ind w:right="-239"/>
              <w:rPr>
                <w:rFonts w:ascii="Calibri" w:hAnsi="Calibri" w:cs="Calibri"/>
                <w:b/>
                <w:bCs/>
                <w:sz w:val="18"/>
                <w:szCs w:val="18"/>
                <w:lang w:val="en-GB"/>
              </w:rPr>
            </w:pPr>
          </w:p>
        </w:tc>
        <w:tc>
          <w:tcPr>
            <w:tcW w:w="1276" w:type="dxa"/>
            <w:shd w:val="clear" w:color="auto" w:fill="00435D" w:themeFill="accent1"/>
          </w:tcPr>
          <w:p w14:paraId="6E5DC5A1" w14:textId="1BE67F70" w:rsidR="00293AEB" w:rsidRPr="00016D16" w:rsidRDefault="00FA6BFF" w:rsidP="00FA6BFF">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England</w:t>
            </w:r>
          </w:p>
        </w:tc>
        <w:tc>
          <w:tcPr>
            <w:tcW w:w="970" w:type="dxa"/>
            <w:shd w:val="clear" w:color="auto" w:fill="00435D" w:themeFill="accent1"/>
          </w:tcPr>
          <w:p w14:paraId="1E73AF4C" w14:textId="77777777" w:rsidR="00293AEB" w:rsidRPr="00016D16" w:rsidRDefault="00293AEB" w:rsidP="00FA6BFF">
            <w:pPr>
              <w:pStyle w:val="BodyText"/>
              <w:spacing w:before="53" w:line="276" w:lineRule="auto"/>
              <w:ind w:right="-239"/>
              <w:rPr>
                <w:rFonts w:ascii="Calibri" w:hAnsi="Calibri" w:cs="Calibri"/>
                <w:b/>
                <w:bCs/>
                <w:sz w:val="18"/>
                <w:szCs w:val="18"/>
                <w:lang w:val="en-GB"/>
              </w:rPr>
            </w:pPr>
          </w:p>
        </w:tc>
        <w:tc>
          <w:tcPr>
            <w:tcW w:w="1015" w:type="dxa"/>
            <w:shd w:val="clear" w:color="auto" w:fill="00435D" w:themeFill="accent1"/>
          </w:tcPr>
          <w:p w14:paraId="5718A92F" w14:textId="77777777" w:rsidR="00293AEB" w:rsidRPr="00016D16" w:rsidRDefault="00293AEB" w:rsidP="00FA6BFF">
            <w:pPr>
              <w:pStyle w:val="BodyText"/>
              <w:spacing w:before="53" w:line="276" w:lineRule="auto"/>
              <w:ind w:right="-239"/>
              <w:rPr>
                <w:rFonts w:ascii="Calibri" w:hAnsi="Calibri" w:cs="Calibri"/>
                <w:b/>
                <w:bCs/>
                <w:sz w:val="18"/>
                <w:szCs w:val="18"/>
                <w:lang w:val="en-GB"/>
              </w:rPr>
            </w:pPr>
          </w:p>
        </w:tc>
        <w:tc>
          <w:tcPr>
            <w:tcW w:w="1559" w:type="dxa"/>
            <w:shd w:val="clear" w:color="auto" w:fill="00435D" w:themeFill="accent1"/>
          </w:tcPr>
          <w:p w14:paraId="681F6137" w14:textId="43AF94DA" w:rsidR="00293AEB" w:rsidRPr="00016D16" w:rsidRDefault="00FA6BFF" w:rsidP="00FA6BFF">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Tower Hamlets</w:t>
            </w:r>
          </w:p>
        </w:tc>
        <w:tc>
          <w:tcPr>
            <w:tcW w:w="992" w:type="dxa"/>
            <w:shd w:val="clear" w:color="auto" w:fill="00435D" w:themeFill="accent1"/>
          </w:tcPr>
          <w:p w14:paraId="16E15F76" w14:textId="77777777" w:rsidR="00293AEB" w:rsidRPr="00016D16" w:rsidRDefault="00293AEB" w:rsidP="00FA6BFF">
            <w:pPr>
              <w:pStyle w:val="BodyText"/>
              <w:spacing w:before="53" w:line="276" w:lineRule="auto"/>
              <w:ind w:right="-239"/>
              <w:rPr>
                <w:rFonts w:ascii="Calibri" w:hAnsi="Calibri" w:cs="Calibri"/>
                <w:b/>
                <w:bCs/>
                <w:sz w:val="18"/>
                <w:szCs w:val="18"/>
                <w:lang w:val="en-GB"/>
              </w:rPr>
            </w:pPr>
          </w:p>
        </w:tc>
        <w:tc>
          <w:tcPr>
            <w:tcW w:w="1134" w:type="dxa"/>
            <w:shd w:val="clear" w:color="auto" w:fill="00435D" w:themeFill="accent1"/>
          </w:tcPr>
          <w:p w14:paraId="32F04EA6" w14:textId="77777777" w:rsidR="00293AEB" w:rsidRPr="00016D16" w:rsidRDefault="00293AEB" w:rsidP="00FA6BFF">
            <w:pPr>
              <w:pStyle w:val="BodyText"/>
              <w:spacing w:before="53" w:line="276" w:lineRule="auto"/>
              <w:ind w:right="-239"/>
              <w:rPr>
                <w:rFonts w:ascii="Calibri" w:hAnsi="Calibri" w:cs="Calibri"/>
                <w:b/>
                <w:bCs/>
                <w:sz w:val="18"/>
                <w:szCs w:val="18"/>
                <w:lang w:val="en-GB"/>
              </w:rPr>
            </w:pPr>
          </w:p>
        </w:tc>
      </w:tr>
      <w:tr w:rsidR="000A2711" w14:paraId="1ABE464E" w14:textId="77777777" w:rsidTr="002315BB">
        <w:tc>
          <w:tcPr>
            <w:tcW w:w="1271" w:type="dxa"/>
            <w:shd w:val="clear" w:color="auto" w:fill="00435D" w:themeFill="accent1"/>
          </w:tcPr>
          <w:p w14:paraId="7C6BC823" w14:textId="77777777" w:rsidR="000A2711" w:rsidRPr="00016D16" w:rsidRDefault="000A2711" w:rsidP="000A2711">
            <w:pPr>
              <w:pStyle w:val="BodyText"/>
              <w:spacing w:before="53" w:line="276" w:lineRule="auto"/>
              <w:ind w:right="-239"/>
              <w:rPr>
                <w:rFonts w:ascii="Calibri" w:hAnsi="Calibri" w:cs="Calibri"/>
                <w:b/>
                <w:bCs/>
                <w:sz w:val="18"/>
                <w:szCs w:val="18"/>
                <w:lang w:val="en-GB"/>
              </w:rPr>
            </w:pPr>
          </w:p>
        </w:tc>
        <w:tc>
          <w:tcPr>
            <w:tcW w:w="992" w:type="dxa"/>
            <w:shd w:val="clear" w:color="auto" w:fill="00435D" w:themeFill="accent1"/>
          </w:tcPr>
          <w:p w14:paraId="4DE9F41B" w14:textId="77777777" w:rsidR="000A2711" w:rsidRPr="00016D16" w:rsidRDefault="000A2711" w:rsidP="000A2711">
            <w:pPr>
              <w:pStyle w:val="BodyText"/>
              <w:spacing w:before="53" w:line="276" w:lineRule="auto"/>
              <w:ind w:right="-239"/>
              <w:rPr>
                <w:rFonts w:ascii="Calibri" w:hAnsi="Calibri" w:cs="Calibri"/>
                <w:b/>
                <w:bCs/>
                <w:sz w:val="18"/>
                <w:szCs w:val="18"/>
                <w:lang w:val="en-GB"/>
              </w:rPr>
            </w:pPr>
          </w:p>
        </w:tc>
        <w:tc>
          <w:tcPr>
            <w:tcW w:w="1276" w:type="dxa"/>
            <w:shd w:val="clear" w:color="auto" w:fill="00435D" w:themeFill="accent1"/>
          </w:tcPr>
          <w:p w14:paraId="2346805C" w14:textId="0946BCBD" w:rsidR="000A2711" w:rsidRPr="00016D16" w:rsidRDefault="00FA6BFF" w:rsidP="00FA6BFF">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2024/25</w:t>
            </w:r>
          </w:p>
        </w:tc>
        <w:tc>
          <w:tcPr>
            <w:tcW w:w="970" w:type="dxa"/>
            <w:shd w:val="clear" w:color="auto" w:fill="00435D" w:themeFill="accent1"/>
          </w:tcPr>
          <w:p w14:paraId="62B70703" w14:textId="1C03DE1D" w:rsidR="000A2711" w:rsidRPr="00016D16" w:rsidRDefault="00FA6BFF" w:rsidP="00FA6BFF">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2023/24</w:t>
            </w:r>
          </w:p>
        </w:tc>
        <w:tc>
          <w:tcPr>
            <w:tcW w:w="1015" w:type="dxa"/>
            <w:shd w:val="clear" w:color="auto" w:fill="00435D" w:themeFill="accent1"/>
          </w:tcPr>
          <w:p w14:paraId="2294E3C5" w14:textId="6124BE34" w:rsidR="000A2711" w:rsidRPr="00016D16" w:rsidRDefault="00FA6BFF" w:rsidP="00FA6BFF">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2022/23</w:t>
            </w:r>
          </w:p>
        </w:tc>
        <w:tc>
          <w:tcPr>
            <w:tcW w:w="1559" w:type="dxa"/>
            <w:shd w:val="clear" w:color="auto" w:fill="00435D" w:themeFill="accent1"/>
          </w:tcPr>
          <w:p w14:paraId="44F2C2B3" w14:textId="621AB518" w:rsidR="000A2711" w:rsidRPr="00016D16" w:rsidRDefault="00FA6BFF" w:rsidP="00FA6BFF">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2024/25</w:t>
            </w:r>
          </w:p>
        </w:tc>
        <w:tc>
          <w:tcPr>
            <w:tcW w:w="992" w:type="dxa"/>
            <w:shd w:val="clear" w:color="auto" w:fill="00435D" w:themeFill="accent1"/>
          </w:tcPr>
          <w:p w14:paraId="30242778" w14:textId="5865D2CB" w:rsidR="000A2711" w:rsidRPr="00016D16" w:rsidRDefault="000A2711" w:rsidP="00FA6BFF">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2023/24</w:t>
            </w:r>
          </w:p>
        </w:tc>
        <w:tc>
          <w:tcPr>
            <w:tcW w:w="1134" w:type="dxa"/>
            <w:shd w:val="clear" w:color="auto" w:fill="00435D" w:themeFill="accent1"/>
          </w:tcPr>
          <w:p w14:paraId="760AE348" w14:textId="07F6CA42" w:rsidR="000A2711" w:rsidRPr="00016D16" w:rsidRDefault="000A2711" w:rsidP="00FA6BFF">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2022/23</w:t>
            </w:r>
          </w:p>
        </w:tc>
      </w:tr>
      <w:tr w:rsidR="000A2711" w14:paraId="2DE0BC78" w14:textId="77777777" w:rsidTr="002315BB">
        <w:tc>
          <w:tcPr>
            <w:tcW w:w="1271" w:type="dxa"/>
          </w:tcPr>
          <w:p w14:paraId="5C96465E" w14:textId="561524C5" w:rsidR="000A2711" w:rsidRPr="00016D16" w:rsidRDefault="00FA6BFF"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EHCP</w:t>
            </w:r>
          </w:p>
        </w:tc>
        <w:tc>
          <w:tcPr>
            <w:tcW w:w="992" w:type="dxa"/>
          </w:tcPr>
          <w:p w14:paraId="0C167538" w14:textId="6D092D4B"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Female</w:t>
            </w:r>
          </w:p>
        </w:tc>
        <w:tc>
          <w:tcPr>
            <w:tcW w:w="1276" w:type="dxa"/>
          </w:tcPr>
          <w:p w14:paraId="549B9C7D" w14:textId="04906734"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127,217</w:t>
            </w:r>
          </w:p>
        </w:tc>
        <w:tc>
          <w:tcPr>
            <w:tcW w:w="970" w:type="dxa"/>
          </w:tcPr>
          <w:p w14:paraId="70CF5B9F" w14:textId="302BA32C"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112,269</w:t>
            </w:r>
          </w:p>
        </w:tc>
        <w:tc>
          <w:tcPr>
            <w:tcW w:w="1015" w:type="dxa"/>
          </w:tcPr>
          <w:p w14:paraId="5DFAD866" w14:textId="3B217FE7"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99,343</w:t>
            </w:r>
          </w:p>
        </w:tc>
        <w:tc>
          <w:tcPr>
            <w:tcW w:w="1559" w:type="dxa"/>
          </w:tcPr>
          <w:p w14:paraId="7B4CA1C9" w14:textId="6883430E"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915</w:t>
            </w:r>
          </w:p>
        </w:tc>
        <w:tc>
          <w:tcPr>
            <w:tcW w:w="992" w:type="dxa"/>
          </w:tcPr>
          <w:p w14:paraId="45E788F7" w14:textId="744AF3C4"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813</w:t>
            </w:r>
          </w:p>
        </w:tc>
        <w:tc>
          <w:tcPr>
            <w:tcW w:w="1134" w:type="dxa"/>
          </w:tcPr>
          <w:p w14:paraId="5E7E49C4" w14:textId="0EBC8D68"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709</w:t>
            </w:r>
          </w:p>
        </w:tc>
      </w:tr>
      <w:tr w:rsidR="000A2711" w14:paraId="3A62E210" w14:textId="77777777" w:rsidTr="002315BB">
        <w:tc>
          <w:tcPr>
            <w:tcW w:w="1271" w:type="dxa"/>
          </w:tcPr>
          <w:p w14:paraId="21AB2063" w14:textId="77777777" w:rsidR="000A2711" w:rsidRPr="00016D16" w:rsidRDefault="000A2711" w:rsidP="000A2711">
            <w:pPr>
              <w:pStyle w:val="BodyText"/>
              <w:spacing w:before="53" w:line="276" w:lineRule="auto"/>
              <w:ind w:right="-239"/>
              <w:rPr>
                <w:rFonts w:ascii="Calibri" w:hAnsi="Calibri" w:cs="Calibri"/>
                <w:b/>
                <w:bCs/>
                <w:sz w:val="18"/>
                <w:szCs w:val="18"/>
                <w:lang w:val="en-GB"/>
              </w:rPr>
            </w:pPr>
          </w:p>
        </w:tc>
        <w:tc>
          <w:tcPr>
            <w:tcW w:w="992" w:type="dxa"/>
          </w:tcPr>
          <w:p w14:paraId="3D0632CF" w14:textId="1C7BCC90" w:rsidR="000A2711" w:rsidRPr="00016D16" w:rsidRDefault="00187F5D" w:rsidP="000A2711">
            <w:pPr>
              <w:pStyle w:val="BodyText"/>
              <w:spacing w:before="53" w:line="276" w:lineRule="auto"/>
              <w:ind w:right="-239"/>
              <w:rPr>
                <w:rFonts w:ascii="Calibri" w:hAnsi="Calibri" w:cs="Calibri"/>
                <w:b/>
                <w:bCs/>
                <w:sz w:val="18"/>
                <w:szCs w:val="18"/>
                <w:lang w:val="en-GB"/>
              </w:rPr>
            </w:pPr>
            <w:proofErr w:type="gramStart"/>
            <w:r w:rsidRPr="00016D16">
              <w:rPr>
                <w:rFonts w:ascii="Calibri" w:hAnsi="Calibri" w:cs="Calibri"/>
                <w:b/>
                <w:bCs/>
                <w:sz w:val="18"/>
                <w:szCs w:val="18"/>
                <w:lang w:val="en-GB"/>
              </w:rPr>
              <w:t>Female )</w:t>
            </w:r>
            <w:proofErr w:type="gramEnd"/>
            <w:r w:rsidRPr="00016D16">
              <w:rPr>
                <w:rFonts w:ascii="Calibri" w:hAnsi="Calibri" w:cs="Calibri"/>
                <w:b/>
                <w:bCs/>
                <w:sz w:val="18"/>
                <w:szCs w:val="18"/>
                <w:lang w:val="en-GB"/>
              </w:rPr>
              <w:t>%)</w:t>
            </w:r>
          </w:p>
        </w:tc>
        <w:tc>
          <w:tcPr>
            <w:tcW w:w="1276" w:type="dxa"/>
          </w:tcPr>
          <w:p w14:paraId="31D7F58F" w14:textId="02F7CDE9"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28.6</w:t>
            </w:r>
          </w:p>
        </w:tc>
        <w:tc>
          <w:tcPr>
            <w:tcW w:w="970" w:type="dxa"/>
          </w:tcPr>
          <w:p w14:paraId="44F437EE" w14:textId="089122B9"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28.0</w:t>
            </w:r>
          </w:p>
        </w:tc>
        <w:tc>
          <w:tcPr>
            <w:tcW w:w="1015" w:type="dxa"/>
          </w:tcPr>
          <w:p w14:paraId="68127C27" w14:textId="6A59AB7B"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27.6</w:t>
            </w:r>
          </w:p>
        </w:tc>
        <w:tc>
          <w:tcPr>
            <w:tcW w:w="1559" w:type="dxa"/>
          </w:tcPr>
          <w:p w14:paraId="2831C414" w14:textId="70F1F443"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27.0</w:t>
            </w:r>
          </w:p>
        </w:tc>
        <w:tc>
          <w:tcPr>
            <w:tcW w:w="992" w:type="dxa"/>
          </w:tcPr>
          <w:p w14:paraId="183BF9ED" w14:textId="17ED3F35"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26.1</w:t>
            </w:r>
          </w:p>
        </w:tc>
        <w:tc>
          <w:tcPr>
            <w:tcW w:w="1134" w:type="dxa"/>
          </w:tcPr>
          <w:p w14:paraId="4FEFB796" w14:textId="4BB291AE"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25.5</w:t>
            </w:r>
          </w:p>
        </w:tc>
      </w:tr>
      <w:tr w:rsidR="000A2711" w14:paraId="012B9CDE" w14:textId="77777777" w:rsidTr="002315BB">
        <w:tc>
          <w:tcPr>
            <w:tcW w:w="1271" w:type="dxa"/>
          </w:tcPr>
          <w:p w14:paraId="30997830" w14:textId="77777777" w:rsidR="000A2711" w:rsidRPr="00016D16" w:rsidRDefault="000A2711" w:rsidP="000A2711">
            <w:pPr>
              <w:pStyle w:val="BodyText"/>
              <w:spacing w:before="53" w:line="276" w:lineRule="auto"/>
              <w:ind w:right="-239"/>
              <w:rPr>
                <w:rFonts w:ascii="Calibri" w:hAnsi="Calibri" w:cs="Calibri"/>
                <w:b/>
                <w:bCs/>
                <w:sz w:val="18"/>
                <w:szCs w:val="18"/>
                <w:lang w:val="en-GB"/>
              </w:rPr>
            </w:pPr>
          </w:p>
        </w:tc>
        <w:tc>
          <w:tcPr>
            <w:tcW w:w="992" w:type="dxa"/>
          </w:tcPr>
          <w:p w14:paraId="0AA49C3D" w14:textId="57B4423D"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Male</w:t>
            </w:r>
          </w:p>
        </w:tc>
        <w:tc>
          <w:tcPr>
            <w:tcW w:w="1276" w:type="dxa"/>
          </w:tcPr>
          <w:p w14:paraId="680A789F" w14:textId="16B9B924"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317,202</w:t>
            </w:r>
          </w:p>
        </w:tc>
        <w:tc>
          <w:tcPr>
            <w:tcW w:w="970" w:type="dxa"/>
          </w:tcPr>
          <w:p w14:paraId="74C248E5" w14:textId="2B4317A8"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288,144</w:t>
            </w:r>
          </w:p>
        </w:tc>
        <w:tc>
          <w:tcPr>
            <w:tcW w:w="1015" w:type="dxa"/>
          </w:tcPr>
          <w:p w14:paraId="5C7370ED" w14:textId="17D71BC3"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260,994</w:t>
            </w:r>
          </w:p>
        </w:tc>
        <w:tc>
          <w:tcPr>
            <w:tcW w:w="1559" w:type="dxa"/>
          </w:tcPr>
          <w:p w14:paraId="53C01820" w14:textId="693F7A69"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2,479</w:t>
            </w:r>
          </w:p>
        </w:tc>
        <w:tc>
          <w:tcPr>
            <w:tcW w:w="992" w:type="dxa"/>
          </w:tcPr>
          <w:p w14:paraId="0B6A7046" w14:textId="48DD5017"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2,296</w:t>
            </w:r>
          </w:p>
        </w:tc>
        <w:tc>
          <w:tcPr>
            <w:tcW w:w="1134" w:type="dxa"/>
          </w:tcPr>
          <w:p w14:paraId="0D61EF72" w14:textId="17EC041B"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2,075</w:t>
            </w:r>
          </w:p>
        </w:tc>
      </w:tr>
      <w:tr w:rsidR="000A2711" w14:paraId="53870F15" w14:textId="77777777" w:rsidTr="002315BB">
        <w:tc>
          <w:tcPr>
            <w:tcW w:w="1271" w:type="dxa"/>
          </w:tcPr>
          <w:p w14:paraId="77705224" w14:textId="77777777" w:rsidR="000A2711" w:rsidRPr="00016D16" w:rsidRDefault="000A2711" w:rsidP="000A2711">
            <w:pPr>
              <w:pStyle w:val="BodyText"/>
              <w:spacing w:before="53" w:line="276" w:lineRule="auto"/>
              <w:ind w:right="-239"/>
              <w:rPr>
                <w:rFonts w:ascii="Calibri" w:hAnsi="Calibri" w:cs="Calibri"/>
                <w:b/>
                <w:bCs/>
                <w:sz w:val="18"/>
                <w:szCs w:val="18"/>
                <w:lang w:val="en-GB"/>
              </w:rPr>
            </w:pPr>
          </w:p>
        </w:tc>
        <w:tc>
          <w:tcPr>
            <w:tcW w:w="992" w:type="dxa"/>
          </w:tcPr>
          <w:p w14:paraId="2B0C2CBC" w14:textId="25171B23"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Male (%)</w:t>
            </w:r>
          </w:p>
        </w:tc>
        <w:tc>
          <w:tcPr>
            <w:tcW w:w="1276" w:type="dxa"/>
          </w:tcPr>
          <w:p w14:paraId="0D1CF34E" w14:textId="502B3298"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71.4</w:t>
            </w:r>
          </w:p>
        </w:tc>
        <w:tc>
          <w:tcPr>
            <w:tcW w:w="970" w:type="dxa"/>
          </w:tcPr>
          <w:p w14:paraId="2AAEA3FF" w14:textId="231AEE17"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72.0</w:t>
            </w:r>
          </w:p>
        </w:tc>
        <w:tc>
          <w:tcPr>
            <w:tcW w:w="1015" w:type="dxa"/>
          </w:tcPr>
          <w:p w14:paraId="08D62B02" w14:textId="1A7F3042"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72.4</w:t>
            </w:r>
          </w:p>
        </w:tc>
        <w:tc>
          <w:tcPr>
            <w:tcW w:w="1559" w:type="dxa"/>
          </w:tcPr>
          <w:p w14:paraId="1B3C9623" w14:textId="56A9169B"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73.0</w:t>
            </w:r>
          </w:p>
        </w:tc>
        <w:tc>
          <w:tcPr>
            <w:tcW w:w="992" w:type="dxa"/>
          </w:tcPr>
          <w:p w14:paraId="7E588F35" w14:textId="7ECCBFF1"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73.9</w:t>
            </w:r>
          </w:p>
        </w:tc>
        <w:tc>
          <w:tcPr>
            <w:tcW w:w="1134" w:type="dxa"/>
          </w:tcPr>
          <w:p w14:paraId="267AE3EF" w14:textId="15945E67" w:rsidR="000A2711" w:rsidRPr="00016D16" w:rsidRDefault="00187F5D"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74.5</w:t>
            </w:r>
          </w:p>
        </w:tc>
      </w:tr>
      <w:tr w:rsidR="000A2711" w14:paraId="7D0B5EEF" w14:textId="77777777" w:rsidTr="002315BB">
        <w:tc>
          <w:tcPr>
            <w:tcW w:w="1271" w:type="dxa"/>
          </w:tcPr>
          <w:p w14:paraId="7F5A6880" w14:textId="5C44FEF7" w:rsidR="000A2711" w:rsidRPr="00016D16" w:rsidRDefault="00187F5D" w:rsidP="000A2711">
            <w:pPr>
              <w:pStyle w:val="BodyText"/>
              <w:spacing w:before="53" w:line="276" w:lineRule="auto"/>
              <w:ind w:right="-239"/>
              <w:rPr>
                <w:rFonts w:ascii="Calibri" w:hAnsi="Calibri" w:cs="Calibri"/>
                <w:b/>
                <w:bCs/>
                <w:sz w:val="18"/>
                <w:szCs w:val="18"/>
                <w:lang w:val="en-GB"/>
              </w:rPr>
            </w:pPr>
            <w:r w:rsidRPr="002315BB">
              <w:rPr>
                <w:rFonts w:ascii="Calibri" w:hAnsi="Calibri" w:cs="Calibri"/>
                <w:b/>
                <w:bCs/>
                <w:sz w:val="16"/>
                <w:szCs w:val="16"/>
                <w:lang w:val="en-GB"/>
              </w:rPr>
              <w:t>SEN Support /</w:t>
            </w:r>
            <w:r w:rsidR="002315BB">
              <w:rPr>
                <w:rFonts w:ascii="Calibri" w:hAnsi="Calibri" w:cs="Calibri"/>
                <w:b/>
                <w:bCs/>
                <w:sz w:val="16"/>
                <w:szCs w:val="16"/>
                <w:lang w:val="en-GB"/>
              </w:rPr>
              <w:br/>
            </w:r>
            <w:r w:rsidRPr="002315BB">
              <w:rPr>
                <w:rFonts w:ascii="Calibri" w:hAnsi="Calibri" w:cs="Calibri"/>
                <w:b/>
                <w:bCs/>
                <w:sz w:val="16"/>
                <w:szCs w:val="16"/>
                <w:lang w:val="en-GB"/>
              </w:rPr>
              <w:t>SEN without an EHCP</w:t>
            </w:r>
          </w:p>
        </w:tc>
        <w:tc>
          <w:tcPr>
            <w:tcW w:w="992" w:type="dxa"/>
          </w:tcPr>
          <w:p w14:paraId="4A67E877" w14:textId="53F895F7"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Female</w:t>
            </w:r>
          </w:p>
        </w:tc>
        <w:tc>
          <w:tcPr>
            <w:tcW w:w="1276" w:type="dxa"/>
          </w:tcPr>
          <w:p w14:paraId="0F4E01B6" w14:textId="029DF6DB"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458,677</w:t>
            </w:r>
          </w:p>
        </w:tc>
        <w:tc>
          <w:tcPr>
            <w:tcW w:w="970" w:type="dxa"/>
          </w:tcPr>
          <w:p w14:paraId="3EA46CD9" w14:textId="28C71691"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433,501</w:t>
            </w:r>
          </w:p>
        </w:tc>
        <w:tc>
          <w:tcPr>
            <w:tcW w:w="1015" w:type="dxa"/>
          </w:tcPr>
          <w:p w14:paraId="44F0907B" w14:textId="5E6B8A98"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406,585</w:t>
            </w:r>
          </w:p>
        </w:tc>
        <w:tc>
          <w:tcPr>
            <w:tcW w:w="1559" w:type="dxa"/>
          </w:tcPr>
          <w:p w14:paraId="5BE39BBE" w14:textId="1CEDB3FA"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2,382</w:t>
            </w:r>
          </w:p>
        </w:tc>
        <w:tc>
          <w:tcPr>
            <w:tcW w:w="992" w:type="dxa"/>
          </w:tcPr>
          <w:p w14:paraId="45DAB8CA" w14:textId="3AE95310"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2,270</w:t>
            </w:r>
          </w:p>
        </w:tc>
        <w:tc>
          <w:tcPr>
            <w:tcW w:w="1134" w:type="dxa"/>
          </w:tcPr>
          <w:p w14:paraId="72F00561" w14:textId="798C1F86"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2,230</w:t>
            </w:r>
          </w:p>
        </w:tc>
      </w:tr>
      <w:tr w:rsidR="000A2711" w14:paraId="36B49AE9" w14:textId="77777777" w:rsidTr="002315BB">
        <w:tc>
          <w:tcPr>
            <w:tcW w:w="1271" w:type="dxa"/>
          </w:tcPr>
          <w:p w14:paraId="3845EB0A" w14:textId="77777777" w:rsidR="000A2711" w:rsidRPr="00016D16" w:rsidRDefault="000A2711" w:rsidP="000A2711">
            <w:pPr>
              <w:pStyle w:val="BodyText"/>
              <w:spacing w:before="53" w:line="276" w:lineRule="auto"/>
              <w:ind w:right="-239"/>
              <w:rPr>
                <w:rFonts w:ascii="Calibri" w:hAnsi="Calibri" w:cs="Calibri"/>
                <w:b/>
                <w:bCs/>
                <w:sz w:val="18"/>
                <w:szCs w:val="18"/>
                <w:lang w:val="en-GB"/>
              </w:rPr>
            </w:pPr>
          </w:p>
        </w:tc>
        <w:tc>
          <w:tcPr>
            <w:tcW w:w="992" w:type="dxa"/>
          </w:tcPr>
          <w:p w14:paraId="6D56ADFB" w14:textId="4FB04525"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Female (%)</w:t>
            </w:r>
          </w:p>
        </w:tc>
        <w:tc>
          <w:tcPr>
            <w:tcW w:w="1276" w:type="dxa"/>
          </w:tcPr>
          <w:p w14:paraId="315D5DBC" w14:textId="4FC84606"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38.8</w:t>
            </w:r>
          </w:p>
        </w:tc>
        <w:tc>
          <w:tcPr>
            <w:tcW w:w="970" w:type="dxa"/>
          </w:tcPr>
          <w:p w14:paraId="65E1D055" w14:textId="25524D2D"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38.0</w:t>
            </w:r>
          </w:p>
        </w:tc>
        <w:tc>
          <w:tcPr>
            <w:tcW w:w="1015" w:type="dxa"/>
          </w:tcPr>
          <w:p w14:paraId="23024152" w14:textId="75858163"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37.2</w:t>
            </w:r>
          </w:p>
        </w:tc>
        <w:tc>
          <w:tcPr>
            <w:tcW w:w="1559" w:type="dxa"/>
          </w:tcPr>
          <w:p w14:paraId="2890A49B" w14:textId="11845897"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40.4</w:t>
            </w:r>
          </w:p>
        </w:tc>
        <w:tc>
          <w:tcPr>
            <w:tcW w:w="992" w:type="dxa"/>
          </w:tcPr>
          <w:p w14:paraId="5007A287" w14:textId="0E4B000F"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39.3</w:t>
            </w:r>
          </w:p>
        </w:tc>
        <w:tc>
          <w:tcPr>
            <w:tcW w:w="1134" w:type="dxa"/>
          </w:tcPr>
          <w:p w14:paraId="4FF2F52D" w14:textId="764B2E2E"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38.2</w:t>
            </w:r>
          </w:p>
        </w:tc>
      </w:tr>
      <w:tr w:rsidR="000A2711" w14:paraId="0111000D" w14:textId="77777777" w:rsidTr="002315BB">
        <w:tc>
          <w:tcPr>
            <w:tcW w:w="1271" w:type="dxa"/>
          </w:tcPr>
          <w:p w14:paraId="49A7B522" w14:textId="77777777" w:rsidR="000A2711" w:rsidRPr="00016D16" w:rsidRDefault="000A2711" w:rsidP="000A2711">
            <w:pPr>
              <w:pStyle w:val="BodyText"/>
              <w:spacing w:before="53" w:line="276" w:lineRule="auto"/>
              <w:ind w:right="-239"/>
              <w:rPr>
                <w:rFonts w:ascii="Calibri" w:hAnsi="Calibri" w:cs="Calibri"/>
                <w:b/>
                <w:bCs/>
                <w:sz w:val="18"/>
                <w:szCs w:val="18"/>
                <w:lang w:val="en-GB"/>
              </w:rPr>
            </w:pPr>
          </w:p>
        </w:tc>
        <w:tc>
          <w:tcPr>
            <w:tcW w:w="992" w:type="dxa"/>
          </w:tcPr>
          <w:p w14:paraId="41DCC70C" w14:textId="7C3FE6B4"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Male</w:t>
            </w:r>
          </w:p>
        </w:tc>
        <w:tc>
          <w:tcPr>
            <w:tcW w:w="1276" w:type="dxa"/>
          </w:tcPr>
          <w:p w14:paraId="4DCCEE33" w14:textId="529AEAEC"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722,988</w:t>
            </w:r>
          </w:p>
        </w:tc>
        <w:tc>
          <w:tcPr>
            <w:tcW w:w="970" w:type="dxa"/>
          </w:tcPr>
          <w:p w14:paraId="49DB085F" w14:textId="157A99C3"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706,245</w:t>
            </w:r>
          </w:p>
        </w:tc>
        <w:tc>
          <w:tcPr>
            <w:tcW w:w="1015" w:type="dxa"/>
          </w:tcPr>
          <w:p w14:paraId="72DD094A" w14:textId="56478EA9"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686,641</w:t>
            </w:r>
          </w:p>
        </w:tc>
        <w:tc>
          <w:tcPr>
            <w:tcW w:w="1559" w:type="dxa"/>
          </w:tcPr>
          <w:p w14:paraId="24BA417D" w14:textId="3A3262E4"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3,519</w:t>
            </w:r>
          </w:p>
        </w:tc>
        <w:tc>
          <w:tcPr>
            <w:tcW w:w="992" w:type="dxa"/>
          </w:tcPr>
          <w:p w14:paraId="186F1794" w14:textId="3BDB6288"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3,508</w:t>
            </w:r>
          </w:p>
        </w:tc>
        <w:tc>
          <w:tcPr>
            <w:tcW w:w="1134" w:type="dxa"/>
          </w:tcPr>
          <w:p w14:paraId="78E840F5" w14:textId="7E502F36"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3,605</w:t>
            </w:r>
          </w:p>
        </w:tc>
      </w:tr>
      <w:tr w:rsidR="000A2711" w14:paraId="05AD5812" w14:textId="77777777" w:rsidTr="002315BB">
        <w:tc>
          <w:tcPr>
            <w:tcW w:w="1271" w:type="dxa"/>
          </w:tcPr>
          <w:p w14:paraId="043BAEBF" w14:textId="77777777" w:rsidR="000A2711" w:rsidRPr="00016D16" w:rsidRDefault="000A2711" w:rsidP="000A2711">
            <w:pPr>
              <w:pStyle w:val="BodyText"/>
              <w:spacing w:before="53" w:line="276" w:lineRule="auto"/>
              <w:ind w:right="-239"/>
              <w:rPr>
                <w:rFonts w:ascii="Calibri" w:hAnsi="Calibri" w:cs="Calibri"/>
                <w:b/>
                <w:bCs/>
                <w:sz w:val="18"/>
                <w:szCs w:val="18"/>
                <w:lang w:val="en-GB"/>
              </w:rPr>
            </w:pPr>
          </w:p>
        </w:tc>
        <w:tc>
          <w:tcPr>
            <w:tcW w:w="992" w:type="dxa"/>
          </w:tcPr>
          <w:p w14:paraId="00AB7576" w14:textId="1C713FF5"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b/>
                <w:bCs/>
                <w:sz w:val="18"/>
                <w:szCs w:val="18"/>
                <w:lang w:val="en-GB"/>
              </w:rPr>
              <w:t>Male (%)</w:t>
            </w:r>
          </w:p>
        </w:tc>
        <w:tc>
          <w:tcPr>
            <w:tcW w:w="1276" w:type="dxa"/>
          </w:tcPr>
          <w:p w14:paraId="4CC5E4F3" w14:textId="5397D6D6"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61.2</w:t>
            </w:r>
          </w:p>
        </w:tc>
        <w:tc>
          <w:tcPr>
            <w:tcW w:w="970" w:type="dxa"/>
          </w:tcPr>
          <w:p w14:paraId="5EED17DE" w14:textId="3964A37B"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62.0</w:t>
            </w:r>
          </w:p>
        </w:tc>
        <w:tc>
          <w:tcPr>
            <w:tcW w:w="1015" w:type="dxa"/>
          </w:tcPr>
          <w:p w14:paraId="48B98E78" w14:textId="64E07AA6"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62.0</w:t>
            </w:r>
          </w:p>
        </w:tc>
        <w:tc>
          <w:tcPr>
            <w:tcW w:w="1559" w:type="dxa"/>
          </w:tcPr>
          <w:p w14:paraId="119B5DE0" w14:textId="3F420C0A"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59.6</w:t>
            </w:r>
          </w:p>
        </w:tc>
        <w:tc>
          <w:tcPr>
            <w:tcW w:w="992" w:type="dxa"/>
          </w:tcPr>
          <w:p w14:paraId="106D0A68" w14:textId="35B5924B"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60.7</w:t>
            </w:r>
          </w:p>
        </w:tc>
        <w:tc>
          <w:tcPr>
            <w:tcW w:w="1134" w:type="dxa"/>
          </w:tcPr>
          <w:p w14:paraId="4234FBD1" w14:textId="15E73E35" w:rsidR="000A2711" w:rsidRPr="00016D16" w:rsidRDefault="00016D16" w:rsidP="000A2711">
            <w:pPr>
              <w:pStyle w:val="BodyText"/>
              <w:spacing w:before="53" w:line="276" w:lineRule="auto"/>
              <w:ind w:right="-239"/>
              <w:rPr>
                <w:rFonts w:ascii="Calibri" w:hAnsi="Calibri" w:cs="Calibri"/>
                <w:b/>
                <w:bCs/>
                <w:sz w:val="18"/>
                <w:szCs w:val="18"/>
                <w:lang w:val="en-GB"/>
              </w:rPr>
            </w:pPr>
            <w:r w:rsidRPr="00016D16">
              <w:rPr>
                <w:rFonts w:ascii="Calibri" w:hAnsi="Calibri" w:cs="Calibri"/>
                <w:sz w:val="18"/>
                <w:szCs w:val="18"/>
                <w:lang w:val="en-GB"/>
              </w:rPr>
              <w:t>61.8</w:t>
            </w:r>
          </w:p>
        </w:tc>
      </w:tr>
    </w:tbl>
    <w:p w14:paraId="5D4CB482" w14:textId="77777777" w:rsidR="004E04E1" w:rsidRPr="00DB706E" w:rsidRDefault="004E04E1" w:rsidP="004B0745">
      <w:pPr>
        <w:pStyle w:val="BodyText"/>
        <w:spacing w:before="53"/>
        <w:rPr>
          <w:rFonts w:ascii="Calibri" w:hAnsi="Calibri" w:cs="Calibri"/>
          <w:sz w:val="6"/>
          <w:szCs w:val="8"/>
          <w:lang w:val="en-GB"/>
        </w:rPr>
      </w:pPr>
    </w:p>
    <w:p w14:paraId="1215A166" w14:textId="2B133A05" w:rsidR="004E04E1" w:rsidRPr="001E22CA" w:rsidRDefault="00F20BD0" w:rsidP="00011AF4">
      <w:pPr>
        <w:rPr>
          <w:sz w:val="16"/>
          <w:szCs w:val="16"/>
        </w:rPr>
      </w:pPr>
      <w:r w:rsidRPr="001E22CA">
        <w:rPr>
          <w:sz w:val="16"/>
          <w:szCs w:val="16"/>
        </w:rPr>
        <w:t>Note – This date i</w:t>
      </w:r>
      <w:r w:rsidR="004E04E1" w:rsidRPr="001E22CA">
        <w:rPr>
          <w:sz w:val="16"/>
          <w:szCs w:val="16"/>
        </w:rPr>
        <w:t xml:space="preserve">ncludes state-funded nursery, primary, secondary and special schools, non-maintained special schools and state-funded alternative provision schools. </w:t>
      </w:r>
      <w:r w:rsidRPr="001E22CA">
        <w:rPr>
          <w:sz w:val="16"/>
          <w:szCs w:val="16"/>
        </w:rPr>
        <w:t>It d</w:t>
      </w:r>
      <w:r w:rsidR="004E04E1" w:rsidRPr="001E22CA">
        <w:rPr>
          <w:sz w:val="16"/>
          <w:szCs w:val="16"/>
        </w:rPr>
        <w:t>oes not include independent schools.</w:t>
      </w:r>
    </w:p>
    <w:p w14:paraId="62DD8298" w14:textId="77777777" w:rsidR="004E04E1" w:rsidRPr="0022368C" w:rsidRDefault="004E04E1" w:rsidP="00011AF4">
      <w:pPr>
        <w:pStyle w:val="Heading3"/>
        <w:rPr>
          <w:color w:val="006B70"/>
        </w:rPr>
      </w:pPr>
      <w:bookmarkStart w:id="53" w:name="_Toc205386874"/>
      <w:bookmarkStart w:id="54" w:name="_Toc205387944"/>
      <w:bookmarkStart w:id="55" w:name="_Toc205445955"/>
      <w:r w:rsidRPr="0022368C">
        <w:rPr>
          <w:color w:val="006B70"/>
        </w:rPr>
        <w:t>Ethnicity</w:t>
      </w:r>
      <w:bookmarkEnd w:id="53"/>
      <w:bookmarkEnd w:id="54"/>
      <w:bookmarkEnd w:id="55"/>
      <w:r w:rsidRPr="0022368C">
        <w:rPr>
          <w:color w:val="006B70"/>
        </w:rPr>
        <w:t xml:space="preserve">  </w:t>
      </w:r>
    </w:p>
    <w:p w14:paraId="0A7FF55E" w14:textId="0525F9EB" w:rsidR="004E04E1" w:rsidRDefault="004E04E1" w:rsidP="00011AF4">
      <w:r w:rsidRPr="002058C2">
        <w:t>Tower Hamlets</w:t>
      </w:r>
      <w:r w:rsidR="00DD013C">
        <w:t>,</w:t>
      </w:r>
      <w:r w:rsidR="00AD4AFD">
        <w:t xml:space="preserve"> is </w:t>
      </w:r>
      <w:r w:rsidRPr="004E1B39">
        <w:t xml:space="preserve">one of the most ethnically diverse areas in the UK, </w:t>
      </w:r>
      <w:proofErr w:type="gramStart"/>
      <w:r w:rsidR="00DD013C">
        <w:t xml:space="preserve">has </w:t>
      </w:r>
      <w:r w:rsidRPr="002058C2">
        <w:t xml:space="preserve"> a</w:t>
      </w:r>
      <w:proofErr w:type="gramEnd"/>
      <w:r w:rsidRPr="002058C2">
        <w:t xml:space="preserve"> </w:t>
      </w:r>
      <w:r w:rsidRPr="004E1B39">
        <w:t xml:space="preserve">distinctive SEND profile shaped by its </w:t>
      </w:r>
      <w:r w:rsidRPr="002058C2">
        <w:t>population</w:t>
      </w:r>
      <w:r w:rsidRPr="004E1B39">
        <w:t xml:space="preserve"> characteristics. </w:t>
      </w:r>
      <w:r w:rsidR="000B618D">
        <w:t xml:space="preserve"> The </w:t>
      </w:r>
      <w:r w:rsidR="00881836">
        <w:t xml:space="preserve">largest ethnic group is Bangladeshi, accounting for 34.6% </w:t>
      </w:r>
      <w:r w:rsidR="00881836">
        <w:lastRenderedPageBreak/>
        <w:t xml:space="preserve">of residents, and the borough is home to one-sixth of all Bangladeshis living in England and Wales. The second largest group is White British, who make up 22.9% of the population. </w:t>
      </w:r>
    </w:p>
    <w:p w14:paraId="183904D3" w14:textId="1CF150F0" w:rsidR="004E04E1" w:rsidRPr="00447014" w:rsidRDefault="004E04E1" w:rsidP="00447014">
      <w:r w:rsidRPr="00447014">
        <w:t xml:space="preserve">This diversity is reflected in the composition of pupils receiving SEND support. </w:t>
      </w:r>
      <w:r w:rsidR="000F755D">
        <w:t xml:space="preserve">Earlier </w:t>
      </w:r>
      <w:r w:rsidR="004328A7">
        <w:t>analysis of SEN data by the LBTH public health team found that a</w:t>
      </w:r>
      <w:r w:rsidRPr="00447014">
        <w:t xml:space="preserve">mong those with an </w:t>
      </w:r>
      <w:r w:rsidR="00FB61A5">
        <w:t>EHCP</w:t>
      </w:r>
      <w:r w:rsidRPr="000940CD">
        <w:t>, 60% are Bangladeshi, while 54% of pupils receiving SEN support also identify as Bangladeshi. These figures align with the overall population profile of the borough.</w:t>
      </w:r>
    </w:p>
    <w:p w14:paraId="5E7AD8EF" w14:textId="77777777" w:rsidR="004E04E1" w:rsidRPr="00447014" w:rsidRDefault="004E04E1" w:rsidP="00447014">
      <w:r w:rsidRPr="00447014">
        <w:t>Other ethnic groups with notable representation include:</w:t>
      </w:r>
    </w:p>
    <w:p w14:paraId="29E13133" w14:textId="418A8683" w:rsidR="004E04E1" w:rsidRPr="000940CD" w:rsidRDefault="004E04E1" w:rsidP="00BF63ED">
      <w:pPr>
        <w:numPr>
          <w:ilvl w:val="0"/>
          <w:numId w:val="19"/>
        </w:numPr>
      </w:pPr>
      <w:r w:rsidRPr="000940CD">
        <w:t>White British: 10.6% (EHC</w:t>
      </w:r>
      <w:r w:rsidR="00CF3DD2">
        <w:t>Ps</w:t>
      </w:r>
      <w:r w:rsidRPr="000940CD">
        <w:t>), 13.7% (SEN support)</w:t>
      </w:r>
    </w:p>
    <w:p w14:paraId="3F294C57" w14:textId="48F67650" w:rsidR="004E04E1" w:rsidRPr="000940CD" w:rsidRDefault="004E04E1" w:rsidP="00BF63ED">
      <w:pPr>
        <w:numPr>
          <w:ilvl w:val="0"/>
          <w:numId w:val="19"/>
        </w:numPr>
      </w:pPr>
      <w:r w:rsidRPr="000940CD">
        <w:t>Black African: 8.5% (EHC</w:t>
      </w:r>
      <w:r w:rsidR="00CF3DD2">
        <w:t>Ps</w:t>
      </w:r>
      <w:r w:rsidRPr="000940CD">
        <w:t>), 7% (SEN support)</w:t>
      </w:r>
    </w:p>
    <w:p w14:paraId="66E7F86D" w14:textId="70BAD33D" w:rsidR="004E04E1" w:rsidRPr="00304FCB" w:rsidRDefault="004E04E1" w:rsidP="00011AF4">
      <w:r w:rsidRPr="000940CD">
        <w:t>However, a significant portion of the SEND population lacks recorded ethnicity, which affects accurate representation and service planning. Nationally, 17% of SEN cases lack ethnicity data, compared to 12.5% in Tower Hamlets. In Tower Hamlets 28% of Tower Hamlets pupils with an EHC</w:t>
      </w:r>
      <w:r w:rsidR="0051337C">
        <w:t xml:space="preserve">P </w:t>
      </w:r>
      <w:r w:rsidRPr="000940CD">
        <w:t xml:space="preserve">had no recorded ethnicity in </w:t>
      </w:r>
      <w:r w:rsidRPr="00304FCB">
        <w:t>2023/24, compared to just 5.13% in England.</w:t>
      </w:r>
    </w:p>
    <w:p w14:paraId="4DD53258" w14:textId="4A46B303" w:rsidR="006272C6" w:rsidRDefault="00777F94" w:rsidP="00293C95">
      <w:pPr>
        <w:spacing w:before="0" w:line="264" w:lineRule="auto"/>
      </w:pPr>
      <w:r w:rsidRPr="5218E50A">
        <w:rPr>
          <w:b/>
          <w:bCs/>
          <w:sz w:val="18"/>
          <w:szCs w:val="18"/>
        </w:rPr>
        <w:t xml:space="preserve">Figure </w:t>
      </w:r>
      <w:r w:rsidR="00EF3030" w:rsidRPr="5218E50A">
        <w:rPr>
          <w:b/>
          <w:bCs/>
          <w:sz w:val="18"/>
          <w:szCs w:val="18"/>
        </w:rPr>
        <w:t>3.</w:t>
      </w:r>
      <w:r w:rsidR="00F20BD0" w:rsidRPr="5218E50A">
        <w:rPr>
          <w:b/>
          <w:bCs/>
          <w:sz w:val="18"/>
          <w:szCs w:val="18"/>
        </w:rPr>
        <w:t>1</w:t>
      </w:r>
      <w:r w:rsidR="00304FCB" w:rsidRPr="5218E50A">
        <w:rPr>
          <w:b/>
          <w:bCs/>
          <w:sz w:val="18"/>
          <w:szCs w:val="18"/>
        </w:rPr>
        <w:t>:</w:t>
      </w:r>
      <w:r w:rsidRPr="5218E50A">
        <w:rPr>
          <w:b/>
          <w:bCs/>
          <w:sz w:val="18"/>
          <w:szCs w:val="18"/>
        </w:rPr>
        <w:t xml:space="preserve"> Proportion of pupils with SEND and EHCP missing ethnicity data in England vs. Tower Hamlets2023/</w:t>
      </w:r>
      <w:proofErr w:type="gramStart"/>
      <w:r w:rsidRPr="5218E50A">
        <w:rPr>
          <w:b/>
          <w:bCs/>
          <w:sz w:val="18"/>
          <w:szCs w:val="18"/>
        </w:rPr>
        <w:t>24.</w:t>
      </w:r>
      <w:r w:rsidR="006272C6">
        <w:t>￼</w:t>
      </w:r>
      <w:proofErr w:type="gramEnd"/>
    </w:p>
    <w:p w14:paraId="24AB4B4A" w14:textId="1CADBC7B" w:rsidR="00197465" w:rsidRPr="00777F94" w:rsidRDefault="00197465" w:rsidP="00293C95">
      <w:pPr>
        <w:spacing w:before="0" w:line="264" w:lineRule="auto"/>
        <w:ind w:left="720"/>
        <w:rPr>
          <w:b/>
          <w:bCs/>
          <w:sz w:val="18"/>
          <w:szCs w:val="18"/>
        </w:rPr>
      </w:pPr>
      <w:r>
        <w:rPr>
          <w:noProof/>
        </w:rPr>
        <w:drawing>
          <wp:inline distT="0" distB="0" distL="0" distR="0" wp14:anchorId="35B2C5BD" wp14:editId="0DC14A97">
            <wp:extent cx="4593166" cy="2743200"/>
            <wp:effectExtent l="0" t="0" r="17145" b="0"/>
            <wp:docPr id="226921112" name="Chart 1">
              <a:extLst xmlns:a="http://schemas.openxmlformats.org/drawingml/2006/main">
                <a:ext uri="{FF2B5EF4-FFF2-40B4-BE49-F238E27FC236}">
                  <a16:creationId xmlns:a16="http://schemas.microsoft.com/office/drawing/2014/main" id="{DCB94C12-9A6D-E5B3-5348-D7F234C36EB5}"/>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46DD776" w14:textId="297FED40" w:rsidR="004E04E1" w:rsidRDefault="00E11BE8" w:rsidP="00293C95">
      <w:pPr>
        <w:spacing w:before="0" w:line="264" w:lineRule="auto"/>
        <w:jc w:val="right"/>
        <w:rPr>
          <w:b/>
          <w:sz w:val="18"/>
          <w:szCs w:val="18"/>
        </w:rPr>
      </w:pPr>
      <w:r w:rsidRPr="32FA5023">
        <w:rPr>
          <w:b/>
          <w:sz w:val="18"/>
          <w:szCs w:val="18"/>
        </w:rPr>
        <w:t>Source</w:t>
      </w:r>
      <w:r w:rsidR="003D6538" w:rsidRPr="00304FCB">
        <w:rPr>
          <w:b/>
          <w:bCs/>
          <w:sz w:val="18"/>
          <w:szCs w:val="18"/>
        </w:rPr>
        <w:t>:</w:t>
      </w:r>
      <w:r w:rsidR="003D6538" w:rsidRPr="007E622C">
        <w:t xml:space="preserve"> </w:t>
      </w:r>
      <w:r w:rsidR="003D6538" w:rsidRPr="00304FCB">
        <w:rPr>
          <w:b/>
          <w:bCs/>
          <w:sz w:val="18"/>
          <w:szCs w:val="18"/>
        </w:rPr>
        <w:t xml:space="preserve"> January 2024 School</w:t>
      </w:r>
      <w:r w:rsidR="003D6538" w:rsidRPr="00973B12">
        <w:rPr>
          <w:b/>
          <w:bCs/>
          <w:sz w:val="18"/>
          <w:szCs w:val="18"/>
        </w:rPr>
        <w:t xml:space="preserve"> Census [LBTH Data, March 2024</w:t>
      </w:r>
    </w:p>
    <w:p w14:paraId="58512976" w14:textId="0D8EE3F4" w:rsidR="004E04E1" w:rsidRDefault="004E04E1" w:rsidP="004312FF">
      <w:r>
        <w:t xml:space="preserve">National research has consistently shown disproportional identification of SEN amongst certain ethnic groups, particularly Bangladeshi, Pakistani, Black Caribbean and Gypsy Roma communities. </w:t>
      </w:r>
      <w:r w:rsidRPr="006C1BC3">
        <w:t>If left unaddressed, there is a risk, that through inadequate or inappropriate provision, unequal outcomes in the future may be reinforced</w:t>
      </w:r>
      <w:r w:rsidRPr="006C1BC3">
        <w:rPr>
          <w:rStyle w:val="EndnoteReference"/>
        </w:rPr>
        <w:endnoteReference w:id="26"/>
      </w:r>
      <w:r w:rsidRPr="006C1BC3">
        <w:t>.</w:t>
      </w:r>
      <w:r>
        <w:t xml:space="preserve"> </w:t>
      </w:r>
    </w:p>
    <w:p w14:paraId="2CA7E142" w14:textId="57FB72F8" w:rsidR="004E04E1" w:rsidRPr="00304FCB" w:rsidRDefault="004E04E1" w:rsidP="000014C3">
      <w:r w:rsidRPr="00304FCB">
        <w:t>Nationally, the highest proportions of SEND are observed in</w:t>
      </w:r>
      <w:r w:rsidR="0084366A" w:rsidRPr="00304FCB">
        <w:t xml:space="preserve"> the Traveller of Irish Heritage (33.3%), Gypsy Roma (27.8%), White and Black Caribbean (24.1%) and Black Caribbean (23.6%). </w:t>
      </w:r>
      <w:r w:rsidR="00794546" w:rsidRPr="00304FCB">
        <w:t xml:space="preserve">In Tower Hamlets, this is even more pronounced, with White and Black Caribbean (39.9%), Gypsy Roma (38.9%), White British (38.2%) and Black Caribbean (27.9%). </w:t>
      </w:r>
    </w:p>
    <w:p w14:paraId="63AD4A37" w14:textId="5D8B7AD6" w:rsidR="00777F94" w:rsidRDefault="004E04E1" w:rsidP="004312FF">
      <w:r w:rsidRPr="00304FCB">
        <w:t>By contrast, Chinese pupils have the lowest proportion of SEND both nationally (7.4%) and locally (11%).</w:t>
      </w:r>
    </w:p>
    <w:p w14:paraId="2E333088" w14:textId="77777777" w:rsidR="00B64918" w:rsidRDefault="00B64918">
      <w:pPr>
        <w:spacing w:before="0" w:after="160" w:line="278" w:lineRule="auto"/>
        <w:jc w:val="left"/>
        <w:rPr>
          <w:b/>
          <w:sz w:val="18"/>
          <w:szCs w:val="18"/>
        </w:rPr>
      </w:pPr>
      <w:r>
        <w:rPr>
          <w:b/>
          <w:sz w:val="18"/>
          <w:szCs w:val="18"/>
        </w:rPr>
        <w:lastRenderedPageBreak/>
        <w:br w:type="page"/>
      </w:r>
    </w:p>
    <w:p w14:paraId="24F0A4A3" w14:textId="024D1D84" w:rsidR="00474676" w:rsidRPr="000014C3" w:rsidRDefault="00C270AF" w:rsidP="000014C3">
      <w:pPr>
        <w:spacing w:before="8" w:line="244" w:lineRule="auto"/>
        <w:ind w:right="-90"/>
        <w:rPr>
          <w:b/>
          <w:sz w:val="16"/>
          <w:highlight w:val="yellow"/>
        </w:rPr>
      </w:pPr>
      <w:r w:rsidRPr="00304FCB">
        <w:rPr>
          <w:b/>
          <w:sz w:val="18"/>
          <w:szCs w:val="18"/>
        </w:rPr>
        <w:lastRenderedPageBreak/>
        <w:t xml:space="preserve">Table </w:t>
      </w:r>
      <w:r w:rsidR="00ED75C4" w:rsidRPr="00304FCB">
        <w:rPr>
          <w:b/>
          <w:sz w:val="18"/>
          <w:szCs w:val="18"/>
        </w:rPr>
        <w:t>3</w:t>
      </w:r>
      <w:r w:rsidRPr="00304FCB">
        <w:rPr>
          <w:b/>
          <w:sz w:val="18"/>
          <w:szCs w:val="18"/>
        </w:rPr>
        <w:t>.</w:t>
      </w:r>
      <w:r w:rsidR="008C60C4">
        <w:rPr>
          <w:b/>
          <w:sz w:val="18"/>
          <w:szCs w:val="18"/>
        </w:rPr>
        <w:t>3</w:t>
      </w:r>
      <w:r w:rsidRPr="00304FCB">
        <w:rPr>
          <w:b/>
          <w:sz w:val="18"/>
          <w:szCs w:val="18"/>
        </w:rPr>
        <w:t>. Ethnic</w:t>
      </w:r>
      <w:r w:rsidRPr="00304FCB">
        <w:rPr>
          <w:b/>
          <w:spacing w:val="-1"/>
          <w:sz w:val="18"/>
          <w:szCs w:val="18"/>
        </w:rPr>
        <w:t xml:space="preserve"> </w:t>
      </w:r>
      <w:r w:rsidRPr="00304FCB">
        <w:rPr>
          <w:b/>
          <w:sz w:val="18"/>
          <w:szCs w:val="18"/>
        </w:rPr>
        <w:t>groups</w:t>
      </w:r>
      <w:r w:rsidRPr="00304FCB">
        <w:rPr>
          <w:b/>
          <w:spacing w:val="-1"/>
          <w:sz w:val="18"/>
          <w:szCs w:val="18"/>
        </w:rPr>
        <w:t xml:space="preserve"> </w:t>
      </w:r>
      <w:r w:rsidRPr="00304FCB">
        <w:rPr>
          <w:b/>
          <w:sz w:val="18"/>
          <w:szCs w:val="18"/>
        </w:rPr>
        <w:t>with</w:t>
      </w:r>
      <w:r w:rsidRPr="00304FCB">
        <w:rPr>
          <w:b/>
          <w:spacing w:val="-1"/>
          <w:sz w:val="18"/>
          <w:szCs w:val="18"/>
        </w:rPr>
        <w:t xml:space="preserve"> </w:t>
      </w:r>
      <w:r w:rsidRPr="00304FCB">
        <w:rPr>
          <w:b/>
          <w:sz w:val="18"/>
          <w:szCs w:val="18"/>
        </w:rPr>
        <w:t>the</w:t>
      </w:r>
      <w:r w:rsidRPr="00304FCB">
        <w:rPr>
          <w:b/>
          <w:spacing w:val="-2"/>
          <w:sz w:val="18"/>
          <w:szCs w:val="18"/>
        </w:rPr>
        <w:t xml:space="preserve"> </w:t>
      </w:r>
      <w:r w:rsidRPr="00304FCB">
        <w:rPr>
          <w:b/>
          <w:sz w:val="18"/>
          <w:szCs w:val="18"/>
        </w:rPr>
        <w:t>highest rates</w:t>
      </w:r>
      <w:r w:rsidRPr="00304FCB">
        <w:rPr>
          <w:b/>
          <w:spacing w:val="-1"/>
          <w:sz w:val="18"/>
          <w:szCs w:val="18"/>
        </w:rPr>
        <w:t xml:space="preserve"> </w:t>
      </w:r>
      <w:r w:rsidRPr="00304FCB">
        <w:rPr>
          <w:b/>
          <w:sz w:val="18"/>
          <w:szCs w:val="18"/>
        </w:rPr>
        <w:t>of SEND,</w:t>
      </w:r>
      <w:r w:rsidRPr="00304FCB">
        <w:rPr>
          <w:b/>
          <w:spacing w:val="-1"/>
          <w:sz w:val="18"/>
          <w:szCs w:val="18"/>
        </w:rPr>
        <w:t xml:space="preserve"> </w:t>
      </w:r>
      <w:r w:rsidRPr="00304FCB">
        <w:rPr>
          <w:b/>
          <w:sz w:val="18"/>
          <w:szCs w:val="18"/>
        </w:rPr>
        <w:t>by</w:t>
      </w:r>
      <w:r w:rsidRPr="00304FCB">
        <w:rPr>
          <w:b/>
          <w:spacing w:val="-1"/>
          <w:sz w:val="18"/>
          <w:szCs w:val="18"/>
        </w:rPr>
        <w:t xml:space="preserve"> </w:t>
      </w:r>
      <w:r w:rsidRPr="00304FCB">
        <w:rPr>
          <w:b/>
          <w:sz w:val="18"/>
          <w:szCs w:val="18"/>
        </w:rPr>
        <w:t>comparing the proportion of all pupils</w:t>
      </w:r>
      <w:r w:rsidRPr="00304FCB">
        <w:rPr>
          <w:b/>
          <w:spacing w:val="-1"/>
          <w:sz w:val="18"/>
          <w:szCs w:val="18"/>
        </w:rPr>
        <w:t xml:space="preserve"> </w:t>
      </w:r>
      <w:r w:rsidRPr="00304FCB">
        <w:rPr>
          <w:b/>
          <w:sz w:val="18"/>
          <w:szCs w:val="18"/>
        </w:rPr>
        <w:t>by ethnicity, with the proportion of pupils in each ethnic group with SEND.</w:t>
      </w:r>
    </w:p>
    <w:tbl>
      <w:tblPr>
        <w:tblStyle w:val="ListTable3-Accent1"/>
        <w:tblW w:w="9634" w:type="dxa"/>
        <w:tblLayout w:type="fixed"/>
        <w:tblLook w:val="04A0" w:firstRow="1" w:lastRow="0" w:firstColumn="1" w:lastColumn="0" w:noHBand="0" w:noVBand="1"/>
      </w:tblPr>
      <w:tblGrid>
        <w:gridCol w:w="988"/>
        <w:gridCol w:w="1984"/>
        <w:gridCol w:w="1134"/>
        <w:gridCol w:w="992"/>
        <w:gridCol w:w="1134"/>
        <w:gridCol w:w="1276"/>
        <w:gridCol w:w="1134"/>
        <w:gridCol w:w="992"/>
      </w:tblGrid>
      <w:tr w:rsidR="008B5E65" w:rsidRPr="00903680" w14:paraId="2312B021" w14:textId="77777777" w:rsidTr="0090368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88" w:type="dxa"/>
          </w:tcPr>
          <w:p w14:paraId="32B8AD90" w14:textId="77777777" w:rsidR="00E918F4" w:rsidRPr="00293C95" w:rsidRDefault="00E918F4" w:rsidP="00293C95">
            <w:pPr>
              <w:spacing w:line="240" w:lineRule="auto"/>
              <w:rPr>
                <w:color w:val="FFFFFF" w:themeColor="background1"/>
                <w:sz w:val="20"/>
                <w:szCs w:val="20"/>
              </w:rPr>
            </w:pPr>
          </w:p>
        </w:tc>
        <w:tc>
          <w:tcPr>
            <w:tcW w:w="1984" w:type="dxa"/>
          </w:tcPr>
          <w:p w14:paraId="71E74786" w14:textId="77777777" w:rsidR="00E918F4" w:rsidRPr="00293C95" w:rsidRDefault="00E918F4" w:rsidP="00293C95">
            <w:pPr>
              <w:spacing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p>
        </w:tc>
        <w:tc>
          <w:tcPr>
            <w:tcW w:w="1134" w:type="dxa"/>
          </w:tcPr>
          <w:p w14:paraId="50AFD431" w14:textId="1E69958B" w:rsidR="00E918F4" w:rsidRPr="00293C95" w:rsidRDefault="00E918F4" w:rsidP="00293C95">
            <w:pPr>
              <w:spacing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293C95">
              <w:rPr>
                <w:color w:val="FFFFFF" w:themeColor="background1"/>
                <w:sz w:val="20"/>
                <w:szCs w:val="20"/>
              </w:rPr>
              <w:t>Black Caribbean</w:t>
            </w:r>
          </w:p>
        </w:tc>
        <w:tc>
          <w:tcPr>
            <w:tcW w:w="992" w:type="dxa"/>
          </w:tcPr>
          <w:p w14:paraId="046C4707" w14:textId="59CB79F4" w:rsidR="00E918F4" w:rsidRPr="00293C95" w:rsidRDefault="00E918F4" w:rsidP="00293C95">
            <w:pPr>
              <w:spacing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293C95">
              <w:rPr>
                <w:color w:val="FFFFFF" w:themeColor="background1"/>
                <w:sz w:val="20"/>
                <w:szCs w:val="20"/>
              </w:rPr>
              <w:t>Gypsy Roma</w:t>
            </w:r>
          </w:p>
        </w:tc>
        <w:tc>
          <w:tcPr>
            <w:tcW w:w="1134" w:type="dxa"/>
          </w:tcPr>
          <w:p w14:paraId="48ED883F" w14:textId="3DE04437" w:rsidR="00E918F4" w:rsidRPr="00293C95" w:rsidRDefault="00E918F4" w:rsidP="00293C95">
            <w:pPr>
              <w:spacing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293C95">
              <w:rPr>
                <w:color w:val="FFFFFF" w:themeColor="background1"/>
                <w:sz w:val="20"/>
                <w:szCs w:val="20"/>
              </w:rPr>
              <w:t>Traveller of Irish Heritage</w:t>
            </w:r>
          </w:p>
        </w:tc>
        <w:tc>
          <w:tcPr>
            <w:tcW w:w="1276" w:type="dxa"/>
          </w:tcPr>
          <w:p w14:paraId="5B90B546" w14:textId="103AC06F" w:rsidR="00E918F4" w:rsidRPr="00293C95" w:rsidRDefault="00E918F4" w:rsidP="00293C95">
            <w:pPr>
              <w:spacing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293C95">
              <w:rPr>
                <w:color w:val="FFFFFF" w:themeColor="background1"/>
                <w:sz w:val="20"/>
                <w:szCs w:val="20"/>
              </w:rPr>
              <w:t>White and Black Caribbean</w:t>
            </w:r>
          </w:p>
        </w:tc>
        <w:tc>
          <w:tcPr>
            <w:tcW w:w="1134" w:type="dxa"/>
          </w:tcPr>
          <w:p w14:paraId="598716D8" w14:textId="59CF22C3" w:rsidR="00E918F4" w:rsidRPr="00293C95" w:rsidRDefault="00E918F4" w:rsidP="00293C95">
            <w:pPr>
              <w:spacing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293C95">
              <w:rPr>
                <w:color w:val="FFFFFF" w:themeColor="background1"/>
                <w:sz w:val="20"/>
                <w:szCs w:val="20"/>
              </w:rPr>
              <w:t>White British</w:t>
            </w:r>
          </w:p>
        </w:tc>
        <w:tc>
          <w:tcPr>
            <w:tcW w:w="992" w:type="dxa"/>
          </w:tcPr>
          <w:p w14:paraId="2E844332" w14:textId="4FC7C47A" w:rsidR="00E918F4" w:rsidRPr="00293C95" w:rsidRDefault="00E918F4" w:rsidP="00293C95">
            <w:pPr>
              <w:spacing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proofErr w:type="gramStart"/>
            <w:r w:rsidRPr="00293C95">
              <w:rPr>
                <w:color w:val="FFFFFF" w:themeColor="background1"/>
                <w:sz w:val="20"/>
                <w:szCs w:val="20"/>
              </w:rPr>
              <w:t>Asian-Chinese</w:t>
            </w:r>
            <w:proofErr w:type="gramEnd"/>
          </w:p>
        </w:tc>
      </w:tr>
      <w:tr w:rsidR="00E918F4" w14:paraId="7ED25B4B" w14:textId="77777777" w:rsidTr="009036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val="restart"/>
          </w:tcPr>
          <w:p w14:paraId="49A73379" w14:textId="77777777" w:rsidR="00903680" w:rsidRPr="00903680" w:rsidRDefault="00903680" w:rsidP="00B64918">
            <w:pPr>
              <w:spacing w:line="240" w:lineRule="auto"/>
              <w:rPr>
                <w:b w:val="0"/>
                <w:bCs w:val="0"/>
                <w:color w:val="000000" w:themeColor="text1"/>
                <w:sz w:val="20"/>
                <w:szCs w:val="20"/>
              </w:rPr>
            </w:pPr>
            <w:r w:rsidRPr="00032E2C">
              <w:rPr>
                <w:color w:val="000000" w:themeColor="text1"/>
                <w:sz w:val="20"/>
                <w:szCs w:val="20"/>
              </w:rPr>
              <w:t>England</w:t>
            </w:r>
          </w:p>
          <w:p w14:paraId="1EFBA919" w14:textId="28406037" w:rsidR="00E918F4" w:rsidRPr="00293C95" w:rsidRDefault="00E918F4" w:rsidP="00293C95">
            <w:pPr>
              <w:spacing w:line="240" w:lineRule="auto"/>
              <w:rPr>
                <w:color w:val="000000" w:themeColor="text1"/>
                <w:sz w:val="20"/>
                <w:szCs w:val="20"/>
              </w:rPr>
            </w:pPr>
          </w:p>
        </w:tc>
        <w:tc>
          <w:tcPr>
            <w:tcW w:w="1984" w:type="dxa"/>
          </w:tcPr>
          <w:p w14:paraId="3792E605" w14:textId="63C4830D" w:rsidR="00E918F4" w:rsidRPr="00293C95" w:rsidRDefault="00E53790" w:rsidP="00293C95">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93C95">
              <w:rPr>
                <w:color w:val="000000" w:themeColor="text1"/>
                <w:sz w:val="20"/>
                <w:szCs w:val="20"/>
              </w:rPr>
              <w:t>Number of pupils in ethnic group</w:t>
            </w:r>
          </w:p>
        </w:tc>
        <w:tc>
          <w:tcPr>
            <w:tcW w:w="1134" w:type="dxa"/>
          </w:tcPr>
          <w:p w14:paraId="198F21AA" w14:textId="5A29D272" w:rsidR="00E918F4" w:rsidRPr="00293C95" w:rsidRDefault="00E53790" w:rsidP="00293C95">
            <w:pPr>
              <w:spacing w:line="240"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93C95">
              <w:rPr>
                <w:color w:val="000000" w:themeColor="text1"/>
                <w:sz w:val="20"/>
                <w:szCs w:val="20"/>
              </w:rPr>
              <w:t>78,817</w:t>
            </w:r>
          </w:p>
        </w:tc>
        <w:tc>
          <w:tcPr>
            <w:tcW w:w="992" w:type="dxa"/>
          </w:tcPr>
          <w:p w14:paraId="230B340D" w14:textId="3F83FADD" w:rsidR="00E918F4" w:rsidRPr="00293C95" w:rsidRDefault="00E53790" w:rsidP="00293C95">
            <w:pPr>
              <w:spacing w:line="240"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93C95">
              <w:rPr>
                <w:color w:val="000000" w:themeColor="text1"/>
                <w:sz w:val="20"/>
                <w:szCs w:val="20"/>
              </w:rPr>
              <w:t>28,594</w:t>
            </w:r>
          </w:p>
        </w:tc>
        <w:tc>
          <w:tcPr>
            <w:tcW w:w="1134" w:type="dxa"/>
          </w:tcPr>
          <w:p w14:paraId="7FD8A086" w14:textId="77E50872" w:rsidR="00E918F4" w:rsidRPr="00293C95" w:rsidRDefault="002C3510" w:rsidP="00293C95">
            <w:pPr>
              <w:spacing w:line="240"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93C95">
              <w:rPr>
                <w:color w:val="000000" w:themeColor="text1"/>
                <w:sz w:val="20"/>
                <w:szCs w:val="20"/>
              </w:rPr>
              <w:t>6,798</w:t>
            </w:r>
          </w:p>
        </w:tc>
        <w:tc>
          <w:tcPr>
            <w:tcW w:w="1276" w:type="dxa"/>
          </w:tcPr>
          <w:p w14:paraId="349331A9" w14:textId="368A9B0A" w:rsidR="00E918F4" w:rsidRPr="00293C95" w:rsidRDefault="002C3510" w:rsidP="00293C95">
            <w:pPr>
              <w:spacing w:line="240"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93C95">
              <w:rPr>
                <w:color w:val="000000" w:themeColor="text1"/>
                <w:sz w:val="20"/>
                <w:szCs w:val="20"/>
              </w:rPr>
              <w:t>134,384</w:t>
            </w:r>
          </w:p>
        </w:tc>
        <w:tc>
          <w:tcPr>
            <w:tcW w:w="1134" w:type="dxa"/>
          </w:tcPr>
          <w:p w14:paraId="0DE4F956" w14:textId="240B4CFF" w:rsidR="00E918F4" w:rsidRPr="00293C95" w:rsidRDefault="00E918F4" w:rsidP="00293C95">
            <w:pPr>
              <w:spacing w:line="240"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93C95">
              <w:rPr>
                <w:color w:val="000000" w:themeColor="text1"/>
                <w:sz w:val="20"/>
                <w:szCs w:val="20"/>
              </w:rPr>
              <w:t>5,215,524</w:t>
            </w:r>
          </w:p>
        </w:tc>
        <w:tc>
          <w:tcPr>
            <w:tcW w:w="992" w:type="dxa"/>
          </w:tcPr>
          <w:p w14:paraId="243E2306" w14:textId="489E3EF8" w:rsidR="00E918F4" w:rsidRPr="00293C95" w:rsidRDefault="00E918F4" w:rsidP="00293C95">
            <w:pPr>
              <w:spacing w:line="240"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93C95">
              <w:rPr>
                <w:color w:val="000000" w:themeColor="text1"/>
                <w:sz w:val="20"/>
                <w:szCs w:val="20"/>
              </w:rPr>
              <w:t>63,774</w:t>
            </w:r>
          </w:p>
        </w:tc>
      </w:tr>
      <w:tr w:rsidR="00E918F4" w14:paraId="3BD6E237" w14:textId="77777777" w:rsidTr="00903680">
        <w:tc>
          <w:tcPr>
            <w:cnfStyle w:val="001000000000" w:firstRow="0" w:lastRow="0" w:firstColumn="1" w:lastColumn="0" w:oddVBand="0" w:evenVBand="0" w:oddHBand="0" w:evenHBand="0" w:firstRowFirstColumn="0" w:firstRowLastColumn="0" w:lastRowFirstColumn="0" w:lastRowLastColumn="0"/>
            <w:tcW w:w="988" w:type="dxa"/>
            <w:vMerge/>
          </w:tcPr>
          <w:p w14:paraId="67053C56" w14:textId="3E6E8A17" w:rsidR="00E918F4" w:rsidRPr="00293C95" w:rsidRDefault="00E918F4" w:rsidP="00293C95">
            <w:pPr>
              <w:spacing w:line="240" w:lineRule="auto"/>
              <w:rPr>
                <w:color w:val="000000" w:themeColor="text1"/>
                <w:sz w:val="20"/>
                <w:szCs w:val="20"/>
              </w:rPr>
            </w:pPr>
          </w:p>
        </w:tc>
        <w:tc>
          <w:tcPr>
            <w:tcW w:w="1984" w:type="dxa"/>
          </w:tcPr>
          <w:p w14:paraId="4EE8A541" w14:textId="51A5E693" w:rsidR="00E918F4" w:rsidRPr="00293C95" w:rsidRDefault="00E53790" w:rsidP="00293C95">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93C95">
              <w:rPr>
                <w:color w:val="000000" w:themeColor="text1"/>
                <w:sz w:val="20"/>
                <w:szCs w:val="20"/>
              </w:rPr>
              <w:t>% of pupils i</w:t>
            </w:r>
            <w:r w:rsidR="00924FCB" w:rsidRPr="00293C95">
              <w:rPr>
                <w:color w:val="000000" w:themeColor="text1"/>
                <w:sz w:val="20"/>
                <w:szCs w:val="20"/>
              </w:rPr>
              <w:t>n ethnic groups with SEND</w:t>
            </w:r>
          </w:p>
        </w:tc>
        <w:tc>
          <w:tcPr>
            <w:tcW w:w="1134" w:type="dxa"/>
          </w:tcPr>
          <w:p w14:paraId="4E188BAC" w14:textId="6CF5E08E" w:rsidR="00E918F4" w:rsidRPr="00293C95" w:rsidRDefault="00E53790" w:rsidP="00293C9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93C95">
              <w:rPr>
                <w:color w:val="000000" w:themeColor="text1"/>
                <w:sz w:val="20"/>
                <w:szCs w:val="20"/>
              </w:rPr>
              <w:t>23.60%</w:t>
            </w:r>
          </w:p>
        </w:tc>
        <w:tc>
          <w:tcPr>
            <w:tcW w:w="992" w:type="dxa"/>
          </w:tcPr>
          <w:p w14:paraId="1EB33641" w14:textId="035EAB12" w:rsidR="00E918F4" w:rsidRPr="00293C95" w:rsidRDefault="00E53790" w:rsidP="00293C9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93C95">
              <w:rPr>
                <w:color w:val="000000" w:themeColor="text1"/>
                <w:sz w:val="20"/>
                <w:szCs w:val="20"/>
              </w:rPr>
              <w:t>27.80%</w:t>
            </w:r>
          </w:p>
        </w:tc>
        <w:tc>
          <w:tcPr>
            <w:tcW w:w="1134" w:type="dxa"/>
          </w:tcPr>
          <w:p w14:paraId="5C351D40" w14:textId="78DB65B9" w:rsidR="00E918F4" w:rsidRPr="00293C95" w:rsidRDefault="00E53790" w:rsidP="00293C9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93C95">
              <w:rPr>
                <w:color w:val="000000" w:themeColor="text1"/>
                <w:sz w:val="20"/>
                <w:szCs w:val="20"/>
              </w:rPr>
              <w:t>33.30%</w:t>
            </w:r>
          </w:p>
        </w:tc>
        <w:tc>
          <w:tcPr>
            <w:tcW w:w="1276" w:type="dxa"/>
          </w:tcPr>
          <w:p w14:paraId="7CAFFE95" w14:textId="0F7ABAC3" w:rsidR="00E918F4" w:rsidRPr="00293C95" w:rsidRDefault="002C3510" w:rsidP="00293C9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93C95">
              <w:rPr>
                <w:color w:val="000000" w:themeColor="text1"/>
                <w:sz w:val="20"/>
                <w:szCs w:val="20"/>
              </w:rPr>
              <w:t>24.10%</w:t>
            </w:r>
          </w:p>
        </w:tc>
        <w:tc>
          <w:tcPr>
            <w:tcW w:w="1134" w:type="dxa"/>
          </w:tcPr>
          <w:p w14:paraId="06C68E46" w14:textId="506D4683" w:rsidR="00E918F4" w:rsidRPr="00293C95" w:rsidRDefault="00E918F4" w:rsidP="00293C9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93C95">
              <w:rPr>
                <w:color w:val="000000" w:themeColor="text1"/>
                <w:sz w:val="20"/>
                <w:szCs w:val="20"/>
              </w:rPr>
              <w:t>20.20%</w:t>
            </w:r>
          </w:p>
        </w:tc>
        <w:tc>
          <w:tcPr>
            <w:tcW w:w="992" w:type="dxa"/>
          </w:tcPr>
          <w:p w14:paraId="0A4CB560" w14:textId="204807A8" w:rsidR="00E918F4" w:rsidRPr="00293C95" w:rsidRDefault="00E918F4" w:rsidP="00293C9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93C95">
              <w:rPr>
                <w:color w:val="000000" w:themeColor="text1"/>
                <w:sz w:val="20"/>
                <w:szCs w:val="20"/>
              </w:rPr>
              <w:t>7.40%</w:t>
            </w:r>
          </w:p>
        </w:tc>
      </w:tr>
      <w:tr w:rsidR="00E918F4" w14:paraId="13BFBC8F" w14:textId="77777777" w:rsidTr="009036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Merge w:val="restart"/>
          </w:tcPr>
          <w:p w14:paraId="3DB1369E" w14:textId="16557F0A" w:rsidR="00E918F4" w:rsidRPr="00293C95" w:rsidRDefault="00924FCB" w:rsidP="00293C95">
            <w:pPr>
              <w:spacing w:line="240" w:lineRule="auto"/>
              <w:rPr>
                <w:color w:val="000000" w:themeColor="text1"/>
                <w:sz w:val="20"/>
                <w:szCs w:val="20"/>
              </w:rPr>
            </w:pPr>
            <w:r w:rsidRPr="00293C95">
              <w:rPr>
                <w:color w:val="000000" w:themeColor="text1"/>
                <w:sz w:val="20"/>
                <w:szCs w:val="20"/>
              </w:rPr>
              <w:t>Tower Hamlets</w:t>
            </w:r>
          </w:p>
        </w:tc>
        <w:tc>
          <w:tcPr>
            <w:tcW w:w="1984" w:type="dxa"/>
          </w:tcPr>
          <w:p w14:paraId="52890EAF" w14:textId="3031C1F0" w:rsidR="00E918F4" w:rsidRPr="00293C95" w:rsidRDefault="00924FCB" w:rsidP="00293C95">
            <w:pPr>
              <w:spacing w:line="240" w:lineRule="auto"/>
              <w:jc w:val="lef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93C95">
              <w:rPr>
                <w:color w:val="000000" w:themeColor="text1"/>
                <w:sz w:val="20"/>
                <w:szCs w:val="20"/>
              </w:rPr>
              <w:t>Number of pupils in ethnic group</w:t>
            </w:r>
          </w:p>
        </w:tc>
        <w:tc>
          <w:tcPr>
            <w:tcW w:w="1134" w:type="dxa"/>
          </w:tcPr>
          <w:p w14:paraId="6F052DC2" w14:textId="1E93B55D" w:rsidR="00E918F4" w:rsidRPr="00293C95" w:rsidRDefault="00E53790" w:rsidP="00293C95">
            <w:pPr>
              <w:spacing w:line="240"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93C95">
              <w:rPr>
                <w:color w:val="000000" w:themeColor="text1"/>
                <w:sz w:val="20"/>
                <w:szCs w:val="20"/>
              </w:rPr>
              <w:t>545</w:t>
            </w:r>
          </w:p>
        </w:tc>
        <w:tc>
          <w:tcPr>
            <w:tcW w:w="992" w:type="dxa"/>
          </w:tcPr>
          <w:p w14:paraId="34B951AE" w14:textId="7098A73B" w:rsidR="00E918F4" w:rsidRPr="00293C95" w:rsidRDefault="00E53790" w:rsidP="00293C95">
            <w:pPr>
              <w:spacing w:line="240"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93C95">
              <w:rPr>
                <w:color w:val="000000" w:themeColor="text1"/>
                <w:sz w:val="20"/>
                <w:szCs w:val="20"/>
              </w:rPr>
              <w:t>18</w:t>
            </w:r>
          </w:p>
        </w:tc>
        <w:tc>
          <w:tcPr>
            <w:tcW w:w="1134" w:type="dxa"/>
          </w:tcPr>
          <w:p w14:paraId="447F50C2" w14:textId="43D38885" w:rsidR="00E918F4" w:rsidRPr="00293C95" w:rsidRDefault="00E53790" w:rsidP="00293C95">
            <w:pPr>
              <w:spacing w:line="240"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93C95">
              <w:rPr>
                <w:color w:val="000000" w:themeColor="text1"/>
                <w:sz w:val="20"/>
                <w:szCs w:val="20"/>
              </w:rPr>
              <w:t>-</w:t>
            </w:r>
          </w:p>
        </w:tc>
        <w:tc>
          <w:tcPr>
            <w:tcW w:w="1276" w:type="dxa"/>
          </w:tcPr>
          <w:p w14:paraId="634A066E" w14:textId="53713590" w:rsidR="00E918F4" w:rsidRPr="00293C95" w:rsidRDefault="002C3510" w:rsidP="00293C95">
            <w:pPr>
              <w:spacing w:line="240"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93C95">
              <w:rPr>
                <w:color w:val="000000" w:themeColor="text1"/>
                <w:sz w:val="20"/>
                <w:szCs w:val="20"/>
              </w:rPr>
              <w:t>596</w:t>
            </w:r>
          </w:p>
        </w:tc>
        <w:tc>
          <w:tcPr>
            <w:tcW w:w="1134" w:type="dxa"/>
          </w:tcPr>
          <w:p w14:paraId="29E58FA4" w14:textId="0682A490" w:rsidR="00E918F4" w:rsidRPr="00293C95" w:rsidRDefault="00E918F4" w:rsidP="00293C95">
            <w:pPr>
              <w:spacing w:line="240"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93C95">
              <w:rPr>
                <w:color w:val="000000" w:themeColor="text1"/>
                <w:sz w:val="20"/>
                <w:szCs w:val="20"/>
              </w:rPr>
              <w:t>3,536</w:t>
            </w:r>
          </w:p>
        </w:tc>
        <w:tc>
          <w:tcPr>
            <w:tcW w:w="992" w:type="dxa"/>
          </w:tcPr>
          <w:p w14:paraId="66C44CB5" w14:textId="40EA1EC5" w:rsidR="00E918F4" w:rsidRPr="00293C95" w:rsidRDefault="00E918F4" w:rsidP="00293C95">
            <w:pPr>
              <w:spacing w:line="240"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293C95">
              <w:rPr>
                <w:color w:val="000000" w:themeColor="text1"/>
                <w:sz w:val="20"/>
                <w:szCs w:val="20"/>
              </w:rPr>
              <w:t>263</w:t>
            </w:r>
          </w:p>
        </w:tc>
      </w:tr>
      <w:tr w:rsidR="00E918F4" w14:paraId="617BF71B" w14:textId="77777777" w:rsidTr="00903680">
        <w:tc>
          <w:tcPr>
            <w:cnfStyle w:val="001000000000" w:firstRow="0" w:lastRow="0" w:firstColumn="1" w:lastColumn="0" w:oddVBand="0" w:evenVBand="0" w:oddHBand="0" w:evenHBand="0" w:firstRowFirstColumn="0" w:firstRowLastColumn="0" w:lastRowFirstColumn="0" w:lastRowLastColumn="0"/>
            <w:tcW w:w="988" w:type="dxa"/>
            <w:vMerge/>
          </w:tcPr>
          <w:p w14:paraId="3DB176A4" w14:textId="77777777" w:rsidR="00E918F4" w:rsidRPr="00293C95" w:rsidRDefault="00E918F4" w:rsidP="00293C95">
            <w:pPr>
              <w:spacing w:line="240" w:lineRule="auto"/>
              <w:rPr>
                <w:color w:val="000000" w:themeColor="text1"/>
                <w:sz w:val="20"/>
                <w:szCs w:val="20"/>
              </w:rPr>
            </w:pPr>
          </w:p>
        </w:tc>
        <w:tc>
          <w:tcPr>
            <w:tcW w:w="1984" w:type="dxa"/>
          </w:tcPr>
          <w:p w14:paraId="5C21505C" w14:textId="20404419" w:rsidR="00E918F4" w:rsidRPr="00293C95" w:rsidRDefault="00924FCB" w:rsidP="00293C95">
            <w:pPr>
              <w:spacing w:line="240" w:lineRule="auto"/>
              <w:jc w:val="lef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93C95">
              <w:rPr>
                <w:color w:val="000000" w:themeColor="text1"/>
                <w:sz w:val="20"/>
                <w:szCs w:val="20"/>
              </w:rPr>
              <w:t>% of pupils in ethnic groups with SEND</w:t>
            </w:r>
          </w:p>
        </w:tc>
        <w:tc>
          <w:tcPr>
            <w:tcW w:w="1134" w:type="dxa"/>
          </w:tcPr>
          <w:p w14:paraId="0514D103" w14:textId="5BA706AB" w:rsidR="00E918F4" w:rsidRPr="00293C95" w:rsidRDefault="00E53790" w:rsidP="00293C9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93C95">
              <w:rPr>
                <w:color w:val="000000" w:themeColor="text1"/>
                <w:sz w:val="20"/>
                <w:szCs w:val="20"/>
              </w:rPr>
              <w:t>27.90%</w:t>
            </w:r>
          </w:p>
        </w:tc>
        <w:tc>
          <w:tcPr>
            <w:tcW w:w="992" w:type="dxa"/>
          </w:tcPr>
          <w:p w14:paraId="0AA30FAC" w14:textId="640C3A84" w:rsidR="00E918F4" w:rsidRPr="00293C95" w:rsidRDefault="00E53790" w:rsidP="00293C9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93C95">
              <w:rPr>
                <w:color w:val="000000" w:themeColor="text1"/>
                <w:sz w:val="20"/>
                <w:szCs w:val="20"/>
              </w:rPr>
              <w:t>38.90%</w:t>
            </w:r>
          </w:p>
        </w:tc>
        <w:tc>
          <w:tcPr>
            <w:tcW w:w="1134" w:type="dxa"/>
          </w:tcPr>
          <w:p w14:paraId="2C9CFA13" w14:textId="247BC3CD" w:rsidR="00E918F4" w:rsidRPr="00293C95" w:rsidRDefault="00E53790" w:rsidP="00293C9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93C95">
              <w:rPr>
                <w:color w:val="000000" w:themeColor="text1"/>
                <w:sz w:val="20"/>
                <w:szCs w:val="20"/>
              </w:rPr>
              <w:t>-</w:t>
            </w:r>
          </w:p>
        </w:tc>
        <w:tc>
          <w:tcPr>
            <w:tcW w:w="1276" w:type="dxa"/>
          </w:tcPr>
          <w:p w14:paraId="1D327469" w14:textId="6E380267" w:rsidR="00E918F4" w:rsidRPr="00293C95" w:rsidRDefault="002C3510" w:rsidP="00293C9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93C95">
              <w:rPr>
                <w:color w:val="000000" w:themeColor="text1"/>
                <w:sz w:val="20"/>
                <w:szCs w:val="20"/>
              </w:rPr>
              <w:t>39.90%</w:t>
            </w:r>
          </w:p>
        </w:tc>
        <w:tc>
          <w:tcPr>
            <w:tcW w:w="1134" w:type="dxa"/>
          </w:tcPr>
          <w:p w14:paraId="33A89AE4" w14:textId="4F77F78E" w:rsidR="00E918F4" w:rsidRPr="00293C95" w:rsidRDefault="00E918F4" w:rsidP="00293C9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93C95">
              <w:rPr>
                <w:color w:val="000000" w:themeColor="text1"/>
                <w:sz w:val="20"/>
                <w:szCs w:val="20"/>
              </w:rPr>
              <w:t>38.20%</w:t>
            </w:r>
          </w:p>
        </w:tc>
        <w:tc>
          <w:tcPr>
            <w:tcW w:w="992" w:type="dxa"/>
          </w:tcPr>
          <w:p w14:paraId="664ADFE3" w14:textId="01719292" w:rsidR="00E918F4" w:rsidRPr="00293C95" w:rsidRDefault="00E918F4" w:rsidP="00293C95">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293C95">
              <w:rPr>
                <w:color w:val="000000" w:themeColor="text1"/>
                <w:sz w:val="20"/>
                <w:szCs w:val="20"/>
              </w:rPr>
              <w:t>11%</w:t>
            </w:r>
          </w:p>
        </w:tc>
      </w:tr>
    </w:tbl>
    <w:p w14:paraId="0DA336B2" w14:textId="3EFB8834" w:rsidR="001E22CA" w:rsidRDefault="004E04E1" w:rsidP="00E34366">
      <w:r>
        <w:t xml:space="preserve">Amongst pupils with any SEND in Tower Hamlets, the most prevalent primary need within the school population is </w:t>
      </w:r>
      <w:r w:rsidR="006B7E22">
        <w:t xml:space="preserve">SLCN </w:t>
      </w:r>
      <w:r>
        <w:t xml:space="preserve">accounting for 40.6% of the cohort. </w:t>
      </w:r>
      <w:r w:rsidRPr="00AC11BA">
        <w:t>This represents the highest percentage among all local authorities when compared to statistical neighbours (30.1%)</w:t>
      </w:r>
      <w:r>
        <w:t>. When compared nationally, it is also ranked first – and is considerably higher than the national rate of 24</w:t>
      </w:r>
      <w:r w:rsidRPr="00304FCB">
        <w:t xml:space="preserve">%. </w:t>
      </w:r>
    </w:p>
    <w:p w14:paraId="1E0DD726" w14:textId="17896413" w:rsidR="00794546" w:rsidRPr="00C270AF" w:rsidRDefault="00794546" w:rsidP="00E34366">
      <w:pPr>
        <w:rPr>
          <w:b/>
          <w:bCs/>
          <w:sz w:val="18"/>
          <w:szCs w:val="18"/>
        </w:rPr>
      </w:pPr>
      <w:r w:rsidRPr="00304FCB">
        <w:rPr>
          <w:b/>
          <w:bCs/>
          <w:sz w:val="18"/>
          <w:szCs w:val="18"/>
        </w:rPr>
        <w:t xml:space="preserve">Figure </w:t>
      </w:r>
      <w:r w:rsidR="008C60C4">
        <w:rPr>
          <w:b/>
          <w:bCs/>
          <w:sz w:val="18"/>
          <w:szCs w:val="18"/>
        </w:rPr>
        <w:t>3.</w:t>
      </w:r>
      <w:r w:rsidR="00ED75C4" w:rsidRPr="00304FCB">
        <w:rPr>
          <w:b/>
          <w:bCs/>
          <w:sz w:val="18"/>
          <w:szCs w:val="18"/>
        </w:rPr>
        <w:t>2</w:t>
      </w:r>
      <w:r w:rsidRPr="00304FCB">
        <w:rPr>
          <w:b/>
          <w:bCs/>
          <w:sz w:val="18"/>
          <w:szCs w:val="18"/>
        </w:rPr>
        <w:t xml:space="preserve">: </w:t>
      </w:r>
      <w:r w:rsidR="009869B0" w:rsidRPr="00304FCB">
        <w:rPr>
          <w:b/>
          <w:bCs/>
          <w:sz w:val="18"/>
          <w:szCs w:val="18"/>
        </w:rPr>
        <w:t>Identification</w:t>
      </w:r>
      <w:r w:rsidR="009869B0" w:rsidRPr="00C270AF">
        <w:rPr>
          <w:b/>
          <w:bCs/>
          <w:sz w:val="18"/>
          <w:szCs w:val="18"/>
        </w:rPr>
        <w:t>: Prevalence &amp; primary need – School population</w:t>
      </w:r>
    </w:p>
    <w:p w14:paraId="381C55CE" w14:textId="1078D141" w:rsidR="00616071" w:rsidRDefault="0084366A" w:rsidP="0084366A">
      <w:pPr>
        <w:jc w:val="center"/>
      </w:pPr>
      <w:r>
        <w:rPr>
          <w:noProof/>
        </w:rPr>
        <w:drawing>
          <wp:inline distT="0" distB="0" distL="0" distR="0" wp14:anchorId="7ABDA5E4" wp14:editId="784811D3">
            <wp:extent cx="6188456" cy="3241141"/>
            <wp:effectExtent l="0" t="0" r="3175" b="0"/>
            <wp:docPr id="240180853"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80853" name="Picture 30">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82524" cy="3290408"/>
                    </a:xfrm>
                    <a:prstGeom prst="rect">
                      <a:avLst/>
                    </a:prstGeom>
                    <a:noFill/>
                    <a:ln>
                      <a:noFill/>
                    </a:ln>
                  </pic:spPr>
                </pic:pic>
              </a:graphicData>
            </a:graphic>
          </wp:inline>
        </w:drawing>
      </w:r>
    </w:p>
    <w:p w14:paraId="7AC57248" w14:textId="787B2684" w:rsidR="00616071" w:rsidRPr="001E22CA" w:rsidRDefault="009869B0" w:rsidP="001E22CA">
      <w:pPr>
        <w:jc w:val="right"/>
        <w:rPr>
          <w:b/>
          <w:bCs/>
          <w:sz w:val="18"/>
          <w:szCs w:val="18"/>
        </w:rPr>
      </w:pPr>
      <w:r w:rsidRPr="00973B12">
        <w:rPr>
          <w:b/>
          <w:bCs/>
          <w:sz w:val="18"/>
          <w:szCs w:val="18"/>
        </w:rPr>
        <w:t xml:space="preserve">Source: SEND </w:t>
      </w:r>
      <w:r w:rsidR="00947127" w:rsidRPr="00973B12">
        <w:rPr>
          <w:b/>
          <w:bCs/>
          <w:sz w:val="18"/>
          <w:szCs w:val="18"/>
        </w:rPr>
        <w:t>Analysis Dashboard 2024</w:t>
      </w:r>
    </w:p>
    <w:p w14:paraId="76C37380" w14:textId="0DD19FB8" w:rsidR="004E04E1" w:rsidRDefault="004E04E1" w:rsidP="00E34366">
      <w:r>
        <w:t>T</w:t>
      </w:r>
      <w:r w:rsidR="0008038B">
        <w:t>his is</w:t>
      </w:r>
      <w:r>
        <w:t xml:space="preserve"> followed</w:t>
      </w:r>
      <w:r w:rsidRPr="00AC11BA">
        <w:t xml:space="preserve"> </w:t>
      </w:r>
      <w:r>
        <w:t>by</w:t>
      </w:r>
      <w:r w:rsidRPr="00AC11BA">
        <w:t xml:space="preserve"> </w:t>
      </w:r>
      <w:r w:rsidR="006B7E22">
        <w:t>SEMH</w:t>
      </w:r>
      <w:r w:rsidRPr="00AC11BA">
        <w:t xml:space="preserve"> (17.6%), </w:t>
      </w:r>
      <w:r>
        <w:t xml:space="preserve">which </w:t>
      </w:r>
      <w:r w:rsidR="001B0A4A">
        <w:t>i</w:t>
      </w:r>
      <w:r>
        <w:t xml:space="preserve">s </w:t>
      </w:r>
      <w:proofErr w:type="gramStart"/>
      <w:r>
        <w:t>similar to</w:t>
      </w:r>
      <w:proofErr w:type="gramEnd"/>
      <w:r w:rsidRPr="00AC11BA">
        <w:t xml:space="preserve"> the rate among statistical neighbours (17.4%). </w:t>
      </w:r>
      <w:r w:rsidR="006B7E22">
        <w:t>ASD</w:t>
      </w:r>
      <w:r w:rsidRPr="00AC11BA">
        <w:t xml:space="preserve"> ranked third at 16.3%, which is below the average for statistical neighbours (19%) but above the national rate of 15.5%.</w:t>
      </w:r>
    </w:p>
    <w:p w14:paraId="4332EDE9" w14:textId="16DE35A5" w:rsidR="004E04E1" w:rsidRDefault="004E04E1" w:rsidP="00E34366">
      <w:r>
        <w:t>In Tower Hamlets, the most common type of need of pupils with an EHC</w:t>
      </w:r>
      <w:r w:rsidR="0051337C">
        <w:t xml:space="preserve">P </w:t>
      </w:r>
      <w:r>
        <w:t xml:space="preserve">was ASD, accounting for 32% of pupils across all settings. This was followed by </w:t>
      </w:r>
      <w:r w:rsidR="00136E42">
        <w:t>SLCN</w:t>
      </w:r>
      <w:r>
        <w:t xml:space="preserve"> (31%).</w:t>
      </w:r>
    </w:p>
    <w:p w14:paraId="13DDD997" w14:textId="48B7E10B" w:rsidR="004E04E1" w:rsidRDefault="004E04E1" w:rsidP="00E34366">
      <w:r w:rsidDel="00924B37">
        <w:lastRenderedPageBreak/>
        <w:t xml:space="preserve">Those with </w:t>
      </w:r>
      <w:proofErr w:type="gramStart"/>
      <w:r w:rsidDel="00924B37">
        <w:t>multi</w:t>
      </w:r>
      <w:r w:rsidR="001573CC">
        <w:t>.</w:t>
      </w:r>
      <w:r>
        <w:t>-</w:t>
      </w:r>
      <w:proofErr w:type="gramEnd"/>
      <w:r>
        <w:t xml:space="preserve">sensory impairments (0.4%), visual impairments (1%) and severe learning difficulties (1.5%) </w:t>
      </w:r>
      <w:r w:rsidRPr="0049408A">
        <w:t>are among the least common primary needs for both EHC</w:t>
      </w:r>
      <w:r w:rsidR="0051337C">
        <w:t xml:space="preserve">P </w:t>
      </w:r>
      <w:r w:rsidRPr="0049408A">
        <w:t xml:space="preserve">and SEN support, according </w:t>
      </w:r>
      <w:r>
        <w:t>to the</w:t>
      </w:r>
      <w:r w:rsidRPr="0049408A">
        <w:t xml:space="preserve"> local data</w:t>
      </w:r>
      <w:r>
        <w:t>. However, despite</w:t>
      </w:r>
      <w:r w:rsidRPr="0049408A">
        <w:t xml:space="preserve"> their lower prevalence, it is important to recognise that these conditions can profoundly impact the lives of children and young </w:t>
      </w:r>
      <w:r w:rsidR="002062DD" w:rsidRPr="0049408A">
        <w:t>people and</w:t>
      </w:r>
      <w:r w:rsidRPr="0049408A">
        <w:t xml:space="preserve"> may require significant lifelong resources.</w:t>
      </w:r>
    </w:p>
    <w:p w14:paraId="40F13672" w14:textId="77777777" w:rsidR="004E04E1" w:rsidRPr="00584FE1" w:rsidRDefault="004E04E1" w:rsidP="00C25A3B">
      <w:pPr>
        <w:pStyle w:val="Heading3"/>
        <w:rPr>
          <w:color w:val="006B70"/>
        </w:rPr>
      </w:pPr>
      <w:bookmarkStart w:id="56" w:name="_Toc205386875"/>
      <w:bookmarkStart w:id="57" w:name="_Toc205387945"/>
      <w:bookmarkStart w:id="58" w:name="_Toc205445956"/>
      <w:r w:rsidRPr="00584FE1">
        <w:rPr>
          <w:color w:val="006B70"/>
        </w:rPr>
        <w:t>Deprivation</w:t>
      </w:r>
      <w:bookmarkEnd w:id="56"/>
      <w:bookmarkEnd w:id="57"/>
      <w:bookmarkEnd w:id="58"/>
    </w:p>
    <w:p w14:paraId="00C27CEC" w14:textId="77777777" w:rsidR="004E04E1" w:rsidRDefault="004E04E1" w:rsidP="00E34366">
      <w:r w:rsidRPr="004211A2">
        <w:t>London has the highest poverty rate of all regions of England</w:t>
      </w:r>
      <w:r>
        <w:t xml:space="preserve"> with one in four</w:t>
      </w:r>
      <w:r w:rsidRPr="004211A2">
        <w:t xml:space="preserve"> Londoners</w:t>
      </w:r>
      <w:r>
        <w:t xml:space="preserve"> </w:t>
      </w:r>
      <w:r w:rsidRPr="004211A2">
        <w:t>living in poverty. Although poverty varies across the city, more than half of boroughs also have higher levels of poverty than England as a whole.</w:t>
      </w:r>
    </w:p>
    <w:p w14:paraId="3A248375" w14:textId="555D344A" w:rsidR="001E22CA" w:rsidRDefault="004E04E1" w:rsidP="00E34366">
      <w:r>
        <w:t>According to London’s Poverty Profile (2024)</w:t>
      </w:r>
      <w:r>
        <w:rPr>
          <w:rStyle w:val="EndnoteReference"/>
        </w:rPr>
        <w:endnoteReference w:id="27"/>
      </w:r>
      <w:r w:rsidR="00DF0770">
        <w:t>,</w:t>
      </w:r>
      <w:r>
        <w:t xml:space="preserve"> Tower Hamlet</w:t>
      </w:r>
      <w:r w:rsidR="00B44B70">
        <w:t>s</w:t>
      </w:r>
      <w:r>
        <w:t xml:space="preserve"> has 47% of children living in poverty</w:t>
      </w:r>
      <w:r w:rsidR="00A06B3D">
        <w:t>,</w:t>
      </w:r>
      <w:r>
        <w:t xml:space="preserve"> the highest rate within England. Children born in th</w:t>
      </w:r>
      <w:r w:rsidR="0027634E">
        <w:t>e</w:t>
      </w:r>
      <w:r>
        <w:t xml:space="preserve"> borough (and those who also experience high levels of child poverty) and more than twice as likely to be growing up in poverty than those in wealthier boroughs (</w:t>
      </w:r>
      <w:r w:rsidR="003C5315">
        <w:t>e</w:t>
      </w:r>
      <w:r>
        <w:t>.</w:t>
      </w:r>
      <w:r w:rsidR="003C5315">
        <w:t>g</w:t>
      </w:r>
      <w:r w:rsidR="00970A60">
        <w:t>.</w:t>
      </w:r>
      <w:r>
        <w:t xml:space="preserve"> Richmond or Kingston). </w:t>
      </w:r>
    </w:p>
    <w:p w14:paraId="288FA9DC" w14:textId="3EFABEF0" w:rsidR="004E04E1" w:rsidRPr="006C36E3" w:rsidRDefault="00110209" w:rsidP="00E34366">
      <w:pPr>
        <w:rPr>
          <w:b/>
          <w:bCs/>
          <w:sz w:val="18"/>
          <w:szCs w:val="18"/>
        </w:rPr>
      </w:pPr>
      <w:r w:rsidRPr="00C270AF">
        <w:rPr>
          <w:b/>
          <w:bCs/>
          <w:sz w:val="18"/>
          <w:szCs w:val="18"/>
        </w:rPr>
        <w:t xml:space="preserve">Figure </w:t>
      </w:r>
      <w:r w:rsidR="00963853">
        <w:rPr>
          <w:b/>
          <w:bCs/>
          <w:sz w:val="18"/>
          <w:szCs w:val="18"/>
        </w:rPr>
        <w:t>3</w:t>
      </w:r>
      <w:r w:rsidR="006C36E3">
        <w:rPr>
          <w:b/>
          <w:bCs/>
          <w:sz w:val="18"/>
          <w:szCs w:val="18"/>
        </w:rPr>
        <w:t>.3</w:t>
      </w:r>
      <w:r w:rsidR="00ED75C4">
        <w:rPr>
          <w:b/>
          <w:bCs/>
          <w:sz w:val="18"/>
          <w:szCs w:val="18"/>
        </w:rPr>
        <w:t xml:space="preserve">: </w:t>
      </w:r>
      <w:r w:rsidRPr="00C270AF">
        <w:rPr>
          <w:b/>
          <w:bCs/>
          <w:sz w:val="18"/>
          <w:szCs w:val="18"/>
        </w:rPr>
        <w:t xml:space="preserve">Tower Hamlets </w:t>
      </w:r>
      <w:r w:rsidR="0039488B" w:rsidRPr="00C270AF">
        <w:rPr>
          <w:b/>
          <w:bCs/>
          <w:sz w:val="18"/>
          <w:szCs w:val="18"/>
        </w:rPr>
        <w:t>poverty rates across key indicators</w:t>
      </w:r>
    </w:p>
    <w:p w14:paraId="516745BF" w14:textId="77777777" w:rsidR="004E04E1" w:rsidRDefault="004E04E1" w:rsidP="00777F94">
      <w:pPr>
        <w:jc w:val="center"/>
      </w:pPr>
      <w:r>
        <w:rPr>
          <w:noProof/>
        </w:rPr>
        <w:drawing>
          <wp:inline distT="0" distB="0" distL="0" distR="0" wp14:anchorId="0B36C142" wp14:editId="722C6335">
            <wp:extent cx="5804997" cy="1772744"/>
            <wp:effectExtent l="0" t="0" r="5715" b="0"/>
            <wp:docPr id="1828852610" name="Picture 5" descr="A graph with blue and white squ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52610" name="Picture 5" descr="A graph with blue and white squar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12737" cy="1775108"/>
                    </a:xfrm>
                    <a:prstGeom prst="rect">
                      <a:avLst/>
                    </a:prstGeom>
                    <a:noFill/>
                    <a:ln>
                      <a:noFill/>
                    </a:ln>
                  </pic:spPr>
                </pic:pic>
              </a:graphicData>
            </a:graphic>
          </wp:inline>
        </w:drawing>
      </w:r>
    </w:p>
    <w:p w14:paraId="58058E5D" w14:textId="77777777" w:rsidR="004E04E1" w:rsidRPr="00973B12" w:rsidRDefault="004E04E1" w:rsidP="00563151">
      <w:pPr>
        <w:jc w:val="right"/>
        <w:rPr>
          <w:b/>
          <w:bCs/>
          <w:sz w:val="18"/>
          <w:szCs w:val="18"/>
        </w:rPr>
      </w:pPr>
      <w:r w:rsidRPr="00973B12">
        <w:rPr>
          <w:b/>
          <w:bCs/>
          <w:sz w:val="18"/>
          <w:szCs w:val="18"/>
        </w:rPr>
        <w:t>Source: Trust for London</w:t>
      </w:r>
    </w:p>
    <w:p w14:paraId="56CFFCF0" w14:textId="57EC4F77" w:rsidR="004E04E1" w:rsidRPr="007560B5" w:rsidRDefault="004E04E1" w:rsidP="007560B5">
      <w:pPr>
        <w:jc w:val="left"/>
      </w:pPr>
      <w:r w:rsidRPr="007560B5">
        <w:t xml:space="preserve">Across all borough-level indicators in the </w:t>
      </w:r>
      <w:r w:rsidRPr="007560B5">
        <w:rPr>
          <w:i/>
          <w:iCs/>
        </w:rPr>
        <w:t>London Poverty Profile</w:t>
      </w:r>
      <w:r w:rsidRPr="007560B5">
        <w:t>, Tower Hamlets ranked worst for income deprivation, reflecting deep structural inequalities</w:t>
      </w:r>
      <w:r w:rsidR="007633A7">
        <w:t xml:space="preserve"> </w:t>
      </w:r>
      <w:r w:rsidR="00875B0F">
        <w:t>for the area</w:t>
      </w:r>
      <w:r w:rsidRPr="007560B5">
        <w:t>. Conversely, it ranked best for average annual net housing completions, showing s</w:t>
      </w:r>
      <w:r w:rsidR="008131EB">
        <w:t>ignificant</w:t>
      </w:r>
      <w:r w:rsidRPr="007560B5">
        <w:t xml:space="preserve"> investment in infrastructure despite ongoing challenges</w:t>
      </w:r>
      <w:r w:rsidRPr="007560B5">
        <w:rPr>
          <w:rStyle w:val="EndnoteReference"/>
        </w:rPr>
        <w:endnoteReference w:id="28"/>
      </w:r>
      <w:r w:rsidRPr="007560B5">
        <w:t>.</w:t>
      </w:r>
    </w:p>
    <w:p w14:paraId="6D589D14" w14:textId="51412C46" w:rsidR="004E04E1" w:rsidRDefault="004E04E1" w:rsidP="00776762">
      <w:r>
        <w:t>Free school meal (FSM) eligibility is widely recognised as a proxy indicator of deprivation. In 2023/24, 40.1% of children in Tower Hamlets were eligible for FSM, almost double the national average of 24.6%. At the start of the 2023 academic year, Tower Hamlets Council became the first local authority in England to implement universal free school meals for all primary and secondary pupils up to the age of 16.</w:t>
      </w:r>
    </w:p>
    <w:p w14:paraId="10FE8045" w14:textId="77777777" w:rsidR="00D244C5" w:rsidRDefault="00D244C5" w:rsidP="00776762"/>
    <w:p w14:paraId="50C1A36D" w14:textId="6797F4A2" w:rsidR="004E04E1" w:rsidRDefault="004E04E1" w:rsidP="00E34366">
      <w:r>
        <w:t>Children with SEND are disproportionately affected by deprivation, as reflected in their higher rates of FSM eligibility compared to their non-SEND peers. Within the SEND population in Tower Hamlets, 53.2% of children with an EHC</w:t>
      </w:r>
      <w:r w:rsidR="00C63A5D">
        <w:t>P</w:t>
      </w:r>
      <w:r>
        <w:t xml:space="preserve"> and 49.2% of those receiving SEN support were eligible for FSM. These rates are significantly higher than those observed across both London and England overall, </w:t>
      </w:r>
      <w:r>
        <w:lastRenderedPageBreak/>
        <w:t>underscoring how SEND and socioeconomic disadvantage frequently overlap, thus compounding the challenges children and families face</w:t>
      </w:r>
      <w:r w:rsidR="00421726">
        <w:rPr>
          <w:rStyle w:val="EndnoteReference"/>
          <w:spacing w:val="-4"/>
          <w:w w:val="105"/>
        </w:rPr>
        <w:fldChar w:fldCharType="begin"/>
      </w:r>
      <w:r w:rsidR="00421726">
        <w:rPr>
          <w:rStyle w:val="EndnoteReference"/>
          <w:spacing w:val="-4"/>
          <w:w w:val="105"/>
        </w:rPr>
        <w:instrText xml:space="preserve"> NOTEREF  _Ref204587357 \f \h </w:instrText>
      </w:r>
      <w:r w:rsidR="00421726">
        <w:rPr>
          <w:rStyle w:val="EndnoteReference"/>
          <w:spacing w:val="-4"/>
          <w:w w:val="105"/>
        </w:rPr>
      </w:r>
      <w:r w:rsidR="00421726">
        <w:rPr>
          <w:rStyle w:val="EndnoteReference"/>
          <w:spacing w:val="-4"/>
          <w:w w:val="105"/>
        </w:rPr>
        <w:fldChar w:fldCharType="separate"/>
      </w:r>
      <w:r w:rsidR="008722C4" w:rsidRPr="008722C4">
        <w:rPr>
          <w:rStyle w:val="EndnoteReference"/>
        </w:rPr>
        <w:t>3</w:t>
      </w:r>
      <w:r w:rsidR="00421726">
        <w:rPr>
          <w:rStyle w:val="EndnoteReference"/>
          <w:spacing w:val="-4"/>
          <w:w w:val="105"/>
        </w:rPr>
        <w:fldChar w:fldCharType="end"/>
      </w:r>
      <w:r w:rsidR="002D734C">
        <w:t>.</w:t>
      </w:r>
      <w:r w:rsidR="00250823">
        <w:t xml:space="preserve"> </w:t>
      </w:r>
    </w:p>
    <w:p w14:paraId="5B8FA0E4" w14:textId="17625EDB" w:rsidR="00EC6F40" w:rsidRPr="0022368C" w:rsidRDefault="00EC6F40" w:rsidP="00EC6F40">
      <w:pPr>
        <w:pStyle w:val="Heading3"/>
        <w:rPr>
          <w:color w:val="006B70"/>
        </w:rPr>
      </w:pPr>
      <w:bookmarkStart w:id="59" w:name="_Toc205386876"/>
      <w:bookmarkStart w:id="60" w:name="_Toc205387946"/>
      <w:bookmarkStart w:id="61" w:name="_Toc205445957"/>
      <w:r w:rsidRPr="0022368C">
        <w:rPr>
          <w:color w:val="006B70"/>
        </w:rPr>
        <w:t>Summary</w:t>
      </w:r>
      <w:bookmarkEnd w:id="59"/>
      <w:bookmarkEnd w:id="60"/>
      <w:bookmarkEnd w:id="61"/>
    </w:p>
    <w:p w14:paraId="4CFBFC04" w14:textId="42DEC278" w:rsidR="003532F3" w:rsidRPr="003532F3" w:rsidRDefault="003532F3" w:rsidP="003532F3">
      <w:r w:rsidRPr="003532F3">
        <w:t>This chapter explored the rising prevalence of SEND both nationally and in Tower Hamlets, where rates are among</w:t>
      </w:r>
      <w:r>
        <w:t>st</w:t>
      </w:r>
      <w:r w:rsidRPr="003532F3">
        <w:t xml:space="preserve"> the highest in the country. In 2025, nearly one in five pupils in England had SEND, and Tower Hamlets recorded the highest proportion of pupils with an EHCP at 6.8%.</w:t>
      </w:r>
    </w:p>
    <w:p w14:paraId="79FFFB62" w14:textId="2E32088B" w:rsidR="003532F3" w:rsidRPr="003532F3" w:rsidRDefault="003532F3" w:rsidP="003532F3">
      <w:r w:rsidRPr="003532F3">
        <w:t xml:space="preserve">Gender disparities remain evident, with boys more likely to be identified with SEND. However, recent trends suggest a gradual increase in female identification, particularly at the SEN support level, </w:t>
      </w:r>
      <w:r w:rsidR="00DB7D3F">
        <w:t>which may reflect a</w:t>
      </w:r>
      <w:r w:rsidRPr="003532F3">
        <w:t xml:space="preserve"> better awareness of how needs like autism may present differently in girls.</w:t>
      </w:r>
    </w:p>
    <w:p w14:paraId="6C5BDCA1" w14:textId="77777777" w:rsidR="003532F3" w:rsidRPr="003532F3" w:rsidRDefault="003532F3" w:rsidP="003532F3">
      <w:r w:rsidRPr="003532F3">
        <w:t>Ethnicity plays a significant role in the local SEND profile, with Bangladeshi pupils forming the majority of those identified in Tower Hamlets. However, a large proportion of cases lack recorded ethnicity, limiting full insight into disparities.</w:t>
      </w:r>
    </w:p>
    <w:p w14:paraId="1B2BFA69" w14:textId="6A6F1D68" w:rsidR="003532F3" w:rsidRPr="003532F3" w:rsidRDefault="003532F3" w:rsidP="003532F3">
      <w:r w:rsidRPr="003532F3">
        <w:t>SLCN is the most common primary need in the borough, with rates far above the national average. Among</w:t>
      </w:r>
      <w:r w:rsidR="00120855">
        <w:t>st</w:t>
      </w:r>
      <w:r w:rsidRPr="003532F3">
        <w:t xml:space="preserve"> EHCP holders, ASD is the most frequently recorded need.</w:t>
      </w:r>
    </w:p>
    <w:p w14:paraId="0132539B" w14:textId="108E775F" w:rsidR="003532F3" w:rsidRDefault="003532F3" w:rsidP="003532F3">
      <w:r w:rsidRPr="003532F3">
        <w:t xml:space="preserve">Finally, the chapter highlighted the strong link between SEND and deprivation. Tower Hamlets has the highest child poverty rate in England, and children with SEND are disproportionately affected, with over half eligible for free school meals. </w:t>
      </w:r>
    </w:p>
    <w:p w14:paraId="3CAD7D6A" w14:textId="77777777" w:rsidR="009B07CA" w:rsidRDefault="009B07CA">
      <w:pPr>
        <w:spacing w:before="0" w:after="160" w:line="278" w:lineRule="auto"/>
        <w:jc w:val="left"/>
        <w:rPr>
          <w:b/>
          <w:bCs/>
          <w:color w:val="00435D"/>
          <w:sz w:val="44"/>
          <w:szCs w:val="36"/>
        </w:rPr>
      </w:pPr>
      <w:bookmarkStart w:id="62" w:name="_Toc211414155"/>
      <w:r>
        <w:br w:type="page"/>
      </w:r>
    </w:p>
    <w:p w14:paraId="261F9CA5" w14:textId="6519D4F0" w:rsidR="004E04E1" w:rsidRDefault="004E04E1" w:rsidP="00841B03">
      <w:pPr>
        <w:pStyle w:val="Heading2"/>
      </w:pPr>
      <w:bookmarkStart w:id="63" w:name="_Toc211440054"/>
      <w:r>
        <w:lastRenderedPageBreak/>
        <w:t>Education</w:t>
      </w:r>
      <w:bookmarkEnd w:id="62"/>
      <w:bookmarkEnd w:id="63"/>
    </w:p>
    <w:p w14:paraId="429F3BD0" w14:textId="5D2C9616" w:rsidR="00D867FE" w:rsidRPr="00293C95" w:rsidRDefault="00D867FE" w:rsidP="00D867FE">
      <w:r w:rsidRPr="00D867FE">
        <w:t>This chapter on Education provides a comprehensive overview of support for children and young people with SEND in Tower Hamlets. It covers key stages from early years through post-16 education, including identification, provision, outcomes, challenges, and safeguarding. The chapter also incorporates local data, service insights, and stakeholder perspectives to highlight both achievements and areas for improvement within the borough’s education system</w:t>
      </w:r>
      <w:r w:rsidR="00C1616E">
        <w:t xml:space="preserve">. </w:t>
      </w:r>
    </w:p>
    <w:p w14:paraId="6CB4C476" w14:textId="3653A9A0" w:rsidR="004E04E1" w:rsidRPr="00584FE1" w:rsidRDefault="004E04E1" w:rsidP="00E86074">
      <w:pPr>
        <w:pStyle w:val="Heading3"/>
        <w:rPr>
          <w:color w:val="006B70"/>
        </w:rPr>
      </w:pPr>
      <w:bookmarkStart w:id="64" w:name="_Toc205386878"/>
      <w:bookmarkStart w:id="65" w:name="_Toc205387948"/>
      <w:bookmarkStart w:id="66" w:name="_Toc205445959"/>
      <w:r w:rsidRPr="00584FE1">
        <w:rPr>
          <w:color w:val="006B70"/>
        </w:rPr>
        <w:t>Early Years</w:t>
      </w:r>
      <w:bookmarkEnd w:id="64"/>
      <w:bookmarkEnd w:id="65"/>
      <w:bookmarkEnd w:id="66"/>
      <w:r w:rsidRPr="00584FE1">
        <w:rPr>
          <w:color w:val="006B70"/>
        </w:rPr>
        <w:t xml:space="preserve"> </w:t>
      </w:r>
    </w:p>
    <w:p w14:paraId="6DE1DF78" w14:textId="358DB7BC" w:rsidR="004E04E1" w:rsidRPr="00A17D1D" w:rsidRDefault="004E04E1" w:rsidP="00E86074">
      <w:r w:rsidRPr="00A17D1D">
        <w:t xml:space="preserve">Section 23 of the Children and Families Act 2014 places a legal duty on health bodies to inform the local authority when they identify a child under compulsory school age who may have SEND. This duty is crucial in ensuring that children with emerging or diagnosed needs are identified early, enabling timely assessment and intervention to support their development and </w:t>
      </w:r>
      <w:r w:rsidRPr="00310A5A">
        <w:t>learning</w:t>
      </w:r>
      <w:r w:rsidRPr="00A17D1D">
        <w:t>. Effective implementation of Section 23 requires strong multi-agency collaboration between health, education, and social care partners, as well as robust local systems for monitoring, planning, and delivering services.</w:t>
      </w:r>
    </w:p>
    <w:p w14:paraId="384D6B55" w14:textId="5601BD9C" w:rsidR="00170CDE" w:rsidRDefault="004E04E1" w:rsidP="00E86074">
      <w:r w:rsidRPr="00A17D1D">
        <w:t>In Tower Hamlets, early identification and support for children with SEND is a significant priority, given the borough’s high levels of need and diverse population. Despite excellent service engagement rates, local data show</w:t>
      </w:r>
      <w:r w:rsidR="003D5319">
        <w:t>s</w:t>
      </w:r>
      <w:r w:rsidRPr="00A17D1D">
        <w:t xml:space="preserve"> that children in Tower Hamlets continue to experience higher rates of developmental delay and complex SEN</w:t>
      </w:r>
      <w:r>
        <w:t>D</w:t>
      </w:r>
      <w:r w:rsidRPr="00A17D1D">
        <w:t xml:space="preserve"> compared to regional and national averages.</w:t>
      </w:r>
    </w:p>
    <w:p w14:paraId="78112533" w14:textId="77777777" w:rsidR="004E04E1" w:rsidRPr="00584FE1" w:rsidRDefault="004E04E1" w:rsidP="00E86074">
      <w:pPr>
        <w:pStyle w:val="Heading3"/>
        <w:rPr>
          <w:color w:val="006B70"/>
        </w:rPr>
      </w:pPr>
      <w:bookmarkStart w:id="67" w:name="_Toc211413918"/>
      <w:bookmarkStart w:id="68" w:name="_Toc211439776"/>
      <w:bookmarkStart w:id="69" w:name="_Toc205386879"/>
      <w:bookmarkStart w:id="70" w:name="_Toc205387949"/>
      <w:bookmarkStart w:id="71" w:name="_Toc205445960"/>
      <w:bookmarkEnd w:id="67"/>
      <w:bookmarkEnd w:id="68"/>
      <w:r w:rsidRPr="00584FE1">
        <w:rPr>
          <w:color w:val="006B70"/>
        </w:rPr>
        <w:t>Early Identification and Developmental Screening</w:t>
      </w:r>
      <w:bookmarkEnd w:id="69"/>
      <w:bookmarkEnd w:id="70"/>
      <w:bookmarkEnd w:id="71"/>
    </w:p>
    <w:p w14:paraId="44CCFAFB" w14:textId="7AC47C93" w:rsidR="004E04E1" w:rsidRDefault="004E04E1" w:rsidP="00E86074">
      <w:r w:rsidRPr="000E6B5E">
        <w:t xml:space="preserve">All children in Tower Hamlets undergo newborn screening, including the </w:t>
      </w:r>
      <w:r w:rsidRPr="007D3DDA">
        <w:rPr>
          <w:rStyle w:val="Strong"/>
          <w:b w:val="0"/>
        </w:rPr>
        <w:t>newborn blood spot test</w:t>
      </w:r>
      <w:r w:rsidRPr="000E6B5E">
        <w:t xml:space="preserve">, which identifies nine serious conditions early in life. As part of the </w:t>
      </w:r>
      <w:r w:rsidRPr="007D3DDA">
        <w:rPr>
          <w:rStyle w:val="Strong"/>
          <w:b w:val="0"/>
        </w:rPr>
        <w:t>Healthy Child Programme</w:t>
      </w:r>
      <w:r w:rsidRPr="000E6B5E">
        <w:t xml:space="preserve">, every family is offered </w:t>
      </w:r>
      <w:r w:rsidRPr="007D3DDA">
        <w:rPr>
          <w:rStyle w:val="Strong"/>
          <w:b w:val="0"/>
        </w:rPr>
        <w:t>five mandated contacts with health visitors</w:t>
      </w:r>
      <w:r w:rsidRPr="000E6B5E">
        <w:t>, with vulnerable families receiving additional visits and tailored support.</w:t>
      </w:r>
      <w:r w:rsidR="00E61B30">
        <w:t xml:space="preserve"> </w:t>
      </w:r>
      <w:r w:rsidR="00337ECF" w:rsidRPr="00337ECF">
        <w:t>In Tower Hamlets, the health visiting service has been restructured, with some responsibilities shifting from health visitors to community nursery nurses. This change is part of a broader strategy to implement the Healthy Child Programme</w:t>
      </w:r>
      <w:r w:rsidR="005C70DF">
        <w:rPr>
          <w:rStyle w:val="EndnoteReference"/>
        </w:rPr>
        <w:endnoteReference w:id="29"/>
      </w:r>
      <w:r w:rsidR="005C70DF" w:rsidRPr="00337ECF">
        <w:t>. However, stakeholders have reported challenges related to this shift</w:t>
      </w:r>
      <w:r w:rsidR="005C70DF">
        <w:t xml:space="preserve">, </w:t>
      </w:r>
      <w:r w:rsidR="005C70DF" w:rsidRPr="00337ECF">
        <w:t>particularly in ensuring that community nursery nurses receive adequate and appropriate training to provide the comprehensive knowledge required to support children's development.</w:t>
      </w:r>
    </w:p>
    <w:p w14:paraId="3F609125" w14:textId="77777777" w:rsidR="001013D1" w:rsidRDefault="0035152D" w:rsidP="00293C95">
      <w:pPr>
        <w:pStyle w:val="Heading4"/>
      </w:pPr>
      <w:r w:rsidRPr="0035152D">
        <w:t>Newborn and Infant Physical Examination (NIPE)</w:t>
      </w:r>
    </w:p>
    <w:p w14:paraId="4B8D1F3C" w14:textId="0D073E44" w:rsidR="00B271E1" w:rsidRDefault="0035152D" w:rsidP="00E86074">
      <w:r w:rsidRPr="0035152D">
        <w:t xml:space="preserve">Coverage of the mandated newborn screening and </w:t>
      </w:r>
      <w:proofErr w:type="gramStart"/>
      <w:r w:rsidRPr="0035152D">
        <w:t>early-infant</w:t>
      </w:r>
      <w:proofErr w:type="gramEnd"/>
      <w:r w:rsidRPr="0035152D">
        <w:t xml:space="preserve"> physical examinations in Tower Hamlets </w:t>
      </w:r>
      <w:r w:rsidR="005A588E">
        <w:t>is</w:t>
      </w:r>
      <w:r w:rsidRPr="0035152D">
        <w:t xml:space="preserve"> broadly in line with London </w:t>
      </w:r>
      <w:r w:rsidR="005A588E">
        <w:t>but statistically ‘worse’ than</w:t>
      </w:r>
      <w:r w:rsidRPr="0035152D">
        <w:t xml:space="preserve"> England averages. Fingertips data show that in </w:t>
      </w:r>
      <w:r w:rsidRPr="00293C95">
        <w:t xml:space="preserve">2023/24, </w:t>
      </w:r>
      <w:r w:rsidR="00C11A04">
        <w:t>95</w:t>
      </w:r>
      <w:r w:rsidRPr="00293C95">
        <w:t>% of newborns in Tower Hamlets received their NIPE within 72 hours</w:t>
      </w:r>
      <w:r w:rsidRPr="000A2B96">
        <w:t xml:space="preserve"> of birth (London 9</w:t>
      </w:r>
      <w:r w:rsidR="00CB1A49">
        <w:t>5.3</w:t>
      </w:r>
      <w:r w:rsidRPr="000A2B96">
        <w:t xml:space="preserve">%, England </w:t>
      </w:r>
      <w:r w:rsidR="00CB1A49">
        <w:t>96.1</w:t>
      </w:r>
      <w:r w:rsidRPr="000A2B96">
        <w:t xml:space="preserve">%). </w:t>
      </w:r>
      <w:r w:rsidR="007D2088">
        <w:t>98.</w:t>
      </w:r>
      <w:r w:rsidR="00921083">
        <w:t>5% received their newborn hearing screening in 2023/24</w:t>
      </w:r>
      <w:r w:rsidR="00E75320">
        <w:t xml:space="preserve"> (</w:t>
      </w:r>
      <w:r w:rsidR="00E75320" w:rsidRPr="000A2B96">
        <w:t>London 98.8%, England 99.0%)</w:t>
      </w:r>
      <w:r w:rsidR="004B56D2">
        <w:t>.</w:t>
      </w:r>
      <w:r w:rsidR="0069474E" w:rsidRPr="00293C95">
        <w:rPr>
          <w:vertAlign w:val="superscript"/>
        </w:rPr>
        <w:fldChar w:fldCharType="begin"/>
      </w:r>
      <w:r w:rsidR="0069474E" w:rsidRPr="00293C95">
        <w:rPr>
          <w:vertAlign w:val="superscript"/>
        </w:rPr>
        <w:instrText xml:space="preserve"> NOTEREF _Ref204720059 \h </w:instrText>
      </w:r>
      <w:r w:rsidR="0069474E">
        <w:rPr>
          <w:vertAlign w:val="superscript"/>
        </w:rPr>
        <w:instrText xml:space="preserve"> \* MERGEFORMAT </w:instrText>
      </w:r>
      <w:r w:rsidR="0069474E" w:rsidRPr="00293C95">
        <w:rPr>
          <w:vertAlign w:val="superscript"/>
        </w:rPr>
      </w:r>
      <w:r w:rsidR="0069474E" w:rsidRPr="00293C95">
        <w:rPr>
          <w:vertAlign w:val="superscript"/>
        </w:rPr>
        <w:fldChar w:fldCharType="separate"/>
      </w:r>
      <w:r w:rsidR="008722C4">
        <w:rPr>
          <w:vertAlign w:val="superscript"/>
        </w:rPr>
        <w:t>5</w:t>
      </w:r>
      <w:r w:rsidR="0069474E" w:rsidRPr="00293C95">
        <w:rPr>
          <w:vertAlign w:val="superscript"/>
        </w:rPr>
        <w:fldChar w:fldCharType="end"/>
      </w:r>
      <w:r w:rsidRPr="0035152D">
        <w:t xml:space="preserve"> </w:t>
      </w:r>
    </w:p>
    <w:p w14:paraId="6653C81B" w14:textId="329470BA" w:rsidR="00B271E1" w:rsidRDefault="00B271E1" w:rsidP="00293C95">
      <w:pPr>
        <w:pStyle w:val="Heading4"/>
      </w:pPr>
      <w:r>
        <w:t>Ages and Stages Questionnaire</w:t>
      </w:r>
    </w:p>
    <w:p w14:paraId="06C546EE" w14:textId="5DF6F64D" w:rsidR="004E04E1" w:rsidRPr="000E6B5E" w:rsidRDefault="00B271E1" w:rsidP="00E86074">
      <w:r>
        <w:t>T</w:t>
      </w:r>
      <w:r w:rsidR="004E04E1" w:rsidRPr="000E6B5E">
        <w:t xml:space="preserve">he </w:t>
      </w:r>
      <w:r w:rsidR="004E04E1" w:rsidRPr="007D3DDA">
        <w:rPr>
          <w:rStyle w:val="Strong"/>
          <w:b w:val="0"/>
        </w:rPr>
        <w:t>two-year health and development review</w:t>
      </w:r>
      <w:r w:rsidR="004E04E1" w:rsidRPr="000E6B5E">
        <w:t xml:space="preserve">, during which children are assessed using the </w:t>
      </w:r>
      <w:r w:rsidR="004E04E1" w:rsidRPr="007D3DDA">
        <w:rPr>
          <w:rStyle w:val="Strong"/>
          <w:b w:val="0"/>
        </w:rPr>
        <w:t>Ages and Stages Questionnaire (ASQ)</w:t>
      </w:r>
      <w:r w:rsidR="004E04E1" w:rsidRPr="007D3DDA">
        <w:t xml:space="preserve"> </w:t>
      </w:r>
      <w:r w:rsidR="004E04E1" w:rsidRPr="00D7509B">
        <w:t>to</w:t>
      </w:r>
      <w:r w:rsidR="004E04E1" w:rsidRPr="000E6B5E">
        <w:t xml:space="preserve"> monitor progress across key developmental domains. If delays are </w:t>
      </w:r>
      <w:r w:rsidR="004E04E1" w:rsidRPr="000E6B5E">
        <w:lastRenderedPageBreak/>
        <w:t>suspected, an ASQ:SE-2 (Social-Emotional) assessment is undertaken, triggering referrals to specialist services where appropriate.</w:t>
      </w:r>
    </w:p>
    <w:p w14:paraId="593EC079" w14:textId="3E79BCF3" w:rsidR="004E04E1" w:rsidRPr="000E6B5E" w:rsidRDefault="004E04E1" w:rsidP="00E86074">
      <w:r w:rsidRPr="000E6B5E">
        <w:t xml:space="preserve">In 2023-24, </w:t>
      </w:r>
      <w:r w:rsidRPr="007D3DDA">
        <w:rPr>
          <w:rStyle w:val="Strong"/>
          <w:b w:val="0"/>
        </w:rPr>
        <w:t>99% of children in Tower Hamlets received their 2–2.5-year review including an ASQ by age 2.5</w:t>
      </w:r>
      <w:r w:rsidRPr="000E6B5E">
        <w:t xml:space="preserve">, the highest proportion in </w:t>
      </w:r>
      <w:r w:rsidRPr="00985E11">
        <w:t>London</w:t>
      </w:r>
      <w:r w:rsidR="003B0BBF" w:rsidRPr="00985E11">
        <w:rPr>
          <w:vertAlign w:val="superscript"/>
        </w:rPr>
        <w:fldChar w:fldCharType="begin"/>
      </w:r>
      <w:r w:rsidR="003B0BBF" w:rsidRPr="00985E11">
        <w:rPr>
          <w:vertAlign w:val="superscript"/>
        </w:rPr>
        <w:instrText xml:space="preserve"> NOTEREF _Ref204720059 \h  \* MERGEFORMAT </w:instrText>
      </w:r>
      <w:r w:rsidR="003B0BBF" w:rsidRPr="00985E11">
        <w:rPr>
          <w:vertAlign w:val="superscript"/>
        </w:rPr>
      </w:r>
      <w:r w:rsidR="003B0BBF" w:rsidRPr="00985E11">
        <w:rPr>
          <w:vertAlign w:val="superscript"/>
        </w:rPr>
        <w:fldChar w:fldCharType="separate"/>
      </w:r>
      <w:r w:rsidR="008722C4">
        <w:rPr>
          <w:vertAlign w:val="superscript"/>
        </w:rPr>
        <w:t>5</w:t>
      </w:r>
      <w:r w:rsidR="003B0BBF" w:rsidRPr="00985E11">
        <w:rPr>
          <w:vertAlign w:val="superscript"/>
        </w:rPr>
        <w:fldChar w:fldCharType="end"/>
      </w:r>
      <w:r w:rsidR="00EA5F11" w:rsidRPr="00985E11">
        <w:t xml:space="preserve">. </w:t>
      </w:r>
      <w:r w:rsidR="000A0582">
        <w:t xml:space="preserve">However, </w:t>
      </w:r>
      <w:r w:rsidRPr="000E6B5E">
        <w:t xml:space="preserve">children in Tower Hamlets performed </w:t>
      </w:r>
      <w:r>
        <w:t>worse than</w:t>
      </w:r>
      <w:r w:rsidRPr="000E6B5E">
        <w:t xml:space="preserve"> the national average across several domains</w:t>
      </w:r>
      <w:r w:rsidR="0069474E" w:rsidRPr="00293C95">
        <w:rPr>
          <w:vertAlign w:val="superscript"/>
        </w:rPr>
        <w:fldChar w:fldCharType="begin"/>
      </w:r>
      <w:r w:rsidR="0069474E" w:rsidRPr="00293C95">
        <w:rPr>
          <w:vertAlign w:val="superscript"/>
        </w:rPr>
        <w:instrText xml:space="preserve"> NOTEREF _Ref204720059 \h </w:instrText>
      </w:r>
      <w:r w:rsidR="0069474E">
        <w:rPr>
          <w:vertAlign w:val="superscript"/>
        </w:rPr>
        <w:instrText xml:space="preserve"> \* MERGEFORMAT </w:instrText>
      </w:r>
      <w:r w:rsidR="0069474E" w:rsidRPr="00293C95">
        <w:rPr>
          <w:vertAlign w:val="superscript"/>
        </w:rPr>
      </w:r>
      <w:r w:rsidR="0069474E" w:rsidRPr="00293C95">
        <w:rPr>
          <w:vertAlign w:val="superscript"/>
        </w:rPr>
        <w:fldChar w:fldCharType="separate"/>
      </w:r>
      <w:r w:rsidR="008722C4">
        <w:rPr>
          <w:vertAlign w:val="superscript"/>
        </w:rPr>
        <w:t>5</w:t>
      </w:r>
      <w:r w:rsidR="0069474E" w:rsidRPr="00293C95">
        <w:rPr>
          <w:vertAlign w:val="superscript"/>
        </w:rPr>
        <w:fldChar w:fldCharType="end"/>
      </w:r>
      <w:r w:rsidRPr="000E6B5E">
        <w:t>:</w:t>
      </w:r>
    </w:p>
    <w:p w14:paraId="576ABBA5" w14:textId="2BB8112B" w:rsidR="004E04E1" w:rsidRPr="00D7509B" w:rsidRDefault="004E04E1" w:rsidP="00BF63ED">
      <w:pPr>
        <w:pStyle w:val="ListParagraph"/>
        <w:widowControl w:val="0"/>
        <w:numPr>
          <w:ilvl w:val="0"/>
          <w:numId w:val="20"/>
        </w:numPr>
        <w:autoSpaceDE w:val="0"/>
        <w:autoSpaceDN w:val="0"/>
        <w:spacing w:before="153" w:after="0" w:line="262" w:lineRule="auto"/>
        <w:ind w:right="709"/>
        <w:contextualSpacing/>
      </w:pPr>
      <w:r w:rsidRPr="007D3DDA">
        <w:rPr>
          <w:rStyle w:val="Strong"/>
          <w:b w:val="0"/>
        </w:rPr>
        <w:t>81.5%</w:t>
      </w:r>
      <w:r w:rsidRPr="00D7509B">
        <w:t xml:space="preserve"> achieved the expected level in communication skills</w:t>
      </w:r>
      <w:r w:rsidR="0060621E">
        <w:t xml:space="preserve"> with 86.6% </w:t>
      </w:r>
      <w:r w:rsidR="008E4E15">
        <w:t xml:space="preserve">achieving </w:t>
      </w:r>
      <w:r w:rsidR="0060621E">
        <w:t>nationally.</w:t>
      </w:r>
    </w:p>
    <w:p w14:paraId="34AD930A" w14:textId="7E98BAC5" w:rsidR="004E04E1" w:rsidRPr="00D7509B" w:rsidRDefault="004E04E1" w:rsidP="00BF63ED">
      <w:pPr>
        <w:pStyle w:val="ListParagraph"/>
        <w:widowControl w:val="0"/>
        <w:numPr>
          <w:ilvl w:val="0"/>
          <w:numId w:val="20"/>
        </w:numPr>
        <w:autoSpaceDE w:val="0"/>
        <w:autoSpaceDN w:val="0"/>
        <w:spacing w:before="153" w:after="0" w:line="262" w:lineRule="auto"/>
        <w:ind w:right="709"/>
        <w:contextualSpacing/>
      </w:pPr>
      <w:r w:rsidRPr="007D3DDA">
        <w:rPr>
          <w:rStyle w:val="Strong"/>
          <w:b w:val="0"/>
        </w:rPr>
        <w:t>91.4%</w:t>
      </w:r>
      <w:r w:rsidRPr="00D7509B">
        <w:t xml:space="preserve"> achieved the expected level in gross motor skills</w:t>
      </w:r>
      <w:r w:rsidR="006030D4">
        <w:t>, compared to</w:t>
      </w:r>
      <w:r w:rsidR="004359B3">
        <w:t xml:space="preserve"> the national average of</w:t>
      </w:r>
      <w:r w:rsidR="006030D4">
        <w:t xml:space="preserve"> </w:t>
      </w:r>
      <w:r w:rsidR="00CD2643">
        <w:t>93.3%</w:t>
      </w:r>
      <w:r w:rsidR="004004CF">
        <w:t>.</w:t>
      </w:r>
    </w:p>
    <w:p w14:paraId="01EEC845" w14:textId="52C22F2D" w:rsidR="004E04E1" w:rsidRPr="00D7509B" w:rsidRDefault="004E04E1" w:rsidP="00BF63ED">
      <w:pPr>
        <w:pStyle w:val="ListParagraph"/>
        <w:widowControl w:val="0"/>
        <w:numPr>
          <w:ilvl w:val="0"/>
          <w:numId w:val="20"/>
        </w:numPr>
        <w:autoSpaceDE w:val="0"/>
        <w:autoSpaceDN w:val="0"/>
        <w:spacing w:before="153" w:after="0" w:line="262" w:lineRule="auto"/>
        <w:ind w:right="709"/>
        <w:contextualSpacing/>
      </w:pPr>
      <w:r w:rsidRPr="007D3DDA">
        <w:rPr>
          <w:rStyle w:val="Strong"/>
          <w:b w:val="0"/>
        </w:rPr>
        <w:t>82.9%</w:t>
      </w:r>
      <w:r w:rsidRPr="00D7509B">
        <w:t xml:space="preserve"> achieved</w:t>
      </w:r>
      <w:r w:rsidR="00C7329D">
        <w:t xml:space="preserve"> </w:t>
      </w:r>
      <w:r w:rsidRPr="00D7509B">
        <w:t>the expected level in fine motor skills – the fourth lowest figure in London</w:t>
      </w:r>
      <w:r w:rsidR="0033574F">
        <w:t xml:space="preserve"> and </w:t>
      </w:r>
      <w:r w:rsidR="004359B3">
        <w:t>significantly below</w:t>
      </w:r>
      <w:r w:rsidR="00C7329D">
        <w:t xml:space="preserve"> </w:t>
      </w:r>
      <w:r w:rsidR="00F87C72">
        <w:t xml:space="preserve">the </w:t>
      </w:r>
      <w:r w:rsidR="00C7329D">
        <w:t>England rate of 93.3%.</w:t>
      </w:r>
    </w:p>
    <w:p w14:paraId="4085A62E" w14:textId="726F2ADB" w:rsidR="004E04E1" w:rsidRPr="00D7509B" w:rsidRDefault="004E04E1" w:rsidP="00BF63ED">
      <w:pPr>
        <w:pStyle w:val="ListParagraph"/>
        <w:widowControl w:val="0"/>
        <w:numPr>
          <w:ilvl w:val="0"/>
          <w:numId w:val="20"/>
        </w:numPr>
        <w:autoSpaceDE w:val="0"/>
        <w:autoSpaceDN w:val="0"/>
        <w:spacing w:before="153" w:after="0" w:line="262" w:lineRule="auto"/>
        <w:ind w:right="709"/>
        <w:contextualSpacing/>
      </w:pPr>
      <w:r w:rsidRPr="007D3DDA">
        <w:rPr>
          <w:rStyle w:val="Strong"/>
          <w:b w:val="0"/>
        </w:rPr>
        <w:t>91.5%</w:t>
      </w:r>
      <w:r w:rsidRPr="00D7509B">
        <w:t xml:space="preserve"> achieved the expected level in problem-solving skills</w:t>
      </w:r>
      <w:r w:rsidR="0033574F">
        <w:t xml:space="preserve"> with </w:t>
      </w:r>
      <w:r w:rsidR="004004CF">
        <w:t xml:space="preserve">92.5% </w:t>
      </w:r>
      <w:r w:rsidR="0033574F">
        <w:t xml:space="preserve">achieving </w:t>
      </w:r>
      <w:r w:rsidR="004004CF">
        <w:t>nationally.</w:t>
      </w:r>
    </w:p>
    <w:p w14:paraId="0CF1320F" w14:textId="7BFA9CA4" w:rsidR="004E04E1" w:rsidRDefault="004E04E1" w:rsidP="00BF63ED">
      <w:pPr>
        <w:pStyle w:val="ListParagraph"/>
        <w:widowControl w:val="0"/>
        <w:numPr>
          <w:ilvl w:val="0"/>
          <w:numId w:val="20"/>
        </w:numPr>
        <w:autoSpaceDE w:val="0"/>
        <w:autoSpaceDN w:val="0"/>
        <w:spacing w:before="153" w:after="0" w:line="262" w:lineRule="auto"/>
        <w:ind w:right="709"/>
        <w:contextualSpacing/>
      </w:pPr>
      <w:r w:rsidRPr="007D3DDA">
        <w:rPr>
          <w:rStyle w:val="Strong"/>
          <w:b w:val="0"/>
        </w:rPr>
        <w:t>87.2%</w:t>
      </w:r>
      <w:r w:rsidRPr="00D7509B">
        <w:t xml:space="preserve"> achieved</w:t>
      </w:r>
      <w:r w:rsidRPr="000E6B5E">
        <w:t xml:space="preserve"> the expected level in personal-social skills</w:t>
      </w:r>
      <w:r w:rsidR="004004CF">
        <w:t>, compared to 91.2% nationally</w:t>
      </w:r>
      <w:r w:rsidRPr="000E6B5E">
        <w:t>.</w:t>
      </w:r>
    </w:p>
    <w:p w14:paraId="52C83BAE" w14:textId="77777777" w:rsidR="00A56889" w:rsidRPr="000E6B5E" w:rsidRDefault="00A56889" w:rsidP="00A56889">
      <w:pPr>
        <w:pStyle w:val="ListParagraph"/>
        <w:widowControl w:val="0"/>
        <w:numPr>
          <w:ilvl w:val="0"/>
          <w:numId w:val="0"/>
        </w:numPr>
        <w:autoSpaceDE w:val="0"/>
        <w:autoSpaceDN w:val="0"/>
        <w:spacing w:before="153" w:after="0" w:line="262" w:lineRule="auto"/>
        <w:ind w:left="1429" w:right="709"/>
        <w:contextualSpacing/>
      </w:pPr>
    </w:p>
    <w:p w14:paraId="1C1A1728" w14:textId="77777777" w:rsidR="004E04E1" w:rsidRPr="00584FE1" w:rsidRDefault="004E04E1" w:rsidP="00F4781F">
      <w:pPr>
        <w:pStyle w:val="Heading3"/>
        <w:rPr>
          <w:color w:val="006B70"/>
        </w:rPr>
      </w:pPr>
      <w:bookmarkStart w:id="72" w:name="_Toc205386880"/>
      <w:bookmarkStart w:id="73" w:name="_Toc205387950"/>
      <w:bookmarkStart w:id="74" w:name="_Toc205445961"/>
      <w:r w:rsidRPr="00584FE1">
        <w:rPr>
          <w:color w:val="006B70"/>
        </w:rPr>
        <w:t>Early Education</w:t>
      </w:r>
      <w:bookmarkEnd w:id="72"/>
      <w:bookmarkEnd w:id="73"/>
      <w:bookmarkEnd w:id="74"/>
    </w:p>
    <w:p w14:paraId="2FF72BBB" w14:textId="52B2EC5E" w:rsidR="004E04E1" w:rsidRDefault="00C034E5" w:rsidP="00F4781F">
      <w:r w:rsidRPr="00C034E5">
        <w:t>Early education plays a critical role in promoting school readiness, particularly for children with SEND. Ensuring that children develop key communication, social, and self-care skills before starting school is a major focus in Tower Hamlets, supported through targeted interventions and partnerships with early years settings.</w:t>
      </w:r>
      <w:r w:rsidR="004E04E1">
        <w:rPr>
          <w:rStyle w:val="EndnoteReference"/>
        </w:rPr>
        <w:endnoteReference w:id="30"/>
      </w:r>
    </w:p>
    <w:p w14:paraId="38556260" w14:textId="01FF3EDE" w:rsidR="004E04E1" w:rsidRDefault="004E04E1" w:rsidP="00F4781F">
      <w:r w:rsidRPr="004D6ED4">
        <w:t>In</w:t>
      </w:r>
      <w:r w:rsidRPr="0030091F">
        <w:rPr>
          <w:spacing w:val="40"/>
        </w:rPr>
        <w:t xml:space="preserve"> </w:t>
      </w:r>
      <w:r w:rsidRPr="004D6ED4">
        <w:t>England,</w:t>
      </w:r>
      <w:r w:rsidRPr="0030091F">
        <w:rPr>
          <w:spacing w:val="40"/>
        </w:rPr>
        <w:t xml:space="preserve"> </w:t>
      </w:r>
      <w:r w:rsidRPr="004D6ED4">
        <w:t>all</w:t>
      </w:r>
      <w:r w:rsidRPr="0030091F">
        <w:rPr>
          <w:spacing w:val="40"/>
        </w:rPr>
        <w:t xml:space="preserve"> </w:t>
      </w:r>
      <w:r w:rsidRPr="004D6ED4">
        <w:t>3</w:t>
      </w:r>
      <w:r w:rsidRPr="0030091F">
        <w:rPr>
          <w:spacing w:val="40"/>
        </w:rPr>
        <w:t xml:space="preserve"> </w:t>
      </w:r>
      <w:r w:rsidRPr="004D6ED4">
        <w:t>and</w:t>
      </w:r>
      <w:r w:rsidRPr="0030091F">
        <w:rPr>
          <w:spacing w:val="40"/>
        </w:rPr>
        <w:t xml:space="preserve"> </w:t>
      </w:r>
      <w:r w:rsidRPr="004D6ED4">
        <w:t>4-year-olds</w:t>
      </w:r>
      <w:r w:rsidRPr="0030091F">
        <w:rPr>
          <w:spacing w:val="40"/>
        </w:rPr>
        <w:t xml:space="preserve"> </w:t>
      </w:r>
      <w:r w:rsidRPr="004D6ED4">
        <w:t>are</w:t>
      </w:r>
      <w:r w:rsidRPr="0030091F">
        <w:rPr>
          <w:spacing w:val="40"/>
        </w:rPr>
        <w:t xml:space="preserve"> </w:t>
      </w:r>
      <w:r w:rsidRPr="004D6ED4">
        <w:t>entitled</w:t>
      </w:r>
      <w:r w:rsidRPr="0030091F">
        <w:rPr>
          <w:spacing w:val="40"/>
        </w:rPr>
        <w:t xml:space="preserve"> </w:t>
      </w:r>
      <w:r w:rsidRPr="004D6ED4">
        <w:t>to</w:t>
      </w:r>
      <w:r w:rsidRPr="0030091F">
        <w:rPr>
          <w:spacing w:val="40"/>
        </w:rPr>
        <w:t xml:space="preserve"> </w:t>
      </w:r>
      <w:r w:rsidRPr="004D6ED4">
        <w:t>15</w:t>
      </w:r>
      <w:r w:rsidRPr="0030091F">
        <w:rPr>
          <w:spacing w:val="40"/>
        </w:rPr>
        <w:t xml:space="preserve"> </w:t>
      </w:r>
      <w:r w:rsidRPr="004D6ED4">
        <w:t>hours</w:t>
      </w:r>
      <w:r w:rsidRPr="0030091F">
        <w:rPr>
          <w:spacing w:val="40"/>
        </w:rPr>
        <w:t xml:space="preserve"> </w:t>
      </w:r>
      <w:r w:rsidRPr="004D6ED4">
        <w:t>of</w:t>
      </w:r>
      <w:r w:rsidRPr="0030091F">
        <w:rPr>
          <w:spacing w:val="40"/>
        </w:rPr>
        <w:t xml:space="preserve"> </w:t>
      </w:r>
      <w:r w:rsidRPr="004D6ED4">
        <w:t>free</w:t>
      </w:r>
      <w:r w:rsidRPr="0030091F">
        <w:rPr>
          <w:spacing w:val="40"/>
        </w:rPr>
        <w:t xml:space="preserve"> </w:t>
      </w:r>
      <w:r w:rsidRPr="004D6ED4">
        <w:t>early</w:t>
      </w:r>
      <w:r w:rsidRPr="0030091F">
        <w:rPr>
          <w:spacing w:val="40"/>
        </w:rPr>
        <w:t xml:space="preserve"> </w:t>
      </w:r>
      <w:r w:rsidRPr="004D6ED4">
        <w:t>education</w:t>
      </w:r>
      <w:r w:rsidRPr="0030091F">
        <w:rPr>
          <w:spacing w:val="40"/>
        </w:rPr>
        <w:t xml:space="preserve"> </w:t>
      </w:r>
      <w:r w:rsidRPr="004D6ED4">
        <w:t>per week</w:t>
      </w:r>
      <w:r w:rsidRPr="0030091F">
        <w:rPr>
          <w:spacing w:val="23"/>
        </w:rPr>
        <w:t xml:space="preserve"> </w:t>
      </w:r>
      <w:r w:rsidRPr="004D6ED4">
        <w:t>for 38</w:t>
      </w:r>
      <w:r w:rsidRPr="0030091F">
        <w:rPr>
          <w:spacing w:val="22"/>
        </w:rPr>
        <w:t xml:space="preserve"> </w:t>
      </w:r>
      <w:r w:rsidRPr="004D6ED4">
        <w:t>weeks a</w:t>
      </w:r>
      <w:r w:rsidRPr="0030091F">
        <w:rPr>
          <w:spacing w:val="22"/>
        </w:rPr>
        <w:t xml:space="preserve"> </w:t>
      </w:r>
      <w:r w:rsidRPr="004D6ED4">
        <w:t>year</w:t>
      </w:r>
      <w:r w:rsidR="00403698">
        <w:t xml:space="preserve"> (</w:t>
      </w:r>
      <w:r w:rsidRPr="004D6ED4">
        <w:t xml:space="preserve">570 </w:t>
      </w:r>
      <w:proofErr w:type="gramStart"/>
      <w:r w:rsidRPr="004D6ED4">
        <w:t xml:space="preserve">hours </w:t>
      </w:r>
      <w:r w:rsidR="00403698">
        <w:t xml:space="preserve"> in</w:t>
      </w:r>
      <w:proofErr w:type="gramEnd"/>
      <w:r w:rsidR="00403698">
        <w:t xml:space="preserve"> total </w:t>
      </w:r>
      <w:r w:rsidRPr="004D6ED4">
        <w:t>annually</w:t>
      </w:r>
      <w:r w:rsidR="00403698">
        <w:t>)</w:t>
      </w:r>
      <w:r w:rsidRPr="004D6ED4">
        <w:t xml:space="preserve">. </w:t>
      </w:r>
      <w:r w:rsidRPr="008256B4">
        <w:t xml:space="preserve">Working parents </w:t>
      </w:r>
      <w:r w:rsidR="000F480B" w:rsidRPr="00293C95">
        <w:t>are now eligible for up to 30 hours of free childcare per week from the term after their child turns nine months,</w:t>
      </w:r>
      <w:r w:rsidR="000F480B" w:rsidRPr="000F480B">
        <w:t xml:space="preserve"> continuing until the child starts school. </w:t>
      </w:r>
      <w:r w:rsidR="000F480B" w:rsidRPr="00293C95">
        <w:t>Some 2-year-olds remain entitled to 15 hours a week</w:t>
      </w:r>
      <w:r w:rsidR="000F480B" w:rsidRPr="000F480B">
        <w:t xml:space="preserve"> if their families meet specific criteria such as being on a low income, receiving qualifying benefits, or where the child has SEND, an </w:t>
      </w:r>
      <w:r w:rsidR="00BD6341">
        <w:t>EHCP</w:t>
      </w:r>
      <w:r w:rsidR="000F480B" w:rsidRPr="000F480B">
        <w:t>, or is looked-after or adopted.</w:t>
      </w:r>
    </w:p>
    <w:p w14:paraId="681E1505" w14:textId="6BCBA37E" w:rsidR="00841B03" w:rsidRDefault="004E04E1" w:rsidP="00F4781F">
      <w:pPr>
        <w:rPr>
          <w:b/>
          <w:bCs/>
          <w:sz w:val="18"/>
          <w:szCs w:val="18"/>
        </w:rPr>
      </w:pPr>
      <w:r w:rsidRPr="00A361CA">
        <w:t>In 2024, 276 Tower Hamlets children age</w:t>
      </w:r>
      <w:r w:rsidR="008807AC">
        <w:t>d below</w:t>
      </w:r>
      <w:r w:rsidRPr="00A361CA">
        <w:t xml:space="preserve"> five had an Education, Health and Care Plan (EHCP), representing 6.2% of the borough’s EHCP cohort, a </w:t>
      </w:r>
      <w:r w:rsidRPr="00D7509B">
        <w:t>higher proportion than both the England average (4.6%) and statistical neighbours (5.1%). This figure has more than doubled since 2022,</w:t>
      </w:r>
      <w:r w:rsidRPr="00A361CA">
        <w:t xml:space="preserve"> indicating rising </w:t>
      </w:r>
      <w:r w:rsidRPr="00911420">
        <w:t>levels of complex need (Fig</w:t>
      </w:r>
      <w:r w:rsidR="00ED75C4" w:rsidRPr="00911420">
        <w:t>ure</w:t>
      </w:r>
      <w:r w:rsidRPr="00911420">
        <w:t xml:space="preserve"> </w:t>
      </w:r>
      <w:r w:rsidR="00963853" w:rsidRPr="00911420">
        <w:t>4</w:t>
      </w:r>
      <w:r w:rsidR="006C36E3">
        <w:t>.1</w:t>
      </w:r>
      <w:r w:rsidRPr="00911420">
        <w:t>).</w:t>
      </w:r>
    </w:p>
    <w:p w14:paraId="61087FC6" w14:textId="1E50FDE5" w:rsidR="004E04E1" w:rsidRPr="00C270AF" w:rsidRDefault="004E04E1" w:rsidP="00F4781F">
      <w:pPr>
        <w:rPr>
          <w:b/>
          <w:bCs/>
          <w:sz w:val="18"/>
          <w:szCs w:val="18"/>
        </w:rPr>
      </w:pPr>
      <w:r w:rsidRPr="00911420">
        <w:rPr>
          <w:b/>
          <w:bCs/>
          <w:sz w:val="18"/>
          <w:szCs w:val="18"/>
        </w:rPr>
        <w:t>Fig</w:t>
      </w:r>
      <w:r w:rsidR="00ED75C4" w:rsidRPr="00911420">
        <w:rPr>
          <w:b/>
          <w:bCs/>
          <w:sz w:val="18"/>
          <w:szCs w:val="18"/>
        </w:rPr>
        <w:t>ure</w:t>
      </w:r>
      <w:r w:rsidRPr="00911420">
        <w:rPr>
          <w:b/>
          <w:bCs/>
          <w:sz w:val="18"/>
          <w:szCs w:val="18"/>
        </w:rPr>
        <w:t xml:space="preserve"> </w:t>
      </w:r>
      <w:r w:rsidR="00963853" w:rsidRPr="00911420">
        <w:rPr>
          <w:b/>
          <w:bCs/>
          <w:sz w:val="18"/>
          <w:szCs w:val="18"/>
        </w:rPr>
        <w:t>4</w:t>
      </w:r>
      <w:r w:rsidR="006C36E3">
        <w:rPr>
          <w:b/>
          <w:bCs/>
          <w:sz w:val="18"/>
          <w:szCs w:val="18"/>
        </w:rPr>
        <w:t>.1</w:t>
      </w:r>
      <w:r w:rsidRPr="00911420">
        <w:rPr>
          <w:b/>
          <w:bCs/>
          <w:sz w:val="18"/>
          <w:szCs w:val="18"/>
        </w:rPr>
        <w:t>: Percentage EHCP cohort</w:t>
      </w:r>
    </w:p>
    <w:p w14:paraId="7FC39F7E" w14:textId="4565439E" w:rsidR="004E04E1" w:rsidRPr="00973B12" w:rsidRDefault="004E04E1" w:rsidP="00A56889">
      <w:pPr>
        <w:jc w:val="right"/>
        <w:rPr>
          <w:b/>
          <w:bCs/>
          <w:sz w:val="18"/>
          <w:szCs w:val="18"/>
        </w:rPr>
      </w:pPr>
      <w:r w:rsidRPr="00973B12">
        <w:rPr>
          <w:b/>
          <w:bCs/>
          <w:noProof/>
          <w:sz w:val="18"/>
          <w:szCs w:val="18"/>
        </w:rPr>
        <w:lastRenderedPageBreak/>
        <w:drawing>
          <wp:anchor distT="0" distB="0" distL="114300" distR="114300" simplePos="0" relativeHeight="251658240" behindDoc="0" locked="0" layoutInCell="1" allowOverlap="1" wp14:anchorId="762E8F12" wp14:editId="4C34D55A">
            <wp:simplePos x="914400" y="1193800"/>
            <wp:positionH relativeFrom="column">
              <wp:align>left</wp:align>
            </wp:positionH>
            <wp:positionV relativeFrom="paragraph">
              <wp:align>top</wp:align>
            </wp:positionV>
            <wp:extent cx="5499100" cy="3213100"/>
            <wp:effectExtent l="0" t="0" r="6350" b="6350"/>
            <wp:wrapSquare wrapText="bothSides"/>
            <wp:docPr id="370079977"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79977" name="Picture 29">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99100" cy="3213100"/>
                    </a:xfrm>
                    <a:prstGeom prst="rect">
                      <a:avLst/>
                    </a:prstGeom>
                    <a:noFill/>
                  </pic:spPr>
                </pic:pic>
              </a:graphicData>
            </a:graphic>
          </wp:anchor>
        </w:drawing>
      </w:r>
      <w:r w:rsidRPr="00973B12">
        <w:rPr>
          <w:b/>
          <w:bCs/>
          <w:w w:val="105"/>
          <w:sz w:val="18"/>
          <w:szCs w:val="18"/>
        </w:rPr>
        <w:t>Source:</w:t>
      </w:r>
      <w:r w:rsidRPr="00973B12">
        <w:rPr>
          <w:b/>
          <w:bCs/>
          <w:spacing w:val="1"/>
          <w:w w:val="105"/>
          <w:sz w:val="18"/>
          <w:szCs w:val="18"/>
        </w:rPr>
        <w:t xml:space="preserve"> </w:t>
      </w:r>
      <w:r w:rsidRPr="00973B12">
        <w:rPr>
          <w:b/>
          <w:bCs/>
          <w:w w:val="105"/>
          <w:sz w:val="18"/>
          <w:szCs w:val="18"/>
        </w:rPr>
        <w:t>SEND</w:t>
      </w:r>
      <w:r w:rsidRPr="00973B12">
        <w:rPr>
          <w:b/>
          <w:bCs/>
          <w:spacing w:val="1"/>
          <w:w w:val="105"/>
          <w:sz w:val="18"/>
          <w:szCs w:val="18"/>
        </w:rPr>
        <w:t xml:space="preserve"> </w:t>
      </w:r>
      <w:r w:rsidRPr="00973B12">
        <w:rPr>
          <w:b/>
          <w:bCs/>
          <w:w w:val="105"/>
          <w:sz w:val="18"/>
          <w:szCs w:val="18"/>
        </w:rPr>
        <w:t>Analysis Dashboard,</w:t>
      </w:r>
      <w:r w:rsidRPr="00973B12">
        <w:rPr>
          <w:b/>
          <w:bCs/>
          <w:spacing w:val="1"/>
          <w:w w:val="105"/>
          <w:sz w:val="18"/>
          <w:szCs w:val="18"/>
        </w:rPr>
        <w:t xml:space="preserve"> </w:t>
      </w:r>
      <w:r w:rsidRPr="00973B12">
        <w:rPr>
          <w:b/>
          <w:bCs/>
          <w:spacing w:val="-4"/>
          <w:w w:val="105"/>
          <w:sz w:val="18"/>
          <w:szCs w:val="18"/>
        </w:rPr>
        <w:t>2024</w:t>
      </w:r>
    </w:p>
    <w:p w14:paraId="0ECAACC6" w14:textId="6E7F895B" w:rsidR="004E04E1" w:rsidRPr="00FF7945" w:rsidRDefault="004E04E1" w:rsidP="008C47B5">
      <w:r w:rsidRPr="00953053">
        <w:rPr>
          <w:w w:val="105"/>
        </w:rPr>
        <w:t>There were 6</w:t>
      </w:r>
      <w:r w:rsidR="008E239A">
        <w:rPr>
          <w:w w:val="105"/>
        </w:rPr>
        <w:t>,</w:t>
      </w:r>
      <w:r w:rsidRPr="00953053">
        <w:rPr>
          <w:w w:val="105"/>
        </w:rPr>
        <w:t>029 4-year-old</w:t>
      </w:r>
      <w:r w:rsidR="00C77EE8">
        <w:rPr>
          <w:w w:val="105"/>
        </w:rPr>
        <w:t>s</w:t>
      </w:r>
      <w:r w:rsidRPr="00953053">
        <w:rPr>
          <w:w w:val="105"/>
        </w:rPr>
        <w:t xml:space="preserve"> and under attending government funded early education in Tower Hamlets in 2024.</w:t>
      </w:r>
    </w:p>
    <w:p w14:paraId="1052CF1F" w14:textId="62478FC4" w:rsidR="004E04E1" w:rsidRPr="00D7509B" w:rsidRDefault="004E04E1" w:rsidP="00396455">
      <w:pPr>
        <w:pStyle w:val="ListParagraph"/>
        <w:rPr>
          <w:w w:val="105"/>
        </w:rPr>
      </w:pPr>
      <w:r w:rsidRPr="00D7509B">
        <w:rPr>
          <w:w w:val="105"/>
        </w:rPr>
        <w:t xml:space="preserve">0.7% of </w:t>
      </w:r>
      <w:r w:rsidRPr="0032626C">
        <w:rPr>
          <w:w w:val="105"/>
        </w:rPr>
        <w:t>children age</w:t>
      </w:r>
      <w:r w:rsidRPr="00D7509B">
        <w:rPr>
          <w:w w:val="105"/>
        </w:rPr>
        <w:t xml:space="preserve">d two and under were receiving SEN </w:t>
      </w:r>
      <w:r w:rsidR="007E5A73">
        <w:rPr>
          <w:w w:val="105"/>
        </w:rPr>
        <w:t>s</w:t>
      </w:r>
      <w:r w:rsidRPr="00D7509B">
        <w:rPr>
          <w:w w:val="105"/>
        </w:rPr>
        <w:t>upport, and 0.3% had an EHCP, rates slightly above both London (0.5% and 0.1%) and England (0.4% and 0.0%).</w:t>
      </w:r>
    </w:p>
    <w:p w14:paraId="53E08BA9" w14:textId="3158FBCD" w:rsidR="004E04E1" w:rsidRPr="00D7509B" w:rsidRDefault="004E04E1" w:rsidP="00396455">
      <w:pPr>
        <w:pStyle w:val="ListParagraph"/>
        <w:rPr>
          <w:w w:val="105"/>
        </w:rPr>
      </w:pPr>
      <w:r w:rsidRPr="00D7509B">
        <w:rPr>
          <w:w w:val="105"/>
        </w:rPr>
        <w:t xml:space="preserve">4.8% of 3-year-olds were receiving SEN </w:t>
      </w:r>
      <w:r w:rsidR="00900988">
        <w:rPr>
          <w:w w:val="105"/>
        </w:rPr>
        <w:t>s</w:t>
      </w:r>
      <w:r w:rsidRPr="00D7509B">
        <w:rPr>
          <w:w w:val="105"/>
        </w:rPr>
        <w:t>upport and 2.2% had an EHCP, higher than London averages (3.1% and 0.6%) and England averages (2.0% and 0.5%).</w:t>
      </w:r>
    </w:p>
    <w:p w14:paraId="7D096360" w14:textId="7F8088C5" w:rsidR="004E04E1" w:rsidRDefault="004E04E1" w:rsidP="00E86074">
      <w:pPr>
        <w:pStyle w:val="ListParagraph"/>
        <w:rPr>
          <w:w w:val="105"/>
        </w:rPr>
      </w:pPr>
      <w:r w:rsidRPr="00D7509B">
        <w:rPr>
          <w:w w:val="105"/>
        </w:rPr>
        <w:t xml:space="preserve">7.2% of 4-year-olds were receiving SEN </w:t>
      </w:r>
      <w:r w:rsidR="00900988">
        <w:rPr>
          <w:w w:val="105"/>
        </w:rPr>
        <w:t>s</w:t>
      </w:r>
      <w:r w:rsidRPr="00D7509B">
        <w:rPr>
          <w:w w:val="105"/>
        </w:rPr>
        <w:t>upport and 5.5</w:t>
      </w:r>
      <w:r w:rsidRPr="00407104">
        <w:rPr>
          <w:b/>
          <w:bCs/>
          <w:w w:val="105"/>
        </w:rPr>
        <w:t>%</w:t>
      </w:r>
      <w:r w:rsidRPr="00407104">
        <w:rPr>
          <w:w w:val="105"/>
        </w:rPr>
        <w:t xml:space="preserve"> had an EHCP, exceeding London (5.9% and 5.3%) and England (5.3% and 4.9%) averages</w:t>
      </w:r>
      <w:r w:rsidR="002C2320" w:rsidRPr="00681048">
        <w:rPr>
          <w:w w:val="105"/>
          <w:vertAlign w:val="superscript"/>
        </w:rPr>
        <w:fldChar w:fldCharType="begin"/>
      </w:r>
      <w:r w:rsidR="002C2320" w:rsidRPr="00681048">
        <w:rPr>
          <w:w w:val="105"/>
          <w:vertAlign w:val="superscript"/>
        </w:rPr>
        <w:instrText xml:space="preserve"> NOTEREF _Ref204587357 \h </w:instrText>
      </w:r>
      <w:r w:rsidR="00681048">
        <w:rPr>
          <w:w w:val="105"/>
          <w:vertAlign w:val="superscript"/>
        </w:rPr>
        <w:instrText xml:space="preserve"> \* MERGEFORMAT </w:instrText>
      </w:r>
      <w:r w:rsidR="002C2320" w:rsidRPr="00681048">
        <w:rPr>
          <w:w w:val="105"/>
          <w:vertAlign w:val="superscript"/>
        </w:rPr>
      </w:r>
      <w:r w:rsidR="002C2320" w:rsidRPr="00681048">
        <w:rPr>
          <w:w w:val="105"/>
          <w:vertAlign w:val="superscript"/>
        </w:rPr>
        <w:fldChar w:fldCharType="separate"/>
      </w:r>
      <w:r w:rsidR="008722C4">
        <w:rPr>
          <w:w w:val="105"/>
          <w:vertAlign w:val="superscript"/>
        </w:rPr>
        <w:t>3</w:t>
      </w:r>
      <w:r w:rsidR="002C2320" w:rsidRPr="00681048">
        <w:rPr>
          <w:w w:val="105"/>
          <w:vertAlign w:val="superscript"/>
        </w:rPr>
        <w:fldChar w:fldCharType="end"/>
      </w:r>
      <w:r w:rsidRPr="00407104">
        <w:rPr>
          <w:w w:val="105"/>
        </w:rPr>
        <w:t>.</w:t>
      </w:r>
    </w:p>
    <w:p w14:paraId="6C364E16" w14:textId="61316A13" w:rsidR="004E04E1" w:rsidRPr="00973B12" w:rsidRDefault="004E04E1" w:rsidP="0032626C">
      <w:pPr>
        <w:pStyle w:val="Caption"/>
        <w:ind w:left="0"/>
        <w:rPr>
          <w:b/>
          <w:bCs/>
          <w:i w:val="0"/>
          <w:iCs w:val="0"/>
          <w:color w:val="auto"/>
        </w:rPr>
      </w:pPr>
      <w:r w:rsidRPr="00304FCB">
        <w:rPr>
          <w:b/>
          <w:bCs/>
          <w:i w:val="0"/>
          <w:iCs w:val="0"/>
          <w:color w:val="auto"/>
        </w:rPr>
        <w:t xml:space="preserve">Table </w:t>
      </w:r>
      <w:r w:rsidR="000F32E0" w:rsidRPr="00304FCB">
        <w:rPr>
          <w:b/>
          <w:bCs/>
          <w:i w:val="0"/>
          <w:iCs w:val="0"/>
          <w:color w:val="auto"/>
        </w:rPr>
        <w:t>4</w:t>
      </w:r>
      <w:r w:rsidR="006C36E3">
        <w:rPr>
          <w:b/>
          <w:bCs/>
          <w:i w:val="0"/>
          <w:iCs w:val="0"/>
          <w:color w:val="auto"/>
        </w:rPr>
        <w:t>.1</w:t>
      </w:r>
      <w:r w:rsidRPr="00304FCB">
        <w:rPr>
          <w:b/>
          <w:bCs/>
          <w:i w:val="0"/>
          <w:iCs w:val="0"/>
          <w:color w:val="auto"/>
        </w:rPr>
        <w:t>: Percent of pupils for Age, by type of SEN provision and type of need - 2016 to 2024' for Age 2 and under, Age 3, Age 4, EH</w:t>
      </w:r>
      <w:r w:rsidR="0051337C" w:rsidRPr="00304FCB">
        <w:rPr>
          <w:b/>
          <w:bCs/>
          <w:i w:val="0"/>
          <w:iCs w:val="0"/>
          <w:color w:val="auto"/>
        </w:rPr>
        <w:t>CPs</w:t>
      </w:r>
      <w:r w:rsidRPr="00304FCB">
        <w:rPr>
          <w:b/>
          <w:bCs/>
          <w:i w:val="0"/>
          <w:iCs w:val="0"/>
          <w:color w:val="auto"/>
        </w:rPr>
        <w:t>, No SEN and SEN</w:t>
      </w:r>
      <w:r w:rsidRPr="00973B12">
        <w:rPr>
          <w:b/>
          <w:bCs/>
          <w:i w:val="0"/>
          <w:iCs w:val="0"/>
          <w:color w:val="auto"/>
        </w:rPr>
        <w:t xml:space="preserve"> </w:t>
      </w:r>
      <w:r w:rsidR="00A56D21" w:rsidRPr="00973B12">
        <w:rPr>
          <w:b/>
          <w:bCs/>
          <w:i w:val="0"/>
          <w:iCs w:val="0"/>
          <w:color w:val="auto"/>
        </w:rPr>
        <w:t>s</w:t>
      </w:r>
      <w:r w:rsidRPr="00973B12">
        <w:rPr>
          <w:b/>
          <w:bCs/>
          <w:i w:val="0"/>
          <w:iCs w:val="0"/>
          <w:color w:val="auto"/>
        </w:rPr>
        <w:t>upport in England, London and Tower Hamlets for 2023/24</w:t>
      </w:r>
    </w:p>
    <w:tbl>
      <w:tblPr>
        <w:tblStyle w:val="ListTable3-Accent1"/>
        <w:tblW w:w="9151" w:type="dxa"/>
        <w:tblLook w:val="04A0" w:firstRow="1" w:lastRow="0" w:firstColumn="1" w:lastColumn="0" w:noHBand="0" w:noVBand="1"/>
      </w:tblPr>
      <w:tblGrid>
        <w:gridCol w:w="2139"/>
        <w:gridCol w:w="1937"/>
        <w:gridCol w:w="1421"/>
        <w:gridCol w:w="1548"/>
        <w:gridCol w:w="2106"/>
      </w:tblGrid>
      <w:tr w:rsidR="00FD42B8" w:rsidRPr="009D2C96" w14:paraId="081725B5" w14:textId="77777777" w:rsidTr="00293C95">
        <w:trPr>
          <w:cnfStyle w:val="100000000000" w:firstRow="1" w:lastRow="0" w:firstColumn="0" w:lastColumn="0" w:oddVBand="0" w:evenVBand="0" w:oddHBand="0" w:evenHBand="0" w:firstRowFirstColumn="0" w:firstRowLastColumn="0" w:lastRowFirstColumn="0" w:lastRowLastColumn="0"/>
          <w:trHeight w:val="110"/>
        </w:trPr>
        <w:tc>
          <w:tcPr>
            <w:cnfStyle w:val="001000000100" w:firstRow="0" w:lastRow="0" w:firstColumn="1" w:lastColumn="0" w:oddVBand="0" w:evenVBand="0" w:oddHBand="0" w:evenHBand="0" w:firstRowFirstColumn="1" w:firstRowLastColumn="0" w:lastRowFirstColumn="0" w:lastRowLastColumn="0"/>
            <w:tcW w:w="2139" w:type="dxa"/>
            <w:hideMark/>
          </w:tcPr>
          <w:p w14:paraId="7A5E97B4" w14:textId="77777777" w:rsidR="00BE5CD5" w:rsidRPr="00293C95" w:rsidRDefault="00BE5CD5" w:rsidP="00E82A75">
            <w:pPr>
              <w:spacing w:before="0" w:after="0" w:line="240" w:lineRule="auto"/>
              <w:rPr>
                <w:b w:val="0"/>
                <w:color w:val="auto"/>
                <w:sz w:val="20"/>
                <w:szCs w:val="20"/>
              </w:rPr>
            </w:pPr>
            <w:r w:rsidRPr="00293C95">
              <w:rPr>
                <w:color w:val="auto"/>
                <w:sz w:val="20"/>
                <w:szCs w:val="20"/>
              </w:rPr>
              <w:t>Age Group</w:t>
            </w:r>
          </w:p>
        </w:tc>
        <w:tc>
          <w:tcPr>
            <w:tcW w:w="1937" w:type="dxa"/>
            <w:hideMark/>
          </w:tcPr>
          <w:p w14:paraId="19EEBC05" w14:textId="77777777" w:rsidR="00BE5CD5" w:rsidRPr="00293C95" w:rsidRDefault="00BE5CD5" w:rsidP="00E82A75">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293C95">
              <w:rPr>
                <w:color w:val="auto"/>
                <w:sz w:val="20"/>
                <w:szCs w:val="20"/>
              </w:rPr>
              <w:t>Area</w:t>
            </w:r>
          </w:p>
        </w:tc>
        <w:tc>
          <w:tcPr>
            <w:tcW w:w="0" w:type="auto"/>
            <w:hideMark/>
          </w:tcPr>
          <w:p w14:paraId="76AFC762" w14:textId="5BB7762F" w:rsidR="00BE5CD5" w:rsidRPr="00293C95" w:rsidRDefault="00BE5CD5" w:rsidP="00E82A75">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293C95">
              <w:rPr>
                <w:color w:val="auto"/>
                <w:sz w:val="20"/>
                <w:szCs w:val="20"/>
              </w:rPr>
              <w:t>EHCPs (%)</w:t>
            </w:r>
          </w:p>
        </w:tc>
        <w:tc>
          <w:tcPr>
            <w:tcW w:w="0" w:type="auto"/>
            <w:hideMark/>
          </w:tcPr>
          <w:p w14:paraId="5080E3F3" w14:textId="04546C1B" w:rsidR="00BE5CD5" w:rsidRPr="00293C95" w:rsidRDefault="00BE5CD5" w:rsidP="00E82A75">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293C95">
              <w:rPr>
                <w:color w:val="auto"/>
                <w:sz w:val="20"/>
                <w:szCs w:val="20"/>
              </w:rPr>
              <w:t>No SEN (%)</w:t>
            </w:r>
          </w:p>
        </w:tc>
        <w:tc>
          <w:tcPr>
            <w:tcW w:w="0" w:type="auto"/>
            <w:hideMark/>
          </w:tcPr>
          <w:p w14:paraId="7BB5CA19" w14:textId="20195AA7" w:rsidR="00BE5CD5" w:rsidRPr="00293C95" w:rsidRDefault="00BE5CD5" w:rsidP="00E82A75">
            <w:pPr>
              <w:spacing w:before="0" w:after="0" w:line="240" w:lineRule="auto"/>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293C95">
              <w:rPr>
                <w:color w:val="auto"/>
                <w:sz w:val="20"/>
                <w:szCs w:val="20"/>
              </w:rPr>
              <w:t>SEN support (%)</w:t>
            </w:r>
          </w:p>
        </w:tc>
      </w:tr>
      <w:tr w:rsidR="00FD42B8" w:rsidRPr="009D2C96" w14:paraId="1B817199" w14:textId="77777777" w:rsidTr="00293C95">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139" w:type="dxa"/>
            <w:vMerge w:val="restart"/>
            <w:hideMark/>
          </w:tcPr>
          <w:p w14:paraId="7B0E57B5" w14:textId="77777777" w:rsidR="00BE5CD5" w:rsidRPr="00293C95" w:rsidRDefault="00BE5CD5" w:rsidP="00E82A75">
            <w:pPr>
              <w:spacing w:before="0" w:after="0" w:line="240" w:lineRule="auto"/>
              <w:jc w:val="left"/>
              <w:rPr>
                <w:sz w:val="20"/>
                <w:szCs w:val="20"/>
              </w:rPr>
            </w:pPr>
            <w:r w:rsidRPr="00293C95">
              <w:rPr>
                <w:sz w:val="20"/>
                <w:szCs w:val="20"/>
              </w:rPr>
              <w:t>Age 2 and under</w:t>
            </w:r>
          </w:p>
        </w:tc>
        <w:tc>
          <w:tcPr>
            <w:tcW w:w="1937" w:type="dxa"/>
            <w:hideMark/>
          </w:tcPr>
          <w:p w14:paraId="7047BB7A"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England</w:t>
            </w:r>
          </w:p>
        </w:tc>
        <w:tc>
          <w:tcPr>
            <w:tcW w:w="0" w:type="auto"/>
            <w:hideMark/>
          </w:tcPr>
          <w:p w14:paraId="0AF039ED"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0.0</w:t>
            </w:r>
          </w:p>
        </w:tc>
        <w:tc>
          <w:tcPr>
            <w:tcW w:w="0" w:type="auto"/>
            <w:hideMark/>
          </w:tcPr>
          <w:p w14:paraId="3CEADD4A" w14:textId="335D3EAA"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1.0</w:t>
            </w:r>
          </w:p>
        </w:tc>
        <w:tc>
          <w:tcPr>
            <w:tcW w:w="0" w:type="auto"/>
            <w:hideMark/>
          </w:tcPr>
          <w:p w14:paraId="19382F76"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0.4</w:t>
            </w:r>
          </w:p>
        </w:tc>
      </w:tr>
      <w:tr w:rsidR="00FD42B8" w:rsidRPr="009D2C96" w14:paraId="1779761F" w14:textId="77777777" w:rsidTr="00293C95">
        <w:trPr>
          <w:trHeight w:val="28"/>
        </w:trPr>
        <w:tc>
          <w:tcPr>
            <w:cnfStyle w:val="001000000000" w:firstRow="0" w:lastRow="0" w:firstColumn="1" w:lastColumn="0" w:oddVBand="0" w:evenVBand="0" w:oddHBand="0" w:evenHBand="0" w:firstRowFirstColumn="0" w:firstRowLastColumn="0" w:lastRowFirstColumn="0" w:lastRowLastColumn="0"/>
            <w:tcW w:w="2139" w:type="dxa"/>
            <w:vMerge/>
            <w:hideMark/>
          </w:tcPr>
          <w:p w14:paraId="4FEFC91B" w14:textId="77777777" w:rsidR="00BE5CD5" w:rsidRPr="00293C95" w:rsidRDefault="00BE5CD5" w:rsidP="00E82A75">
            <w:pPr>
              <w:spacing w:before="0" w:after="0" w:line="240" w:lineRule="auto"/>
              <w:rPr>
                <w:sz w:val="20"/>
                <w:szCs w:val="20"/>
              </w:rPr>
            </w:pPr>
          </w:p>
        </w:tc>
        <w:tc>
          <w:tcPr>
            <w:tcW w:w="1937" w:type="dxa"/>
            <w:hideMark/>
          </w:tcPr>
          <w:p w14:paraId="3D02F86F" w14:textId="77777777"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London</w:t>
            </w:r>
          </w:p>
        </w:tc>
        <w:tc>
          <w:tcPr>
            <w:tcW w:w="0" w:type="auto"/>
            <w:hideMark/>
          </w:tcPr>
          <w:p w14:paraId="36019C2E" w14:textId="77777777"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0.1</w:t>
            </w:r>
          </w:p>
        </w:tc>
        <w:tc>
          <w:tcPr>
            <w:tcW w:w="0" w:type="auto"/>
            <w:hideMark/>
          </w:tcPr>
          <w:p w14:paraId="76D17317" w14:textId="62DB1965"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1.0</w:t>
            </w:r>
          </w:p>
        </w:tc>
        <w:tc>
          <w:tcPr>
            <w:tcW w:w="0" w:type="auto"/>
            <w:hideMark/>
          </w:tcPr>
          <w:p w14:paraId="5C392626" w14:textId="77777777"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0.5</w:t>
            </w:r>
          </w:p>
        </w:tc>
      </w:tr>
      <w:tr w:rsidR="00FD42B8" w:rsidRPr="009D2C96" w14:paraId="51091434" w14:textId="77777777" w:rsidTr="00293C95">
        <w:trPr>
          <w:cnfStyle w:val="000000100000" w:firstRow="0" w:lastRow="0" w:firstColumn="0" w:lastColumn="0" w:oddVBand="0" w:evenVBand="0" w:oddHBand="1" w:evenHBand="0" w:firstRowFirstColumn="0" w:firstRowLastColumn="0" w:lastRowFirstColumn="0" w:lastRowLastColumn="0"/>
          <w:trHeight w:val="28"/>
        </w:trPr>
        <w:tc>
          <w:tcPr>
            <w:cnfStyle w:val="001000000000" w:firstRow="0" w:lastRow="0" w:firstColumn="1" w:lastColumn="0" w:oddVBand="0" w:evenVBand="0" w:oddHBand="0" w:evenHBand="0" w:firstRowFirstColumn="0" w:firstRowLastColumn="0" w:lastRowFirstColumn="0" w:lastRowLastColumn="0"/>
            <w:tcW w:w="2139" w:type="dxa"/>
            <w:vMerge/>
            <w:hideMark/>
          </w:tcPr>
          <w:p w14:paraId="29B52F79" w14:textId="77777777" w:rsidR="00BE5CD5" w:rsidRPr="00293C95" w:rsidRDefault="00BE5CD5" w:rsidP="00E82A75">
            <w:pPr>
              <w:spacing w:before="0" w:after="0" w:line="240" w:lineRule="auto"/>
              <w:jc w:val="center"/>
              <w:rPr>
                <w:sz w:val="20"/>
                <w:szCs w:val="20"/>
              </w:rPr>
            </w:pPr>
          </w:p>
        </w:tc>
        <w:tc>
          <w:tcPr>
            <w:tcW w:w="1937" w:type="dxa"/>
            <w:hideMark/>
          </w:tcPr>
          <w:p w14:paraId="26EAEEE1"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Tower Hamlets</w:t>
            </w:r>
          </w:p>
        </w:tc>
        <w:tc>
          <w:tcPr>
            <w:tcW w:w="0" w:type="auto"/>
            <w:hideMark/>
          </w:tcPr>
          <w:p w14:paraId="1DDAF0E0"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0.3</w:t>
            </w:r>
          </w:p>
        </w:tc>
        <w:tc>
          <w:tcPr>
            <w:tcW w:w="0" w:type="auto"/>
            <w:hideMark/>
          </w:tcPr>
          <w:p w14:paraId="7357919F" w14:textId="16C2610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1.1</w:t>
            </w:r>
          </w:p>
        </w:tc>
        <w:tc>
          <w:tcPr>
            <w:tcW w:w="0" w:type="auto"/>
            <w:hideMark/>
          </w:tcPr>
          <w:p w14:paraId="017A6F36"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0.7</w:t>
            </w:r>
          </w:p>
        </w:tc>
      </w:tr>
      <w:tr w:rsidR="00FD42B8" w:rsidRPr="009D2C96" w14:paraId="40101BA9" w14:textId="77777777" w:rsidTr="00293C95">
        <w:trPr>
          <w:trHeight w:val="110"/>
        </w:trPr>
        <w:tc>
          <w:tcPr>
            <w:cnfStyle w:val="001000000000" w:firstRow="0" w:lastRow="0" w:firstColumn="1" w:lastColumn="0" w:oddVBand="0" w:evenVBand="0" w:oddHBand="0" w:evenHBand="0" w:firstRowFirstColumn="0" w:firstRowLastColumn="0" w:lastRowFirstColumn="0" w:lastRowLastColumn="0"/>
            <w:tcW w:w="2139" w:type="dxa"/>
            <w:vMerge w:val="restart"/>
            <w:hideMark/>
          </w:tcPr>
          <w:p w14:paraId="6458E176" w14:textId="77777777" w:rsidR="00BE5CD5" w:rsidRPr="00293C95" w:rsidRDefault="00BE5CD5" w:rsidP="00E82A75">
            <w:pPr>
              <w:spacing w:before="0" w:after="0" w:line="240" w:lineRule="auto"/>
              <w:jc w:val="left"/>
              <w:rPr>
                <w:sz w:val="20"/>
                <w:szCs w:val="20"/>
              </w:rPr>
            </w:pPr>
            <w:r w:rsidRPr="00293C95">
              <w:rPr>
                <w:sz w:val="20"/>
                <w:szCs w:val="20"/>
              </w:rPr>
              <w:t>Age 3</w:t>
            </w:r>
          </w:p>
        </w:tc>
        <w:tc>
          <w:tcPr>
            <w:tcW w:w="1937" w:type="dxa"/>
            <w:hideMark/>
          </w:tcPr>
          <w:p w14:paraId="40CE579D" w14:textId="77777777"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England</w:t>
            </w:r>
          </w:p>
        </w:tc>
        <w:tc>
          <w:tcPr>
            <w:tcW w:w="0" w:type="auto"/>
            <w:hideMark/>
          </w:tcPr>
          <w:p w14:paraId="47040384" w14:textId="77777777"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0.5</w:t>
            </w:r>
          </w:p>
        </w:tc>
        <w:tc>
          <w:tcPr>
            <w:tcW w:w="0" w:type="auto"/>
            <w:hideMark/>
          </w:tcPr>
          <w:p w14:paraId="0007C4DC" w14:textId="42602768"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3.0</w:t>
            </w:r>
          </w:p>
        </w:tc>
        <w:tc>
          <w:tcPr>
            <w:tcW w:w="0" w:type="auto"/>
            <w:hideMark/>
          </w:tcPr>
          <w:p w14:paraId="4517E099" w14:textId="77777777"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2.0</w:t>
            </w:r>
          </w:p>
        </w:tc>
      </w:tr>
      <w:tr w:rsidR="00FD42B8" w:rsidRPr="009D2C96" w14:paraId="03CAC469" w14:textId="77777777" w:rsidTr="00293C95">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2139" w:type="dxa"/>
            <w:vMerge/>
            <w:hideMark/>
          </w:tcPr>
          <w:p w14:paraId="4501EDD9" w14:textId="77777777" w:rsidR="00BE5CD5" w:rsidRPr="00293C95" w:rsidRDefault="00BE5CD5" w:rsidP="00E82A75">
            <w:pPr>
              <w:spacing w:before="0" w:after="0" w:line="240" w:lineRule="auto"/>
              <w:rPr>
                <w:sz w:val="20"/>
                <w:szCs w:val="20"/>
              </w:rPr>
            </w:pPr>
          </w:p>
        </w:tc>
        <w:tc>
          <w:tcPr>
            <w:tcW w:w="1937" w:type="dxa"/>
            <w:hideMark/>
          </w:tcPr>
          <w:p w14:paraId="760E744C"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London</w:t>
            </w:r>
          </w:p>
        </w:tc>
        <w:tc>
          <w:tcPr>
            <w:tcW w:w="0" w:type="auto"/>
            <w:hideMark/>
          </w:tcPr>
          <w:p w14:paraId="239078FA"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0.6</w:t>
            </w:r>
          </w:p>
        </w:tc>
        <w:tc>
          <w:tcPr>
            <w:tcW w:w="0" w:type="auto"/>
            <w:hideMark/>
          </w:tcPr>
          <w:p w14:paraId="787DE1EA" w14:textId="22119564"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3.9</w:t>
            </w:r>
          </w:p>
        </w:tc>
        <w:tc>
          <w:tcPr>
            <w:tcW w:w="0" w:type="auto"/>
            <w:hideMark/>
          </w:tcPr>
          <w:p w14:paraId="1050B8B5"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3.1</w:t>
            </w:r>
          </w:p>
        </w:tc>
      </w:tr>
      <w:tr w:rsidR="00FD42B8" w:rsidRPr="009D2C96" w14:paraId="3AA3C4C7" w14:textId="77777777" w:rsidTr="00293C95">
        <w:trPr>
          <w:trHeight w:val="28"/>
        </w:trPr>
        <w:tc>
          <w:tcPr>
            <w:cnfStyle w:val="001000000000" w:firstRow="0" w:lastRow="0" w:firstColumn="1" w:lastColumn="0" w:oddVBand="0" w:evenVBand="0" w:oddHBand="0" w:evenHBand="0" w:firstRowFirstColumn="0" w:firstRowLastColumn="0" w:lastRowFirstColumn="0" w:lastRowLastColumn="0"/>
            <w:tcW w:w="2139" w:type="dxa"/>
            <w:vMerge/>
            <w:hideMark/>
          </w:tcPr>
          <w:p w14:paraId="14DD9CA8" w14:textId="77777777" w:rsidR="00BE5CD5" w:rsidRPr="00293C95" w:rsidRDefault="00BE5CD5" w:rsidP="00E82A75">
            <w:pPr>
              <w:spacing w:before="0" w:after="0" w:line="240" w:lineRule="auto"/>
              <w:rPr>
                <w:sz w:val="20"/>
                <w:szCs w:val="20"/>
              </w:rPr>
            </w:pPr>
          </w:p>
        </w:tc>
        <w:tc>
          <w:tcPr>
            <w:tcW w:w="1937" w:type="dxa"/>
            <w:hideMark/>
          </w:tcPr>
          <w:p w14:paraId="14CF8877" w14:textId="77777777"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Tower Hamlets</w:t>
            </w:r>
          </w:p>
        </w:tc>
        <w:tc>
          <w:tcPr>
            <w:tcW w:w="0" w:type="auto"/>
            <w:hideMark/>
          </w:tcPr>
          <w:p w14:paraId="78B2EFE1" w14:textId="77777777"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2.2</w:t>
            </w:r>
          </w:p>
        </w:tc>
        <w:tc>
          <w:tcPr>
            <w:tcW w:w="0" w:type="auto"/>
            <w:hideMark/>
          </w:tcPr>
          <w:p w14:paraId="03A982DA" w14:textId="23867870"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5.9</w:t>
            </w:r>
          </w:p>
        </w:tc>
        <w:tc>
          <w:tcPr>
            <w:tcW w:w="0" w:type="auto"/>
            <w:hideMark/>
          </w:tcPr>
          <w:p w14:paraId="190D9F44" w14:textId="77777777"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4.8</w:t>
            </w:r>
          </w:p>
        </w:tc>
      </w:tr>
      <w:tr w:rsidR="00FD42B8" w:rsidRPr="009D2C96" w14:paraId="37D4A2A4" w14:textId="77777777" w:rsidTr="00293C95">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2139" w:type="dxa"/>
            <w:vMerge w:val="restart"/>
            <w:hideMark/>
          </w:tcPr>
          <w:p w14:paraId="37C0CE4D" w14:textId="77777777" w:rsidR="00BE5CD5" w:rsidRPr="00293C95" w:rsidRDefault="00BE5CD5" w:rsidP="00E82A75">
            <w:pPr>
              <w:spacing w:before="0" w:after="0" w:line="240" w:lineRule="auto"/>
              <w:jc w:val="left"/>
              <w:rPr>
                <w:sz w:val="20"/>
                <w:szCs w:val="20"/>
              </w:rPr>
            </w:pPr>
            <w:r w:rsidRPr="00293C95">
              <w:rPr>
                <w:sz w:val="20"/>
                <w:szCs w:val="20"/>
              </w:rPr>
              <w:t>Age 4</w:t>
            </w:r>
          </w:p>
        </w:tc>
        <w:tc>
          <w:tcPr>
            <w:tcW w:w="1937" w:type="dxa"/>
            <w:hideMark/>
          </w:tcPr>
          <w:p w14:paraId="7AB728CD"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England</w:t>
            </w:r>
          </w:p>
        </w:tc>
        <w:tc>
          <w:tcPr>
            <w:tcW w:w="0" w:type="auto"/>
            <w:hideMark/>
          </w:tcPr>
          <w:p w14:paraId="5FA52F97"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4.9</w:t>
            </w:r>
          </w:p>
        </w:tc>
        <w:tc>
          <w:tcPr>
            <w:tcW w:w="0" w:type="auto"/>
            <w:hideMark/>
          </w:tcPr>
          <w:p w14:paraId="5F1F9C14" w14:textId="5F590029"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7.5</w:t>
            </w:r>
          </w:p>
        </w:tc>
        <w:tc>
          <w:tcPr>
            <w:tcW w:w="0" w:type="auto"/>
            <w:hideMark/>
          </w:tcPr>
          <w:p w14:paraId="5AB39E81"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5.3</w:t>
            </w:r>
          </w:p>
        </w:tc>
      </w:tr>
      <w:tr w:rsidR="00FD42B8" w:rsidRPr="009D2C96" w14:paraId="7A4BBAC1" w14:textId="77777777" w:rsidTr="00293C95">
        <w:trPr>
          <w:trHeight w:val="110"/>
        </w:trPr>
        <w:tc>
          <w:tcPr>
            <w:cnfStyle w:val="001000000000" w:firstRow="0" w:lastRow="0" w:firstColumn="1" w:lastColumn="0" w:oddVBand="0" w:evenVBand="0" w:oddHBand="0" w:evenHBand="0" w:firstRowFirstColumn="0" w:firstRowLastColumn="0" w:lastRowFirstColumn="0" w:lastRowLastColumn="0"/>
            <w:tcW w:w="2139" w:type="dxa"/>
            <w:vMerge/>
            <w:hideMark/>
          </w:tcPr>
          <w:p w14:paraId="73703701" w14:textId="77777777" w:rsidR="00BE5CD5" w:rsidRPr="00293C95" w:rsidRDefault="00BE5CD5" w:rsidP="00E82A75">
            <w:pPr>
              <w:spacing w:before="0" w:after="0" w:line="240" w:lineRule="auto"/>
              <w:jc w:val="left"/>
              <w:rPr>
                <w:sz w:val="20"/>
                <w:szCs w:val="20"/>
              </w:rPr>
            </w:pPr>
          </w:p>
        </w:tc>
        <w:tc>
          <w:tcPr>
            <w:tcW w:w="1937" w:type="dxa"/>
            <w:hideMark/>
          </w:tcPr>
          <w:p w14:paraId="32FB21DE" w14:textId="77777777"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London</w:t>
            </w:r>
          </w:p>
        </w:tc>
        <w:tc>
          <w:tcPr>
            <w:tcW w:w="0" w:type="auto"/>
            <w:hideMark/>
          </w:tcPr>
          <w:p w14:paraId="674F08E7" w14:textId="77777777"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5.3</w:t>
            </w:r>
          </w:p>
        </w:tc>
        <w:tc>
          <w:tcPr>
            <w:tcW w:w="0" w:type="auto"/>
            <w:hideMark/>
          </w:tcPr>
          <w:p w14:paraId="5E157C27" w14:textId="25339447"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7.2</w:t>
            </w:r>
          </w:p>
        </w:tc>
        <w:tc>
          <w:tcPr>
            <w:tcW w:w="0" w:type="auto"/>
            <w:hideMark/>
          </w:tcPr>
          <w:p w14:paraId="7948D621" w14:textId="77777777" w:rsidR="00BE5CD5" w:rsidRPr="00293C95" w:rsidRDefault="00BE5CD5" w:rsidP="00E82A75">
            <w:pPr>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5.9</w:t>
            </w:r>
          </w:p>
        </w:tc>
      </w:tr>
      <w:tr w:rsidR="00FD42B8" w:rsidRPr="009D2C96" w14:paraId="02E2BA2F" w14:textId="77777777" w:rsidTr="00293C95">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2139" w:type="dxa"/>
            <w:vMerge/>
            <w:hideMark/>
          </w:tcPr>
          <w:p w14:paraId="4648673D" w14:textId="77777777" w:rsidR="00BE5CD5" w:rsidRPr="00293C95" w:rsidRDefault="00BE5CD5" w:rsidP="00E82A75">
            <w:pPr>
              <w:spacing w:before="0" w:after="0" w:line="240" w:lineRule="auto"/>
              <w:jc w:val="left"/>
              <w:rPr>
                <w:sz w:val="20"/>
                <w:szCs w:val="20"/>
              </w:rPr>
            </w:pPr>
          </w:p>
        </w:tc>
        <w:tc>
          <w:tcPr>
            <w:tcW w:w="1937" w:type="dxa"/>
            <w:hideMark/>
          </w:tcPr>
          <w:p w14:paraId="62AD6301"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Tower Hamlets</w:t>
            </w:r>
          </w:p>
        </w:tc>
        <w:tc>
          <w:tcPr>
            <w:tcW w:w="0" w:type="auto"/>
            <w:hideMark/>
          </w:tcPr>
          <w:p w14:paraId="30BC0105"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5.5</w:t>
            </w:r>
          </w:p>
        </w:tc>
        <w:tc>
          <w:tcPr>
            <w:tcW w:w="0" w:type="auto"/>
            <w:hideMark/>
          </w:tcPr>
          <w:p w14:paraId="377FE69F" w14:textId="03FB5CA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6.8</w:t>
            </w:r>
          </w:p>
        </w:tc>
        <w:tc>
          <w:tcPr>
            <w:tcW w:w="0" w:type="auto"/>
            <w:hideMark/>
          </w:tcPr>
          <w:p w14:paraId="40BF3861" w14:textId="77777777" w:rsidR="00BE5CD5" w:rsidRPr="00293C95" w:rsidRDefault="00BE5CD5" w:rsidP="00E82A75">
            <w:pPr>
              <w:spacing w:before="0"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7.2</w:t>
            </w:r>
          </w:p>
        </w:tc>
      </w:tr>
    </w:tbl>
    <w:p w14:paraId="4F0D417D" w14:textId="77777777" w:rsidR="004E04E1" w:rsidRPr="004D6ED4" w:rsidRDefault="004E04E1" w:rsidP="00A56889">
      <w:pPr>
        <w:jc w:val="right"/>
      </w:pPr>
      <w:r w:rsidRPr="00973B12">
        <w:rPr>
          <w:b/>
          <w:bCs/>
          <w:sz w:val="18"/>
          <w:szCs w:val="18"/>
        </w:rPr>
        <w:t>Source: Special educational needs in England</w:t>
      </w:r>
      <w:r>
        <w:t>.</w:t>
      </w:r>
    </w:p>
    <w:p w14:paraId="4FF7BAA9" w14:textId="42F52192" w:rsidR="00EA5F11" w:rsidRDefault="004E04E1" w:rsidP="00EA5F11">
      <w:pPr>
        <w:rPr>
          <w:w w:val="105"/>
          <w:vertAlign w:val="superscript"/>
        </w:rPr>
      </w:pPr>
      <w:r w:rsidRPr="00A944AA">
        <w:rPr>
          <w:w w:val="105"/>
        </w:rPr>
        <w:t>Among nursery-aged children with SEND</w:t>
      </w:r>
      <w:r>
        <w:rPr>
          <w:w w:val="105"/>
        </w:rPr>
        <w:t xml:space="preserve"> (SEN or EH</w:t>
      </w:r>
      <w:r w:rsidR="00AF5313">
        <w:rPr>
          <w:w w:val="105"/>
        </w:rPr>
        <w:t>C</w:t>
      </w:r>
      <w:r>
        <w:rPr>
          <w:w w:val="105"/>
        </w:rPr>
        <w:t>P)</w:t>
      </w:r>
      <w:r w:rsidRPr="00A944AA">
        <w:rPr>
          <w:w w:val="105"/>
        </w:rPr>
        <w:t xml:space="preserve">, </w:t>
      </w:r>
      <w:r w:rsidR="006A474E">
        <w:rPr>
          <w:w w:val="105"/>
        </w:rPr>
        <w:t>SLCN</w:t>
      </w:r>
      <w:r w:rsidRPr="00A944AA">
        <w:rPr>
          <w:w w:val="105"/>
        </w:rPr>
        <w:t xml:space="preserve"> were the most common primary need, affecting a total of 49 children</w:t>
      </w:r>
      <w:r w:rsidR="00E9085A">
        <w:rPr>
          <w:rStyle w:val="EndnoteReference"/>
          <w:w w:val="105"/>
        </w:rPr>
        <w:fldChar w:fldCharType="begin"/>
      </w:r>
      <w:r w:rsidR="00E9085A">
        <w:rPr>
          <w:rStyle w:val="EndnoteReference"/>
          <w:w w:val="105"/>
        </w:rPr>
        <w:instrText xml:space="preserve"> NOTEREF  _Ref204587357 \f \h </w:instrText>
      </w:r>
      <w:r w:rsidR="00E9085A">
        <w:rPr>
          <w:rStyle w:val="EndnoteReference"/>
          <w:w w:val="105"/>
        </w:rPr>
      </w:r>
      <w:r w:rsidR="00E9085A">
        <w:rPr>
          <w:rStyle w:val="EndnoteReference"/>
          <w:w w:val="105"/>
        </w:rPr>
        <w:fldChar w:fldCharType="separate"/>
      </w:r>
      <w:r w:rsidR="008722C4" w:rsidRPr="008722C4">
        <w:rPr>
          <w:rStyle w:val="EndnoteReference"/>
        </w:rPr>
        <w:t>3</w:t>
      </w:r>
      <w:r w:rsidR="00E9085A">
        <w:rPr>
          <w:rStyle w:val="EndnoteReference"/>
          <w:w w:val="105"/>
        </w:rPr>
        <w:fldChar w:fldCharType="end"/>
      </w:r>
      <w:r w:rsidR="00EA5F11" w:rsidRPr="00EA5F11">
        <w:rPr>
          <w:w w:val="105"/>
        </w:rPr>
        <w:t>.</w:t>
      </w:r>
    </w:p>
    <w:p w14:paraId="00AAD791" w14:textId="77777777" w:rsidR="004E04E1" w:rsidRPr="00C97599" w:rsidRDefault="004E04E1" w:rsidP="00F469F9">
      <w:pPr>
        <w:pStyle w:val="Heading5"/>
      </w:pPr>
      <w:r w:rsidRPr="00C97599">
        <w:lastRenderedPageBreak/>
        <w:t>Languages</w:t>
      </w:r>
    </w:p>
    <w:p w14:paraId="05FD9192" w14:textId="48CBF4EB" w:rsidR="00CA1485" w:rsidRPr="00FA0D53" w:rsidRDefault="004E04E1" w:rsidP="00CA1485">
      <w:r w:rsidRPr="00FA0D53">
        <w:rPr>
          <w:w w:val="105"/>
        </w:rPr>
        <w:t>Data</w:t>
      </w:r>
      <w:r w:rsidRPr="00FA0D53">
        <w:rPr>
          <w:spacing w:val="-8"/>
          <w:w w:val="105"/>
        </w:rPr>
        <w:t xml:space="preserve"> </w:t>
      </w:r>
      <w:r w:rsidRPr="00FA0D53">
        <w:rPr>
          <w:w w:val="105"/>
        </w:rPr>
        <w:t>from</w:t>
      </w:r>
      <w:r w:rsidRPr="00FA0D53">
        <w:rPr>
          <w:spacing w:val="-8"/>
          <w:w w:val="105"/>
        </w:rPr>
        <w:t xml:space="preserve"> </w:t>
      </w:r>
      <w:r w:rsidRPr="00FA0D53">
        <w:rPr>
          <w:w w:val="105"/>
        </w:rPr>
        <w:t>the</w:t>
      </w:r>
      <w:r w:rsidRPr="00FA0D53">
        <w:rPr>
          <w:spacing w:val="-6"/>
          <w:w w:val="105"/>
        </w:rPr>
        <w:t xml:space="preserve"> </w:t>
      </w:r>
      <w:r w:rsidRPr="00FA0D53">
        <w:rPr>
          <w:w w:val="105"/>
        </w:rPr>
        <w:t>Tower</w:t>
      </w:r>
      <w:r w:rsidRPr="00FA0D53">
        <w:rPr>
          <w:spacing w:val="-8"/>
          <w:w w:val="105"/>
        </w:rPr>
        <w:t xml:space="preserve"> </w:t>
      </w:r>
      <w:r w:rsidRPr="00FA0D53">
        <w:rPr>
          <w:w w:val="105"/>
        </w:rPr>
        <w:t>Hamlets</w:t>
      </w:r>
      <w:r w:rsidRPr="00FA0D53">
        <w:rPr>
          <w:spacing w:val="-8"/>
          <w:w w:val="105"/>
        </w:rPr>
        <w:t xml:space="preserve"> </w:t>
      </w:r>
      <w:r w:rsidRPr="00FA0D53">
        <w:rPr>
          <w:w w:val="105"/>
        </w:rPr>
        <w:t>School</w:t>
      </w:r>
      <w:r w:rsidRPr="00FA0D53">
        <w:rPr>
          <w:spacing w:val="-8"/>
          <w:w w:val="105"/>
        </w:rPr>
        <w:t xml:space="preserve"> </w:t>
      </w:r>
      <w:r w:rsidRPr="00FA0D53">
        <w:rPr>
          <w:w w:val="105"/>
        </w:rPr>
        <w:t>Census</w:t>
      </w:r>
      <w:r w:rsidRPr="00FA0D53">
        <w:rPr>
          <w:spacing w:val="-9"/>
          <w:w w:val="105"/>
        </w:rPr>
        <w:t xml:space="preserve"> </w:t>
      </w:r>
      <w:r w:rsidRPr="00FA0D53">
        <w:rPr>
          <w:w w:val="105"/>
        </w:rPr>
        <w:t>indicates</w:t>
      </w:r>
      <w:r w:rsidRPr="00FA0D53">
        <w:rPr>
          <w:spacing w:val="-8"/>
          <w:w w:val="105"/>
        </w:rPr>
        <w:t xml:space="preserve"> </w:t>
      </w:r>
      <w:r w:rsidRPr="00FA0D53">
        <w:rPr>
          <w:w w:val="105"/>
        </w:rPr>
        <w:t>that</w:t>
      </w:r>
      <w:r w:rsidRPr="00FA0D53">
        <w:rPr>
          <w:spacing w:val="-7"/>
          <w:w w:val="105"/>
        </w:rPr>
        <w:t xml:space="preserve"> </w:t>
      </w:r>
      <w:r w:rsidRPr="00FA0D53">
        <w:rPr>
          <w:w w:val="105"/>
        </w:rPr>
        <w:t>over</w:t>
      </w:r>
      <w:r w:rsidRPr="00FA0D53">
        <w:rPr>
          <w:spacing w:val="-8"/>
          <w:w w:val="105"/>
        </w:rPr>
        <w:t xml:space="preserve"> </w:t>
      </w:r>
      <w:r w:rsidRPr="00FA0D53">
        <w:rPr>
          <w:w w:val="105"/>
        </w:rPr>
        <w:t>70%</w:t>
      </w:r>
      <w:r w:rsidRPr="00FA0D53">
        <w:rPr>
          <w:spacing w:val="-10"/>
          <w:w w:val="105"/>
        </w:rPr>
        <w:t xml:space="preserve"> </w:t>
      </w:r>
      <w:r w:rsidRPr="00FA0D53">
        <w:rPr>
          <w:w w:val="105"/>
        </w:rPr>
        <w:t>of</w:t>
      </w:r>
      <w:r w:rsidRPr="00FA0D53">
        <w:rPr>
          <w:spacing w:val="-8"/>
          <w:w w:val="105"/>
        </w:rPr>
        <w:t xml:space="preserve"> </w:t>
      </w:r>
      <w:r w:rsidRPr="00FA0D53">
        <w:rPr>
          <w:w w:val="105"/>
        </w:rPr>
        <w:t>nursery</w:t>
      </w:r>
      <w:r w:rsidRPr="00FA0D53">
        <w:rPr>
          <w:spacing w:val="-10"/>
          <w:w w:val="105"/>
        </w:rPr>
        <w:t xml:space="preserve"> </w:t>
      </w:r>
      <w:r w:rsidRPr="00FA0D53">
        <w:rPr>
          <w:w w:val="105"/>
        </w:rPr>
        <w:t>children with SEND spoke a language other than English, compared to 60% of the overall pupil population</w:t>
      </w:r>
      <w:r w:rsidRPr="00FA0D53">
        <w:rPr>
          <w:spacing w:val="-4"/>
          <w:w w:val="105"/>
        </w:rPr>
        <w:t xml:space="preserve"> </w:t>
      </w:r>
      <w:r w:rsidRPr="00FA0D53">
        <w:rPr>
          <w:w w:val="105"/>
        </w:rPr>
        <w:t>in</w:t>
      </w:r>
      <w:r w:rsidRPr="00FA0D53">
        <w:rPr>
          <w:spacing w:val="-4"/>
          <w:w w:val="105"/>
        </w:rPr>
        <w:t xml:space="preserve"> </w:t>
      </w:r>
      <w:r w:rsidRPr="00FA0D53">
        <w:rPr>
          <w:w w:val="105"/>
        </w:rPr>
        <w:t>the</w:t>
      </w:r>
      <w:r w:rsidRPr="00FA0D53">
        <w:rPr>
          <w:spacing w:val="-6"/>
          <w:w w:val="105"/>
        </w:rPr>
        <w:t xml:space="preserve"> </w:t>
      </w:r>
      <w:r w:rsidRPr="00FA0D53">
        <w:rPr>
          <w:w w:val="105"/>
        </w:rPr>
        <w:t>borough.</w:t>
      </w:r>
      <w:r w:rsidRPr="00FA0D53">
        <w:rPr>
          <w:spacing w:val="-5"/>
          <w:w w:val="105"/>
        </w:rPr>
        <w:t xml:space="preserve"> </w:t>
      </w:r>
      <w:r w:rsidRPr="00FA0D53">
        <w:rPr>
          <w:w w:val="105"/>
        </w:rPr>
        <w:t>This</w:t>
      </w:r>
      <w:r w:rsidRPr="00FA0D53">
        <w:rPr>
          <w:spacing w:val="-5"/>
          <w:w w:val="105"/>
        </w:rPr>
        <w:t xml:space="preserve"> </w:t>
      </w:r>
      <w:r w:rsidRPr="00FA0D53">
        <w:rPr>
          <w:w w:val="105"/>
        </w:rPr>
        <w:t>higher</w:t>
      </w:r>
      <w:r w:rsidRPr="00FA0D53">
        <w:rPr>
          <w:spacing w:val="-5"/>
          <w:w w:val="105"/>
        </w:rPr>
        <w:t xml:space="preserve"> </w:t>
      </w:r>
      <w:r w:rsidRPr="00FA0D53">
        <w:rPr>
          <w:w w:val="105"/>
        </w:rPr>
        <w:t>proportion</w:t>
      </w:r>
      <w:r w:rsidRPr="00FA0D53">
        <w:rPr>
          <w:spacing w:val="-3"/>
          <w:w w:val="105"/>
        </w:rPr>
        <w:t xml:space="preserve"> </w:t>
      </w:r>
      <w:r w:rsidRPr="00FA0D53">
        <w:rPr>
          <w:w w:val="105"/>
        </w:rPr>
        <w:t>of</w:t>
      </w:r>
      <w:r w:rsidRPr="00FA0D53">
        <w:rPr>
          <w:spacing w:val="-5"/>
          <w:w w:val="105"/>
        </w:rPr>
        <w:t xml:space="preserve"> </w:t>
      </w:r>
      <w:r w:rsidRPr="00FA0D53">
        <w:rPr>
          <w:w w:val="105"/>
        </w:rPr>
        <w:t>children</w:t>
      </w:r>
      <w:r w:rsidRPr="00FA0D53">
        <w:rPr>
          <w:spacing w:val="-4"/>
          <w:w w:val="105"/>
        </w:rPr>
        <w:t xml:space="preserve"> </w:t>
      </w:r>
      <w:r w:rsidRPr="00FA0D53">
        <w:rPr>
          <w:w w:val="105"/>
        </w:rPr>
        <w:t>with</w:t>
      </w:r>
      <w:r w:rsidRPr="00FA0D53">
        <w:rPr>
          <w:spacing w:val="-1"/>
          <w:w w:val="105"/>
        </w:rPr>
        <w:t xml:space="preserve"> </w:t>
      </w:r>
      <w:r w:rsidRPr="00FA0D53">
        <w:rPr>
          <w:w w:val="105"/>
        </w:rPr>
        <w:t>SEND</w:t>
      </w:r>
      <w:r w:rsidRPr="00FA0D53">
        <w:rPr>
          <w:spacing w:val="-4"/>
          <w:w w:val="105"/>
        </w:rPr>
        <w:t xml:space="preserve"> </w:t>
      </w:r>
      <w:r w:rsidRPr="00FA0D53">
        <w:rPr>
          <w:w w:val="105"/>
        </w:rPr>
        <w:t>in</w:t>
      </w:r>
      <w:r w:rsidRPr="00FA0D53">
        <w:rPr>
          <w:spacing w:val="-4"/>
          <w:w w:val="105"/>
        </w:rPr>
        <w:t xml:space="preserve"> </w:t>
      </w:r>
      <w:r w:rsidRPr="00FA0D53">
        <w:rPr>
          <w:w w:val="105"/>
        </w:rPr>
        <w:t>nursery</w:t>
      </w:r>
      <w:r w:rsidRPr="00FA0D53">
        <w:rPr>
          <w:spacing w:val="-5"/>
          <w:w w:val="105"/>
        </w:rPr>
        <w:t xml:space="preserve"> </w:t>
      </w:r>
      <w:r w:rsidRPr="00FA0D53">
        <w:rPr>
          <w:w w:val="105"/>
        </w:rPr>
        <w:t>who speak languages other than English may contribute to the increased speech and language needs observed</w:t>
      </w:r>
      <w:r w:rsidR="00985803" w:rsidRPr="00FA607B">
        <w:rPr>
          <w:w w:val="105"/>
          <w:vertAlign w:val="superscript"/>
        </w:rPr>
        <w:fldChar w:fldCharType="begin"/>
      </w:r>
      <w:r w:rsidR="00985803" w:rsidRPr="00FA607B">
        <w:rPr>
          <w:w w:val="105"/>
          <w:vertAlign w:val="superscript"/>
        </w:rPr>
        <w:instrText xml:space="preserve"> NOTEREF _Ref204583153 \h </w:instrText>
      </w:r>
      <w:r w:rsidR="00FA607B">
        <w:rPr>
          <w:w w:val="105"/>
          <w:vertAlign w:val="superscript"/>
        </w:rPr>
        <w:instrText xml:space="preserve"> \* MERGEFORMAT </w:instrText>
      </w:r>
      <w:r w:rsidR="00985803" w:rsidRPr="00FA607B">
        <w:rPr>
          <w:w w:val="105"/>
          <w:vertAlign w:val="superscript"/>
        </w:rPr>
      </w:r>
      <w:r w:rsidR="00985803" w:rsidRPr="00FA607B">
        <w:rPr>
          <w:w w:val="105"/>
          <w:vertAlign w:val="superscript"/>
        </w:rPr>
        <w:fldChar w:fldCharType="separate"/>
      </w:r>
      <w:r w:rsidR="008722C4">
        <w:rPr>
          <w:w w:val="105"/>
          <w:vertAlign w:val="superscript"/>
        </w:rPr>
        <w:t>4</w:t>
      </w:r>
      <w:r w:rsidR="00985803" w:rsidRPr="00FA607B">
        <w:rPr>
          <w:w w:val="105"/>
          <w:vertAlign w:val="superscript"/>
        </w:rPr>
        <w:fldChar w:fldCharType="end"/>
      </w:r>
      <w:r w:rsidRPr="00FA0D53">
        <w:rPr>
          <w:w w:val="105"/>
        </w:rPr>
        <w:t>.</w:t>
      </w:r>
      <w:r w:rsidR="00BE2F97" w:rsidRPr="00FA0D53">
        <w:rPr>
          <w:rStyle w:val="CommentReference"/>
          <w:sz w:val="22"/>
          <w:szCs w:val="24"/>
        </w:rPr>
        <w:t xml:space="preserve"> </w:t>
      </w:r>
      <w:r w:rsidR="00CA1485" w:rsidRPr="00CA1485">
        <w:t>children</w:t>
      </w:r>
      <w:r w:rsidR="0077463C" w:rsidRPr="00CA1485">
        <w:t xml:space="preserve"> exposed to more than one language </w:t>
      </w:r>
      <w:r w:rsidR="00CA1485" w:rsidRPr="00CA1485">
        <w:t>may</w:t>
      </w:r>
      <w:r w:rsidR="0077463C" w:rsidRPr="00CA1485">
        <w:t xml:space="preserve"> develop spoken language later than peers exposed to </w:t>
      </w:r>
      <w:r w:rsidR="00CA1485" w:rsidRPr="00CA1485">
        <w:t xml:space="preserve">only </w:t>
      </w:r>
      <w:r w:rsidR="0077463C" w:rsidRPr="00CA1485">
        <w:t>one</w:t>
      </w:r>
      <w:r w:rsidR="00CA1485">
        <w:t>.</w:t>
      </w:r>
    </w:p>
    <w:p w14:paraId="1FE3B014" w14:textId="77777777" w:rsidR="004E04E1" w:rsidRPr="00584FE1" w:rsidRDefault="004E04E1" w:rsidP="00293C95">
      <w:pPr>
        <w:pStyle w:val="Heading3"/>
        <w:rPr>
          <w:color w:val="006B70"/>
        </w:rPr>
      </w:pPr>
      <w:r w:rsidRPr="00584FE1">
        <w:rPr>
          <w:color w:val="006B70"/>
        </w:rPr>
        <w:t>Pathway</w:t>
      </w:r>
    </w:p>
    <w:p w14:paraId="7CE6C518" w14:textId="183D865E" w:rsidR="004E04E1" w:rsidRPr="00185E56" w:rsidRDefault="004E04E1" w:rsidP="00FA6283">
      <w:r w:rsidRPr="00185E56">
        <w:t xml:space="preserve">Tower Hamlets continues to invest in early identification and support for children with SEND. A </w:t>
      </w:r>
      <w:r w:rsidRPr="00185E56">
        <w:rPr>
          <w:bCs/>
        </w:rPr>
        <w:t>Start for Life bid</w:t>
      </w:r>
      <w:r w:rsidRPr="00185E56">
        <w:t xml:space="preserve"> has been secured to fund a workforce pilot programme, enabling screening for </w:t>
      </w:r>
      <w:r w:rsidRPr="00185E56">
        <w:rPr>
          <w:bCs/>
        </w:rPr>
        <w:t>social communication differences and speech and language needs from as early as 12 months of age</w:t>
      </w:r>
      <w:r w:rsidRPr="00185E56">
        <w:t>. This proactive approach aims to identify emerging needs sooner, allowing families to access timely support.</w:t>
      </w:r>
    </w:p>
    <w:p w14:paraId="29A173D0" w14:textId="0B588710" w:rsidR="004E04E1" w:rsidRDefault="00A309AE" w:rsidP="00D00879">
      <w:r>
        <w:t>A</w:t>
      </w:r>
      <w:r w:rsidR="004E04E1" w:rsidRPr="00185E56">
        <w:t xml:space="preserve"> </w:t>
      </w:r>
      <w:r w:rsidR="004E04E1" w:rsidRPr="00185E56">
        <w:rPr>
          <w:bCs/>
        </w:rPr>
        <w:t>Speech and Language Therapy (SLT) treatment pathway</w:t>
      </w:r>
      <w:r w:rsidR="004E04E1" w:rsidRPr="00185E56">
        <w:t xml:space="preserve"> for children aged 3 to 5 years has been launched</w:t>
      </w:r>
      <w:r w:rsidR="00D64AEE">
        <w:t xml:space="preserve"> in Tower Hamlets</w:t>
      </w:r>
      <w:r w:rsidR="004E04E1" w:rsidRPr="00185E56">
        <w:t xml:space="preserve">, transforming access to specialist services. Waiting times for assessment have significantly improved, falling from </w:t>
      </w:r>
      <w:r w:rsidR="004E04E1" w:rsidRPr="00185E56">
        <w:rPr>
          <w:bCs/>
        </w:rPr>
        <w:t>35 weeks in 2022 to just over 10 weeks in 2024</w:t>
      </w:r>
      <w:r w:rsidR="004E04E1" w:rsidRPr="00185E56">
        <w:t>, enabling earlier intervention and reducing the risk of long-term language and communication difficulties</w:t>
      </w:r>
      <w:r w:rsidR="00D00879">
        <w:t>.</w:t>
      </w:r>
    </w:p>
    <w:p w14:paraId="0E118184" w14:textId="3427CB2C" w:rsidR="00A309AE" w:rsidRDefault="00A309AE" w:rsidP="00D00879">
      <w:r w:rsidRPr="00A309AE">
        <w:t>In addition, early support is provided to children awaiting assessment through targeted interventions in early years settings and by health visiting teams, ensuring that emerging needs are addressed without delay.</w:t>
      </w:r>
    </w:p>
    <w:p w14:paraId="31E4B6D3" w14:textId="77777777" w:rsidR="004E04E1" w:rsidRPr="00C97599" w:rsidRDefault="004E04E1" w:rsidP="00F469F9">
      <w:pPr>
        <w:pStyle w:val="Heading5"/>
      </w:pPr>
      <w:r w:rsidRPr="00C97599">
        <w:t>Attainment</w:t>
      </w:r>
    </w:p>
    <w:p w14:paraId="2E468256" w14:textId="6529AC5B" w:rsidR="004E04E1" w:rsidRPr="00B9318F" w:rsidRDefault="004E04E1" w:rsidP="00225339">
      <w:pPr>
        <w:rPr>
          <w:b/>
        </w:rPr>
      </w:pPr>
      <w:r>
        <w:t>In 2024, t</w:t>
      </w:r>
      <w:r w:rsidRPr="00B9318F">
        <w:t>he</w:t>
      </w:r>
      <w:r w:rsidRPr="00B9318F">
        <w:rPr>
          <w:spacing w:val="40"/>
        </w:rPr>
        <w:t xml:space="preserve"> </w:t>
      </w:r>
      <w:r w:rsidRPr="00B9318F">
        <w:t>percentage</w:t>
      </w:r>
      <w:r w:rsidRPr="00B9318F">
        <w:rPr>
          <w:spacing w:val="40"/>
        </w:rPr>
        <w:t xml:space="preserve"> </w:t>
      </w:r>
      <w:r w:rsidRPr="00B9318F">
        <w:t>of</w:t>
      </w:r>
      <w:r w:rsidRPr="00B9318F">
        <w:rPr>
          <w:spacing w:val="40"/>
        </w:rPr>
        <w:t xml:space="preserve"> </w:t>
      </w:r>
      <w:r w:rsidRPr="00B9318F">
        <w:t>both</w:t>
      </w:r>
      <w:r w:rsidRPr="00B9318F">
        <w:rPr>
          <w:spacing w:val="40"/>
        </w:rPr>
        <w:t xml:space="preserve"> </w:t>
      </w:r>
      <w:r w:rsidRPr="00B9318F">
        <w:t>SEN</w:t>
      </w:r>
      <w:r w:rsidRPr="00B9318F">
        <w:rPr>
          <w:spacing w:val="40"/>
        </w:rPr>
        <w:t xml:space="preserve"> </w:t>
      </w:r>
      <w:r w:rsidRPr="00B9318F">
        <w:t>support</w:t>
      </w:r>
      <w:r w:rsidRPr="00B9318F">
        <w:rPr>
          <w:spacing w:val="40"/>
        </w:rPr>
        <w:t xml:space="preserve"> </w:t>
      </w:r>
      <w:r w:rsidRPr="00B9318F">
        <w:t>(24%)</w:t>
      </w:r>
      <w:r w:rsidRPr="00B9318F">
        <w:rPr>
          <w:spacing w:val="40"/>
        </w:rPr>
        <w:t xml:space="preserve"> </w:t>
      </w:r>
      <w:r w:rsidRPr="00B9318F">
        <w:t>and</w:t>
      </w:r>
      <w:r w:rsidRPr="00B9318F">
        <w:rPr>
          <w:spacing w:val="40"/>
        </w:rPr>
        <w:t xml:space="preserve"> </w:t>
      </w:r>
      <w:r w:rsidRPr="00B9318F">
        <w:t>EHC</w:t>
      </w:r>
      <w:r w:rsidR="0051337C">
        <w:rPr>
          <w:spacing w:val="40"/>
        </w:rPr>
        <w:t xml:space="preserve">P </w:t>
      </w:r>
      <w:r w:rsidRPr="00B9318F">
        <w:t>(4%)</w:t>
      </w:r>
      <w:r w:rsidRPr="00B9318F">
        <w:rPr>
          <w:spacing w:val="40"/>
        </w:rPr>
        <w:t xml:space="preserve"> </w:t>
      </w:r>
      <w:r w:rsidRPr="00B9318F">
        <w:t>pupils achieving Early Years Foundation Stage ‘Good Level of Development’ returned to 2019 levels, bringing Tower Hamlets in line with the England average of 24%</w:t>
      </w:r>
      <w:r w:rsidRPr="00B9318F">
        <w:rPr>
          <w:spacing w:val="32"/>
        </w:rPr>
        <w:t xml:space="preserve"> </w:t>
      </w:r>
      <w:r w:rsidRPr="00B9318F">
        <w:t>for SEN support</w:t>
      </w:r>
      <w:r w:rsidRPr="00B9318F">
        <w:rPr>
          <w:spacing w:val="40"/>
        </w:rPr>
        <w:t xml:space="preserve"> </w:t>
      </w:r>
      <w:r w:rsidRPr="00B9318F">
        <w:t>and 4%</w:t>
      </w:r>
      <w:r w:rsidRPr="00B9318F">
        <w:rPr>
          <w:spacing w:val="39"/>
        </w:rPr>
        <w:t xml:space="preserve"> </w:t>
      </w:r>
      <w:r w:rsidRPr="00B9318F">
        <w:t>for</w:t>
      </w:r>
      <w:r w:rsidRPr="00B9318F">
        <w:rPr>
          <w:spacing w:val="38"/>
        </w:rPr>
        <w:t xml:space="preserve"> </w:t>
      </w:r>
      <w:r w:rsidRPr="00B9318F">
        <w:t>EHC</w:t>
      </w:r>
      <w:r w:rsidR="0051337C">
        <w:t>P</w:t>
      </w:r>
      <w:r w:rsidRPr="00B9318F">
        <w:t>,</w:t>
      </w:r>
      <w:r w:rsidRPr="00B9318F">
        <w:rPr>
          <w:spacing w:val="38"/>
        </w:rPr>
        <w:t xml:space="preserve"> </w:t>
      </w:r>
      <w:r w:rsidRPr="00B9318F">
        <w:t>and</w:t>
      </w:r>
      <w:r w:rsidRPr="00B9318F">
        <w:rPr>
          <w:spacing w:val="38"/>
        </w:rPr>
        <w:t xml:space="preserve"> </w:t>
      </w:r>
      <w:r w:rsidRPr="00B9318F">
        <w:t>just</w:t>
      </w:r>
      <w:r w:rsidRPr="00B9318F">
        <w:rPr>
          <w:spacing w:val="37"/>
        </w:rPr>
        <w:t xml:space="preserve"> </w:t>
      </w:r>
      <w:r w:rsidRPr="00B9318F">
        <w:t>below</w:t>
      </w:r>
      <w:r w:rsidRPr="00B9318F">
        <w:rPr>
          <w:spacing w:val="39"/>
        </w:rPr>
        <w:t xml:space="preserve"> </w:t>
      </w:r>
      <w:r w:rsidRPr="00B9318F">
        <w:t>the</w:t>
      </w:r>
      <w:r w:rsidRPr="00B9318F">
        <w:rPr>
          <w:spacing w:val="38"/>
        </w:rPr>
        <w:t xml:space="preserve"> </w:t>
      </w:r>
      <w:r w:rsidRPr="00B9318F">
        <w:t>statistical neighbour average</w:t>
      </w:r>
      <w:r w:rsidRPr="00B9318F">
        <w:rPr>
          <w:spacing w:val="38"/>
        </w:rPr>
        <w:t xml:space="preserve"> </w:t>
      </w:r>
      <w:r w:rsidRPr="00B9318F">
        <w:t>for both</w:t>
      </w:r>
      <w:r w:rsidRPr="00B9318F">
        <w:rPr>
          <w:spacing w:val="38"/>
        </w:rPr>
        <w:t xml:space="preserve"> </w:t>
      </w:r>
      <w:r w:rsidRPr="00B9318F">
        <w:t>groups (27% - SEN support, 5% EHC</w:t>
      </w:r>
      <w:r w:rsidR="0051337C">
        <w:t>P</w:t>
      </w:r>
      <w:r w:rsidRPr="00B9318F">
        <w:t>)</w:t>
      </w:r>
      <w:r w:rsidR="00D01B0E" w:rsidRPr="00D01B0E">
        <w:rPr>
          <w:vertAlign w:val="superscript"/>
        </w:rPr>
        <w:fldChar w:fldCharType="begin"/>
      </w:r>
      <w:r w:rsidR="00D01B0E" w:rsidRPr="00D01B0E">
        <w:rPr>
          <w:vertAlign w:val="superscript"/>
        </w:rPr>
        <w:instrText xml:space="preserve"> NOTEREF _Ref204583153 \h </w:instrText>
      </w:r>
      <w:r w:rsidR="00D01B0E">
        <w:rPr>
          <w:vertAlign w:val="superscript"/>
        </w:rPr>
        <w:instrText xml:space="preserve"> \* MERGEFORMAT </w:instrText>
      </w:r>
      <w:r w:rsidR="00D01B0E" w:rsidRPr="00D01B0E">
        <w:rPr>
          <w:vertAlign w:val="superscript"/>
        </w:rPr>
      </w:r>
      <w:r w:rsidR="00D01B0E" w:rsidRPr="00D01B0E">
        <w:rPr>
          <w:vertAlign w:val="superscript"/>
        </w:rPr>
        <w:fldChar w:fldCharType="separate"/>
      </w:r>
      <w:r w:rsidR="008722C4">
        <w:rPr>
          <w:vertAlign w:val="superscript"/>
        </w:rPr>
        <w:t>4</w:t>
      </w:r>
      <w:r w:rsidR="00D01B0E" w:rsidRPr="00D01B0E">
        <w:rPr>
          <w:vertAlign w:val="superscript"/>
        </w:rPr>
        <w:fldChar w:fldCharType="end"/>
      </w:r>
      <w:r>
        <w:t xml:space="preserve"> (</w:t>
      </w:r>
      <w:r w:rsidR="00D00879">
        <w:t>T</w:t>
      </w:r>
      <w:r w:rsidR="00F20BD0">
        <w:t>ab</w:t>
      </w:r>
      <w:r w:rsidR="004D3700">
        <w:t xml:space="preserve">le </w:t>
      </w:r>
      <w:r w:rsidR="00294DC8">
        <w:t>4.2</w:t>
      </w:r>
      <w:r>
        <w:t>).</w:t>
      </w:r>
    </w:p>
    <w:p w14:paraId="6202F43B" w14:textId="7A087C4E" w:rsidR="004E04E1" w:rsidRPr="00C270AF" w:rsidRDefault="00F20BD0" w:rsidP="00225339">
      <w:pPr>
        <w:rPr>
          <w:b/>
          <w:bCs/>
          <w:sz w:val="18"/>
          <w:szCs w:val="18"/>
        </w:rPr>
      </w:pPr>
      <w:r>
        <w:rPr>
          <w:b/>
          <w:bCs/>
          <w:sz w:val="18"/>
          <w:szCs w:val="18"/>
        </w:rPr>
        <w:t xml:space="preserve">Table </w:t>
      </w:r>
      <w:r w:rsidR="006C36E3">
        <w:rPr>
          <w:b/>
          <w:bCs/>
          <w:sz w:val="18"/>
          <w:szCs w:val="18"/>
        </w:rPr>
        <w:t>4.2</w:t>
      </w:r>
      <w:r w:rsidR="004E04E1" w:rsidRPr="00C270AF">
        <w:rPr>
          <w:b/>
          <w:bCs/>
          <w:sz w:val="18"/>
          <w:szCs w:val="18"/>
        </w:rPr>
        <w:t>: EYFSP Good level of development - SEN Support and EHCP in 2023 for Tower Hamlets, Statistical Neighbours and England</w:t>
      </w:r>
    </w:p>
    <w:tbl>
      <w:tblPr>
        <w:tblStyle w:val="ListTable3-Accent1"/>
        <w:tblW w:w="0" w:type="auto"/>
        <w:tblLook w:val="04A0" w:firstRow="1" w:lastRow="0" w:firstColumn="1" w:lastColumn="0" w:noHBand="0" w:noVBand="1"/>
      </w:tblPr>
      <w:tblGrid>
        <w:gridCol w:w="2449"/>
        <w:gridCol w:w="1827"/>
        <w:gridCol w:w="1343"/>
      </w:tblGrid>
      <w:tr w:rsidR="00020DE9" w:rsidRPr="00225339" w14:paraId="3F6981D2" w14:textId="77777777" w:rsidTr="00BF4988">
        <w:trPr>
          <w:cnfStyle w:val="100000000000" w:firstRow="1" w:lastRow="0" w:firstColumn="0" w:lastColumn="0" w:oddVBand="0" w:evenVBand="0" w:oddHBand="0" w:evenHBand="0" w:firstRowFirstColumn="0" w:firstRowLastColumn="0" w:lastRowFirstColumn="0" w:lastRowLastColumn="0"/>
          <w:trHeight w:val="286"/>
        </w:trPr>
        <w:tc>
          <w:tcPr>
            <w:cnfStyle w:val="001000000100" w:firstRow="0" w:lastRow="0" w:firstColumn="1" w:lastColumn="0" w:oddVBand="0" w:evenVBand="0" w:oddHBand="0" w:evenHBand="0" w:firstRowFirstColumn="1" w:firstRowLastColumn="0" w:lastRowFirstColumn="0" w:lastRowLastColumn="0"/>
            <w:tcW w:w="2449" w:type="dxa"/>
            <w:shd w:val="clear" w:color="auto" w:fill="00435D"/>
          </w:tcPr>
          <w:p w14:paraId="26607738" w14:textId="77777777" w:rsidR="004E04E1" w:rsidRPr="00293C95" w:rsidRDefault="004E04E1" w:rsidP="00816CFC">
            <w:pPr>
              <w:pStyle w:val="BodyText"/>
              <w:rPr>
                <w:rFonts w:ascii="Calibri" w:hAnsi="Calibri" w:cs="Calibri"/>
                <w:sz w:val="20"/>
                <w:szCs w:val="20"/>
              </w:rPr>
            </w:pPr>
          </w:p>
        </w:tc>
        <w:tc>
          <w:tcPr>
            <w:tcW w:w="1827" w:type="dxa"/>
            <w:shd w:val="clear" w:color="auto" w:fill="00435D"/>
          </w:tcPr>
          <w:p w14:paraId="5DCA5584" w14:textId="77777777" w:rsidR="004E04E1" w:rsidRPr="00293C95" w:rsidRDefault="004E04E1" w:rsidP="00816CFC">
            <w:pPr>
              <w:pStyle w:val="BodyText"/>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20"/>
                <w:szCs w:val="20"/>
              </w:rPr>
            </w:pPr>
            <w:r w:rsidRPr="00293C95">
              <w:rPr>
                <w:rFonts w:ascii="Calibri" w:hAnsi="Calibri" w:cs="Calibri"/>
                <w:color w:val="FFFFFF" w:themeColor="background1"/>
                <w:sz w:val="20"/>
                <w:szCs w:val="20"/>
              </w:rPr>
              <w:t xml:space="preserve">SEN Support </w:t>
            </w:r>
          </w:p>
        </w:tc>
        <w:tc>
          <w:tcPr>
            <w:tcW w:w="1343" w:type="dxa"/>
            <w:shd w:val="clear" w:color="auto" w:fill="00435D"/>
          </w:tcPr>
          <w:p w14:paraId="363F8F4E" w14:textId="77777777" w:rsidR="004E04E1" w:rsidRPr="00293C95" w:rsidRDefault="004E04E1" w:rsidP="00816CFC">
            <w:pPr>
              <w:pStyle w:val="BodyText"/>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20"/>
                <w:szCs w:val="20"/>
              </w:rPr>
            </w:pPr>
            <w:r w:rsidRPr="00293C95">
              <w:rPr>
                <w:rFonts w:ascii="Calibri" w:hAnsi="Calibri" w:cs="Calibri"/>
                <w:color w:val="FFFFFF" w:themeColor="background1"/>
                <w:sz w:val="20"/>
                <w:szCs w:val="20"/>
              </w:rPr>
              <w:t>EHCP</w:t>
            </w:r>
          </w:p>
        </w:tc>
      </w:tr>
      <w:tr w:rsidR="00216206" w:rsidRPr="00225339" w14:paraId="65E4C476" w14:textId="77777777" w:rsidTr="00293C95">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2449" w:type="dxa"/>
          </w:tcPr>
          <w:p w14:paraId="4DA63100" w14:textId="77777777" w:rsidR="004E04E1" w:rsidRPr="00293C95" w:rsidRDefault="004E04E1" w:rsidP="00816CFC">
            <w:pPr>
              <w:pStyle w:val="BodyText"/>
              <w:rPr>
                <w:rFonts w:ascii="Calibri" w:hAnsi="Calibri" w:cs="Calibri"/>
                <w:sz w:val="20"/>
                <w:szCs w:val="20"/>
              </w:rPr>
            </w:pPr>
            <w:r w:rsidRPr="00293C95">
              <w:rPr>
                <w:rFonts w:ascii="Calibri" w:hAnsi="Calibri" w:cs="Calibri"/>
                <w:sz w:val="20"/>
                <w:szCs w:val="20"/>
              </w:rPr>
              <w:t>Tower Hamlets</w:t>
            </w:r>
          </w:p>
        </w:tc>
        <w:tc>
          <w:tcPr>
            <w:tcW w:w="1827" w:type="dxa"/>
          </w:tcPr>
          <w:p w14:paraId="7BB2B36C" w14:textId="77777777" w:rsidR="004E04E1" w:rsidRPr="00293C95" w:rsidRDefault="004E04E1" w:rsidP="00816CFC">
            <w:pPr>
              <w:pStyle w:val="BodyTex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93C95">
              <w:rPr>
                <w:rFonts w:ascii="Calibri" w:hAnsi="Calibri" w:cs="Calibri"/>
                <w:sz w:val="20"/>
                <w:szCs w:val="20"/>
              </w:rPr>
              <w:t>25%</w:t>
            </w:r>
          </w:p>
        </w:tc>
        <w:tc>
          <w:tcPr>
            <w:tcW w:w="1343" w:type="dxa"/>
          </w:tcPr>
          <w:p w14:paraId="119A420E" w14:textId="77777777" w:rsidR="004E04E1" w:rsidRPr="00293C95" w:rsidRDefault="004E04E1" w:rsidP="00816CFC">
            <w:pPr>
              <w:pStyle w:val="BodyTex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93C95">
              <w:rPr>
                <w:rFonts w:ascii="Calibri" w:hAnsi="Calibri" w:cs="Calibri"/>
                <w:sz w:val="20"/>
                <w:szCs w:val="20"/>
              </w:rPr>
              <w:t>4%</w:t>
            </w:r>
          </w:p>
        </w:tc>
      </w:tr>
      <w:tr w:rsidR="00216206" w:rsidRPr="00225339" w14:paraId="3C66CBEE" w14:textId="77777777" w:rsidTr="00293C95">
        <w:trPr>
          <w:trHeight w:val="286"/>
        </w:trPr>
        <w:tc>
          <w:tcPr>
            <w:cnfStyle w:val="001000000000" w:firstRow="0" w:lastRow="0" w:firstColumn="1" w:lastColumn="0" w:oddVBand="0" w:evenVBand="0" w:oddHBand="0" w:evenHBand="0" w:firstRowFirstColumn="0" w:firstRowLastColumn="0" w:lastRowFirstColumn="0" w:lastRowLastColumn="0"/>
            <w:tcW w:w="2449" w:type="dxa"/>
          </w:tcPr>
          <w:p w14:paraId="1451D79C" w14:textId="77777777" w:rsidR="004E04E1" w:rsidRPr="00293C95" w:rsidRDefault="004E04E1" w:rsidP="00816CFC">
            <w:pPr>
              <w:pStyle w:val="BodyText"/>
              <w:rPr>
                <w:rFonts w:ascii="Calibri" w:hAnsi="Calibri" w:cs="Calibri"/>
                <w:sz w:val="20"/>
                <w:szCs w:val="20"/>
              </w:rPr>
            </w:pPr>
            <w:r w:rsidRPr="00293C95">
              <w:rPr>
                <w:rFonts w:ascii="Calibri" w:hAnsi="Calibri" w:cs="Calibri"/>
                <w:sz w:val="20"/>
                <w:szCs w:val="20"/>
              </w:rPr>
              <w:t xml:space="preserve">Statistical </w:t>
            </w:r>
            <w:proofErr w:type="spellStart"/>
            <w:r w:rsidRPr="00293C95">
              <w:rPr>
                <w:rFonts w:ascii="Calibri" w:hAnsi="Calibri" w:cs="Calibri"/>
                <w:sz w:val="20"/>
                <w:szCs w:val="20"/>
              </w:rPr>
              <w:t>Neighbours</w:t>
            </w:r>
            <w:proofErr w:type="spellEnd"/>
          </w:p>
        </w:tc>
        <w:tc>
          <w:tcPr>
            <w:tcW w:w="1827" w:type="dxa"/>
          </w:tcPr>
          <w:p w14:paraId="22C92F00" w14:textId="77777777" w:rsidR="004E04E1" w:rsidRPr="00293C95" w:rsidRDefault="004E04E1" w:rsidP="00816CFC">
            <w:pPr>
              <w:pStyle w:val="BodyTex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93C95">
              <w:rPr>
                <w:rFonts w:ascii="Calibri" w:hAnsi="Calibri" w:cs="Calibri"/>
                <w:sz w:val="20"/>
                <w:szCs w:val="20"/>
              </w:rPr>
              <w:t>27%</w:t>
            </w:r>
          </w:p>
        </w:tc>
        <w:tc>
          <w:tcPr>
            <w:tcW w:w="1343" w:type="dxa"/>
          </w:tcPr>
          <w:p w14:paraId="1B1CD6BD" w14:textId="77777777" w:rsidR="004E04E1" w:rsidRPr="00293C95" w:rsidRDefault="004E04E1" w:rsidP="00816CFC">
            <w:pPr>
              <w:pStyle w:val="BodyTex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93C95">
              <w:rPr>
                <w:rFonts w:ascii="Calibri" w:hAnsi="Calibri" w:cs="Calibri"/>
                <w:sz w:val="20"/>
                <w:szCs w:val="20"/>
              </w:rPr>
              <w:t>5%</w:t>
            </w:r>
          </w:p>
        </w:tc>
      </w:tr>
      <w:tr w:rsidR="00216206" w:rsidRPr="00225339" w14:paraId="585C02A5" w14:textId="77777777" w:rsidTr="00293C95">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2449" w:type="dxa"/>
          </w:tcPr>
          <w:p w14:paraId="4EAA36F0" w14:textId="77777777" w:rsidR="004E04E1" w:rsidRPr="00293C95" w:rsidRDefault="004E04E1" w:rsidP="00816CFC">
            <w:pPr>
              <w:pStyle w:val="BodyText"/>
              <w:rPr>
                <w:rFonts w:ascii="Calibri" w:hAnsi="Calibri" w:cs="Calibri"/>
                <w:sz w:val="20"/>
                <w:szCs w:val="20"/>
              </w:rPr>
            </w:pPr>
            <w:r w:rsidRPr="00293C95">
              <w:rPr>
                <w:rFonts w:ascii="Calibri" w:hAnsi="Calibri" w:cs="Calibri"/>
                <w:sz w:val="20"/>
                <w:szCs w:val="20"/>
              </w:rPr>
              <w:t>England</w:t>
            </w:r>
          </w:p>
        </w:tc>
        <w:tc>
          <w:tcPr>
            <w:tcW w:w="1827" w:type="dxa"/>
          </w:tcPr>
          <w:p w14:paraId="730A67FB" w14:textId="77777777" w:rsidR="004E04E1" w:rsidRPr="00293C95" w:rsidRDefault="004E04E1" w:rsidP="00816CFC">
            <w:pPr>
              <w:pStyle w:val="BodyTex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93C95">
              <w:rPr>
                <w:rFonts w:ascii="Calibri" w:hAnsi="Calibri" w:cs="Calibri"/>
                <w:sz w:val="20"/>
                <w:szCs w:val="20"/>
              </w:rPr>
              <w:t>24%</w:t>
            </w:r>
          </w:p>
        </w:tc>
        <w:tc>
          <w:tcPr>
            <w:tcW w:w="1343" w:type="dxa"/>
          </w:tcPr>
          <w:p w14:paraId="7143FD5E" w14:textId="77777777" w:rsidR="004E04E1" w:rsidRPr="00293C95" w:rsidRDefault="004E04E1" w:rsidP="00816CFC">
            <w:pPr>
              <w:pStyle w:val="BodyTex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93C95">
              <w:rPr>
                <w:rFonts w:ascii="Calibri" w:hAnsi="Calibri" w:cs="Calibri"/>
                <w:sz w:val="20"/>
                <w:szCs w:val="20"/>
              </w:rPr>
              <w:t>4%</w:t>
            </w:r>
          </w:p>
        </w:tc>
      </w:tr>
    </w:tbl>
    <w:p w14:paraId="5BD88F99" w14:textId="61FABED7" w:rsidR="004E04E1" w:rsidRPr="002A3479" w:rsidRDefault="004E04E1" w:rsidP="002A3479">
      <w:pPr>
        <w:jc w:val="right"/>
        <w:rPr>
          <w:b/>
          <w:bCs/>
          <w:sz w:val="18"/>
          <w:szCs w:val="18"/>
        </w:rPr>
      </w:pPr>
      <w:r w:rsidRPr="00973B12">
        <w:rPr>
          <w:b/>
          <w:bCs/>
          <w:w w:val="105"/>
          <w:sz w:val="18"/>
          <w:szCs w:val="18"/>
        </w:rPr>
        <w:t>Source:</w:t>
      </w:r>
      <w:r w:rsidRPr="00973B12">
        <w:rPr>
          <w:b/>
          <w:bCs/>
          <w:spacing w:val="1"/>
          <w:w w:val="105"/>
          <w:sz w:val="18"/>
          <w:szCs w:val="18"/>
        </w:rPr>
        <w:t xml:space="preserve"> </w:t>
      </w:r>
      <w:r w:rsidRPr="00973B12">
        <w:rPr>
          <w:b/>
          <w:bCs/>
          <w:w w:val="105"/>
          <w:sz w:val="18"/>
          <w:szCs w:val="18"/>
        </w:rPr>
        <w:t>SEND</w:t>
      </w:r>
      <w:r w:rsidRPr="00973B12">
        <w:rPr>
          <w:b/>
          <w:bCs/>
          <w:spacing w:val="1"/>
          <w:w w:val="105"/>
          <w:sz w:val="18"/>
          <w:szCs w:val="18"/>
        </w:rPr>
        <w:t xml:space="preserve"> </w:t>
      </w:r>
      <w:r w:rsidRPr="00973B12">
        <w:rPr>
          <w:b/>
          <w:bCs/>
          <w:w w:val="105"/>
          <w:sz w:val="18"/>
          <w:szCs w:val="18"/>
        </w:rPr>
        <w:t>Analysis Dashboard,</w:t>
      </w:r>
      <w:r w:rsidRPr="00973B12">
        <w:rPr>
          <w:b/>
          <w:bCs/>
          <w:spacing w:val="1"/>
          <w:w w:val="105"/>
          <w:sz w:val="18"/>
          <w:szCs w:val="18"/>
        </w:rPr>
        <w:t xml:space="preserve"> </w:t>
      </w:r>
      <w:r w:rsidRPr="00973B12">
        <w:rPr>
          <w:b/>
          <w:bCs/>
          <w:spacing w:val="-4"/>
          <w:w w:val="105"/>
          <w:sz w:val="18"/>
          <w:szCs w:val="18"/>
        </w:rPr>
        <w:t>2024</w:t>
      </w:r>
    </w:p>
    <w:p w14:paraId="3DAC78FE" w14:textId="77777777" w:rsidR="00E35CA6" w:rsidRPr="00763568" w:rsidRDefault="00E35CA6" w:rsidP="00293C95">
      <w:pPr>
        <w:pStyle w:val="Heading4"/>
      </w:pPr>
      <w:bookmarkStart w:id="75" w:name="_Toc205386881"/>
      <w:bookmarkStart w:id="76" w:name="_Toc205387951"/>
      <w:bookmarkStart w:id="77" w:name="_Toc205445962"/>
      <w:r w:rsidRPr="00763568">
        <w:t>Impact of COVID-19</w:t>
      </w:r>
    </w:p>
    <w:p w14:paraId="1CAA6BB6" w14:textId="77777777" w:rsidR="00E35CA6" w:rsidRPr="003C640C" w:rsidRDefault="00E35CA6" w:rsidP="00E35CA6">
      <w:pPr>
        <w:rPr>
          <w:w w:val="105"/>
        </w:rPr>
      </w:pPr>
      <w:r w:rsidRPr="003C640C">
        <w:rPr>
          <w:w w:val="105"/>
        </w:rPr>
        <w:t>It is important to note that some educational outcomes, particularly at Early Years Foundation Stage (EYFS), reflect the ongoing impact of the COVID-19 pandemic</w:t>
      </w:r>
      <w:r>
        <w:rPr>
          <w:w w:val="105"/>
        </w:rPr>
        <w:t xml:space="preserve">. </w:t>
      </w:r>
      <w:r w:rsidRPr="003C640C">
        <w:rPr>
          <w:w w:val="105"/>
        </w:rPr>
        <w:t xml:space="preserve">In 2022, </w:t>
      </w:r>
      <w:r w:rsidRPr="00D7509B">
        <w:rPr>
          <w:w w:val="105"/>
        </w:rPr>
        <w:t>0% of children with an EHCP and 18% of children with</w:t>
      </w:r>
      <w:r w:rsidRPr="003C640C">
        <w:rPr>
          <w:w w:val="105"/>
        </w:rPr>
        <w:t xml:space="preserve"> SEN Support achieved a Good Level of Development in the EYFS, compared to national averages of 4% and 23% respectively. These figures suggest significant disruption to early childhood development and learning due to pandemic restrictions.</w:t>
      </w:r>
    </w:p>
    <w:p w14:paraId="1E09BB2C" w14:textId="77777777" w:rsidR="004E04E1" w:rsidRPr="00713B3D" w:rsidRDefault="004E04E1" w:rsidP="00225339">
      <w:pPr>
        <w:pStyle w:val="Heading3"/>
        <w:rPr>
          <w:color w:val="006B70"/>
        </w:rPr>
      </w:pPr>
      <w:r w:rsidRPr="00713B3D">
        <w:rPr>
          <w:color w:val="006B70"/>
        </w:rPr>
        <w:lastRenderedPageBreak/>
        <w:t>School Age</w:t>
      </w:r>
      <w:bookmarkEnd w:id="75"/>
      <w:bookmarkEnd w:id="76"/>
      <w:bookmarkEnd w:id="77"/>
    </w:p>
    <w:p w14:paraId="765E519C" w14:textId="25AD4D86" w:rsidR="004E04E1" w:rsidRPr="001F5D30" w:rsidRDefault="004E04E1" w:rsidP="00225339">
      <w:r w:rsidRPr="001F5D30">
        <w:t>Education</w:t>
      </w:r>
      <w:r w:rsidR="00EC7467">
        <w:t>al</w:t>
      </w:r>
      <w:r w:rsidRPr="001F5D30">
        <w:t xml:space="preserve"> settings play a vital role in the development and well-being of children with SEND. They provide tailored support, inclusive environments, and access to specialist resources that help children thrive both academically and socially.</w:t>
      </w:r>
    </w:p>
    <w:p w14:paraId="1B6DCA94" w14:textId="77777777" w:rsidR="004E04E1" w:rsidRPr="00D7509B" w:rsidRDefault="004E04E1" w:rsidP="00225339">
      <w:r w:rsidRPr="001F5D30">
        <w:t xml:space="preserve">In </w:t>
      </w:r>
      <w:r w:rsidRPr="00D7509B">
        <w:t>Tower Hamlets, 90.3% of pupils with SEND attend mainstream schools, while 9.1% are supported in the borough’s five special schools. Overall, Tower Hamlets’ schools are highly successful, with 97% rated good or better by Ofsted.</w:t>
      </w:r>
    </w:p>
    <w:p w14:paraId="5E0161D0" w14:textId="6BFAF269" w:rsidR="004E04E1" w:rsidRPr="00D7509B" w:rsidRDefault="004E04E1" w:rsidP="00225339">
      <w:r w:rsidRPr="00D7509B">
        <w:t xml:space="preserve">Tower Hamlets has the highest proportion of pupils with an EHCP in England. By 2024, 6.8% of all pupils across school phases held an EHCP. This reflects </w:t>
      </w:r>
      <w:r w:rsidR="00F27A8C">
        <w:t xml:space="preserve">a </w:t>
      </w:r>
      <w:r w:rsidRPr="00D7509B">
        <w:t>sustained increase</w:t>
      </w:r>
      <w:r w:rsidR="00B70979">
        <w:t xml:space="preserve"> from 2021</w:t>
      </w:r>
      <w:r w:rsidRPr="00D7509B">
        <w:t xml:space="preserve"> in the proportion of mainstream primary and secondary pupils requiring significant support</w:t>
      </w:r>
      <w:r w:rsidR="00D01B0E" w:rsidRPr="00D01B0E">
        <w:rPr>
          <w:vertAlign w:val="superscript"/>
        </w:rPr>
        <w:fldChar w:fldCharType="begin"/>
      </w:r>
      <w:r w:rsidR="00D01B0E" w:rsidRPr="00D01B0E">
        <w:rPr>
          <w:vertAlign w:val="superscript"/>
        </w:rPr>
        <w:instrText xml:space="preserve"> NOTEREF _Ref204583153 \h </w:instrText>
      </w:r>
      <w:r w:rsidR="00D01B0E">
        <w:rPr>
          <w:vertAlign w:val="superscript"/>
        </w:rPr>
        <w:instrText xml:space="preserve"> \* MERGEFORMAT </w:instrText>
      </w:r>
      <w:r w:rsidR="00D01B0E" w:rsidRPr="00D01B0E">
        <w:rPr>
          <w:vertAlign w:val="superscript"/>
        </w:rPr>
      </w:r>
      <w:r w:rsidR="00D01B0E" w:rsidRPr="00D01B0E">
        <w:rPr>
          <w:vertAlign w:val="superscript"/>
        </w:rPr>
        <w:fldChar w:fldCharType="separate"/>
      </w:r>
      <w:r w:rsidR="008722C4">
        <w:rPr>
          <w:vertAlign w:val="superscript"/>
        </w:rPr>
        <w:t>4</w:t>
      </w:r>
      <w:r w:rsidR="00D01B0E" w:rsidRPr="00D01B0E">
        <w:rPr>
          <w:vertAlign w:val="superscript"/>
        </w:rPr>
        <w:fldChar w:fldCharType="end"/>
      </w:r>
      <w:r w:rsidR="002D3A14" w:rsidRPr="002D3A14">
        <w:t>.</w:t>
      </w:r>
    </w:p>
    <w:p w14:paraId="34F1E1F2" w14:textId="77777777" w:rsidR="004E04E1" w:rsidRPr="00C97599" w:rsidRDefault="004E04E1" w:rsidP="00F469F9">
      <w:pPr>
        <w:pStyle w:val="Heading5"/>
      </w:pPr>
      <w:r w:rsidRPr="00C97599">
        <w:t>Primary needs among pupils with SEND</w:t>
      </w:r>
    </w:p>
    <w:p w14:paraId="3E75CE9D" w14:textId="4DA2D2EE" w:rsidR="004E04E1" w:rsidRDefault="002F14D9" w:rsidP="00225339">
      <w:r w:rsidRPr="002F14D9">
        <w:t xml:space="preserve"> Speech, language and communication needs and </w:t>
      </w:r>
      <w:r w:rsidR="0015232F">
        <w:t>ASD</w:t>
      </w:r>
      <w:r w:rsidRPr="002F14D9">
        <w:t xml:space="preserve"> are the two most common primary needs among pupils with SEND. The January 2024 School Census shows that in the primary phase ASD accounted for 40% and SLCN 37%, while in the secondary phase SLCN accounted for 39% and ASD 22%.</w:t>
      </w:r>
    </w:p>
    <w:p w14:paraId="488444BC" w14:textId="77777777" w:rsidR="004E04E1" w:rsidRDefault="004E04E1" w:rsidP="00225339">
      <w:r>
        <w:t>A breakdown by primary and secondary school years is presented below.</w:t>
      </w:r>
    </w:p>
    <w:p w14:paraId="154DC920" w14:textId="30E402F2" w:rsidR="004E04E1" w:rsidRPr="004D3700" w:rsidRDefault="004E04E1" w:rsidP="00225339">
      <w:pPr>
        <w:rPr>
          <w:b/>
          <w:bCs/>
          <w:sz w:val="18"/>
          <w:szCs w:val="18"/>
        </w:rPr>
      </w:pPr>
      <w:r w:rsidRPr="004D3700">
        <w:rPr>
          <w:b/>
          <w:bCs/>
          <w:sz w:val="18"/>
          <w:szCs w:val="18"/>
        </w:rPr>
        <w:t xml:space="preserve">Table </w:t>
      </w:r>
      <w:r w:rsidR="00294DC8">
        <w:rPr>
          <w:b/>
          <w:bCs/>
          <w:sz w:val="18"/>
          <w:szCs w:val="18"/>
        </w:rPr>
        <w:t>4.3</w:t>
      </w:r>
      <w:r w:rsidR="004D3700" w:rsidRPr="004D3700">
        <w:rPr>
          <w:b/>
          <w:bCs/>
          <w:sz w:val="18"/>
          <w:szCs w:val="18"/>
        </w:rPr>
        <w:t>:</w:t>
      </w:r>
      <w:r w:rsidRPr="004D3700">
        <w:rPr>
          <w:b/>
          <w:bCs/>
          <w:sz w:val="18"/>
          <w:szCs w:val="18"/>
        </w:rPr>
        <w:t xml:space="preserve"> </w:t>
      </w:r>
      <w:r w:rsidR="00647444" w:rsidRPr="00647444">
        <w:rPr>
          <w:b/>
          <w:bCs/>
          <w:sz w:val="18"/>
          <w:szCs w:val="18"/>
        </w:rPr>
        <w:t>Percentage of pupils with an EHCP by primary type of need, Tower Hamlets primary and secondary schools, 2023/24</w:t>
      </w:r>
      <w:r w:rsidRPr="004D3700">
        <w:rPr>
          <w:b/>
          <w:bCs/>
          <w:sz w:val="18"/>
          <w:szCs w:val="18"/>
        </w:rPr>
        <w:t>.</w:t>
      </w:r>
    </w:p>
    <w:tbl>
      <w:tblPr>
        <w:tblStyle w:val="ListTable3-Accent1"/>
        <w:tblW w:w="9054" w:type="dxa"/>
        <w:tblLayout w:type="fixed"/>
        <w:tblLook w:val="04A0" w:firstRow="1" w:lastRow="0" w:firstColumn="1" w:lastColumn="0" w:noHBand="0" w:noVBand="1"/>
      </w:tblPr>
      <w:tblGrid>
        <w:gridCol w:w="3018"/>
        <w:gridCol w:w="3018"/>
        <w:gridCol w:w="3018"/>
      </w:tblGrid>
      <w:tr w:rsidR="00E838FF" w:rsidRPr="009B07CA" w14:paraId="16359C13" w14:textId="77777777" w:rsidTr="00293C95">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0" w:type="dxa"/>
          </w:tcPr>
          <w:p w14:paraId="64298885" w14:textId="77777777" w:rsidR="004E04E1" w:rsidRPr="00293C95" w:rsidRDefault="004E04E1" w:rsidP="00446CCE">
            <w:pPr>
              <w:spacing w:before="0" w:line="240" w:lineRule="auto"/>
              <w:ind w:left="73"/>
              <w:jc w:val="left"/>
              <w:rPr>
                <w:b w:val="0"/>
                <w:color w:val="FFFFFF"/>
                <w:sz w:val="20"/>
                <w:szCs w:val="20"/>
              </w:rPr>
            </w:pPr>
            <w:r w:rsidRPr="00293C95">
              <w:rPr>
                <w:color w:val="FFFFFF"/>
                <w:sz w:val="20"/>
                <w:szCs w:val="20"/>
              </w:rPr>
              <w:t>EHCP Pupils</w:t>
            </w:r>
          </w:p>
        </w:tc>
        <w:tc>
          <w:tcPr>
            <w:tcW w:w="0" w:type="dxa"/>
          </w:tcPr>
          <w:p w14:paraId="2867437D" w14:textId="77777777" w:rsidR="004E04E1" w:rsidRPr="00293C95" w:rsidRDefault="004E04E1" w:rsidP="00446CCE">
            <w:pPr>
              <w:spacing w:before="0" w:line="240" w:lineRule="auto"/>
              <w:ind w:left="73" w:firstLine="1"/>
              <w:jc w:val="left"/>
              <w:cnfStyle w:val="100000000000" w:firstRow="1" w:lastRow="0" w:firstColumn="0" w:lastColumn="0" w:oddVBand="0" w:evenVBand="0" w:oddHBand="0" w:evenHBand="0" w:firstRowFirstColumn="0" w:firstRowLastColumn="0" w:lastRowFirstColumn="0" w:lastRowLastColumn="0"/>
              <w:rPr>
                <w:b w:val="0"/>
                <w:color w:val="FFFFFF"/>
                <w:sz w:val="20"/>
                <w:szCs w:val="20"/>
              </w:rPr>
            </w:pPr>
            <w:r w:rsidRPr="00293C95">
              <w:rPr>
                <w:color w:val="FFFFFF"/>
                <w:sz w:val="20"/>
                <w:szCs w:val="20"/>
              </w:rPr>
              <w:t>Primary</w:t>
            </w:r>
          </w:p>
        </w:tc>
        <w:tc>
          <w:tcPr>
            <w:tcW w:w="0" w:type="dxa"/>
            <w:noWrap/>
            <w:hideMark/>
          </w:tcPr>
          <w:p w14:paraId="1C94DED7" w14:textId="77777777" w:rsidR="004E04E1" w:rsidRPr="00293C95" w:rsidRDefault="004E04E1" w:rsidP="00446CCE">
            <w:pPr>
              <w:spacing w:before="0" w:line="240" w:lineRule="auto"/>
              <w:ind w:left="73" w:hanging="3"/>
              <w:jc w:val="left"/>
              <w:cnfStyle w:val="100000000000" w:firstRow="1" w:lastRow="0" w:firstColumn="0" w:lastColumn="0" w:oddVBand="0" w:evenVBand="0" w:oddHBand="0" w:evenHBand="0" w:firstRowFirstColumn="0" w:firstRowLastColumn="0" w:lastRowFirstColumn="0" w:lastRowLastColumn="0"/>
              <w:rPr>
                <w:b w:val="0"/>
                <w:color w:val="FFFFFF"/>
                <w:sz w:val="20"/>
                <w:szCs w:val="20"/>
              </w:rPr>
            </w:pPr>
            <w:r w:rsidRPr="00293C95">
              <w:rPr>
                <w:color w:val="FFFFFF"/>
                <w:sz w:val="20"/>
                <w:szCs w:val="20"/>
              </w:rPr>
              <w:t>Secondary</w:t>
            </w:r>
          </w:p>
        </w:tc>
      </w:tr>
      <w:tr w:rsidR="00E838FF" w:rsidRPr="009B07CA" w14:paraId="64B8E400" w14:textId="77777777" w:rsidTr="00293C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tcPr>
          <w:p w14:paraId="21B140B3" w14:textId="77777777" w:rsidR="004E04E1" w:rsidRPr="00293C95" w:rsidRDefault="004E04E1" w:rsidP="00446CCE">
            <w:pPr>
              <w:spacing w:before="0" w:line="240" w:lineRule="auto"/>
              <w:ind w:left="73"/>
              <w:jc w:val="left"/>
              <w:rPr>
                <w:sz w:val="20"/>
                <w:szCs w:val="20"/>
              </w:rPr>
            </w:pPr>
            <w:r w:rsidRPr="00293C95">
              <w:rPr>
                <w:sz w:val="20"/>
                <w:szCs w:val="20"/>
              </w:rPr>
              <w:t>Not Recorded</w:t>
            </w:r>
          </w:p>
        </w:tc>
        <w:tc>
          <w:tcPr>
            <w:tcW w:w="0" w:type="dxa"/>
          </w:tcPr>
          <w:p w14:paraId="280BC48F" w14:textId="77777777" w:rsidR="004E04E1" w:rsidRPr="00293C95" w:rsidRDefault="004E04E1" w:rsidP="00446CCE">
            <w:pPr>
              <w:spacing w:before="0" w:line="240" w:lineRule="auto"/>
              <w:ind w:left="74" w:firstLine="1"/>
              <w:jc w:val="left"/>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0%</w:t>
            </w:r>
          </w:p>
        </w:tc>
        <w:tc>
          <w:tcPr>
            <w:tcW w:w="0" w:type="dxa"/>
            <w:noWrap/>
            <w:hideMark/>
          </w:tcPr>
          <w:p w14:paraId="668057E5" w14:textId="77777777" w:rsidR="004E04E1" w:rsidRPr="00293C95" w:rsidRDefault="004E04E1" w:rsidP="00446CCE">
            <w:pPr>
              <w:spacing w:before="0" w:line="240" w:lineRule="auto"/>
              <w:ind w:left="71"/>
              <w:jc w:val="left"/>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0%</w:t>
            </w:r>
          </w:p>
        </w:tc>
      </w:tr>
      <w:tr w:rsidR="004E04E1" w:rsidRPr="009B07CA" w14:paraId="132BB6D5" w14:textId="77777777" w:rsidTr="00293C95">
        <w:trPr>
          <w:trHeight w:val="291"/>
        </w:trPr>
        <w:tc>
          <w:tcPr>
            <w:cnfStyle w:val="001000000000" w:firstRow="0" w:lastRow="0" w:firstColumn="1" w:lastColumn="0" w:oddVBand="0" w:evenVBand="0" w:oddHBand="0" w:evenHBand="0" w:firstRowFirstColumn="0" w:firstRowLastColumn="0" w:lastRowFirstColumn="0" w:lastRowLastColumn="0"/>
            <w:tcW w:w="0" w:type="dxa"/>
          </w:tcPr>
          <w:p w14:paraId="240FBEDA" w14:textId="77777777" w:rsidR="004E04E1" w:rsidRPr="00293C95" w:rsidRDefault="004E04E1" w:rsidP="00446CCE">
            <w:pPr>
              <w:spacing w:before="0" w:line="240" w:lineRule="auto"/>
              <w:ind w:left="73"/>
              <w:jc w:val="left"/>
              <w:rPr>
                <w:sz w:val="20"/>
                <w:szCs w:val="20"/>
              </w:rPr>
            </w:pPr>
            <w:r w:rsidRPr="00293C95">
              <w:rPr>
                <w:sz w:val="20"/>
                <w:szCs w:val="20"/>
              </w:rPr>
              <w:t>Autistic spectrum disorder</w:t>
            </w:r>
          </w:p>
        </w:tc>
        <w:tc>
          <w:tcPr>
            <w:tcW w:w="0" w:type="dxa"/>
          </w:tcPr>
          <w:p w14:paraId="0B19656D" w14:textId="77777777" w:rsidR="004E04E1" w:rsidRPr="00293C95" w:rsidRDefault="004E04E1" w:rsidP="00446CCE">
            <w:pPr>
              <w:spacing w:before="0" w:line="240" w:lineRule="auto"/>
              <w:ind w:left="74"/>
              <w:jc w:val="left"/>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40%</w:t>
            </w:r>
          </w:p>
        </w:tc>
        <w:tc>
          <w:tcPr>
            <w:tcW w:w="0" w:type="dxa"/>
            <w:noWrap/>
            <w:hideMark/>
          </w:tcPr>
          <w:p w14:paraId="6854AADC" w14:textId="77777777" w:rsidR="004E04E1" w:rsidRPr="00293C95" w:rsidRDefault="004E04E1" w:rsidP="00446CCE">
            <w:pPr>
              <w:spacing w:before="0" w:line="240" w:lineRule="auto"/>
              <w:ind w:left="71"/>
              <w:jc w:val="left"/>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22%</w:t>
            </w:r>
          </w:p>
        </w:tc>
      </w:tr>
      <w:tr w:rsidR="00E838FF" w:rsidRPr="009B07CA" w14:paraId="0F451E97" w14:textId="77777777" w:rsidTr="00293C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tcPr>
          <w:p w14:paraId="0F11B4FE" w14:textId="77777777" w:rsidR="004E04E1" w:rsidRPr="00293C95" w:rsidRDefault="004E04E1" w:rsidP="00446CCE">
            <w:pPr>
              <w:spacing w:before="0" w:line="240" w:lineRule="auto"/>
              <w:ind w:left="73"/>
              <w:jc w:val="left"/>
              <w:rPr>
                <w:sz w:val="20"/>
                <w:szCs w:val="20"/>
              </w:rPr>
            </w:pPr>
            <w:r w:rsidRPr="00293C95">
              <w:rPr>
                <w:sz w:val="20"/>
                <w:szCs w:val="20"/>
              </w:rPr>
              <w:t>Hearing impairment</w:t>
            </w:r>
          </w:p>
        </w:tc>
        <w:tc>
          <w:tcPr>
            <w:tcW w:w="0" w:type="dxa"/>
          </w:tcPr>
          <w:p w14:paraId="35591CD0" w14:textId="77777777" w:rsidR="004E04E1" w:rsidRPr="00293C95" w:rsidRDefault="004E04E1" w:rsidP="00446CCE">
            <w:pPr>
              <w:spacing w:before="0" w:line="240" w:lineRule="auto"/>
              <w:ind w:left="74"/>
              <w:jc w:val="left"/>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4%</w:t>
            </w:r>
          </w:p>
        </w:tc>
        <w:tc>
          <w:tcPr>
            <w:tcW w:w="0" w:type="dxa"/>
            <w:noWrap/>
            <w:hideMark/>
          </w:tcPr>
          <w:p w14:paraId="36B3154E" w14:textId="77777777" w:rsidR="004E04E1" w:rsidRPr="00293C95" w:rsidRDefault="004E04E1" w:rsidP="00446CCE">
            <w:pPr>
              <w:spacing w:before="0" w:line="240" w:lineRule="auto"/>
              <w:ind w:left="71"/>
              <w:jc w:val="left"/>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2%</w:t>
            </w:r>
          </w:p>
        </w:tc>
      </w:tr>
      <w:tr w:rsidR="004E04E1" w:rsidRPr="009B07CA" w14:paraId="46BE5372" w14:textId="77777777" w:rsidTr="00293C95">
        <w:trPr>
          <w:trHeight w:val="291"/>
        </w:trPr>
        <w:tc>
          <w:tcPr>
            <w:cnfStyle w:val="001000000000" w:firstRow="0" w:lastRow="0" w:firstColumn="1" w:lastColumn="0" w:oddVBand="0" w:evenVBand="0" w:oddHBand="0" w:evenHBand="0" w:firstRowFirstColumn="0" w:firstRowLastColumn="0" w:lastRowFirstColumn="0" w:lastRowLastColumn="0"/>
            <w:tcW w:w="0" w:type="dxa"/>
          </w:tcPr>
          <w:p w14:paraId="69B344BE" w14:textId="77777777" w:rsidR="004E04E1" w:rsidRPr="00293C95" w:rsidRDefault="004E04E1" w:rsidP="00446CCE">
            <w:pPr>
              <w:spacing w:before="0" w:line="240" w:lineRule="auto"/>
              <w:ind w:left="73"/>
              <w:jc w:val="left"/>
              <w:rPr>
                <w:sz w:val="20"/>
                <w:szCs w:val="20"/>
              </w:rPr>
            </w:pPr>
            <w:r w:rsidRPr="00293C95">
              <w:rPr>
                <w:sz w:val="20"/>
                <w:szCs w:val="20"/>
              </w:rPr>
              <w:t>Moderate learning difficulty</w:t>
            </w:r>
          </w:p>
        </w:tc>
        <w:tc>
          <w:tcPr>
            <w:tcW w:w="0" w:type="dxa"/>
          </w:tcPr>
          <w:p w14:paraId="1D612E94" w14:textId="77777777" w:rsidR="004E04E1" w:rsidRPr="00293C95" w:rsidRDefault="004E04E1" w:rsidP="00446CCE">
            <w:pPr>
              <w:spacing w:before="0" w:line="240" w:lineRule="auto"/>
              <w:ind w:left="74"/>
              <w:jc w:val="left"/>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4%</w:t>
            </w:r>
          </w:p>
        </w:tc>
        <w:tc>
          <w:tcPr>
            <w:tcW w:w="0" w:type="dxa"/>
            <w:noWrap/>
            <w:hideMark/>
          </w:tcPr>
          <w:p w14:paraId="3444996A" w14:textId="77777777" w:rsidR="004E04E1" w:rsidRPr="00293C95" w:rsidRDefault="004E04E1" w:rsidP="00446CCE">
            <w:pPr>
              <w:spacing w:before="0" w:line="240" w:lineRule="auto"/>
              <w:ind w:left="71"/>
              <w:jc w:val="left"/>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6%</w:t>
            </w:r>
          </w:p>
        </w:tc>
      </w:tr>
      <w:tr w:rsidR="00E838FF" w:rsidRPr="009B07CA" w14:paraId="5DA715B0" w14:textId="77777777" w:rsidTr="00293C95">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0" w:type="dxa"/>
          </w:tcPr>
          <w:p w14:paraId="0E941163" w14:textId="77777777" w:rsidR="004E04E1" w:rsidRPr="00293C95" w:rsidRDefault="004E04E1" w:rsidP="00446CCE">
            <w:pPr>
              <w:spacing w:before="0" w:line="240" w:lineRule="auto"/>
              <w:ind w:left="73"/>
              <w:jc w:val="left"/>
              <w:rPr>
                <w:sz w:val="20"/>
                <w:szCs w:val="20"/>
              </w:rPr>
            </w:pPr>
            <w:r w:rsidRPr="00293C95">
              <w:rPr>
                <w:sz w:val="20"/>
                <w:szCs w:val="20"/>
              </w:rPr>
              <w:t>Multi-sensory impairment</w:t>
            </w:r>
          </w:p>
        </w:tc>
        <w:tc>
          <w:tcPr>
            <w:tcW w:w="0" w:type="dxa"/>
          </w:tcPr>
          <w:p w14:paraId="616BB5B1" w14:textId="77777777" w:rsidR="004E04E1" w:rsidRPr="00293C95" w:rsidRDefault="004E04E1" w:rsidP="00446CCE">
            <w:pPr>
              <w:spacing w:before="0" w:line="240" w:lineRule="auto"/>
              <w:ind w:left="74"/>
              <w:jc w:val="left"/>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0%</w:t>
            </w:r>
          </w:p>
        </w:tc>
        <w:tc>
          <w:tcPr>
            <w:tcW w:w="0" w:type="dxa"/>
            <w:noWrap/>
            <w:hideMark/>
          </w:tcPr>
          <w:p w14:paraId="7C262003" w14:textId="77777777" w:rsidR="004E04E1" w:rsidRPr="00293C95" w:rsidRDefault="004E04E1" w:rsidP="00446CCE">
            <w:pPr>
              <w:spacing w:before="0" w:line="240" w:lineRule="auto"/>
              <w:ind w:left="71"/>
              <w:jc w:val="left"/>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0%</w:t>
            </w:r>
          </w:p>
        </w:tc>
      </w:tr>
      <w:tr w:rsidR="004E04E1" w:rsidRPr="009B07CA" w14:paraId="3CCB37AE" w14:textId="77777777" w:rsidTr="00293C95">
        <w:trPr>
          <w:trHeight w:val="291"/>
        </w:trPr>
        <w:tc>
          <w:tcPr>
            <w:cnfStyle w:val="001000000000" w:firstRow="0" w:lastRow="0" w:firstColumn="1" w:lastColumn="0" w:oddVBand="0" w:evenVBand="0" w:oddHBand="0" w:evenHBand="0" w:firstRowFirstColumn="0" w:firstRowLastColumn="0" w:lastRowFirstColumn="0" w:lastRowLastColumn="0"/>
            <w:tcW w:w="0" w:type="dxa"/>
          </w:tcPr>
          <w:p w14:paraId="6DF7F1DA" w14:textId="77777777" w:rsidR="004E04E1" w:rsidRPr="00293C95" w:rsidRDefault="004E04E1" w:rsidP="00446CCE">
            <w:pPr>
              <w:spacing w:before="0" w:line="240" w:lineRule="auto"/>
              <w:ind w:left="73"/>
              <w:jc w:val="left"/>
              <w:rPr>
                <w:sz w:val="20"/>
                <w:szCs w:val="20"/>
              </w:rPr>
            </w:pPr>
            <w:r w:rsidRPr="00293C95">
              <w:rPr>
                <w:sz w:val="20"/>
                <w:szCs w:val="20"/>
              </w:rPr>
              <w:t>Other difficulty</w:t>
            </w:r>
          </w:p>
        </w:tc>
        <w:tc>
          <w:tcPr>
            <w:tcW w:w="0" w:type="dxa"/>
          </w:tcPr>
          <w:p w14:paraId="5C062E22" w14:textId="77777777" w:rsidR="004E04E1" w:rsidRPr="00293C95" w:rsidRDefault="004E04E1" w:rsidP="00446CCE">
            <w:pPr>
              <w:spacing w:before="0" w:line="240" w:lineRule="auto"/>
              <w:ind w:left="74"/>
              <w:jc w:val="left"/>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2%</w:t>
            </w:r>
          </w:p>
        </w:tc>
        <w:tc>
          <w:tcPr>
            <w:tcW w:w="0" w:type="dxa"/>
            <w:noWrap/>
            <w:hideMark/>
          </w:tcPr>
          <w:p w14:paraId="7424A497" w14:textId="77777777" w:rsidR="004E04E1" w:rsidRPr="00293C95" w:rsidRDefault="004E04E1" w:rsidP="00446CCE">
            <w:pPr>
              <w:spacing w:before="0" w:line="240" w:lineRule="auto"/>
              <w:ind w:left="71"/>
              <w:jc w:val="left"/>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2%</w:t>
            </w:r>
          </w:p>
        </w:tc>
      </w:tr>
      <w:tr w:rsidR="00E838FF" w:rsidRPr="009B07CA" w14:paraId="0489BB45" w14:textId="77777777" w:rsidTr="00293C95">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0" w:type="dxa"/>
          </w:tcPr>
          <w:p w14:paraId="5B23EDBE" w14:textId="77777777" w:rsidR="004E04E1" w:rsidRPr="00293C95" w:rsidRDefault="004E04E1" w:rsidP="00446CCE">
            <w:pPr>
              <w:spacing w:before="0" w:line="240" w:lineRule="auto"/>
              <w:ind w:left="73"/>
              <w:jc w:val="left"/>
              <w:rPr>
                <w:sz w:val="20"/>
                <w:szCs w:val="20"/>
              </w:rPr>
            </w:pPr>
            <w:r w:rsidRPr="00293C95">
              <w:rPr>
                <w:sz w:val="20"/>
                <w:szCs w:val="20"/>
              </w:rPr>
              <w:t>Physical disability</w:t>
            </w:r>
          </w:p>
        </w:tc>
        <w:tc>
          <w:tcPr>
            <w:tcW w:w="0" w:type="dxa"/>
          </w:tcPr>
          <w:p w14:paraId="0C648292" w14:textId="77777777" w:rsidR="004E04E1" w:rsidRPr="00293C95" w:rsidRDefault="004E04E1" w:rsidP="00446CCE">
            <w:pPr>
              <w:spacing w:before="0" w:line="240" w:lineRule="auto"/>
              <w:ind w:left="74"/>
              <w:jc w:val="left"/>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3%</w:t>
            </w:r>
          </w:p>
        </w:tc>
        <w:tc>
          <w:tcPr>
            <w:tcW w:w="0" w:type="dxa"/>
            <w:noWrap/>
            <w:hideMark/>
          </w:tcPr>
          <w:p w14:paraId="06F1C7C6" w14:textId="77777777" w:rsidR="004E04E1" w:rsidRPr="00293C95" w:rsidRDefault="004E04E1" w:rsidP="00446CCE">
            <w:pPr>
              <w:spacing w:before="0" w:line="240" w:lineRule="auto"/>
              <w:ind w:left="71"/>
              <w:jc w:val="left"/>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3%</w:t>
            </w:r>
          </w:p>
        </w:tc>
      </w:tr>
      <w:tr w:rsidR="004E04E1" w:rsidRPr="009B07CA" w14:paraId="4CA58FA1" w14:textId="77777777" w:rsidTr="00293C95">
        <w:trPr>
          <w:trHeight w:val="291"/>
        </w:trPr>
        <w:tc>
          <w:tcPr>
            <w:cnfStyle w:val="001000000000" w:firstRow="0" w:lastRow="0" w:firstColumn="1" w:lastColumn="0" w:oddVBand="0" w:evenVBand="0" w:oddHBand="0" w:evenHBand="0" w:firstRowFirstColumn="0" w:firstRowLastColumn="0" w:lastRowFirstColumn="0" w:lastRowLastColumn="0"/>
            <w:tcW w:w="0" w:type="dxa"/>
          </w:tcPr>
          <w:p w14:paraId="32E1EC5B" w14:textId="77777777" w:rsidR="004E04E1" w:rsidRPr="00293C95" w:rsidRDefault="004E04E1" w:rsidP="00446CCE">
            <w:pPr>
              <w:spacing w:before="0" w:line="240" w:lineRule="auto"/>
              <w:ind w:left="73"/>
              <w:jc w:val="left"/>
              <w:rPr>
                <w:sz w:val="20"/>
                <w:szCs w:val="20"/>
              </w:rPr>
            </w:pPr>
            <w:r w:rsidRPr="00293C95">
              <w:rPr>
                <w:sz w:val="20"/>
                <w:szCs w:val="20"/>
              </w:rPr>
              <w:t>Profound and multiple learning difficulty</w:t>
            </w:r>
          </w:p>
        </w:tc>
        <w:tc>
          <w:tcPr>
            <w:tcW w:w="0" w:type="dxa"/>
          </w:tcPr>
          <w:p w14:paraId="203531EE" w14:textId="77777777" w:rsidR="004E04E1" w:rsidRPr="00293C95" w:rsidRDefault="004E04E1" w:rsidP="00446CCE">
            <w:pPr>
              <w:spacing w:before="0" w:line="240" w:lineRule="auto"/>
              <w:ind w:left="74"/>
              <w:jc w:val="left"/>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1%</w:t>
            </w:r>
          </w:p>
        </w:tc>
        <w:tc>
          <w:tcPr>
            <w:tcW w:w="0" w:type="dxa"/>
            <w:noWrap/>
            <w:hideMark/>
          </w:tcPr>
          <w:p w14:paraId="33C94D41" w14:textId="77777777" w:rsidR="004E04E1" w:rsidRPr="00293C95" w:rsidRDefault="004E04E1" w:rsidP="00446CCE">
            <w:pPr>
              <w:spacing w:before="0" w:line="240" w:lineRule="auto"/>
              <w:ind w:left="71"/>
              <w:jc w:val="left"/>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1%</w:t>
            </w:r>
          </w:p>
        </w:tc>
      </w:tr>
      <w:tr w:rsidR="00E838FF" w:rsidRPr="009B07CA" w14:paraId="3034A858" w14:textId="77777777" w:rsidTr="00293C95">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0" w:type="dxa"/>
          </w:tcPr>
          <w:p w14:paraId="0683E53D" w14:textId="77777777" w:rsidR="004E04E1" w:rsidRPr="00293C95" w:rsidRDefault="004E04E1" w:rsidP="00446CCE">
            <w:pPr>
              <w:spacing w:before="0" w:line="240" w:lineRule="auto"/>
              <w:ind w:left="73"/>
              <w:jc w:val="left"/>
              <w:rPr>
                <w:sz w:val="20"/>
                <w:szCs w:val="20"/>
              </w:rPr>
            </w:pPr>
            <w:r w:rsidRPr="00293C95">
              <w:rPr>
                <w:sz w:val="20"/>
                <w:szCs w:val="20"/>
              </w:rPr>
              <w:t>Severe learning difficulty</w:t>
            </w:r>
          </w:p>
        </w:tc>
        <w:tc>
          <w:tcPr>
            <w:tcW w:w="0" w:type="dxa"/>
          </w:tcPr>
          <w:p w14:paraId="0CFE0F28" w14:textId="77777777" w:rsidR="004E04E1" w:rsidRPr="00293C95" w:rsidRDefault="004E04E1" w:rsidP="00446CCE">
            <w:pPr>
              <w:spacing w:before="0" w:line="240" w:lineRule="auto"/>
              <w:ind w:left="74"/>
              <w:jc w:val="left"/>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2%</w:t>
            </w:r>
          </w:p>
        </w:tc>
        <w:tc>
          <w:tcPr>
            <w:tcW w:w="0" w:type="dxa"/>
            <w:noWrap/>
            <w:hideMark/>
          </w:tcPr>
          <w:p w14:paraId="09983BA4" w14:textId="77777777" w:rsidR="004E04E1" w:rsidRPr="00293C95" w:rsidRDefault="004E04E1" w:rsidP="00446CCE">
            <w:pPr>
              <w:spacing w:before="0" w:line="240" w:lineRule="auto"/>
              <w:ind w:left="71"/>
              <w:jc w:val="left"/>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2%</w:t>
            </w:r>
          </w:p>
        </w:tc>
      </w:tr>
      <w:tr w:rsidR="004E04E1" w:rsidRPr="009B07CA" w14:paraId="0C685D59" w14:textId="77777777" w:rsidTr="00293C95">
        <w:trPr>
          <w:trHeight w:val="291"/>
        </w:trPr>
        <w:tc>
          <w:tcPr>
            <w:cnfStyle w:val="001000000000" w:firstRow="0" w:lastRow="0" w:firstColumn="1" w:lastColumn="0" w:oddVBand="0" w:evenVBand="0" w:oddHBand="0" w:evenHBand="0" w:firstRowFirstColumn="0" w:firstRowLastColumn="0" w:lastRowFirstColumn="0" w:lastRowLastColumn="0"/>
            <w:tcW w:w="0" w:type="dxa"/>
          </w:tcPr>
          <w:p w14:paraId="6F2B006C" w14:textId="77777777" w:rsidR="004E04E1" w:rsidRPr="00293C95" w:rsidRDefault="004E04E1" w:rsidP="00446CCE">
            <w:pPr>
              <w:spacing w:before="0" w:line="240" w:lineRule="auto"/>
              <w:ind w:left="73"/>
              <w:jc w:val="left"/>
              <w:rPr>
                <w:sz w:val="20"/>
                <w:szCs w:val="20"/>
              </w:rPr>
            </w:pPr>
            <w:r w:rsidRPr="00293C95">
              <w:rPr>
                <w:sz w:val="20"/>
                <w:szCs w:val="20"/>
              </w:rPr>
              <w:t>Social, emotional and mental health</w:t>
            </w:r>
          </w:p>
        </w:tc>
        <w:tc>
          <w:tcPr>
            <w:tcW w:w="0" w:type="dxa"/>
          </w:tcPr>
          <w:p w14:paraId="5FBC21E0" w14:textId="77777777" w:rsidR="004E04E1" w:rsidRPr="00293C95" w:rsidRDefault="004E04E1" w:rsidP="00446CCE">
            <w:pPr>
              <w:spacing w:before="0" w:line="240" w:lineRule="auto"/>
              <w:ind w:left="74"/>
              <w:jc w:val="left"/>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5%</w:t>
            </w:r>
          </w:p>
        </w:tc>
        <w:tc>
          <w:tcPr>
            <w:tcW w:w="0" w:type="dxa"/>
            <w:noWrap/>
            <w:hideMark/>
          </w:tcPr>
          <w:p w14:paraId="4F6C64EB" w14:textId="77777777" w:rsidR="004E04E1" w:rsidRPr="00293C95" w:rsidRDefault="004E04E1" w:rsidP="00446CCE">
            <w:pPr>
              <w:spacing w:before="0" w:line="240" w:lineRule="auto"/>
              <w:ind w:left="71"/>
              <w:jc w:val="left"/>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14%</w:t>
            </w:r>
          </w:p>
        </w:tc>
      </w:tr>
      <w:tr w:rsidR="00E838FF" w:rsidRPr="009B07CA" w14:paraId="5C0F541D" w14:textId="77777777" w:rsidTr="00293C95">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0" w:type="dxa"/>
          </w:tcPr>
          <w:p w14:paraId="1AD1C7DF" w14:textId="77777777" w:rsidR="004E04E1" w:rsidRPr="00293C95" w:rsidRDefault="004E04E1" w:rsidP="00446CCE">
            <w:pPr>
              <w:spacing w:before="0" w:line="240" w:lineRule="auto"/>
              <w:ind w:left="73"/>
              <w:jc w:val="left"/>
              <w:rPr>
                <w:sz w:val="20"/>
                <w:szCs w:val="20"/>
              </w:rPr>
            </w:pPr>
            <w:r w:rsidRPr="00293C95">
              <w:rPr>
                <w:sz w:val="20"/>
                <w:szCs w:val="20"/>
              </w:rPr>
              <w:t>Specific learning difficulty</w:t>
            </w:r>
          </w:p>
        </w:tc>
        <w:tc>
          <w:tcPr>
            <w:tcW w:w="0" w:type="dxa"/>
          </w:tcPr>
          <w:p w14:paraId="7CED73C0" w14:textId="77777777" w:rsidR="004E04E1" w:rsidRPr="00293C95" w:rsidRDefault="004E04E1" w:rsidP="00446CCE">
            <w:pPr>
              <w:spacing w:before="0" w:line="240" w:lineRule="auto"/>
              <w:ind w:left="74"/>
              <w:jc w:val="left"/>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2%</w:t>
            </w:r>
          </w:p>
        </w:tc>
        <w:tc>
          <w:tcPr>
            <w:tcW w:w="0" w:type="dxa"/>
            <w:noWrap/>
            <w:hideMark/>
          </w:tcPr>
          <w:p w14:paraId="3C7E805D" w14:textId="77777777" w:rsidR="004E04E1" w:rsidRPr="00293C95" w:rsidRDefault="004E04E1" w:rsidP="00446CCE">
            <w:pPr>
              <w:spacing w:before="0" w:line="240" w:lineRule="auto"/>
              <w:ind w:left="71"/>
              <w:jc w:val="left"/>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4%</w:t>
            </w:r>
          </w:p>
        </w:tc>
      </w:tr>
      <w:tr w:rsidR="004E04E1" w:rsidRPr="009B07CA" w14:paraId="136491FC" w14:textId="77777777" w:rsidTr="00293C95">
        <w:trPr>
          <w:trHeight w:val="291"/>
        </w:trPr>
        <w:tc>
          <w:tcPr>
            <w:cnfStyle w:val="001000000000" w:firstRow="0" w:lastRow="0" w:firstColumn="1" w:lastColumn="0" w:oddVBand="0" w:evenVBand="0" w:oddHBand="0" w:evenHBand="0" w:firstRowFirstColumn="0" w:firstRowLastColumn="0" w:lastRowFirstColumn="0" w:lastRowLastColumn="0"/>
            <w:tcW w:w="0" w:type="dxa"/>
          </w:tcPr>
          <w:p w14:paraId="531ABEB1" w14:textId="77777777" w:rsidR="004E04E1" w:rsidRPr="00293C95" w:rsidRDefault="004E04E1" w:rsidP="00446CCE">
            <w:pPr>
              <w:spacing w:before="0" w:line="240" w:lineRule="auto"/>
              <w:ind w:left="73"/>
              <w:jc w:val="left"/>
              <w:rPr>
                <w:sz w:val="20"/>
                <w:szCs w:val="20"/>
              </w:rPr>
            </w:pPr>
            <w:r w:rsidRPr="00293C95">
              <w:rPr>
                <w:sz w:val="20"/>
                <w:szCs w:val="20"/>
              </w:rPr>
              <w:t>Speech, language and communication needs</w:t>
            </w:r>
          </w:p>
        </w:tc>
        <w:tc>
          <w:tcPr>
            <w:tcW w:w="0" w:type="dxa"/>
          </w:tcPr>
          <w:p w14:paraId="44126431" w14:textId="77777777" w:rsidR="004E04E1" w:rsidRPr="00293C95" w:rsidRDefault="004E04E1" w:rsidP="00446CCE">
            <w:pPr>
              <w:spacing w:before="0" w:line="240" w:lineRule="auto"/>
              <w:ind w:left="74"/>
              <w:jc w:val="left"/>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37%</w:t>
            </w:r>
          </w:p>
        </w:tc>
        <w:tc>
          <w:tcPr>
            <w:tcW w:w="0" w:type="dxa"/>
            <w:noWrap/>
            <w:hideMark/>
          </w:tcPr>
          <w:p w14:paraId="109A881E" w14:textId="77777777" w:rsidR="004E04E1" w:rsidRPr="00293C95" w:rsidRDefault="004E04E1" w:rsidP="00446CCE">
            <w:pPr>
              <w:spacing w:before="0" w:line="240" w:lineRule="auto"/>
              <w:ind w:left="71"/>
              <w:jc w:val="left"/>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39%</w:t>
            </w:r>
          </w:p>
        </w:tc>
      </w:tr>
      <w:tr w:rsidR="00E838FF" w:rsidRPr="009B07CA" w14:paraId="0534BDC0" w14:textId="77777777" w:rsidTr="00293C95">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0" w:type="dxa"/>
          </w:tcPr>
          <w:p w14:paraId="14413509" w14:textId="77777777" w:rsidR="004E04E1" w:rsidRPr="00293C95" w:rsidRDefault="004E04E1" w:rsidP="00446CCE">
            <w:pPr>
              <w:spacing w:before="0" w:line="240" w:lineRule="auto"/>
              <w:ind w:left="73"/>
              <w:jc w:val="left"/>
              <w:rPr>
                <w:sz w:val="20"/>
                <w:szCs w:val="20"/>
              </w:rPr>
            </w:pPr>
            <w:r w:rsidRPr="00293C95">
              <w:rPr>
                <w:sz w:val="20"/>
                <w:szCs w:val="20"/>
              </w:rPr>
              <w:t>Vision impairment</w:t>
            </w:r>
          </w:p>
        </w:tc>
        <w:tc>
          <w:tcPr>
            <w:tcW w:w="0" w:type="dxa"/>
          </w:tcPr>
          <w:p w14:paraId="249C4E7F" w14:textId="77777777" w:rsidR="004E04E1" w:rsidRPr="00293C95" w:rsidRDefault="004E04E1" w:rsidP="00446CCE">
            <w:pPr>
              <w:spacing w:before="0" w:line="240" w:lineRule="auto"/>
              <w:ind w:left="74"/>
              <w:jc w:val="left"/>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1%</w:t>
            </w:r>
          </w:p>
        </w:tc>
        <w:tc>
          <w:tcPr>
            <w:tcW w:w="0" w:type="dxa"/>
            <w:noWrap/>
            <w:hideMark/>
          </w:tcPr>
          <w:p w14:paraId="1B7C28C5" w14:textId="77777777" w:rsidR="004E04E1" w:rsidRPr="00293C95" w:rsidRDefault="004E04E1" w:rsidP="00446CCE">
            <w:pPr>
              <w:spacing w:before="0" w:line="240" w:lineRule="auto"/>
              <w:ind w:left="71"/>
              <w:jc w:val="left"/>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2%</w:t>
            </w:r>
          </w:p>
        </w:tc>
      </w:tr>
      <w:tr w:rsidR="004E04E1" w:rsidRPr="009B07CA" w14:paraId="254C5172" w14:textId="77777777" w:rsidTr="00293C95">
        <w:trPr>
          <w:trHeight w:val="291"/>
        </w:trPr>
        <w:tc>
          <w:tcPr>
            <w:cnfStyle w:val="001000000000" w:firstRow="0" w:lastRow="0" w:firstColumn="1" w:lastColumn="0" w:oddVBand="0" w:evenVBand="0" w:oddHBand="0" w:evenHBand="0" w:firstRowFirstColumn="0" w:firstRowLastColumn="0" w:lastRowFirstColumn="0" w:lastRowLastColumn="0"/>
            <w:tcW w:w="0" w:type="dxa"/>
          </w:tcPr>
          <w:p w14:paraId="53601A5B" w14:textId="3B1ABFE5" w:rsidR="004E04E1" w:rsidRPr="00293C95" w:rsidRDefault="004E04E1" w:rsidP="00446CCE">
            <w:pPr>
              <w:spacing w:before="0" w:line="240" w:lineRule="auto"/>
              <w:ind w:left="73"/>
              <w:jc w:val="left"/>
              <w:rPr>
                <w:b w:val="0"/>
                <w:sz w:val="20"/>
                <w:szCs w:val="20"/>
              </w:rPr>
            </w:pPr>
            <w:r w:rsidRPr="00293C95">
              <w:rPr>
                <w:sz w:val="20"/>
                <w:szCs w:val="20"/>
              </w:rPr>
              <w:t>Total</w:t>
            </w:r>
          </w:p>
        </w:tc>
        <w:tc>
          <w:tcPr>
            <w:tcW w:w="0" w:type="dxa"/>
          </w:tcPr>
          <w:p w14:paraId="28E00A53" w14:textId="77777777" w:rsidR="004E04E1" w:rsidRPr="00293C95" w:rsidRDefault="004E04E1" w:rsidP="00446CCE">
            <w:pPr>
              <w:spacing w:before="0" w:line="240" w:lineRule="auto"/>
              <w:ind w:left="74"/>
              <w:jc w:val="left"/>
              <w:cnfStyle w:val="000000000000" w:firstRow="0" w:lastRow="0" w:firstColumn="0" w:lastColumn="0" w:oddVBand="0" w:evenVBand="0" w:oddHBand="0" w:evenHBand="0" w:firstRowFirstColumn="0" w:firstRowLastColumn="0" w:lastRowFirstColumn="0" w:lastRowLastColumn="0"/>
              <w:rPr>
                <w:b/>
                <w:sz w:val="20"/>
                <w:szCs w:val="20"/>
              </w:rPr>
            </w:pPr>
            <w:r w:rsidRPr="00293C95">
              <w:rPr>
                <w:b/>
                <w:sz w:val="20"/>
                <w:szCs w:val="20"/>
              </w:rPr>
              <w:t>100%</w:t>
            </w:r>
          </w:p>
        </w:tc>
        <w:tc>
          <w:tcPr>
            <w:tcW w:w="0" w:type="dxa"/>
            <w:noWrap/>
            <w:hideMark/>
          </w:tcPr>
          <w:p w14:paraId="35F8CFE5" w14:textId="77777777" w:rsidR="004E04E1" w:rsidRPr="00293C95" w:rsidRDefault="004E04E1" w:rsidP="00446CCE">
            <w:pPr>
              <w:spacing w:before="0" w:line="240" w:lineRule="auto"/>
              <w:ind w:left="71"/>
              <w:jc w:val="left"/>
              <w:cnfStyle w:val="000000000000" w:firstRow="0" w:lastRow="0" w:firstColumn="0" w:lastColumn="0" w:oddVBand="0" w:evenVBand="0" w:oddHBand="0" w:evenHBand="0" w:firstRowFirstColumn="0" w:firstRowLastColumn="0" w:lastRowFirstColumn="0" w:lastRowLastColumn="0"/>
              <w:rPr>
                <w:b/>
                <w:sz w:val="20"/>
                <w:szCs w:val="20"/>
              </w:rPr>
            </w:pPr>
            <w:r w:rsidRPr="00293C95">
              <w:rPr>
                <w:b/>
                <w:sz w:val="20"/>
                <w:szCs w:val="20"/>
              </w:rPr>
              <w:t>100%</w:t>
            </w:r>
          </w:p>
        </w:tc>
      </w:tr>
    </w:tbl>
    <w:p w14:paraId="71F8CB85" w14:textId="77777777" w:rsidR="004E04E1" w:rsidRPr="00973B12" w:rsidRDefault="004E04E1" w:rsidP="00C270AF">
      <w:pPr>
        <w:spacing w:before="0" w:line="240" w:lineRule="auto"/>
        <w:jc w:val="right"/>
        <w:rPr>
          <w:b/>
          <w:bCs/>
          <w:sz w:val="18"/>
          <w:szCs w:val="18"/>
        </w:rPr>
      </w:pPr>
      <w:r w:rsidRPr="00973B12">
        <w:rPr>
          <w:b/>
          <w:bCs/>
          <w:sz w:val="18"/>
          <w:szCs w:val="18"/>
        </w:rPr>
        <w:t>Source: January 2024 School Census [LBTH Data, March 2024]</w:t>
      </w:r>
    </w:p>
    <w:p w14:paraId="70A4AFC4" w14:textId="77777777" w:rsidR="004E04E1" w:rsidRPr="00C97599" w:rsidRDefault="004E04E1" w:rsidP="00F469F9">
      <w:pPr>
        <w:pStyle w:val="Heading5"/>
      </w:pPr>
      <w:r w:rsidRPr="00C97599">
        <w:lastRenderedPageBreak/>
        <w:t>Educational outcomes</w:t>
      </w:r>
    </w:p>
    <w:p w14:paraId="78F7D52E" w14:textId="77777777" w:rsidR="004E04E1" w:rsidRPr="001F5D30" w:rsidRDefault="004E04E1" w:rsidP="00F62416">
      <w:r w:rsidRPr="001F5D30">
        <w:t>Tower Hamlets ranks among the best local authorities in England for educational outcomes for pupils with SEND. In Key Stage 2 (KS2), outcomes in Reading, Writing and Mathematics (RWM) are particularly strong:</w:t>
      </w:r>
    </w:p>
    <w:p w14:paraId="56BA43F7" w14:textId="77777777" w:rsidR="004E04E1" w:rsidRPr="001F5D30" w:rsidRDefault="004E04E1" w:rsidP="00BF63ED">
      <w:pPr>
        <w:pStyle w:val="ListParagraph"/>
        <w:numPr>
          <w:ilvl w:val="0"/>
          <w:numId w:val="34"/>
        </w:numPr>
      </w:pPr>
      <w:r w:rsidRPr="001F5D30">
        <w:t xml:space="preserve">Tower Hamlets ranks 8th highest nationally, with 14.5% of EHCP pupils achieving the expected or higher standard in KS2 RWM, compared to </w:t>
      </w:r>
      <w:r w:rsidRPr="000D4745">
        <w:t>8</w:t>
      </w:r>
      <w:r w:rsidRPr="001F5D30">
        <w:t>.2% nationally.</w:t>
      </w:r>
    </w:p>
    <w:p w14:paraId="42CE371E" w14:textId="4DFA3191" w:rsidR="004E04E1" w:rsidRPr="001F5D30" w:rsidRDefault="004E04E1" w:rsidP="00BF63ED">
      <w:pPr>
        <w:pStyle w:val="ListParagraph"/>
        <w:numPr>
          <w:ilvl w:val="0"/>
          <w:numId w:val="34"/>
        </w:numPr>
      </w:pPr>
      <w:r w:rsidRPr="001F5D30">
        <w:t>The borough ranks 12th nationally for the proportion of SEN Support pupils achieving the expected standard</w:t>
      </w:r>
      <w:r w:rsidR="00987553">
        <w:rPr>
          <w:rStyle w:val="EndnoteReference"/>
        </w:rPr>
        <w:fldChar w:fldCharType="begin"/>
      </w:r>
      <w:r w:rsidR="00987553">
        <w:rPr>
          <w:rStyle w:val="EndnoteReference"/>
        </w:rPr>
        <w:instrText xml:space="preserve"> NOTEREF  _Ref205455107 \f \h </w:instrText>
      </w:r>
      <w:r w:rsidR="00987553">
        <w:rPr>
          <w:rStyle w:val="EndnoteReference"/>
        </w:rPr>
      </w:r>
      <w:r w:rsidR="00987553">
        <w:rPr>
          <w:rStyle w:val="EndnoteReference"/>
        </w:rPr>
        <w:fldChar w:fldCharType="separate"/>
      </w:r>
      <w:r w:rsidR="008722C4" w:rsidRPr="008722C4">
        <w:rPr>
          <w:rStyle w:val="EndnoteReference"/>
        </w:rPr>
        <w:t>4</w:t>
      </w:r>
      <w:r w:rsidR="00987553">
        <w:rPr>
          <w:rStyle w:val="EndnoteReference"/>
        </w:rPr>
        <w:fldChar w:fldCharType="end"/>
      </w:r>
      <w:r w:rsidR="00DA1C8D">
        <w:t>.</w:t>
      </w:r>
    </w:p>
    <w:p w14:paraId="02D70524" w14:textId="77777777" w:rsidR="00B360BC" w:rsidRPr="00293C95" w:rsidRDefault="00B360BC" w:rsidP="00293C95">
      <w:pPr>
        <w:pStyle w:val="Heading5"/>
        <w:rPr>
          <w:b w:val="0"/>
          <w:bCs w:val="0"/>
        </w:rPr>
      </w:pPr>
      <w:r w:rsidRPr="00293C95">
        <w:t>Reasonable adjustments</w:t>
      </w:r>
    </w:p>
    <w:p w14:paraId="561C64B9" w14:textId="75EFBB97" w:rsidR="00B360BC" w:rsidRPr="003C4D8E" w:rsidRDefault="003C4D8E" w:rsidP="00293C95">
      <w:r w:rsidRPr="003C4D8E">
        <w:t xml:space="preserve">Most children and young people with </w:t>
      </w:r>
      <w:r w:rsidR="00823135">
        <w:t xml:space="preserve">SEND </w:t>
      </w:r>
      <w:r w:rsidRPr="003C4D8E">
        <w:t xml:space="preserve">attend mainstream schools. Under the Equality Act 2010, these pupils are recognised as having disabilities and are therefore entitled to request </w:t>
      </w:r>
      <w:r w:rsidRPr="00293C95">
        <w:t>reasonable adjustments</w:t>
      </w:r>
      <w:r w:rsidRPr="003C4D8E">
        <w:t xml:space="preserve"> to support their learning and participation. Such adjustments can include additional time in tests and examinations, the use of assistive technology (e.g., computers or text-to-speech software), and the option to record information in alternative formats beyond traditional writing. These measures are designed to reduce barriers to learning, promote inclusion, and ensure that pupils with SEND can access the curriculum on an equitable basis alongside their peers.</w:t>
      </w:r>
    </w:p>
    <w:p w14:paraId="7C25524F" w14:textId="702BA9C2" w:rsidR="004E04E1" w:rsidRPr="00C97599" w:rsidRDefault="004E04E1" w:rsidP="00F469F9">
      <w:pPr>
        <w:pStyle w:val="Heading5"/>
      </w:pPr>
      <w:r w:rsidRPr="00C97599">
        <w:t>Attendance and absence</w:t>
      </w:r>
    </w:p>
    <w:p w14:paraId="399EC40D" w14:textId="77777777" w:rsidR="00A35B55" w:rsidRDefault="00A35B55" w:rsidP="00A35B55">
      <w:pPr>
        <w:rPr>
          <w:w w:val="105"/>
        </w:rPr>
      </w:pPr>
      <w:r w:rsidRPr="003C640C">
        <w:rPr>
          <w:w w:val="105"/>
        </w:rPr>
        <w:t>Frequent absence among children with SEND can compound educational disadvantage, leading to poorer long-term outcomes. Conversely, regular school attendance offers structure and routine that is particularly beneficial for many children and young people with SEND.</w:t>
      </w:r>
    </w:p>
    <w:p w14:paraId="3ED3ADCA" w14:textId="77777777" w:rsidR="004E04E1" w:rsidRPr="001F5D30" w:rsidRDefault="004E04E1" w:rsidP="00F62416">
      <w:r w:rsidRPr="001F5D30">
        <w:t>Attendance patterns for pupils with SEND in Tower Hamlets show both strengths and challenges.</w:t>
      </w:r>
      <w:r>
        <w:t xml:space="preserve"> </w:t>
      </w:r>
      <w:r w:rsidRPr="001F5D30">
        <w:t xml:space="preserve">Across all school phases, unauthorised absence rates remain low for SEND pupils, at only </w:t>
      </w:r>
      <w:r w:rsidRPr="000D4745">
        <w:t>2.6% for EHCP pupils and 2.7%</w:t>
      </w:r>
      <w:r w:rsidRPr="001F5D30">
        <w:t xml:space="preserve"> for those on SEN Support, placing Tower Hamlets first among its statistical neighbours and in the top quartile nationally.</w:t>
      </w:r>
    </w:p>
    <w:p w14:paraId="59BEF96B" w14:textId="77777777" w:rsidR="004E04E1" w:rsidRPr="001F5D30" w:rsidRDefault="004E04E1" w:rsidP="00F62416">
      <w:r w:rsidRPr="001F5D30">
        <w:t>However, challenges persist in primary and special schools:</w:t>
      </w:r>
    </w:p>
    <w:p w14:paraId="0E737250" w14:textId="77777777" w:rsidR="004E04E1" w:rsidRPr="001F5D30" w:rsidRDefault="004E04E1" w:rsidP="00F62416">
      <w:pPr>
        <w:pStyle w:val="ListParagraph"/>
      </w:pPr>
      <w:r w:rsidRPr="001F5D30">
        <w:t>The overall absence rate for SEN Support pupils in mainstream primary schools was 8.3%, placing Tower Hamlets in the worst-performing quarter of local authorities in England.</w:t>
      </w:r>
    </w:p>
    <w:p w14:paraId="7DF524E0" w14:textId="2F5EE1C1" w:rsidR="004E04E1" w:rsidRPr="001F5D30" w:rsidRDefault="004E04E1" w:rsidP="00F62416">
      <w:pPr>
        <w:pStyle w:val="ListParagraph"/>
      </w:pPr>
      <w:r w:rsidRPr="001F5D30">
        <w:t xml:space="preserve">In mainstream primary schools, 35% of EHCP </w:t>
      </w:r>
      <w:r w:rsidRPr="000D4745">
        <w:t>pupils and 30.3% of SEN</w:t>
      </w:r>
      <w:r w:rsidRPr="001F5D30">
        <w:t xml:space="preserve"> Support pupils were persistent absentees</w:t>
      </w:r>
      <w:r w:rsidR="00C35597">
        <w:t xml:space="preserve"> </w:t>
      </w:r>
      <w:r w:rsidR="00C35597" w:rsidRPr="00C35597">
        <w:t>(defined by the Department for Education as pupils who miss 10% or more of possible school sessions in an academic year)</w:t>
      </w:r>
      <w:r>
        <w:t xml:space="preserve">, </w:t>
      </w:r>
      <w:r w:rsidRPr="001F5D30">
        <w:t>among the highest rates nationally.</w:t>
      </w:r>
    </w:p>
    <w:p w14:paraId="4E19FA5B" w14:textId="045DA522" w:rsidR="00674088" w:rsidRPr="001F5D30" w:rsidRDefault="00674088" w:rsidP="00F62416">
      <w:pPr>
        <w:pStyle w:val="ListParagraph"/>
      </w:pPr>
      <w:r w:rsidRPr="00674088">
        <w:t xml:space="preserve">In contrast, Tower Hamlets’ secondary schools have particularly low absence rates: the overall absence rate in state-funded secondary schools is just </w:t>
      </w:r>
      <w:r w:rsidRPr="00293C95">
        <w:t>6.2%</w:t>
      </w:r>
      <w:r w:rsidRPr="006A1906">
        <w:t xml:space="preserve">, with </w:t>
      </w:r>
      <w:r w:rsidRPr="00293C95">
        <w:t>18.6%</w:t>
      </w:r>
      <w:r w:rsidRPr="006A1906">
        <w:t xml:space="preserve"> of pupils (all pupils) classed as persistently absent</w:t>
      </w:r>
      <w:r w:rsidR="00C82152" w:rsidRPr="006A1906">
        <w:t xml:space="preserve">, </w:t>
      </w:r>
      <w:r w:rsidRPr="006A1906">
        <w:t xml:space="preserve">placing the borough among the best in England for secondary attendance. For pupils with an EHCP or SEN, the borough-level overall absence rate is </w:t>
      </w:r>
      <w:r w:rsidRPr="00293C95">
        <w:t>9.</w:t>
      </w:r>
      <w:r w:rsidR="00184F0C" w:rsidRPr="00293C95">
        <w:t>9</w:t>
      </w:r>
      <w:r w:rsidRPr="00293C95">
        <w:t>%</w:t>
      </w:r>
      <w:r w:rsidRPr="006A1906">
        <w:t>.</w:t>
      </w:r>
      <w:r w:rsidRPr="00674088">
        <w:t xml:space="preserve"> </w:t>
      </w:r>
    </w:p>
    <w:p w14:paraId="20C95A24" w14:textId="1AA14FF6" w:rsidR="004E04E1" w:rsidRPr="001F5D30" w:rsidRDefault="004E04E1" w:rsidP="00F62416">
      <w:pPr>
        <w:pStyle w:val="ListParagraph"/>
      </w:pPr>
      <w:r w:rsidRPr="001F5D30">
        <w:t>Overall and persistent absence rates in Tower Hamlets’ special schools remain above both statistical neighbour and England averages</w:t>
      </w:r>
      <w:r w:rsidR="00987553">
        <w:rPr>
          <w:rStyle w:val="EndnoteReference"/>
        </w:rPr>
        <w:fldChar w:fldCharType="begin"/>
      </w:r>
      <w:r w:rsidR="00987553">
        <w:rPr>
          <w:rStyle w:val="EndnoteReference"/>
        </w:rPr>
        <w:instrText xml:space="preserve"> NOTEREF  _Ref205455107 \f \h </w:instrText>
      </w:r>
      <w:r w:rsidR="00987553">
        <w:rPr>
          <w:rStyle w:val="EndnoteReference"/>
        </w:rPr>
      </w:r>
      <w:r w:rsidR="00987553">
        <w:rPr>
          <w:rStyle w:val="EndnoteReference"/>
        </w:rPr>
        <w:fldChar w:fldCharType="separate"/>
      </w:r>
      <w:r w:rsidR="008722C4" w:rsidRPr="008722C4">
        <w:rPr>
          <w:rStyle w:val="EndnoteReference"/>
        </w:rPr>
        <w:t>4</w:t>
      </w:r>
      <w:r w:rsidR="00987553">
        <w:rPr>
          <w:rStyle w:val="EndnoteReference"/>
        </w:rPr>
        <w:fldChar w:fldCharType="end"/>
      </w:r>
      <w:r w:rsidRPr="001F5D30">
        <w:t>.</w:t>
      </w:r>
      <w:r w:rsidR="00987553" w:rsidRPr="001F5D30">
        <w:t xml:space="preserve"> </w:t>
      </w:r>
    </w:p>
    <w:p w14:paraId="6793CC46" w14:textId="77777777" w:rsidR="004E04E1" w:rsidRPr="00C97599" w:rsidRDefault="004E04E1" w:rsidP="00F469F9">
      <w:pPr>
        <w:pStyle w:val="Heading5"/>
      </w:pPr>
      <w:r w:rsidRPr="00C97599">
        <w:lastRenderedPageBreak/>
        <w:t>Exclusions and suspensions</w:t>
      </w:r>
    </w:p>
    <w:p w14:paraId="2C109849" w14:textId="77777777" w:rsidR="004E04E1" w:rsidRPr="001F5D30" w:rsidRDefault="004E04E1" w:rsidP="00F62416">
      <w:r w:rsidRPr="001F5D30">
        <w:t>Tower Hamlets continues to perform well in minimising suspensions and permanent exclusions among pupils with SEND. The borough remains in the best-performing quartile nationally for exclusion rates:</w:t>
      </w:r>
    </w:p>
    <w:p w14:paraId="13AEEFDB" w14:textId="77777777" w:rsidR="004E04E1" w:rsidRPr="001F5D30" w:rsidRDefault="004E04E1" w:rsidP="00F62416">
      <w:pPr>
        <w:pStyle w:val="ListParagraph"/>
      </w:pPr>
      <w:r w:rsidRPr="001F5D30">
        <w:t>Ranked 4th in England for the suspension (fixed-term exclusion) rate of EHCP pupils in secondary schools.</w:t>
      </w:r>
    </w:p>
    <w:p w14:paraId="27AF281E" w14:textId="11D0B05A" w:rsidR="004E04E1" w:rsidRPr="00304FCB" w:rsidRDefault="004E04E1" w:rsidP="00E86074">
      <w:pPr>
        <w:pStyle w:val="ListParagraph"/>
      </w:pPr>
      <w:r w:rsidRPr="001F5D30">
        <w:t>Ranked 8th in England for the permanent exclusion rate among SEN Support pupils</w:t>
      </w:r>
      <w:r w:rsidR="00073EBB">
        <w:rPr>
          <w:sz w:val="20"/>
          <w:szCs w:val="22"/>
        </w:rPr>
        <w:t>.</w:t>
      </w:r>
    </w:p>
    <w:p w14:paraId="05A2C551" w14:textId="2BB3B398" w:rsidR="004E04E1" w:rsidRPr="00713B3D" w:rsidRDefault="004E04E1" w:rsidP="00F62416">
      <w:pPr>
        <w:pStyle w:val="Heading3"/>
        <w:rPr>
          <w:color w:val="006B70"/>
        </w:rPr>
      </w:pPr>
      <w:bookmarkStart w:id="78" w:name="_Toc205386882"/>
      <w:bookmarkStart w:id="79" w:name="_Toc205387952"/>
      <w:bookmarkStart w:id="80" w:name="_Toc205445963"/>
      <w:r w:rsidRPr="00713B3D">
        <w:rPr>
          <w:color w:val="006B70"/>
        </w:rPr>
        <w:t>Post</w:t>
      </w:r>
      <w:r w:rsidR="00D9575A" w:rsidRPr="00713B3D">
        <w:rPr>
          <w:color w:val="006B70"/>
        </w:rPr>
        <w:t>-</w:t>
      </w:r>
      <w:r w:rsidRPr="00713B3D">
        <w:rPr>
          <w:color w:val="006B70"/>
        </w:rPr>
        <w:t>16</w:t>
      </w:r>
      <w:bookmarkEnd w:id="78"/>
      <w:bookmarkEnd w:id="79"/>
      <w:bookmarkEnd w:id="80"/>
    </w:p>
    <w:p w14:paraId="507873AA" w14:textId="77777777" w:rsidR="004E04E1" w:rsidRPr="00F62416" w:rsidRDefault="004E04E1" w:rsidP="00F62416">
      <w:pPr>
        <w:pStyle w:val="Heading4"/>
      </w:pPr>
      <w:r w:rsidRPr="00F62416">
        <w:t>Overview of Post-16 SEND Population</w:t>
      </w:r>
    </w:p>
    <w:p w14:paraId="37FA2649" w14:textId="427E4745" w:rsidR="004E04E1" w:rsidRPr="003C640C" w:rsidRDefault="004E04E1" w:rsidP="00E86074">
      <w:pPr>
        <w:rPr>
          <w:w w:val="105"/>
        </w:rPr>
      </w:pPr>
      <w:r w:rsidRPr="003C640C">
        <w:rPr>
          <w:w w:val="105"/>
        </w:rPr>
        <w:t xml:space="preserve">The population of young people with SEND in Tower Hamlets continues to grow, with an increasing proportion of </w:t>
      </w:r>
      <w:r>
        <w:rPr>
          <w:w w:val="105"/>
        </w:rPr>
        <w:t>EH</w:t>
      </w:r>
      <w:r w:rsidR="00AF5313">
        <w:rPr>
          <w:w w:val="105"/>
        </w:rPr>
        <w:t>C</w:t>
      </w:r>
      <w:r>
        <w:rPr>
          <w:w w:val="105"/>
        </w:rPr>
        <w:t>Ps</w:t>
      </w:r>
      <w:r w:rsidRPr="003C640C">
        <w:rPr>
          <w:w w:val="105"/>
        </w:rPr>
        <w:t xml:space="preserve"> extending into adulthood. By 2024, Tower Hamlets ranked 3rd highest in England for the proportion of its EHCP population aged 20–25 years.</w:t>
      </w:r>
    </w:p>
    <w:p w14:paraId="129B9D15" w14:textId="13303155" w:rsidR="004E04E1" w:rsidRPr="00C57EB8" w:rsidRDefault="004E04E1" w:rsidP="00E86074">
      <w:pPr>
        <w:rPr>
          <w:w w:val="105"/>
        </w:rPr>
      </w:pPr>
      <w:r w:rsidRPr="003C640C">
        <w:rPr>
          <w:w w:val="105"/>
        </w:rPr>
        <w:t>Overall, the proportion of 0–24-year-olds with an EHCP in Tower Hamlets continues to rise, reflecting greater identification and sustained support for young people with complex needs as they transition to adulthood</w:t>
      </w:r>
      <w:r w:rsidR="00C57EB8">
        <w:rPr>
          <w:w w:val="105"/>
        </w:rPr>
        <w:t>.</w:t>
      </w:r>
    </w:p>
    <w:p w14:paraId="76E5EAF1" w14:textId="77777777" w:rsidR="004E04E1" w:rsidRPr="00F62416" w:rsidRDefault="004E04E1" w:rsidP="00F62416">
      <w:pPr>
        <w:pStyle w:val="Heading4"/>
      </w:pPr>
      <w:r w:rsidRPr="00F62416">
        <w:t>Educational Attainment</w:t>
      </w:r>
    </w:p>
    <w:p w14:paraId="6D732838" w14:textId="77777777" w:rsidR="004E04E1" w:rsidRPr="00C97599" w:rsidRDefault="004E04E1" w:rsidP="00293C95">
      <w:pPr>
        <w:pStyle w:val="Heading5"/>
        <w:rPr>
          <w:w w:val="105"/>
        </w:rPr>
      </w:pPr>
      <w:r w:rsidRPr="00C97599">
        <w:rPr>
          <w:w w:val="105"/>
        </w:rPr>
        <w:t>Key Stage 4 (GCSE) Outcomes</w:t>
      </w:r>
    </w:p>
    <w:p w14:paraId="75DAD22B" w14:textId="77777777" w:rsidR="004E04E1" w:rsidRPr="003C640C" w:rsidRDefault="004E04E1" w:rsidP="00E86074">
      <w:pPr>
        <w:rPr>
          <w:w w:val="105"/>
        </w:rPr>
      </w:pPr>
      <w:r w:rsidRPr="003C640C">
        <w:rPr>
          <w:w w:val="105"/>
        </w:rPr>
        <w:t>In 2022, pupils with SEND in Tower Hamlets achieved above-average GCSE outcomes compared to national figures:</w:t>
      </w:r>
    </w:p>
    <w:p w14:paraId="66BDB620" w14:textId="77777777" w:rsidR="004E04E1" w:rsidRPr="003C640C" w:rsidRDefault="004E04E1" w:rsidP="00E86074">
      <w:pPr>
        <w:rPr>
          <w:w w:val="105"/>
        </w:rPr>
      </w:pPr>
      <w:r w:rsidRPr="003C640C">
        <w:rPr>
          <w:w w:val="105"/>
        </w:rPr>
        <w:t>Attainment 8 scores:</w:t>
      </w:r>
    </w:p>
    <w:p w14:paraId="1700E93B" w14:textId="3C76C9EB" w:rsidR="004E04E1" w:rsidRPr="00F62416" w:rsidRDefault="004E04E1" w:rsidP="00F62416">
      <w:pPr>
        <w:pStyle w:val="ListParagraph"/>
      </w:pPr>
      <w:r w:rsidRPr="00F62416">
        <w:t>EHCP pupils: 16.4%, compared to 14.3% nationally (ranked 48th in England).</w:t>
      </w:r>
    </w:p>
    <w:p w14:paraId="19003CBA" w14:textId="51762503" w:rsidR="004E04E1" w:rsidRPr="00F62416" w:rsidRDefault="004E04E1" w:rsidP="00F62416">
      <w:pPr>
        <w:pStyle w:val="ListParagraph"/>
      </w:pPr>
      <w:r w:rsidRPr="00F62416">
        <w:t>SEN Support pupils: 39.2%, compared to 34.9% nationally (ranked 25th in England).</w:t>
      </w:r>
    </w:p>
    <w:p w14:paraId="39265934" w14:textId="77777777" w:rsidR="004E04E1" w:rsidRPr="003C640C" w:rsidRDefault="004E04E1" w:rsidP="00E86074">
      <w:pPr>
        <w:rPr>
          <w:w w:val="105"/>
        </w:rPr>
      </w:pPr>
      <w:r w:rsidRPr="003C640C">
        <w:rPr>
          <w:w w:val="105"/>
        </w:rPr>
        <w:t>English and Maths (Grades 9–4):</w:t>
      </w:r>
    </w:p>
    <w:p w14:paraId="0F38EB1F" w14:textId="19240DF7" w:rsidR="004E04E1" w:rsidRPr="00F62416" w:rsidRDefault="004E04E1" w:rsidP="00F62416">
      <w:pPr>
        <w:pStyle w:val="ListParagraph"/>
      </w:pPr>
      <w:r w:rsidRPr="00F62416">
        <w:t xml:space="preserve">EHCP pupils: 14%, </w:t>
      </w:r>
      <w:proofErr w:type="gramStart"/>
      <w:r w:rsidRPr="00F62416">
        <w:t>similar to</w:t>
      </w:r>
      <w:proofErr w:type="gramEnd"/>
      <w:r w:rsidRPr="00F62416">
        <w:t xml:space="preserve"> the national average of 14% (ranked 75th)</w:t>
      </w:r>
      <w:r>
        <w:t>.</w:t>
      </w:r>
    </w:p>
    <w:p w14:paraId="15A0C5D4" w14:textId="50A61DD3" w:rsidR="004E04E1" w:rsidRPr="00425837" w:rsidRDefault="004E04E1" w:rsidP="00425837">
      <w:pPr>
        <w:pStyle w:val="ListParagraph"/>
      </w:pPr>
      <w:r w:rsidRPr="00425837">
        <w:t>SEN Support pupils: 48%, significantly outperforming the national average of 39% (ranked 28th)</w:t>
      </w:r>
      <w:r w:rsidR="00B05B04">
        <w:t>.</w:t>
      </w:r>
    </w:p>
    <w:p w14:paraId="53D20705" w14:textId="77777777" w:rsidR="004E04E1" w:rsidRPr="00C97599" w:rsidRDefault="004E04E1" w:rsidP="00F469F9">
      <w:pPr>
        <w:pStyle w:val="Heading5"/>
      </w:pPr>
      <w:r w:rsidRPr="00C97599">
        <w:t>Key Stage 5 (Post-16) Outcomes</w:t>
      </w:r>
    </w:p>
    <w:p w14:paraId="3B641CB7" w14:textId="77777777" w:rsidR="004E04E1" w:rsidRPr="003C640C" w:rsidRDefault="004E04E1" w:rsidP="00E86074">
      <w:pPr>
        <w:rPr>
          <w:w w:val="105"/>
        </w:rPr>
      </w:pPr>
      <w:r w:rsidRPr="003C640C">
        <w:rPr>
          <w:w w:val="105"/>
        </w:rPr>
        <w:t>Despite strong performance at GCSE, challenges emerge for SEND learners in post-16 education:</w:t>
      </w:r>
    </w:p>
    <w:p w14:paraId="0AAE606A" w14:textId="77777777" w:rsidR="004E04E1" w:rsidRPr="00425837" w:rsidRDefault="004E04E1" w:rsidP="00425837">
      <w:pPr>
        <w:pStyle w:val="ListParagraph"/>
      </w:pPr>
      <w:r w:rsidRPr="00425837">
        <w:t>At Key Stage 5 (A-level and equivalent), average point scores per academic entry for SEND students remain below the national average.</w:t>
      </w:r>
    </w:p>
    <w:p w14:paraId="5EB5845E" w14:textId="02CC7440" w:rsidR="004E04E1" w:rsidRPr="00425837" w:rsidRDefault="004E04E1" w:rsidP="00425837">
      <w:pPr>
        <w:pStyle w:val="ListParagraph"/>
      </w:pPr>
      <w:r w:rsidRPr="00425837">
        <w:t>Tower Hamlets ranks 11th among its statistical neighbours for the academic Average Point Score (APS) per entry for SEN Support students, indicating room for improvement in post-16 attainment outcomes</w:t>
      </w:r>
      <w:r w:rsidR="00E95000">
        <w:t>.</w:t>
      </w:r>
    </w:p>
    <w:p w14:paraId="74A3FD63" w14:textId="77777777" w:rsidR="004E04E1" w:rsidRPr="007A18AE" w:rsidRDefault="004E04E1" w:rsidP="00D21EFE">
      <w:pPr>
        <w:rPr>
          <w:w w:val="105"/>
        </w:rPr>
      </w:pPr>
      <w:r>
        <w:rPr>
          <w:w w:val="105"/>
        </w:rPr>
        <w:t xml:space="preserve">There remain gaps in the provision of post-16 learning opportunities for those who are achieving a level 2 qualification or below at this age (unless for those with complex needs) and who would benefit from continued education within an appropriate environment. </w:t>
      </w:r>
    </w:p>
    <w:p w14:paraId="523CA6BD" w14:textId="1FBCAA82" w:rsidR="004E04E1" w:rsidRPr="00C97599" w:rsidRDefault="004E04E1" w:rsidP="00F469F9">
      <w:pPr>
        <w:pStyle w:val="Heading5"/>
      </w:pPr>
      <w:r w:rsidRPr="00C97599">
        <w:lastRenderedPageBreak/>
        <w:t xml:space="preserve">Qualifications by </w:t>
      </w:r>
      <w:r w:rsidR="0048346C">
        <w:t>a</w:t>
      </w:r>
      <w:r w:rsidRPr="00C97599">
        <w:t>ge 19</w:t>
      </w:r>
    </w:p>
    <w:p w14:paraId="7BD59086" w14:textId="77777777" w:rsidR="004E04E1" w:rsidRPr="003C640C" w:rsidRDefault="004E04E1" w:rsidP="00E86074">
      <w:pPr>
        <w:rPr>
          <w:w w:val="105"/>
        </w:rPr>
      </w:pPr>
      <w:r w:rsidRPr="003C640C">
        <w:rPr>
          <w:w w:val="105"/>
        </w:rPr>
        <w:t>Nonetheless, qualification rates by age 19 for SEND students are a significant strength in Tower Hamlets.</w:t>
      </w:r>
    </w:p>
    <w:p w14:paraId="4B166C26" w14:textId="47C7EFCE" w:rsidR="004E04E1" w:rsidRPr="00183DE7" w:rsidRDefault="004E04E1" w:rsidP="00183DE7">
      <w:pPr>
        <w:pStyle w:val="ListParagraph"/>
      </w:pPr>
      <w:r w:rsidRPr="00183DE7">
        <w:t>Tower Hamlets is ranked 12th in England for the proportion of EHCP students achieving a Level 3 qualification (e.g. A-levels, BTEC Nationals) by age 19</w:t>
      </w:r>
      <w:r w:rsidR="00CC0919">
        <w:rPr>
          <w:rStyle w:val="EndnoteReference"/>
        </w:rPr>
        <w:fldChar w:fldCharType="begin"/>
      </w:r>
      <w:r w:rsidR="00CC0919">
        <w:rPr>
          <w:rStyle w:val="EndnoteReference"/>
        </w:rPr>
        <w:instrText xml:space="preserve"> NOTEREF  _Ref205455107 \f \h </w:instrText>
      </w:r>
      <w:r w:rsidR="00CC0919">
        <w:rPr>
          <w:rStyle w:val="EndnoteReference"/>
        </w:rPr>
      </w:r>
      <w:r w:rsidR="00CC0919">
        <w:rPr>
          <w:rStyle w:val="EndnoteReference"/>
        </w:rPr>
        <w:fldChar w:fldCharType="separate"/>
      </w:r>
      <w:r w:rsidR="008722C4" w:rsidRPr="008722C4">
        <w:rPr>
          <w:rStyle w:val="EndnoteReference"/>
        </w:rPr>
        <w:t>4</w:t>
      </w:r>
      <w:r w:rsidR="00CC0919">
        <w:rPr>
          <w:rStyle w:val="EndnoteReference"/>
        </w:rPr>
        <w:fldChar w:fldCharType="end"/>
      </w:r>
      <w:r w:rsidR="00F432E8" w:rsidRPr="00F432E8">
        <w:t>.</w:t>
      </w:r>
    </w:p>
    <w:p w14:paraId="363FD73B" w14:textId="77777777" w:rsidR="004E04E1" w:rsidRDefault="004E04E1" w:rsidP="008901D5">
      <w:pPr>
        <w:rPr>
          <w:w w:val="105"/>
        </w:rPr>
      </w:pPr>
      <w:r w:rsidRPr="003C640C">
        <w:rPr>
          <w:w w:val="105"/>
        </w:rPr>
        <w:t>This suggests that while post-16 attainment per entry may be lower, many young people with SEND are successfully completing full qualifications by age 19.</w:t>
      </w:r>
    </w:p>
    <w:p w14:paraId="4A9E27AF" w14:textId="77777777" w:rsidR="004E04E1" w:rsidRPr="00C97599" w:rsidRDefault="004E04E1" w:rsidP="00F469F9">
      <w:pPr>
        <w:pStyle w:val="Heading5"/>
      </w:pPr>
      <w:r w:rsidRPr="00C97599">
        <w:t>Participation in Education, Employment or Training (EET)</w:t>
      </w:r>
    </w:p>
    <w:p w14:paraId="30653400" w14:textId="77777777" w:rsidR="004E04E1" w:rsidRPr="003C640C" w:rsidRDefault="004E04E1" w:rsidP="00763568">
      <w:pPr>
        <w:rPr>
          <w:w w:val="105"/>
        </w:rPr>
      </w:pPr>
      <w:r w:rsidRPr="003C640C">
        <w:rPr>
          <w:w w:val="105"/>
        </w:rPr>
        <w:t>Participation in education, employment or training (EET) among young people with SEND in Tower Hamlets shows a mixed picture:</w:t>
      </w:r>
    </w:p>
    <w:p w14:paraId="3588AC28" w14:textId="77777777" w:rsidR="004E04E1" w:rsidRPr="00763568" w:rsidRDefault="004E04E1" w:rsidP="00763568">
      <w:pPr>
        <w:pStyle w:val="ListParagraph"/>
      </w:pPr>
      <w:r w:rsidRPr="00763568">
        <w:t>Among 16- and 17-year-olds with an EHCP, Tower Hamlets performs strongly, with 94.6% in education or training in 2022, significantly above the national average of 88.7%. This places Tower Hamlets in the top quartile nationally for EET rates for this group.</w:t>
      </w:r>
    </w:p>
    <w:p w14:paraId="5741514C" w14:textId="4C0E036C" w:rsidR="004E04E1" w:rsidRDefault="004E04E1" w:rsidP="00763568">
      <w:pPr>
        <w:rPr>
          <w:w w:val="105"/>
          <w:vertAlign w:val="superscript"/>
        </w:rPr>
      </w:pPr>
      <w:r w:rsidRPr="003C640C">
        <w:rPr>
          <w:w w:val="105"/>
        </w:rPr>
        <w:t>However, for young people on SEN Support, outcomes are less favourable. In 2022</w:t>
      </w:r>
      <w:r w:rsidRPr="008C7AE9">
        <w:rPr>
          <w:w w:val="105"/>
        </w:rPr>
        <w:t xml:space="preserve">, </w:t>
      </w:r>
      <w:r w:rsidRPr="003C640C">
        <w:rPr>
          <w:w w:val="105"/>
        </w:rPr>
        <w:t>89.4% of 16- and 17-year-olds with SEN Support were in education or training, which, while higher than the national rate of 86.9%, ranks Tower Hamlets 8th among its statistical neighbours and suggests lower participation relative to local peers.</w:t>
      </w:r>
      <w:r w:rsidRPr="008C7AE9">
        <w:rPr>
          <w:w w:val="105"/>
        </w:rPr>
        <w:t xml:space="preserve"> </w:t>
      </w:r>
      <w:r w:rsidRPr="003C640C">
        <w:rPr>
          <w:w w:val="105"/>
        </w:rPr>
        <w:t>This leaves around 10.6% of SEN Support young people potentially not engaged in education, training, or employment (NEET) or with unknown activity</w:t>
      </w:r>
      <w:r w:rsidR="00F432E8" w:rsidRPr="008C7AE9">
        <w:rPr>
          <w:w w:val="105"/>
        </w:rPr>
        <w:t>.</w:t>
      </w:r>
    </w:p>
    <w:p w14:paraId="50B32EC8" w14:textId="21399B0B" w:rsidR="0026300A" w:rsidRPr="008C7AE9" w:rsidRDefault="00FB482E" w:rsidP="00763568">
      <w:pPr>
        <w:rPr>
          <w:b/>
          <w:bCs/>
          <w:w w:val="105"/>
        </w:rPr>
      </w:pPr>
      <w:r w:rsidRPr="00FB482E">
        <w:rPr>
          <w:w w:val="105"/>
        </w:rPr>
        <w:t xml:space="preserve">The </w:t>
      </w:r>
      <w:r w:rsidRPr="001F6F35">
        <w:rPr>
          <w:i/>
          <w:w w:val="105"/>
        </w:rPr>
        <w:t>Preparing for Adulthood team</w:t>
      </w:r>
      <w:r w:rsidRPr="00FB482E">
        <w:rPr>
          <w:w w:val="105"/>
        </w:rPr>
        <w:t xml:space="preserve"> in Tower Hamlets provides oversight of young people who are NEET, working closely with key partners such as the Youth Justice Service and the Careers Service. There are positive efforts to engage young people and support their transition into further opportunities. A range of local options are available, supported by promotional activities</w:t>
      </w:r>
      <w:r>
        <w:rPr>
          <w:w w:val="105"/>
        </w:rPr>
        <w:t xml:space="preserve">, </w:t>
      </w:r>
      <w:r w:rsidRPr="00FB482E">
        <w:rPr>
          <w:w w:val="105"/>
        </w:rPr>
        <w:t>such as the "Let’s Work" event</w:t>
      </w:r>
      <w:r>
        <w:rPr>
          <w:w w:val="105"/>
        </w:rPr>
        <w:t xml:space="preserve">, </w:t>
      </w:r>
      <w:r w:rsidRPr="00FB482E">
        <w:rPr>
          <w:w w:val="105"/>
        </w:rPr>
        <w:t>to encourage awareness and participation.</w:t>
      </w:r>
      <w:r w:rsidR="00E303E8">
        <w:rPr>
          <w:w w:val="105"/>
        </w:rPr>
        <w:t xml:space="preserve"> </w:t>
      </w:r>
    </w:p>
    <w:p w14:paraId="7FD8B77B" w14:textId="77777777" w:rsidR="004E04E1" w:rsidRPr="004D664B" w:rsidRDefault="004E04E1" w:rsidP="00763568">
      <w:pPr>
        <w:pStyle w:val="Heading3"/>
        <w:rPr>
          <w:color w:val="006B70"/>
        </w:rPr>
      </w:pPr>
      <w:bookmarkStart w:id="81" w:name="_Toc205386883"/>
      <w:bookmarkStart w:id="82" w:name="_Toc205387953"/>
      <w:bookmarkStart w:id="83" w:name="_Toc205445964"/>
      <w:r w:rsidRPr="004D664B">
        <w:rPr>
          <w:color w:val="006B70"/>
        </w:rPr>
        <w:t>Challenges and Risks</w:t>
      </w:r>
      <w:bookmarkEnd w:id="81"/>
      <w:bookmarkEnd w:id="82"/>
      <w:bookmarkEnd w:id="83"/>
    </w:p>
    <w:p w14:paraId="3803F8F3" w14:textId="77777777" w:rsidR="004E04E1" w:rsidRPr="003C640C" w:rsidRDefault="004E04E1" w:rsidP="00763568">
      <w:pPr>
        <w:rPr>
          <w:w w:val="105"/>
        </w:rPr>
      </w:pPr>
      <w:r w:rsidRPr="003C640C">
        <w:rPr>
          <w:w w:val="105"/>
        </w:rPr>
        <w:t>While the borough’s educational performance for SEND learners is strong overall, significant challenges remain:</w:t>
      </w:r>
    </w:p>
    <w:p w14:paraId="0B724125" w14:textId="77777777" w:rsidR="004E04E1" w:rsidRPr="00763568" w:rsidRDefault="004E04E1" w:rsidP="00763568">
      <w:pPr>
        <w:pStyle w:val="ListParagraph"/>
      </w:pPr>
      <w:r w:rsidRPr="00763568">
        <w:t>Although GCSE outcomes are above average, the lower Key Stage 5 APS scores point to potential barriers faced by SEND students in sustaining higher levels of attainment through post-16 education.</w:t>
      </w:r>
    </w:p>
    <w:p w14:paraId="3939EB21" w14:textId="77777777" w:rsidR="004E04E1" w:rsidRPr="00763568" w:rsidRDefault="004E04E1" w:rsidP="00763568">
      <w:pPr>
        <w:pStyle w:val="ListParagraph"/>
      </w:pPr>
      <w:r w:rsidRPr="00763568">
        <w:t>The high proportion of EHCP holders aged 20–25 reflects growing demand for specialist support into adulthood. This has implications for education, health and social care services, particularly as more young adults remain in education settings beyond age 19.</w:t>
      </w:r>
    </w:p>
    <w:p w14:paraId="7DFE1DC9" w14:textId="34727547" w:rsidR="004E04E1" w:rsidRPr="00763568" w:rsidRDefault="004E04E1" w:rsidP="00763568">
      <w:pPr>
        <w:pStyle w:val="ListParagraph"/>
      </w:pPr>
      <w:r w:rsidRPr="00763568">
        <w:t>Persistent absence remains a concern, as frequent school absence in earlier years can limit future qualifications and progression into employment or training</w:t>
      </w:r>
      <w:r w:rsidR="00E95000">
        <w:t>.</w:t>
      </w:r>
    </w:p>
    <w:p w14:paraId="056166BD" w14:textId="5D656EDD" w:rsidR="00EF7BCF" w:rsidRPr="004D664B" w:rsidRDefault="00EF7BCF" w:rsidP="00EF7BCF">
      <w:pPr>
        <w:pStyle w:val="Heading3"/>
        <w:rPr>
          <w:color w:val="006B70"/>
          <w:w w:val="105"/>
        </w:rPr>
      </w:pPr>
      <w:bookmarkStart w:id="84" w:name="_Toc211413924"/>
      <w:bookmarkStart w:id="85" w:name="_Toc211439783"/>
      <w:bookmarkStart w:id="86" w:name="_Toc211413925"/>
      <w:bookmarkStart w:id="87" w:name="_Toc211439784"/>
      <w:bookmarkStart w:id="88" w:name="_Toc211413926"/>
      <w:bookmarkStart w:id="89" w:name="_Toc211439785"/>
      <w:bookmarkStart w:id="90" w:name="_Toc205386885"/>
      <w:bookmarkStart w:id="91" w:name="_Toc205387955"/>
      <w:bookmarkStart w:id="92" w:name="_Toc205445966"/>
      <w:bookmarkEnd w:id="84"/>
      <w:bookmarkEnd w:id="85"/>
      <w:bookmarkEnd w:id="86"/>
      <w:bookmarkEnd w:id="87"/>
      <w:bookmarkEnd w:id="88"/>
      <w:bookmarkEnd w:id="89"/>
      <w:r w:rsidRPr="004D664B">
        <w:rPr>
          <w:color w:val="006B70"/>
          <w:w w:val="105"/>
        </w:rPr>
        <w:t>Safeguarding</w:t>
      </w:r>
      <w:bookmarkEnd w:id="90"/>
      <w:bookmarkEnd w:id="91"/>
      <w:bookmarkEnd w:id="92"/>
      <w:r w:rsidRPr="004D664B">
        <w:rPr>
          <w:color w:val="006B70"/>
          <w:w w:val="105"/>
        </w:rPr>
        <w:t xml:space="preserve"> </w:t>
      </w:r>
    </w:p>
    <w:p w14:paraId="0448F3A0" w14:textId="033AE3BD" w:rsidR="00364C3B" w:rsidRPr="00364C3B" w:rsidRDefault="005C70DF" w:rsidP="00051ABB">
      <w:r w:rsidRPr="00364C3B">
        <w:t>As outlined in the Education Act (2002)</w:t>
      </w:r>
      <w:r>
        <w:rPr>
          <w:rStyle w:val="EndnoteReference"/>
        </w:rPr>
        <w:endnoteReference w:id="31"/>
      </w:r>
      <w:r w:rsidRPr="00364C3B">
        <w:t xml:space="preserve">, all schools have a legal duty to safeguard and promote the welfare of children. This duty includes creating a safe learning environment, making appropriate </w:t>
      </w:r>
      <w:r w:rsidRPr="00364C3B">
        <w:lastRenderedPageBreak/>
        <w:t xml:space="preserve">referrals to social care, and ensuring that all staff are trained in safeguarding practices. The statutory guidance </w:t>
      </w:r>
      <w:r>
        <w:t>‘</w:t>
      </w:r>
      <w:r w:rsidRPr="00364C3B">
        <w:t>Keeping Children Safe in Educatio</w:t>
      </w:r>
      <w:r w:rsidR="00051ABB">
        <w:t>n</w:t>
      </w:r>
      <w:r>
        <w:rPr>
          <w:rStyle w:val="EndnoteReference"/>
        </w:rPr>
        <w:endnoteReference w:id="32"/>
      </w:r>
      <w:r w:rsidRPr="00364C3B">
        <w:t xml:space="preserve"> </w:t>
      </w:r>
      <w:r w:rsidR="00364C3B" w:rsidRPr="00364C3B">
        <w:t>emphasises that safeguarding is everyone’s responsibility and clearly outlines the roles of schools and staff in fulfilling this duty.</w:t>
      </w:r>
    </w:p>
    <w:p w14:paraId="7DB6F845" w14:textId="176BED6A" w:rsidR="00364C3B" w:rsidRDefault="00364C3B" w:rsidP="00364C3B">
      <w:r w:rsidRPr="00364C3B">
        <w:t xml:space="preserve">In Tower Hamlets, children and young people with SEND are recognised as being more vulnerable to abuse and neglect. However, when engaging with the safeguarding team, there is limited visibility of whether a child or young person has SEND needs. While stakeholders generally demonstrate a good understanding of SEND, a more differentiated approach is </w:t>
      </w:r>
      <w:r w:rsidR="00D544AF">
        <w:t>recognised as critical</w:t>
      </w:r>
      <w:r w:rsidRPr="00364C3B">
        <w:t xml:space="preserve"> to ensure safeguarding practices are adapted appropriately to meet the needs of this vulnerable group</w:t>
      </w:r>
      <w:r w:rsidR="00D544AF">
        <w:t xml:space="preserve">, </w:t>
      </w:r>
      <w:r w:rsidRPr="00364C3B">
        <w:t>ultimately optimising child safety.</w:t>
      </w:r>
    </w:p>
    <w:p w14:paraId="41609E77" w14:textId="7DB95E8E" w:rsidR="001328A3" w:rsidRDefault="0030660E" w:rsidP="00F469F9">
      <w:pPr>
        <w:pStyle w:val="Heading5"/>
      </w:pPr>
      <w:r w:rsidRPr="00C97599">
        <w:t>Local s</w:t>
      </w:r>
      <w:r w:rsidR="007F3001" w:rsidRPr="00C97599">
        <w:t>afeguarding</w:t>
      </w:r>
      <w:r w:rsidRPr="00C97599">
        <w:t xml:space="preserve"> s</w:t>
      </w:r>
      <w:r w:rsidR="007F3001" w:rsidRPr="00C97599">
        <w:t xml:space="preserve">ervices and </w:t>
      </w:r>
      <w:r w:rsidRPr="00C97599">
        <w:t>s</w:t>
      </w:r>
      <w:r w:rsidR="007F3001" w:rsidRPr="00C97599">
        <w:t>upport</w:t>
      </w:r>
    </w:p>
    <w:p w14:paraId="3DC477B1" w14:textId="093DB439" w:rsidR="00E110A6" w:rsidRPr="00E110A6" w:rsidRDefault="00E110A6" w:rsidP="00E110A6">
      <w:r>
        <w:t>The following safeguarding services and support are available within Tower Hamlets:</w:t>
      </w:r>
    </w:p>
    <w:p w14:paraId="224D634E" w14:textId="159A299C" w:rsidR="008214BE" w:rsidRPr="008214BE" w:rsidRDefault="008214BE" w:rsidP="00BF63ED">
      <w:pPr>
        <w:pStyle w:val="ListParagraph"/>
        <w:numPr>
          <w:ilvl w:val="0"/>
          <w:numId w:val="51"/>
        </w:numPr>
      </w:pPr>
      <w:r w:rsidRPr="00E110A6">
        <w:rPr>
          <w:b/>
          <w:bCs/>
        </w:rPr>
        <w:t xml:space="preserve">Tower Hamlets Safeguarding Children Partnership: </w:t>
      </w:r>
      <w:r>
        <w:t>A statutory body responsible for coordinating local work to safeguard and promote the welfare of children. Led by the three statutory safeguarding partners (Local Authority, Health and Police) and work with a wide range of organisations to keep children safe.</w:t>
      </w:r>
    </w:p>
    <w:p w14:paraId="6F5F6347" w14:textId="73A1D3F5" w:rsidR="00364C3B" w:rsidRDefault="00364C3B" w:rsidP="00BF63ED">
      <w:pPr>
        <w:pStyle w:val="ListParagraph"/>
        <w:numPr>
          <w:ilvl w:val="0"/>
          <w:numId w:val="51"/>
        </w:numPr>
      </w:pPr>
      <w:r w:rsidRPr="00E110A6">
        <w:rPr>
          <w:b/>
          <w:bCs/>
        </w:rPr>
        <w:t>The Multi-Agency Safeguarding Team (MAST)</w:t>
      </w:r>
      <w:r w:rsidR="007F3001">
        <w:t>:</w:t>
      </w:r>
      <w:r w:rsidRPr="00364C3B">
        <w:t xml:space="preserve"> </w:t>
      </w:r>
      <w:r w:rsidR="007F3001">
        <w:t xml:space="preserve">This team </w:t>
      </w:r>
      <w:r w:rsidRPr="00364C3B">
        <w:t>brings together professionals from various agencies to share information and identify risks to children at the earliest possible stage. This service is available to schools, children's centres, education support staff, parents/carers, pupils, and voluntary/community organisations.</w:t>
      </w:r>
    </w:p>
    <w:p w14:paraId="547FE760" w14:textId="27B3EEBE" w:rsidR="006226AD" w:rsidRPr="00364C3B" w:rsidRDefault="006226AD" w:rsidP="00BF63ED">
      <w:pPr>
        <w:pStyle w:val="ListParagraph"/>
        <w:numPr>
          <w:ilvl w:val="0"/>
          <w:numId w:val="51"/>
        </w:numPr>
      </w:pPr>
      <w:r w:rsidRPr="00E110A6">
        <w:rPr>
          <w:b/>
          <w:bCs/>
        </w:rPr>
        <w:t>MAST Early help and children and families’ services:</w:t>
      </w:r>
      <w:r>
        <w:t xml:space="preserve"> A single point of access for the public and all those working with children, young people and their families within the local community, offering advice and recommending support across a variety of issues (</w:t>
      </w:r>
      <w:r w:rsidR="00ED3825">
        <w:t>i.e</w:t>
      </w:r>
      <w:r>
        <w:t>.</w:t>
      </w:r>
      <w:r w:rsidR="00ED3825">
        <w:t>,</w:t>
      </w:r>
      <w:r>
        <w:t xml:space="preserve"> </w:t>
      </w:r>
      <w:r w:rsidR="00ED3825">
        <w:t>h</w:t>
      </w:r>
      <w:r>
        <w:t>ousing problems, drug or alcohol addiction).</w:t>
      </w:r>
    </w:p>
    <w:p w14:paraId="63B3D18C" w14:textId="77777777" w:rsidR="004E04E1" w:rsidRPr="004D664B" w:rsidRDefault="004E04E1" w:rsidP="00763568">
      <w:pPr>
        <w:pStyle w:val="Heading3"/>
        <w:rPr>
          <w:color w:val="006B70"/>
        </w:rPr>
      </w:pPr>
      <w:bookmarkStart w:id="93" w:name="_Toc205386886"/>
      <w:bookmarkStart w:id="94" w:name="_Toc205387956"/>
      <w:bookmarkStart w:id="95" w:name="_Toc205445967"/>
      <w:r w:rsidRPr="004D664B">
        <w:rPr>
          <w:color w:val="006B70"/>
        </w:rPr>
        <w:t>Education insights</w:t>
      </w:r>
      <w:bookmarkEnd w:id="93"/>
      <w:bookmarkEnd w:id="94"/>
      <w:bookmarkEnd w:id="95"/>
    </w:p>
    <w:p w14:paraId="047ADC14" w14:textId="2708232C" w:rsidR="004E04E1" w:rsidRDefault="004E04E1" w:rsidP="00E86074">
      <w:r w:rsidRPr="00F53649">
        <w:t xml:space="preserve">Significant efforts were made to engage with schools, head teachers, and wider teaching staff within Tower Hamlets; however, </w:t>
      </w:r>
      <w:r>
        <w:t xml:space="preserve">within the timeline of the JSNA, </w:t>
      </w:r>
      <w:r w:rsidRPr="00F53649">
        <w:t>responses were limited</w:t>
      </w:r>
      <w:r>
        <w:t>. Continued engagement with schools and the importance of this to help shape a holistic understanding and strategy towards support for children and young people with SEND has been noted within the recommendations.  Further insights have been developed through stakeholder engagement</w:t>
      </w:r>
      <w:r w:rsidR="00E63EBF">
        <w:t>:</w:t>
      </w:r>
    </w:p>
    <w:p w14:paraId="7859942C" w14:textId="3CDAA4D3" w:rsidR="004E04E1" w:rsidRDefault="004E04E1" w:rsidP="00BF63ED">
      <w:pPr>
        <w:pStyle w:val="ListParagraph"/>
        <w:numPr>
          <w:ilvl w:val="0"/>
          <w:numId w:val="48"/>
        </w:numPr>
      </w:pPr>
      <w:r w:rsidRPr="00E63EBF">
        <w:rPr>
          <w:b/>
          <w:bCs/>
        </w:rPr>
        <w:t>Waiting lists:</w:t>
      </w:r>
      <w:r>
        <w:t xml:space="preserve"> Whilst specialist schools were seen as strong, it was felt that there were not enough provisions for pupils with complex SEN. Long waiting lists for specialised schools were observed, and when the need is urgent, this is acutely felt by parents / carers, and children and young people. It is sometimes the case that the specialist school provision isn’t necessarily the right fit for the young person and consequently, outcomes may not necessarily be met.</w:t>
      </w:r>
      <w:r w:rsidR="006651AC">
        <w:t xml:space="preserve"> </w:t>
      </w:r>
      <w:r w:rsidR="004921CD" w:rsidRPr="004921CD">
        <w:t xml:space="preserve">Additionally, it is acknowledged that all specialist schools face capacity constraints, with little to no ability to expand. This presents a critical challenge, especially </w:t>
      </w:r>
      <w:r w:rsidR="003846A3" w:rsidRPr="004921CD">
        <w:t>considering</w:t>
      </w:r>
      <w:r w:rsidR="004921CD" w:rsidRPr="004921CD">
        <w:t xml:space="preserve"> the increasing number of assessments and diagnoses being made.</w:t>
      </w:r>
      <w:r w:rsidR="006651AC">
        <w:t xml:space="preserve"> </w:t>
      </w:r>
    </w:p>
    <w:p w14:paraId="1F9662EF" w14:textId="77777777" w:rsidR="004E04E1" w:rsidRDefault="004E04E1" w:rsidP="00BF63ED">
      <w:pPr>
        <w:pStyle w:val="ListParagraph"/>
        <w:numPr>
          <w:ilvl w:val="0"/>
          <w:numId w:val="48"/>
        </w:numPr>
      </w:pPr>
      <w:r w:rsidRPr="00E63EBF">
        <w:rPr>
          <w:b/>
          <w:bCs/>
        </w:rPr>
        <w:lastRenderedPageBreak/>
        <w:t>Accessibility to speech and language provisions:</w:t>
      </w:r>
      <w:r>
        <w:t xml:space="preserve"> This </w:t>
      </w:r>
      <w:proofErr w:type="gramStart"/>
      <w:r>
        <w:t>was considered to be</w:t>
      </w:r>
      <w:proofErr w:type="gramEnd"/>
      <w:r>
        <w:t xml:space="preserve"> strong and provided a good source of support to the child or young person, as well as reassurance for the parent or carer. However, capacity and availability remained a central challenge. </w:t>
      </w:r>
    </w:p>
    <w:p w14:paraId="4D61AF2C" w14:textId="77DF94F6" w:rsidR="003400BB" w:rsidRDefault="003400BB" w:rsidP="00BF63ED">
      <w:pPr>
        <w:pStyle w:val="ListParagraph"/>
        <w:numPr>
          <w:ilvl w:val="0"/>
          <w:numId w:val="48"/>
        </w:numPr>
      </w:pPr>
      <w:r w:rsidRPr="00E63EBF">
        <w:rPr>
          <w:b/>
          <w:bCs/>
        </w:rPr>
        <w:t xml:space="preserve">Attendance rates in </w:t>
      </w:r>
      <w:r w:rsidR="008A237D" w:rsidRPr="00E63EBF">
        <w:rPr>
          <w:b/>
          <w:bCs/>
        </w:rPr>
        <w:t>secondary schools:</w:t>
      </w:r>
      <w:r w:rsidR="008A237D">
        <w:t xml:space="preserve"> </w:t>
      </w:r>
      <w:r w:rsidR="00004EE8" w:rsidRPr="00004EE8">
        <w:t>Strong partnership approaches have been instrumental in supporting good attendance rates in secondary schools, with a combination of resources and support services contributing to this success. However, there are still opportunities to strengthen these partnerships and strategies in the primary years to ensure consistent attendance from an early age.</w:t>
      </w:r>
    </w:p>
    <w:p w14:paraId="2DC452C4" w14:textId="0B215159" w:rsidR="000857D8" w:rsidRDefault="004E04E1" w:rsidP="00BF63ED">
      <w:pPr>
        <w:pStyle w:val="ListParagraph"/>
        <w:numPr>
          <w:ilvl w:val="0"/>
          <w:numId w:val="48"/>
        </w:numPr>
      </w:pPr>
      <w:r w:rsidRPr="00E63EBF">
        <w:rPr>
          <w:b/>
          <w:bCs/>
        </w:rPr>
        <w:t>Independent schools:</w:t>
      </w:r>
      <w:r>
        <w:t xml:space="preserve"> </w:t>
      </w:r>
      <w:r w:rsidR="00B21B5B" w:rsidRPr="00B21B5B">
        <w:t xml:space="preserve">It is acknowledged that independent schools are generally less equipped to support children and young people with additional needs. There </w:t>
      </w:r>
      <w:proofErr w:type="gramStart"/>
      <w:r w:rsidR="00B21B5B" w:rsidRPr="00B21B5B">
        <w:t>is</w:t>
      </w:r>
      <w:proofErr w:type="gramEnd"/>
      <w:r w:rsidR="00B21B5B" w:rsidRPr="00B21B5B">
        <w:t xml:space="preserve"> often limited understanding of these needs and a lack of appropriate support provision. As a result, children and young people who perform well academically but have social or emotional difficulties may not be identified for additional support in these settings.</w:t>
      </w:r>
    </w:p>
    <w:p w14:paraId="21867898" w14:textId="77777777" w:rsidR="004E04E1" w:rsidRDefault="004E04E1" w:rsidP="00BF63ED">
      <w:pPr>
        <w:pStyle w:val="ListParagraph"/>
        <w:numPr>
          <w:ilvl w:val="0"/>
          <w:numId w:val="48"/>
        </w:numPr>
      </w:pPr>
      <w:r w:rsidRPr="00E63EBF">
        <w:rPr>
          <w:b/>
          <w:bCs/>
        </w:rPr>
        <w:t>Fair access arrangements:</w:t>
      </w:r>
      <w:r>
        <w:t xml:space="preserve"> Stakeholders spoke of strong partnerships with all schools, enabling support to children when things are not working as they should, i.e., through a transfer to another school.</w:t>
      </w:r>
    </w:p>
    <w:p w14:paraId="07DF66BA" w14:textId="2E3939D1" w:rsidR="00FA7F0C" w:rsidRPr="00E63EBF" w:rsidRDefault="004E04E1" w:rsidP="00BF63ED">
      <w:pPr>
        <w:pStyle w:val="ListParagraph"/>
        <w:numPr>
          <w:ilvl w:val="0"/>
          <w:numId w:val="48"/>
        </w:numPr>
        <w:rPr>
          <w:vertAlign w:val="superscript"/>
        </w:rPr>
      </w:pPr>
      <w:r w:rsidRPr="00E63EBF">
        <w:rPr>
          <w:b/>
          <w:bCs/>
        </w:rPr>
        <w:t>Exclusions:</w:t>
      </w:r>
      <w:r>
        <w:t xml:space="preserve"> Whilst it is observed Tower Hamlets performs well in this area, increases in exclusions have been acknowledged within the latest national data and continue to indicate that there is a disproportionate impact </w:t>
      </w:r>
      <w:r w:rsidR="000857D8">
        <w:t>on children and young people with SEN</w:t>
      </w:r>
    </w:p>
    <w:p w14:paraId="794ACC22" w14:textId="1F7D4070" w:rsidR="00A5053C" w:rsidRDefault="004E04E1" w:rsidP="00763568">
      <w:r>
        <w:t>Additional</w:t>
      </w:r>
      <w:r w:rsidRPr="00801746">
        <w:t xml:space="preserve"> insights and research related to education</w:t>
      </w:r>
      <w:r>
        <w:t xml:space="preserve"> which are </w:t>
      </w:r>
      <w:r w:rsidRPr="00801746">
        <w:t>captured across individual categories of need and from the perspectives of parents, carers, and children and young people with SEND</w:t>
      </w:r>
      <w:r>
        <w:t xml:space="preserve">, </w:t>
      </w:r>
      <w:r w:rsidRPr="00801746">
        <w:t>help to build a more comprehensive and contextualised picture of the educational landscape in Tower Hamlets.</w:t>
      </w:r>
    </w:p>
    <w:p w14:paraId="5A76EA64" w14:textId="77777777" w:rsidR="004E04E1" w:rsidRPr="004D664B" w:rsidRDefault="004E04E1" w:rsidP="007D42EA">
      <w:pPr>
        <w:pStyle w:val="Heading3"/>
        <w:rPr>
          <w:color w:val="006B70"/>
        </w:rPr>
      </w:pPr>
      <w:bookmarkStart w:id="96" w:name="_Toc205386887"/>
      <w:bookmarkStart w:id="97" w:name="_Toc205387957"/>
      <w:bookmarkStart w:id="98" w:name="_Toc205445968"/>
      <w:r w:rsidRPr="004D664B">
        <w:rPr>
          <w:color w:val="006B70"/>
        </w:rPr>
        <w:t>Recommendations</w:t>
      </w:r>
      <w:bookmarkEnd w:id="96"/>
      <w:bookmarkEnd w:id="97"/>
      <w:bookmarkEnd w:id="98"/>
    </w:p>
    <w:p w14:paraId="3FA0605B" w14:textId="66438E63" w:rsidR="00F90B66" w:rsidRPr="00F90B66" w:rsidRDefault="00F90B66" w:rsidP="00F90B66">
      <w:r>
        <w:t xml:space="preserve">Following analysis, </w:t>
      </w:r>
      <w:r w:rsidRPr="00F90B66">
        <w:t>the following recommendations are presented to guide future actions and decision-making</w:t>
      </w:r>
      <w:r>
        <w:t xml:space="preserve"> for children and young people with SEND in education:</w:t>
      </w:r>
    </w:p>
    <w:p w14:paraId="27872E95" w14:textId="77777777" w:rsidR="00FF193D" w:rsidRDefault="00FF193D" w:rsidP="00FF193D">
      <w:pPr>
        <w:pStyle w:val="ListParagraph"/>
        <w:numPr>
          <w:ilvl w:val="0"/>
          <w:numId w:val="47"/>
        </w:numPr>
      </w:pPr>
      <w:r w:rsidRPr="00F90B66">
        <w:rPr>
          <w:b/>
          <w:bCs/>
        </w:rPr>
        <w:t>School readiness:</w:t>
      </w:r>
      <w:r>
        <w:t xml:space="preserve"> </w:t>
      </w:r>
      <w:r w:rsidRPr="00FF4AF5">
        <w:t>School readiness should remain a high priority for the borough, as the early years present a critical window to influence and shape the long-term health and wellbeing outcomes of children and young people with SEND.</w:t>
      </w:r>
    </w:p>
    <w:p w14:paraId="1F0AD9BE" w14:textId="34904AD0" w:rsidR="004E04E1" w:rsidRDefault="004E04E1" w:rsidP="00BF63ED">
      <w:pPr>
        <w:pStyle w:val="ListParagraph"/>
        <w:numPr>
          <w:ilvl w:val="0"/>
          <w:numId w:val="47"/>
        </w:numPr>
      </w:pPr>
      <w:r w:rsidRPr="00F90B66">
        <w:rPr>
          <w:b/>
          <w:bCs/>
        </w:rPr>
        <w:t>Strengthen attendance support:</w:t>
      </w:r>
      <w:r>
        <w:t xml:space="preserve"> </w:t>
      </w:r>
      <w:r w:rsidRPr="00117462">
        <w:t>Tower Hamlets has high persistent absence rates among SEND pupils in primary and special schools. A targeted attendance improvement strategy</w:t>
      </w:r>
      <w:r>
        <w:t xml:space="preserve">, </w:t>
      </w:r>
      <w:r w:rsidRPr="00117462">
        <w:t>possibly involving family outreach workers and flexible support plans</w:t>
      </w:r>
      <w:r>
        <w:t xml:space="preserve"> </w:t>
      </w:r>
      <w:r w:rsidRPr="00117462">
        <w:t>could reduce absenteeism and its long-term impact on learning outcomes.</w:t>
      </w:r>
      <w:r w:rsidR="00874A69">
        <w:t xml:space="preserve"> </w:t>
      </w:r>
    </w:p>
    <w:p w14:paraId="1AD1C40D" w14:textId="1F7D75FD" w:rsidR="00FF193D" w:rsidRDefault="00FF193D" w:rsidP="00FF193D">
      <w:pPr>
        <w:pStyle w:val="ListParagraph"/>
        <w:numPr>
          <w:ilvl w:val="0"/>
          <w:numId w:val="47"/>
        </w:numPr>
      </w:pPr>
      <w:r w:rsidRPr="00F90B66">
        <w:rPr>
          <w:b/>
          <w:bCs/>
        </w:rPr>
        <w:t>Strengthen mainstream SEND support:</w:t>
      </w:r>
      <w:r>
        <w:t xml:space="preserve"> </w:t>
      </w:r>
      <w:r w:rsidRPr="00C605F1">
        <w:t>Phoenix has provided valuable expertise to several mainstream schools across the borough, helping them develop more specialised support for pupils with SEND. Given the rising levels of need and the limited capacity within specialist schools, these initiatives should be expanded and strategically leveraged to make mainstream education more accessible and inclusive for children and young people with SEND.</w:t>
      </w:r>
      <w:r>
        <w:t xml:space="preserve"> It should be expected that all classrooms </w:t>
      </w:r>
      <w:r w:rsidR="009B3064">
        <w:t>include</w:t>
      </w:r>
      <w:r>
        <w:t xml:space="preserve"> neurodivergent children.</w:t>
      </w:r>
    </w:p>
    <w:p w14:paraId="351D6134" w14:textId="77777777" w:rsidR="00FF193D" w:rsidRDefault="00FF193D" w:rsidP="00FF193D">
      <w:pPr>
        <w:pStyle w:val="ListParagraph"/>
        <w:numPr>
          <w:ilvl w:val="0"/>
          <w:numId w:val="47"/>
        </w:numPr>
      </w:pPr>
      <w:r w:rsidRPr="00F90B66">
        <w:rPr>
          <w:b/>
          <w:bCs/>
        </w:rPr>
        <w:lastRenderedPageBreak/>
        <w:t>Monitoring and mitigation:</w:t>
      </w:r>
      <w:r>
        <w:t xml:space="preserve"> </w:t>
      </w:r>
      <w:r w:rsidRPr="007D40D8">
        <w:t>While Tower Hamlets performs well in minimi</w:t>
      </w:r>
      <w:r>
        <w:t>s</w:t>
      </w:r>
      <w:r w:rsidRPr="007D40D8">
        <w:t xml:space="preserve">ing exclusions, recent national trends </w:t>
      </w:r>
      <w:r>
        <w:t>indicate both suspensions and exclusions are increasing</w:t>
      </w:r>
      <w:r>
        <w:rPr>
          <w:rStyle w:val="EndnoteReference"/>
        </w:rPr>
        <w:endnoteReference w:id="33"/>
      </w:r>
      <w:r>
        <w:t xml:space="preserve">. Both can impact on academic, social and emotional wellbeing. </w:t>
      </w:r>
      <w:r w:rsidRPr="007D40D8">
        <w:t>Ongoing monitoring and targeted support for schools with higher exclusion rates</w:t>
      </w:r>
      <w:r>
        <w:t xml:space="preserve">, </w:t>
      </w:r>
      <w:r w:rsidRPr="007D40D8">
        <w:t>especially for pupils with social, emotional, and mental health needs</w:t>
      </w:r>
      <w:r>
        <w:t xml:space="preserve"> </w:t>
      </w:r>
      <w:r w:rsidRPr="007D40D8">
        <w:t>can help sustain equitable outcomes.</w:t>
      </w:r>
    </w:p>
    <w:p w14:paraId="3EC5A232" w14:textId="77777777" w:rsidR="00B0137D" w:rsidRDefault="00B0137D" w:rsidP="00B0137D">
      <w:pPr>
        <w:pStyle w:val="ListParagraph"/>
        <w:numPr>
          <w:ilvl w:val="0"/>
          <w:numId w:val="47"/>
        </w:numPr>
      </w:pPr>
      <w:r w:rsidRPr="00F90B66">
        <w:rPr>
          <w:b/>
        </w:rPr>
        <w:t>Independent Schools:</w:t>
      </w:r>
      <w:r w:rsidRPr="00BA562C">
        <w:t xml:space="preserve"> It is important to review how independent schools identify children and young people with SEND. In addition, there should be a clear process for assessing the capability of newly established schools to identify students with SEND as part of their registration and quality assurance procedures.</w:t>
      </w:r>
    </w:p>
    <w:p w14:paraId="7E501893" w14:textId="77777777" w:rsidR="004E04E1" w:rsidRDefault="004E04E1" w:rsidP="00BF63ED">
      <w:pPr>
        <w:pStyle w:val="ListParagraph"/>
        <w:numPr>
          <w:ilvl w:val="0"/>
          <w:numId w:val="47"/>
        </w:numPr>
      </w:pPr>
      <w:r w:rsidRPr="00F90B66">
        <w:rPr>
          <w:b/>
          <w:bCs/>
        </w:rPr>
        <w:t>Post-16 support pathway:</w:t>
      </w:r>
      <w:r>
        <w:t xml:space="preserve"> </w:t>
      </w:r>
      <w:r w:rsidRPr="00117462">
        <w:t xml:space="preserve">Though GCSE results are strong, lower Key Stage 5 outcomes suggest the need for improved academic and vocational pathways for SEND learners. This could include better tailored college support, inclusive apprenticeships, and </w:t>
      </w:r>
      <w:r>
        <w:t xml:space="preserve">revisiting </w:t>
      </w:r>
      <w:r w:rsidRPr="00117462">
        <w:t>transition</w:t>
      </w:r>
      <w:r>
        <w:t>al</w:t>
      </w:r>
      <w:r w:rsidRPr="00117462">
        <w:t xml:space="preserve"> planning for young people working below Level 3.</w:t>
      </w:r>
    </w:p>
    <w:p w14:paraId="61CBB556" w14:textId="662B66E4" w:rsidR="004E04E1" w:rsidRPr="00117462" w:rsidRDefault="004E04E1" w:rsidP="00BF63ED">
      <w:pPr>
        <w:pStyle w:val="ListParagraph"/>
        <w:numPr>
          <w:ilvl w:val="0"/>
          <w:numId w:val="47"/>
        </w:numPr>
      </w:pPr>
      <w:r w:rsidRPr="00F90B66">
        <w:rPr>
          <w:b/>
          <w:bCs/>
        </w:rPr>
        <w:t>Post-19 transitions:</w:t>
      </w:r>
      <w:r>
        <w:t xml:space="preserve"> </w:t>
      </w:r>
      <w:r w:rsidRPr="006C4E5D">
        <w:t>With Tower Hamlets ranking 3rd in England for EHCP holders aged 20–25, there</w:t>
      </w:r>
      <w:r w:rsidR="008762FB">
        <w:t xml:space="preserve"> i</w:t>
      </w:r>
      <w:r w:rsidRPr="006C4E5D">
        <w:t>s a need for a clear multi-agency transition strategy that supports education, employment, and independent living outcomes for young adults with SEND.</w:t>
      </w:r>
    </w:p>
    <w:p w14:paraId="364FF9A1" w14:textId="5D775CF0" w:rsidR="004E04E1" w:rsidRPr="004D664B" w:rsidRDefault="004E04E1" w:rsidP="00216310">
      <w:pPr>
        <w:pStyle w:val="Heading3"/>
        <w:rPr>
          <w:color w:val="006B70"/>
        </w:rPr>
      </w:pPr>
      <w:bookmarkStart w:id="99" w:name="_Toc211413930"/>
      <w:bookmarkStart w:id="100" w:name="_Toc211439789"/>
      <w:bookmarkStart w:id="101" w:name="_Toc211413931"/>
      <w:bookmarkStart w:id="102" w:name="_Toc211439790"/>
      <w:bookmarkStart w:id="103" w:name="_Toc211413932"/>
      <w:bookmarkStart w:id="104" w:name="_Toc211439791"/>
      <w:bookmarkStart w:id="105" w:name="_Toc211413933"/>
      <w:bookmarkStart w:id="106" w:name="_Toc211439792"/>
      <w:bookmarkStart w:id="107" w:name="_Toc205386888"/>
      <w:bookmarkStart w:id="108" w:name="_Toc205387958"/>
      <w:bookmarkStart w:id="109" w:name="_Toc205445969"/>
      <w:bookmarkEnd w:id="99"/>
      <w:bookmarkEnd w:id="100"/>
      <w:bookmarkEnd w:id="101"/>
      <w:bookmarkEnd w:id="102"/>
      <w:bookmarkEnd w:id="103"/>
      <w:bookmarkEnd w:id="104"/>
      <w:bookmarkEnd w:id="105"/>
      <w:bookmarkEnd w:id="106"/>
      <w:r w:rsidRPr="004D664B">
        <w:rPr>
          <w:color w:val="006B70"/>
        </w:rPr>
        <w:t>Summary</w:t>
      </w:r>
      <w:bookmarkEnd w:id="107"/>
      <w:bookmarkEnd w:id="108"/>
      <w:bookmarkEnd w:id="109"/>
    </w:p>
    <w:p w14:paraId="35287819" w14:textId="54A2CC60" w:rsidR="004E04E1" w:rsidRPr="0013647A" w:rsidRDefault="004E04E1" w:rsidP="00E86074">
      <w:pPr>
        <w:rPr>
          <w:lang w:val="en-US"/>
        </w:rPr>
      </w:pPr>
      <w:r w:rsidRPr="00796F36">
        <w:t xml:space="preserve">Tower Hamlets demonstrates significant strengths in its early identification and support systems for children and young people with SEND, reflected in high screening coverage, proactive investment in early years pathways, and above-average educational outcomes in several key stages. However, persistent challenges remain. Local children continue to present higher rates of speech, language, and communication needs, as well as rising numbers of complex cases requiring </w:t>
      </w:r>
      <w:r w:rsidR="00F82B8C">
        <w:t>EHCPs</w:t>
      </w:r>
      <w:r w:rsidRPr="00796F36">
        <w:t>, particularly in the early years. Attendance and persistent absence remain areas of concern, especially in primary and special schools, while lower attainment at Key Stage 5 suggests barriers to sustaining progress into further education. The borough’s diverse linguistic profile also intersects with SEND needs, increasing demand for specialist support. As more young people with SEND remain in education into adulthood, planning for transition and adult services will be critical to ensure that gains achieved in earlier years are maintained and that no young person is left behind.</w:t>
      </w:r>
    </w:p>
    <w:p w14:paraId="7F664E0B" w14:textId="77777777" w:rsidR="009B07CA" w:rsidRDefault="009B07CA">
      <w:pPr>
        <w:spacing w:before="0" w:after="160" w:line="278" w:lineRule="auto"/>
        <w:jc w:val="left"/>
        <w:rPr>
          <w:b/>
          <w:bCs/>
          <w:color w:val="00435D"/>
          <w:sz w:val="44"/>
          <w:szCs w:val="36"/>
        </w:rPr>
      </w:pPr>
      <w:bookmarkStart w:id="110" w:name="_Toc211414156"/>
      <w:r>
        <w:br w:type="page"/>
      </w:r>
    </w:p>
    <w:p w14:paraId="23818033" w14:textId="327EA807" w:rsidR="004E04E1" w:rsidRPr="005E267D" w:rsidRDefault="004E04E1" w:rsidP="005E267D">
      <w:pPr>
        <w:pStyle w:val="Heading2"/>
      </w:pPr>
      <w:bookmarkStart w:id="111" w:name="_Toc211440055"/>
      <w:r w:rsidRPr="005E267D">
        <w:lastRenderedPageBreak/>
        <w:t>Communication and Interaction: Autism Spectrum Disorder</w:t>
      </w:r>
      <w:r w:rsidR="00B737F7">
        <w:t xml:space="preserve"> (ASD)</w:t>
      </w:r>
      <w:bookmarkEnd w:id="110"/>
      <w:bookmarkEnd w:id="111"/>
    </w:p>
    <w:p w14:paraId="3A1FF347" w14:textId="6D2E3B54" w:rsidR="004E04E1" w:rsidRPr="00B7244E" w:rsidRDefault="004E04E1" w:rsidP="00B7244E">
      <w:r w:rsidRPr="00B7244E">
        <w:rPr>
          <w:w w:val="105"/>
        </w:rPr>
        <w:t>According to the National Autistic Society, ASD is a neurological and developmental disability that affects how people communicate and interact</w:t>
      </w:r>
      <w:r w:rsidRPr="00B7244E">
        <w:rPr>
          <w:spacing w:val="-7"/>
          <w:w w:val="105"/>
        </w:rPr>
        <w:t xml:space="preserve"> </w:t>
      </w:r>
      <w:r w:rsidRPr="00B7244E">
        <w:rPr>
          <w:w w:val="105"/>
        </w:rPr>
        <w:t>with</w:t>
      </w:r>
      <w:r w:rsidRPr="00B7244E">
        <w:rPr>
          <w:spacing w:val="-6"/>
          <w:w w:val="105"/>
        </w:rPr>
        <w:t xml:space="preserve"> </w:t>
      </w:r>
      <w:r w:rsidRPr="00B7244E">
        <w:rPr>
          <w:w w:val="105"/>
        </w:rPr>
        <w:t>the</w:t>
      </w:r>
      <w:r w:rsidRPr="00B7244E">
        <w:rPr>
          <w:spacing w:val="-8"/>
          <w:w w:val="105"/>
        </w:rPr>
        <w:t xml:space="preserve"> </w:t>
      </w:r>
      <w:r w:rsidRPr="00B7244E">
        <w:rPr>
          <w:w w:val="105"/>
        </w:rPr>
        <w:t>world</w:t>
      </w:r>
      <w:r w:rsidRPr="00B7244E">
        <w:rPr>
          <w:spacing w:val="-12"/>
          <w:w w:val="105"/>
        </w:rPr>
        <w:t xml:space="preserve"> </w:t>
      </w:r>
      <w:r w:rsidRPr="00B7244E">
        <w:rPr>
          <w:w w:val="105"/>
        </w:rPr>
        <w:t>around</w:t>
      </w:r>
      <w:r w:rsidRPr="00B7244E">
        <w:rPr>
          <w:spacing w:val="-10"/>
          <w:w w:val="105"/>
        </w:rPr>
        <w:t xml:space="preserve"> </w:t>
      </w:r>
      <w:r w:rsidRPr="00B7244E">
        <w:rPr>
          <w:w w:val="105"/>
        </w:rPr>
        <w:t>them.</w:t>
      </w:r>
      <w:r w:rsidRPr="00B7244E">
        <w:rPr>
          <w:spacing w:val="-10"/>
          <w:w w:val="105"/>
        </w:rPr>
        <w:t xml:space="preserve"> </w:t>
      </w:r>
      <w:r w:rsidRPr="00B7244E">
        <w:rPr>
          <w:w w:val="105"/>
        </w:rPr>
        <w:t>The</w:t>
      </w:r>
      <w:r w:rsidRPr="00B7244E">
        <w:rPr>
          <w:spacing w:val="-9"/>
          <w:w w:val="105"/>
        </w:rPr>
        <w:t xml:space="preserve"> </w:t>
      </w:r>
      <w:r w:rsidRPr="00B7244E">
        <w:rPr>
          <w:w w:val="105"/>
        </w:rPr>
        <w:t>effects</w:t>
      </w:r>
      <w:r w:rsidRPr="00B7244E">
        <w:rPr>
          <w:spacing w:val="-10"/>
          <w:w w:val="105"/>
        </w:rPr>
        <w:t xml:space="preserve"> </w:t>
      </w:r>
      <w:r w:rsidRPr="00B7244E">
        <w:rPr>
          <w:w w:val="105"/>
        </w:rPr>
        <w:t>and</w:t>
      </w:r>
      <w:r w:rsidRPr="00B7244E">
        <w:rPr>
          <w:spacing w:val="-10"/>
          <w:w w:val="105"/>
        </w:rPr>
        <w:t xml:space="preserve"> </w:t>
      </w:r>
      <w:r w:rsidRPr="00B7244E">
        <w:rPr>
          <w:w w:val="105"/>
        </w:rPr>
        <w:t>severity</w:t>
      </w:r>
      <w:r w:rsidRPr="00B7244E">
        <w:rPr>
          <w:spacing w:val="-8"/>
          <w:w w:val="105"/>
        </w:rPr>
        <w:t xml:space="preserve"> </w:t>
      </w:r>
      <w:r w:rsidRPr="00B7244E">
        <w:rPr>
          <w:w w:val="105"/>
        </w:rPr>
        <w:t>of</w:t>
      </w:r>
      <w:r w:rsidRPr="00B7244E">
        <w:rPr>
          <w:spacing w:val="-10"/>
          <w:w w:val="105"/>
        </w:rPr>
        <w:t xml:space="preserve"> </w:t>
      </w:r>
      <w:r w:rsidRPr="00B7244E">
        <w:rPr>
          <w:w w:val="105"/>
        </w:rPr>
        <w:t>symptoms</w:t>
      </w:r>
      <w:r w:rsidRPr="00B7244E">
        <w:rPr>
          <w:spacing w:val="-10"/>
          <w:w w:val="105"/>
        </w:rPr>
        <w:t xml:space="preserve"> </w:t>
      </w:r>
      <w:r w:rsidRPr="00B7244E">
        <w:rPr>
          <w:w w:val="105"/>
        </w:rPr>
        <w:t>vary</w:t>
      </w:r>
      <w:r w:rsidRPr="00B7244E">
        <w:rPr>
          <w:spacing w:val="-10"/>
          <w:w w:val="105"/>
        </w:rPr>
        <w:t xml:space="preserve"> </w:t>
      </w:r>
      <w:r w:rsidRPr="00B7244E">
        <w:rPr>
          <w:w w:val="105"/>
        </w:rPr>
        <w:t>widely across the spectrum.</w:t>
      </w:r>
    </w:p>
    <w:p w14:paraId="76C4C0F5" w14:textId="77777777" w:rsidR="004E04E1" w:rsidRDefault="004E04E1" w:rsidP="00B7244E">
      <w:r w:rsidRPr="00B7244E">
        <w:t>Although</w:t>
      </w:r>
      <w:r w:rsidRPr="00B7244E">
        <w:rPr>
          <w:spacing w:val="40"/>
        </w:rPr>
        <w:t xml:space="preserve"> </w:t>
      </w:r>
      <w:r w:rsidRPr="00B7244E">
        <w:t>autism</w:t>
      </w:r>
      <w:r w:rsidRPr="00B7244E">
        <w:rPr>
          <w:spacing w:val="40"/>
        </w:rPr>
        <w:t xml:space="preserve"> </w:t>
      </w:r>
      <w:r w:rsidRPr="00B7244E">
        <w:t>can</w:t>
      </w:r>
      <w:r w:rsidRPr="00B7244E">
        <w:rPr>
          <w:spacing w:val="40"/>
        </w:rPr>
        <w:t xml:space="preserve"> </w:t>
      </w:r>
      <w:r w:rsidRPr="00B7244E">
        <w:t>be</w:t>
      </w:r>
      <w:r w:rsidRPr="00B7244E">
        <w:rPr>
          <w:spacing w:val="40"/>
        </w:rPr>
        <w:t xml:space="preserve"> </w:t>
      </w:r>
      <w:r w:rsidRPr="00B7244E">
        <w:t>diagnosed</w:t>
      </w:r>
      <w:r w:rsidRPr="00B7244E">
        <w:rPr>
          <w:spacing w:val="40"/>
        </w:rPr>
        <w:t xml:space="preserve"> </w:t>
      </w:r>
      <w:r w:rsidRPr="00B7244E">
        <w:t>at</w:t>
      </w:r>
      <w:r w:rsidRPr="00B7244E">
        <w:rPr>
          <w:spacing w:val="40"/>
        </w:rPr>
        <w:t xml:space="preserve"> </w:t>
      </w:r>
      <w:r w:rsidRPr="00B7244E">
        <w:t>any</w:t>
      </w:r>
      <w:r w:rsidRPr="00B7244E">
        <w:rPr>
          <w:spacing w:val="40"/>
        </w:rPr>
        <w:t xml:space="preserve"> </w:t>
      </w:r>
      <w:r w:rsidRPr="00B7244E">
        <w:t>age,</w:t>
      </w:r>
      <w:r w:rsidRPr="00B7244E">
        <w:rPr>
          <w:spacing w:val="40"/>
        </w:rPr>
        <w:t xml:space="preserve"> </w:t>
      </w:r>
      <w:r w:rsidRPr="00B7244E">
        <w:t>symptoms</w:t>
      </w:r>
      <w:r w:rsidRPr="00B7244E">
        <w:rPr>
          <w:spacing w:val="40"/>
        </w:rPr>
        <w:t xml:space="preserve"> </w:t>
      </w:r>
      <w:r w:rsidRPr="00B7244E">
        <w:t>typically</w:t>
      </w:r>
      <w:r w:rsidRPr="00B7244E">
        <w:rPr>
          <w:spacing w:val="40"/>
        </w:rPr>
        <w:t xml:space="preserve"> </w:t>
      </w:r>
      <w:r w:rsidRPr="00B7244E">
        <w:t>emerge</w:t>
      </w:r>
      <w:r w:rsidRPr="00B7244E">
        <w:rPr>
          <w:spacing w:val="40"/>
        </w:rPr>
        <w:t xml:space="preserve"> </w:t>
      </w:r>
      <w:r w:rsidRPr="00B7244E">
        <w:t>within</w:t>
      </w:r>
      <w:r w:rsidRPr="00B7244E">
        <w:rPr>
          <w:spacing w:val="40"/>
        </w:rPr>
        <w:t xml:space="preserve"> </w:t>
      </w:r>
      <w:r w:rsidRPr="00B7244E">
        <w:t>the first two years of life, affecting approximately one in 100 people (WHO 2023).</w:t>
      </w:r>
    </w:p>
    <w:p w14:paraId="3456BA70" w14:textId="77777777" w:rsidR="004E04E1" w:rsidRPr="00D456B5" w:rsidRDefault="004E04E1" w:rsidP="00B7244E">
      <w:pPr>
        <w:rPr>
          <w:sz w:val="2"/>
          <w:szCs w:val="2"/>
        </w:rPr>
      </w:pPr>
    </w:p>
    <w:p w14:paraId="1EE24581" w14:textId="77777777" w:rsidR="004E04E1" w:rsidRPr="004D664B" w:rsidRDefault="004E04E1" w:rsidP="000A4863">
      <w:pPr>
        <w:pStyle w:val="Heading3"/>
        <w:rPr>
          <w:color w:val="006B70"/>
        </w:rPr>
      </w:pPr>
      <w:bookmarkStart w:id="112" w:name="_Toc205386890"/>
      <w:bookmarkStart w:id="113" w:name="_Toc205387960"/>
      <w:bookmarkStart w:id="114" w:name="_Toc205445971"/>
      <w:r w:rsidRPr="004D664B">
        <w:rPr>
          <w:color w:val="006B70"/>
        </w:rPr>
        <w:t>Causal Factors</w:t>
      </w:r>
      <w:bookmarkEnd w:id="112"/>
      <w:bookmarkEnd w:id="113"/>
      <w:bookmarkEnd w:id="114"/>
    </w:p>
    <w:p w14:paraId="699128C6" w14:textId="77777777" w:rsidR="004E04E1" w:rsidRPr="00B7244E" w:rsidRDefault="004E04E1" w:rsidP="00B7244E">
      <w:r w:rsidRPr="00B7244E">
        <w:t>Various factors contribute to the development of ASD, some of which are particularly relevant to the local communities in Tower Hamlets.</w:t>
      </w:r>
    </w:p>
    <w:p w14:paraId="00D615A4" w14:textId="77777777" w:rsidR="004E04E1" w:rsidRPr="00B7244E" w:rsidRDefault="004E04E1" w:rsidP="00B7244E">
      <w:r w:rsidRPr="00B7244E">
        <w:t>Genetic</w:t>
      </w:r>
      <w:r w:rsidRPr="00B7244E">
        <w:rPr>
          <w:spacing w:val="40"/>
        </w:rPr>
        <w:t xml:space="preserve"> </w:t>
      </w:r>
      <w:r w:rsidRPr="00B7244E">
        <w:t>influences</w:t>
      </w:r>
      <w:r w:rsidRPr="00B7244E">
        <w:rPr>
          <w:spacing w:val="40"/>
        </w:rPr>
        <w:t xml:space="preserve"> </w:t>
      </w:r>
      <w:r w:rsidRPr="00B7244E">
        <w:t>play</w:t>
      </w:r>
      <w:r w:rsidRPr="00B7244E">
        <w:rPr>
          <w:spacing w:val="40"/>
        </w:rPr>
        <w:t xml:space="preserve"> </w:t>
      </w:r>
      <w:r w:rsidRPr="00B7244E">
        <w:t>a</w:t>
      </w:r>
      <w:r w:rsidRPr="00B7244E">
        <w:rPr>
          <w:spacing w:val="40"/>
        </w:rPr>
        <w:t xml:space="preserve"> </w:t>
      </w:r>
      <w:r w:rsidRPr="00B7244E">
        <w:t>significant</w:t>
      </w:r>
      <w:r w:rsidRPr="00B7244E">
        <w:rPr>
          <w:spacing w:val="40"/>
        </w:rPr>
        <w:t xml:space="preserve"> </w:t>
      </w:r>
      <w:r w:rsidRPr="00B7244E">
        <w:t>role,</w:t>
      </w:r>
      <w:r w:rsidRPr="00B7244E">
        <w:rPr>
          <w:spacing w:val="40"/>
        </w:rPr>
        <w:t xml:space="preserve"> </w:t>
      </w:r>
      <w:r w:rsidRPr="00B7244E">
        <w:t>as</w:t>
      </w:r>
      <w:r w:rsidRPr="00B7244E">
        <w:rPr>
          <w:spacing w:val="37"/>
        </w:rPr>
        <w:t xml:space="preserve"> </w:t>
      </w:r>
      <w:r w:rsidRPr="00B7244E">
        <w:t>ASD</w:t>
      </w:r>
      <w:r w:rsidRPr="00B7244E">
        <w:rPr>
          <w:spacing w:val="40"/>
        </w:rPr>
        <w:t xml:space="preserve"> </w:t>
      </w:r>
      <w:r w:rsidRPr="00B7244E">
        <w:t>can</w:t>
      </w:r>
      <w:r w:rsidRPr="00B7244E">
        <w:rPr>
          <w:spacing w:val="40"/>
        </w:rPr>
        <w:t xml:space="preserve"> </w:t>
      </w:r>
      <w:r w:rsidRPr="00B7244E">
        <w:t>run</w:t>
      </w:r>
      <w:r w:rsidRPr="00B7244E">
        <w:rPr>
          <w:spacing w:val="40"/>
        </w:rPr>
        <w:t xml:space="preserve"> </w:t>
      </w:r>
      <w:r w:rsidRPr="00B7244E">
        <w:t>in</w:t>
      </w:r>
      <w:r w:rsidRPr="00B7244E">
        <w:rPr>
          <w:spacing w:val="40"/>
        </w:rPr>
        <w:t xml:space="preserve"> </w:t>
      </w:r>
      <w:r w:rsidRPr="00B7244E">
        <w:t>families,</w:t>
      </w:r>
      <w:r w:rsidRPr="00B7244E">
        <w:rPr>
          <w:spacing w:val="40"/>
        </w:rPr>
        <w:t xml:space="preserve"> </w:t>
      </w:r>
      <w:r w:rsidRPr="00B7244E">
        <w:t>making</w:t>
      </w:r>
      <w:r w:rsidRPr="00B7244E">
        <w:rPr>
          <w:spacing w:val="40"/>
        </w:rPr>
        <w:t xml:space="preserve"> </w:t>
      </w:r>
      <w:r w:rsidRPr="00B7244E">
        <w:t>children with older siblings with ASD more likely to develop the condition</w:t>
      </w:r>
      <w:r w:rsidRPr="00B7244E">
        <w:rPr>
          <w:vertAlign w:val="superscript"/>
        </w:rPr>
        <w:endnoteReference w:id="34"/>
      </w:r>
      <w:r w:rsidRPr="00B7244E">
        <w:rPr>
          <w:bCs/>
        </w:rPr>
        <w:t>.</w:t>
      </w:r>
      <w:r w:rsidRPr="00B7244E">
        <w:rPr>
          <w:b/>
        </w:rPr>
        <w:t xml:space="preserve"> </w:t>
      </w:r>
      <w:r w:rsidRPr="00B7244E">
        <w:t>Additionally, children with certain rare genetic conditions, such as Down syndrome and Fragile X syndrome, have a higher likelihood of presenting with ASD</w:t>
      </w:r>
      <w:r w:rsidRPr="00B7244E">
        <w:rPr>
          <w:vertAlign w:val="superscript"/>
        </w:rPr>
        <w:endnoteReference w:id="35"/>
      </w:r>
      <w:r w:rsidRPr="00B7244E">
        <w:t>.</w:t>
      </w:r>
    </w:p>
    <w:p w14:paraId="3008E2A9" w14:textId="40D7513C" w:rsidR="004E04E1" w:rsidRPr="00B7244E" w:rsidRDefault="004E04E1" w:rsidP="00B7244E">
      <w:r w:rsidRPr="00B7244E">
        <w:t xml:space="preserve">Environmental factors also contribute to the risk of ASD. </w:t>
      </w:r>
      <w:r w:rsidR="009654D3" w:rsidRPr="009654D3">
        <w:t xml:space="preserve">Research has suggested a potential association between exposure to air pollution </w:t>
      </w:r>
      <w:r w:rsidR="009F1CEF" w:rsidRPr="00B7244E">
        <w:t>especially during the third trimester of pregnancy or early childhood, increases the likelihood of ASD</w:t>
      </w:r>
      <w:r w:rsidR="009F1CEF" w:rsidRPr="00B7244E">
        <w:rPr>
          <w:vertAlign w:val="superscript"/>
        </w:rPr>
        <w:endnoteReference w:id="36"/>
      </w:r>
      <w:r w:rsidR="009654D3" w:rsidRPr="009654D3">
        <w:t xml:space="preserve"> however, the extent and mechanisms of this relationship remain unclear</w:t>
      </w:r>
      <w:r w:rsidR="00161B13">
        <w:t>,</w:t>
      </w:r>
      <w:r w:rsidRPr="00B7244E">
        <w:t xml:space="preserve"> a concerning issue given that Tower Hamlets ranks among</w:t>
      </w:r>
      <w:r w:rsidRPr="00B7244E">
        <w:rPr>
          <w:spacing w:val="40"/>
        </w:rPr>
        <w:t xml:space="preserve"> </w:t>
      </w:r>
      <w:r w:rsidRPr="00B7244E">
        <w:t>London's top five worst boroughs for air pollution</w:t>
      </w:r>
      <w:r w:rsidR="00F05DBA">
        <w:rPr>
          <w:vertAlign w:val="superscript"/>
        </w:rPr>
        <w:fldChar w:fldCharType="begin"/>
      </w:r>
      <w:r w:rsidR="00F05DBA">
        <w:rPr>
          <w:vertAlign w:val="superscript"/>
        </w:rPr>
        <w:instrText xml:space="preserve"> NOTEREF  _Ref204720059 \f \h </w:instrText>
      </w:r>
      <w:r w:rsidR="00F05DBA">
        <w:rPr>
          <w:vertAlign w:val="superscript"/>
        </w:rPr>
      </w:r>
      <w:r w:rsidR="00F05DBA">
        <w:rPr>
          <w:vertAlign w:val="superscript"/>
        </w:rPr>
        <w:fldChar w:fldCharType="separate"/>
      </w:r>
      <w:r w:rsidR="008722C4" w:rsidRPr="008722C4">
        <w:rPr>
          <w:rStyle w:val="EndnoteReference"/>
        </w:rPr>
        <w:t>5</w:t>
      </w:r>
      <w:r w:rsidR="00F05DBA">
        <w:rPr>
          <w:vertAlign w:val="superscript"/>
        </w:rPr>
        <w:fldChar w:fldCharType="end"/>
      </w:r>
      <w:r w:rsidRPr="00B7244E">
        <w:t xml:space="preserve">. </w:t>
      </w:r>
    </w:p>
    <w:p w14:paraId="5FEC3C12" w14:textId="09A9EA1C" w:rsidR="004E04E1" w:rsidRPr="00B7244E" w:rsidRDefault="004E04E1" w:rsidP="00B7244E">
      <w:pPr>
        <w:rPr>
          <w:sz w:val="20"/>
        </w:rPr>
      </w:pPr>
      <w:r w:rsidRPr="00B7244E">
        <w:t>Other risk factors include being</w:t>
      </w:r>
      <w:r w:rsidRPr="00B7244E">
        <w:rPr>
          <w:spacing w:val="80"/>
        </w:rPr>
        <w:t xml:space="preserve"> </w:t>
      </w:r>
      <w:r w:rsidRPr="00B7244E">
        <w:t>an older parent, experiencing pregnancy and birthing complications, and having closely spaced pregnancies (less than one year apart). Prenatal and maternal stress and trauma have also been linked to ASD</w:t>
      </w:r>
      <w:r w:rsidRPr="00B7244E">
        <w:rPr>
          <w:vertAlign w:val="superscript"/>
        </w:rPr>
        <w:endnoteReference w:id="37"/>
      </w:r>
      <w:r w:rsidRPr="00B7244E">
        <w:rPr>
          <w:sz w:val="20"/>
        </w:rPr>
        <w:t xml:space="preserve"> </w:t>
      </w:r>
      <w:r w:rsidR="0092052B" w:rsidRPr="00B7244E">
        <w:t>.</w:t>
      </w:r>
    </w:p>
    <w:p w14:paraId="04C9593E" w14:textId="6CB362B3" w:rsidR="004E04E1" w:rsidRPr="00B7244E" w:rsidRDefault="004E04E1" w:rsidP="00B7244E">
      <w:pPr>
        <w:rPr>
          <w:spacing w:val="-10"/>
          <w:w w:val="105"/>
        </w:rPr>
      </w:pPr>
      <w:r w:rsidRPr="00B7244E">
        <w:rPr>
          <w:w w:val="105"/>
        </w:rPr>
        <w:t>Moreover,</w:t>
      </w:r>
      <w:r w:rsidRPr="00293C95">
        <w:rPr>
          <w:w w:val="105"/>
        </w:rPr>
        <w:t xml:space="preserve"> </w:t>
      </w:r>
      <w:proofErr w:type="gramStart"/>
      <w:r w:rsidR="004A23A7" w:rsidRPr="00293C95">
        <w:rPr>
          <w:w w:val="105"/>
        </w:rPr>
        <w:t>Some</w:t>
      </w:r>
      <w:proofErr w:type="gramEnd"/>
      <w:r w:rsidR="004A23A7" w:rsidRPr="00293C95">
        <w:rPr>
          <w:w w:val="105"/>
        </w:rPr>
        <w:t xml:space="preserve"> studies have identified higher rates of ASD among children of </w:t>
      </w:r>
      <w:r w:rsidR="00900C93">
        <w:rPr>
          <w:w w:val="105"/>
        </w:rPr>
        <w:t>m</w:t>
      </w:r>
      <w:r w:rsidR="00900C93" w:rsidRPr="00293C95">
        <w:rPr>
          <w:w w:val="105"/>
        </w:rPr>
        <w:t>others with recent migration experience</w:t>
      </w:r>
      <w:r w:rsidR="004A23A7" w:rsidRPr="00293C95">
        <w:rPr>
          <w:w w:val="105"/>
        </w:rPr>
        <w:t>, potentially reflecting the impact of social and environmental factors such as stress, trauma, socioeconomic disadvantage, or barriers to healthcare access. However, these associations are complex and not fully understood</w:t>
      </w:r>
      <w:r w:rsidRPr="00B7244E">
        <w:rPr>
          <w:w w:val="105"/>
          <w:vertAlign w:val="superscript"/>
        </w:rPr>
        <w:endnoteReference w:id="38"/>
      </w:r>
      <w:r w:rsidR="004A23A7">
        <w:rPr>
          <w:w w:val="105"/>
        </w:rPr>
        <w:t>.</w:t>
      </w:r>
      <w:r w:rsidR="0092052B" w:rsidRPr="0092052B">
        <w:rPr>
          <w:w w:val="105"/>
        </w:rPr>
        <w:t xml:space="preserve"> </w:t>
      </w:r>
    </w:p>
    <w:p w14:paraId="3B716176" w14:textId="77777777" w:rsidR="004E04E1" w:rsidRPr="004D664B" w:rsidRDefault="004E04E1" w:rsidP="00F93B5F">
      <w:pPr>
        <w:pStyle w:val="Heading3"/>
        <w:rPr>
          <w:color w:val="006B70"/>
        </w:rPr>
      </w:pPr>
      <w:bookmarkStart w:id="115" w:name="_Toc205386891"/>
      <w:bookmarkStart w:id="116" w:name="_Toc205387961"/>
      <w:bookmarkStart w:id="117" w:name="_Toc205445972"/>
      <w:r w:rsidRPr="004D664B">
        <w:rPr>
          <w:color w:val="006B70"/>
        </w:rPr>
        <w:t>Local Picture</w:t>
      </w:r>
      <w:bookmarkEnd w:id="115"/>
      <w:bookmarkEnd w:id="116"/>
      <w:bookmarkEnd w:id="117"/>
    </w:p>
    <w:p w14:paraId="07B4BFB7" w14:textId="5CD08E44" w:rsidR="004E04E1" w:rsidRPr="00B7244E" w:rsidRDefault="004E04E1" w:rsidP="00A4527C">
      <w:r w:rsidRPr="00B7244E">
        <w:rPr>
          <w:w w:val="105"/>
        </w:rPr>
        <w:t>ASD is one of the most prevalent conditions affecting children and young people in Tower</w:t>
      </w:r>
      <w:r w:rsidRPr="00B7244E">
        <w:rPr>
          <w:spacing w:val="-4"/>
          <w:w w:val="105"/>
        </w:rPr>
        <w:t xml:space="preserve"> </w:t>
      </w:r>
      <w:r w:rsidRPr="00B7244E">
        <w:rPr>
          <w:w w:val="105"/>
        </w:rPr>
        <w:t>Hamlets,</w:t>
      </w:r>
      <w:r w:rsidRPr="00B7244E">
        <w:rPr>
          <w:spacing w:val="-5"/>
          <w:w w:val="105"/>
        </w:rPr>
        <w:t xml:space="preserve"> </w:t>
      </w:r>
      <w:r w:rsidRPr="00B7244E">
        <w:rPr>
          <w:w w:val="105"/>
        </w:rPr>
        <w:t>with</w:t>
      </w:r>
      <w:r w:rsidR="0092052B">
        <w:rPr>
          <w:spacing w:val="-3"/>
          <w:w w:val="105"/>
        </w:rPr>
        <w:t xml:space="preserve"> </w:t>
      </w:r>
      <w:r w:rsidRPr="00B7244E">
        <w:rPr>
          <w:spacing w:val="-3"/>
          <w:w w:val="105"/>
        </w:rPr>
        <w:t xml:space="preserve">39% </w:t>
      </w:r>
      <w:r w:rsidRPr="00B7244E">
        <w:rPr>
          <w:w w:val="105"/>
        </w:rPr>
        <w:t>of</w:t>
      </w:r>
      <w:r w:rsidRPr="00B7244E">
        <w:rPr>
          <w:spacing w:val="-4"/>
          <w:w w:val="105"/>
        </w:rPr>
        <w:t xml:space="preserve"> </w:t>
      </w:r>
      <w:r w:rsidRPr="00B7244E">
        <w:rPr>
          <w:w w:val="105"/>
        </w:rPr>
        <w:t>all</w:t>
      </w:r>
      <w:r w:rsidRPr="00B7244E">
        <w:rPr>
          <w:spacing w:val="-4"/>
          <w:w w:val="105"/>
        </w:rPr>
        <w:t xml:space="preserve"> </w:t>
      </w:r>
      <w:r w:rsidRPr="00B7244E">
        <w:rPr>
          <w:w w:val="105"/>
        </w:rPr>
        <w:t>pupils</w:t>
      </w:r>
      <w:r w:rsidRPr="00B7244E">
        <w:rPr>
          <w:spacing w:val="-4"/>
          <w:w w:val="105"/>
        </w:rPr>
        <w:t xml:space="preserve"> </w:t>
      </w:r>
      <w:r w:rsidRPr="00B7244E">
        <w:rPr>
          <w:w w:val="105"/>
        </w:rPr>
        <w:t>with</w:t>
      </w:r>
      <w:r w:rsidRPr="00B7244E">
        <w:rPr>
          <w:spacing w:val="-4"/>
          <w:w w:val="105"/>
        </w:rPr>
        <w:t xml:space="preserve"> </w:t>
      </w:r>
      <w:r w:rsidRPr="00B7244E">
        <w:rPr>
          <w:w w:val="105"/>
        </w:rPr>
        <w:t>EHC</w:t>
      </w:r>
      <w:r w:rsidR="0051337C">
        <w:rPr>
          <w:spacing w:val="-3"/>
          <w:w w:val="105"/>
        </w:rPr>
        <w:t xml:space="preserve">Ps </w:t>
      </w:r>
      <w:r w:rsidRPr="00B7244E">
        <w:rPr>
          <w:w w:val="105"/>
        </w:rPr>
        <w:t>having</w:t>
      </w:r>
      <w:r w:rsidRPr="00B7244E">
        <w:rPr>
          <w:spacing w:val="-4"/>
          <w:w w:val="105"/>
        </w:rPr>
        <w:t xml:space="preserve"> </w:t>
      </w:r>
      <w:r w:rsidRPr="00B7244E">
        <w:rPr>
          <w:w w:val="105"/>
        </w:rPr>
        <w:t>an</w:t>
      </w:r>
      <w:r w:rsidRPr="00B7244E">
        <w:rPr>
          <w:spacing w:val="-3"/>
          <w:w w:val="105"/>
        </w:rPr>
        <w:t xml:space="preserve"> </w:t>
      </w:r>
      <w:r w:rsidRPr="00B7244E">
        <w:rPr>
          <w:w w:val="105"/>
        </w:rPr>
        <w:t>ASD</w:t>
      </w:r>
      <w:r w:rsidRPr="00B7244E">
        <w:rPr>
          <w:spacing w:val="-3"/>
          <w:w w:val="105"/>
        </w:rPr>
        <w:t xml:space="preserve"> </w:t>
      </w:r>
      <w:r w:rsidRPr="00B7244E">
        <w:rPr>
          <w:w w:val="105"/>
        </w:rPr>
        <w:t>diagnosis.</w:t>
      </w:r>
      <w:r w:rsidRPr="00B7244E">
        <w:rPr>
          <w:spacing w:val="-4"/>
          <w:w w:val="105"/>
        </w:rPr>
        <w:t xml:space="preserve"> </w:t>
      </w:r>
      <w:r w:rsidRPr="00B7244E">
        <w:rPr>
          <w:w w:val="105"/>
        </w:rPr>
        <w:t>This</w:t>
      </w:r>
      <w:r w:rsidRPr="00B7244E">
        <w:rPr>
          <w:spacing w:val="-4"/>
          <w:w w:val="105"/>
        </w:rPr>
        <w:t xml:space="preserve"> </w:t>
      </w:r>
      <w:r w:rsidRPr="00B7244E">
        <w:rPr>
          <w:w w:val="105"/>
        </w:rPr>
        <w:t>is the second-highest proportion for any SEND category in the borough. Additionally, children with ASD often need additional support for speech, language, and communication, as well as social, emotional, and mental health challenges, which are the most frequent secondary needs, representing 21% and 3% of secondary needs among</w:t>
      </w:r>
      <w:r w:rsidRPr="00B7244E">
        <w:rPr>
          <w:spacing w:val="-4"/>
          <w:w w:val="105"/>
        </w:rPr>
        <w:t xml:space="preserve"> </w:t>
      </w:r>
      <w:r w:rsidRPr="00B7244E">
        <w:rPr>
          <w:w w:val="105"/>
        </w:rPr>
        <w:t>children</w:t>
      </w:r>
      <w:r w:rsidRPr="00B7244E">
        <w:rPr>
          <w:spacing w:val="-2"/>
          <w:w w:val="105"/>
        </w:rPr>
        <w:t xml:space="preserve"> </w:t>
      </w:r>
      <w:r w:rsidRPr="00B7244E">
        <w:rPr>
          <w:w w:val="105"/>
        </w:rPr>
        <w:t>with</w:t>
      </w:r>
      <w:r w:rsidRPr="00B7244E">
        <w:rPr>
          <w:spacing w:val="-2"/>
          <w:w w:val="105"/>
        </w:rPr>
        <w:t xml:space="preserve"> </w:t>
      </w:r>
      <w:r w:rsidRPr="00B7244E">
        <w:rPr>
          <w:w w:val="105"/>
        </w:rPr>
        <w:t>autism.</w:t>
      </w:r>
      <w:r w:rsidRPr="00B7244E">
        <w:rPr>
          <w:spacing w:val="-4"/>
          <w:w w:val="105"/>
        </w:rPr>
        <w:t xml:space="preserve"> </w:t>
      </w:r>
      <w:r w:rsidRPr="00B7244E">
        <w:rPr>
          <w:w w:val="105"/>
        </w:rPr>
        <w:t>ASD is</w:t>
      </w:r>
      <w:r w:rsidRPr="00B7244E">
        <w:rPr>
          <w:spacing w:val="-4"/>
          <w:w w:val="105"/>
        </w:rPr>
        <w:t xml:space="preserve"> </w:t>
      </w:r>
      <w:r w:rsidRPr="00B7244E">
        <w:rPr>
          <w:w w:val="105"/>
        </w:rPr>
        <w:t>also the</w:t>
      </w:r>
      <w:r w:rsidRPr="00B7244E">
        <w:rPr>
          <w:spacing w:val="-4"/>
          <w:w w:val="105"/>
        </w:rPr>
        <w:t xml:space="preserve"> </w:t>
      </w:r>
      <w:r w:rsidRPr="00B7244E">
        <w:rPr>
          <w:w w:val="105"/>
        </w:rPr>
        <w:t>most</w:t>
      </w:r>
      <w:r w:rsidRPr="00B7244E">
        <w:rPr>
          <w:spacing w:val="-3"/>
          <w:w w:val="105"/>
        </w:rPr>
        <w:t xml:space="preserve"> </w:t>
      </w:r>
      <w:r w:rsidRPr="00B7244E">
        <w:rPr>
          <w:w w:val="105"/>
        </w:rPr>
        <w:t>common secondary</w:t>
      </w:r>
      <w:r w:rsidRPr="00B7244E">
        <w:rPr>
          <w:spacing w:val="-6"/>
          <w:w w:val="105"/>
        </w:rPr>
        <w:t xml:space="preserve"> </w:t>
      </w:r>
      <w:r w:rsidRPr="00B7244E">
        <w:rPr>
          <w:w w:val="105"/>
        </w:rPr>
        <w:t>need</w:t>
      </w:r>
      <w:r w:rsidRPr="00B7244E">
        <w:rPr>
          <w:spacing w:val="-2"/>
          <w:w w:val="105"/>
        </w:rPr>
        <w:t xml:space="preserve"> </w:t>
      </w:r>
      <w:r w:rsidRPr="00B7244E">
        <w:rPr>
          <w:w w:val="105"/>
        </w:rPr>
        <w:t>for</w:t>
      </w:r>
      <w:r w:rsidRPr="00B7244E">
        <w:rPr>
          <w:spacing w:val="-4"/>
          <w:w w:val="105"/>
        </w:rPr>
        <w:t xml:space="preserve"> </w:t>
      </w:r>
      <w:r w:rsidRPr="00B7244E">
        <w:rPr>
          <w:w w:val="105"/>
        </w:rPr>
        <w:t>children with</w:t>
      </w:r>
      <w:r w:rsidRPr="00B7244E">
        <w:rPr>
          <w:spacing w:val="-8"/>
          <w:w w:val="105"/>
        </w:rPr>
        <w:t xml:space="preserve"> </w:t>
      </w:r>
      <w:r w:rsidRPr="00B7244E">
        <w:rPr>
          <w:w w:val="105"/>
        </w:rPr>
        <w:t>speech,</w:t>
      </w:r>
      <w:r w:rsidRPr="00B7244E">
        <w:rPr>
          <w:spacing w:val="-8"/>
          <w:w w:val="105"/>
        </w:rPr>
        <w:t xml:space="preserve"> </w:t>
      </w:r>
      <w:r w:rsidRPr="00B7244E">
        <w:rPr>
          <w:w w:val="105"/>
        </w:rPr>
        <w:t>language,</w:t>
      </w:r>
      <w:r w:rsidRPr="00B7244E">
        <w:rPr>
          <w:spacing w:val="-12"/>
          <w:w w:val="105"/>
        </w:rPr>
        <w:t xml:space="preserve"> </w:t>
      </w:r>
      <w:r w:rsidRPr="00B7244E">
        <w:rPr>
          <w:w w:val="105"/>
        </w:rPr>
        <w:t>and</w:t>
      </w:r>
      <w:r w:rsidRPr="00B7244E">
        <w:rPr>
          <w:spacing w:val="-9"/>
          <w:w w:val="105"/>
        </w:rPr>
        <w:t xml:space="preserve"> </w:t>
      </w:r>
      <w:r w:rsidRPr="00B7244E">
        <w:rPr>
          <w:w w:val="105"/>
        </w:rPr>
        <w:t>communication</w:t>
      </w:r>
      <w:r w:rsidRPr="00B7244E">
        <w:rPr>
          <w:spacing w:val="-9"/>
          <w:w w:val="105"/>
        </w:rPr>
        <w:t xml:space="preserve"> </w:t>
      </w:r>
      <w:r w:rsidRPr="00B7244E">
        <w:rPr>
          <w:w w:val="105"/>
        </w:rPr>
        <w:t>difficulties.</w:t>
      </w:r>
    </w:p>
    <w:p w14:paraId="3C2B8CC6" w14:textId="50E5D48C" w:rsidR="004E04E1" w:rsidRDefault="00F17CD5" w:rsidP="00A4527C">
      <w:pPr>
        <w:rPr>
          <w:w w:val="105"/>
        </w:rPr>
      </w:pPr>
      <w:r>
        <w:t>Referrals for ASD diagnosis have risen by 300% since 2021</w:t>
      </w:r>
      <w:r w:rsidR="00A46E7B">
        <w:rPr>
          <w:rStyle w:val="EndnoteReference"/>
        </w:rPr>
        <w:endnoteReference w:id="39"/>
      </w:r>
      <w:r w:rsidR="00A46E7B">
        <w:t>.</w:t>
      </w:r>
      <w:r>
        <w:t xml:space="preserve"> </w:t>
      </w:r>
      <w:r w:rsidR="004E04E1" w:rsidRPr="00B7244E">
        <w:t>The condition is more commonly diagnosed in boys than girls,</w:t>
      </w:r>
      <w:r w:rsidR="004E04E1" w:rsidRPr="00B7244E">
        <w:rPr>
          <w:spacing w:val="14"/>
        </w:rPr>
        <w:t xml:space="preserve"> </w:t>
      </w:r>
      <w:r w:rsidR="004E04E1" w:rsidRPr="00B7244E">
        <w:t>at a ratio of 4:1 in Tower Hamlets</w:t>
      </w:r>
      <w:r w:rsidR="00D134C1">
        <w:t>,</w:t>
      </w:r>
      <w:r w:rsidR="004E04E1" w:rsidRPr="00B7244E">
        <w:t xml:space="preserve"> </w:t>
      </w:r>
      <w:r w:rsidR="00E15CED">
        <w:t xml:space="preserve">suggesting </w:t>
      </w:r>
      <w:r w:rsidR="004E04E1" w:rsidRPr="00B7244E">
        <w:t>a</w:t>
      </w:r>
      <w:r w:rsidR="00C31600">
        <w:t>n</w:t>
      </w:r>
      <w:r w:rsidR="004E04E1" w:rsidRPr="00B7244E">
        <w:rPr>
          <w:spacing w:val="30"/>
        </w:rPr>
        <w:t xml:space="preserve"> </w:t>
      </w:r>
      <w:r w:rsidR="004E04E1" w:rsidRPr="00B7244E">
        <w:t>under-</w:t>
      </w:r>
      <w:r w:rsidR="0092052B" w:rsidRPr="00394045">
        <w:rPr>
          <w:w w:val="105"/>
        </w:rPr>
        <w:t xml:space="preserve">identification of </w:t>
      </w:r>
      <w:r w:rsidR="0092052B" w:rsidRPr="00394045">
        <w:rPr>
          <w:w w:val="105"/>
        </w:rPr>
        <w:lastRenderedPageBreak/>
        <w:t>ASD</w:t>
      </w:r>
      <w:r w:rsidR="004E04E1" w:rsidRPr="00394045">
        <w:rPr>
          <w:w w:val="105"/>
        </w:rPr>
        <w:t xml:space="preserve"> </w:t>
      </w:r>
      <w:r w:rsidR="0092052B" w:rsidRPr="00394045">
        <w:rPr>
          <w:w w:val="105"/>
        </w:rPr>
        <w:t>in girls</w:t>
      </w:r>
      <w:r w:rsidR="00E15CED" w:rsidRPr="00394045">
        <w:rPr>
          <w:w w:val="105"/>
        </w:rPr>
        <w:t>. This underdiagnosis is widely</w:t>
      </w:r>
      <w:r w:rsidR="004E04E1" w:rsidRPr="00394045">
        <w:rPr>
          <w:w w:val="105"/>
        </w:rPr>
        <w:t xml:space="preserve"> </w:t>
      </w:r>
      <w:r w:rsidR="004E04E1" w:rsidRPr="00B7244E">
        <w:rPr>
          <w:w w:val="105"/>
        </w:rPr>
        <w:t>documented, as</w:t>
      </w:r>
      <w:r w:rsidR="004E04E1" w:rsidRPr="00B7244E">
        <w:rPr>
          <w:spacing w:val="-1"/>
          <w:w w:val="105"/>
        </w:rPr>
        <w:t xml:space="preserve"> </w:t>
      </w:r>
      <w:r w:rsidR="004E04E1" w:rsidRPr="00B7244E">
        <w:rPr>
          <w:w w:val="105"/>
        </w:rPr>
        <w:t>girls</w:t>
      </w:r>
      <w:r w:rsidR="004E04E1" w:rsidRPr="00B7244E">
        <w:rPr>
          <w:spacing w:val="-2"/>
          <w:w w:val="105"/>
        </w:rPr>
        <w:t xml:space="preserve"> </w:t>
      </w:r>
      <w:r w:rsidR="004E04E1" w:rsidRPr="00B7244E">
        <w:rPr>
          <w:w w:val="105"/>
        </w:rPr>
        <w:t>often exhibit different signs</w:t>
      </w:r>
      <w:r w:rsidR="004E04E1" w:rsidRPr="00B7244E">
        <w:rPr>
          <w:spacing w:val="-1"/>
          <w:w w:val="105"/>
        </w:rPr>
        <w:t xml:space="preserve"> </w:t>
      </w:r>
      <w:r w:rsidR="004E04E1" w:rsidRPr="00B7244E">
        <w:rPr>
          <w:w w:val="105"/>
        </w:rPr>
        <w:t>and</w:t>
      </w:r>
      <w:r w:rsidR="004E04E1" w:rsidRPr="00B7244E">
        <w:rPr>
          <w:spacing w:val="-1"/>
          <w:w w:val="105"/>
        </w:rPr>
        <w:t xml:space="preserve"> </w:t>
      </w:r>
      <w:r w:rsidR="004E04E1" w:rsidRPr="00B7244E">
        <w:rPr>
          <w:w w:val="105"/>
        </w:rPr>
        <w:t>symptoms</w:t>
      </w:r>
      <w:r w:rsidR="004E04E1" w:rsidRPr="00B7244E">
        <w:rPr>
          <w:spacing w:val="-1"/>
          <w:w w:val="105"/>
        </w:rPr>
        <w:t xml:space="preserve"> </w:t>
      </w:r>
      <w:r w:rsidR="004E04E1" w:rsidRPr="00B7244E">
        <w:rPr>
          <w:w w:val="105"/>
        </w:rPr>
        <w:t>than</w:t>
      </w:r>
      <w:r w:rsidR="004E04E1" w:rsidRPr="00B7244E">
        <w:rPr>
          <w:spacing w:val="-4"/>
          <w:w w:val="105"/>
        </w:rPr>
        <w:t xml:space="preserve"> </w:t>
      </w:r>
      <w:r w:rsidR="004E04E1" w:rsidRPr="00B7244E">
        <w:rPr>
          <w:w w:val="105"/>
        </w:rPr>
        <w:t>boys</w:t>
      </w:r>
      <w:r w:rsidR="004E04E1" w:rsidRPr="00B7244E">
        <w:rPr>
          <w:spacing w:val="-2"/>
          <w:w w:val="105"/>
        </w:rPr>
        <w:t xml:space="preserve"> </w:t>
      </w:r>
      <w:r w:rsidR="004E04E1" w:rsidRPr="00B7244E">
        <w:rPr>
          <w:w w:val="105"/>
        </w:rPr>
        <w:t>and</w:t>
      </w:r>
      <w:r w:rsidR="004E04E1" w:rsidRPr="00B7244E">
        <w:rPr>
          <w:spacing w:val="-4"/>
          <w:w w:val="105"/>
        </w:rPr>
        <w:t xml:space="preserve"> </w:t>
      </w:r>
      <w:r w:rsidR="004E04E1" w:rsidRPr="00B7244E">
        <w:rPr>
          <w:w w:val="105"/>
        </w:rPr>
        <w:t>may</w:t>
      </w:r>
      <w:r w:rsidR="004E04E1" w:rsidRPr="00B7244E">
        <w:rPr>
          <w:spacing w:val="-4"/>
          <w:w w:val="105"/>
        </w:rPr>
        <w:t xml:space="preserve"> </w:t>
      </w:r>
      <w:r w:rsidR="004E04E1" w:rsidRPr="00B7244E">
        <w:rPr>
          <w:w w:val="105"/>
        </w:rPr>
        <w:t>be more</w:t>
      </w:r>
      <w:r w:rsidR="004E04E1" w:rsidRPr="00B7244E">
        <w:rPr>
          <w:spacing w:val="-9"/>
          <w:w w:val="105"/>
        </w:rPr>
        <w:t xml:space="preserve"> </w:t>
      </w:r>
      <w:r w:rsidR="004E04E1" w:rsidRPr="00B7244E">
        <w:rPr>
          <w:w w:val="105"/>
        </w:rPr>
        <w:t>likely</w:t>
      </w:r>
      <w:r w:rsidR="004E04E1" w:rsidRPr="00B7244E">
        <w:rPr>
          <w:spacing w:val="-9"/>
          <w:w w:val="105"/>
        </w:rPr>
        <w:t xml:space="preserve"> </w:t>
      </w:r>
      <w:r w:rsidR="004E04E1" w:rsidRPr="00B7244E">
        <w:rPr>
          <w:w w:val="105"/>
        </w:rPr>
        <w:t>to</w:t>
      </w:r>
      <w:r w:rsidR="004E04E1" w:rsidRPr="00B7244E">
        <w:rPr>
          <w:spacing w:val="-14"/>
          <w:w w:val="105"/>
        </w:rPr>
        <w:t xml:space="preserve"> </w:t>
      </w:r>
      <w:r w:rsidR="004E04E1" w:rsidRPr="00B7244E">
        <w:rPr>
          <w:w w:val="105"/>
        </w:rPr>
        <w:t>mask</w:t>
      </w:r>
      <w:r w:rsidR="004E04E1" w:rsidRPr="00B7244E">
        <w:rPr>
          <w:spacing w:val="-9"/>
          <w:w w:val="105"/>
        </w:rPr>
        <w:t xml:space="preserve"> </w:t>
      </w:r>
      <w:r w:rsidR="004E04E1" w:rsidRPr="00B7244E">
        <w:rPr>
          <w:w w:val="105"/>
        </w:rPr>
        <w:t>their</w:t>
      </w:r>
      <w:r w:rsidR="004E04E1" w:rsidRPr="00B7244E">
        <w:rPr>
          <w:spacing w:val="-9"/>
          <w:w w:val="105"/>
        </w:rPr>
        <w:t xml:space="preserve"> </w:t>
      </w:r>
      <w:r w:rsidR="004E04E1" w:rsidRPr="00B7244E">
        <w:rPr>
          <w:w w:val="105"/>
        </w:rPr>
        <w:t>challenges</w:t>
      </w:r>
      <w:r w:rsidR="004E04E1" w:rsidRPr="00B7244E">
        <w:rPr>
          <w:spacing w:val="-9"/>
          <w:w w:val="105"/>
        </w:rPr>
        <w:t xml:space="preserve"> </w:t>
      </w:r>
      <w:r w:rsidR="004E04E1" w:rsidRPr="00B7244E">
        <w:rPr>
          <w:w w:val="105"/>
        </w:rPr>
        <w:t>due</w:t>
      </w:r>
      <w:r w:rsidR="004E04E1" w:rsidRPr="00B7244E">
        <w:rPr>
          <w:spacing w:val="-9"/>
          <w:w w:val="105"/>
        </w:rPr>
        <w:t xml:space="preserve"> </w:t>
      </w:r>
      <w:r w:rsidR="004E04E1" w:rsidRPr="00B7244E">
        <w:rPr>
          <w:w w:val="105"/>
        </w:rPr>
        <w:t>to</w:t>
      </w:r>
      <w:r w:rsidR="004E04E1" w:rsidRPr="00B7244E">
        <w:rPr>
          <w:spacing w:val="-8"/>
          <w:w w:val="105"/>
        </w:rPr>
        <w:t xml:space="preserve"> </w:t>
      </w:r>
      <w:r w:rsidR="004E04E1" w:rsidRPr="00B7244E">
        <w:rPr>
          <w:w w:val="105"/>
        </w:rPr>
        <w:t>sociali</w:t>
      </w:r>
      <w:r w:rsidR="00F82B8C">
        <w:rPr>
          <w:w w:val="105"/>
        </w:rPr>
        <w:t>s</w:t>
      </w:r>
      <w:r w:rsidR="004E04E1" w:rsidRPr="00B7244E">
        <w:rPr>
          <w:w w:val="105"/>
        </w:rPr>
        <w:t>ation</w:t>
      </w:r>
      <w:r w:rsidR="004E04E1" w:rsidRPr="00B7244E">
        <w:rPr>
          <w:w w:val="105"/>
          <w:vertAlign w:val="superscript"/>
        </w:rPr>
        <w:endnoteReference w:id="40"/>
      </w:r>
      <w:r w:rsidR="0092052B" w:rsidRPr="0092052B">
        <w:rPr>
          <w:w w:val="105"/>
        </w:rPr>
        <w:t xml:space="preserve"> </w:t>
      </w:r>
      <w:r w:rsidR="0092052B" w:rsidRPr="00B7244E">
        <w:rPr>
          <w:w w:val="105"/>
        </w:rPr>
        <w:t>.</w:t>
      </w:r>
    </w:p>
    <w:p w14:paraId="6DC451BB" w14:textId="7016FC09" w:rsidR="004E04E1" w:rsidRPr="00C270AF" w:rsidRDefault="004E04E1" w:rsidP="001C1200">
      <w:pPr>
        <w:spacing w:after="0"/>
        <w:rPr>
          <w:b/>
          <w:bCs/>
          <w:sz w:val="18"/>
          <w:szCs w:val="18"/>
        </w:rPr>
      </w:pPr>
      <w:r w:rsidRPr="00C270AF">
        <w:rPr>
          <w:b/>
          <w:bCs/>
          <w:sz w:val="18"/>
          <w:szCs w:val="18"/>
        </w:rPr>
        <w:t>Figure</w:t>
      </w:r>
      <w:r w:rsidRPr="00C270AF">
        <w:rPr>
          <w:b/>
          <w:bCs/>
          <w:spacing w:val="5"/>
          <w:sz w:val="18"/>
          <w:szCs w:val="18"/>
        </w:rPr>
        <w:t xml:space="preserve"> </w:t>
      </w:r>
      <w:r w:rsidR="004110A4">
        <w:rPr>
          <w:b/>
          <w:bCs/>
          <w:sz w:val="18"/>
          <w:szCs w:val="18"/>
        </w:rPr>
        <w:t>5.1</w:t>
      </w:r>
      <w:r w:rsidRPr="00C270AF">
        <w:rPr>
          <w:b/>
          <w:bCs/>
          <w:sz w:val="18"/>
          <w:szCs w:val="18"/>
        </w:rPr>
        <w:t>.</w:t>
      </w:r>
      <w:r w:rsidRPr="00C270AF">
        <w:rPr>
          <w:b/>
          <w:bCs/>
          <w:spacing w:val="2"/>
          <w:sz w:val="18"/>
          <w:szCs w:val="18"/>
        </w:rPr>
        <w:t xml:space="preserve"> </w:t>
      </w:r>
      <w:r w:rsidRPr="00C270AF">
        <w:rPr>
          <w:b/>
          <w:bCs/>
          <w:sz w:val="18"/>
          <w:szCs w:val="18"/>
        </w:rPr>
        <w:t>SEND</w:t>
      </w:r>
      <w:r w:rsidRPr="00C270AF">
        <w:rPr>
          <w:b/>
          <w:bCs/>
          <w:spacing w:val="6"/>
          <w:sz w:val="18"/>
          <w:szCs w:val="18"/>
        </w:rPr>
        <w:t xml:space="preserve"> </w:t>
      </w:r>
      <w:r w:rsidRPr="00C270AF">
        <w:rPr>
          <w:b/>
          <w:bCs/>
          <w:sz w:val="18"/>
          <w:szCs w:val="18"/>
        </w:rPr>
        <w:t>ASD</w:t>
      </w:r>
      <w:r w:rsidRPr="00C270AF">
        <w:rPr>
          <w:b/>
          <w:bCs/>
          <w:spacing w:val="3"/>
          <w:sz w:val="18"/>
          <w:szCs w:val="18"/>
        </w:rPr>
        <w:t xml:space="preserve"> </w:t>
      </w:r>
      <w:r w:rsidRPr="00C270AF">
        <w:rPr>
          <w:b/>
          <w:bCs/>
          <w:sz w:val="18"/>
          <w:szCs w:val="18"/>
        </w:rPr>
        <w:t>prevalence</w:t>
      </w:r>
      <w:r w:rsidRPr="00C270AF">
        <w:rPr>
          <w:b/>
          <w:bCs/>
          <w:spacing w:val="3"/>
          <w:sz w:val="18"/>
          <w:szCs w:val="18"/>
        </w:rPr>
        <w:t xml:space="preserve"> </w:t>
      </w:r>
      <w:r w:rsidRPr="00C270AF">
        <w:rPr>
          <w:b/>
          <w:bCs/>
          <w:sz w:val="18"/>
          <w:szCs w:val="18"/>
        </w:rPr>
        <w:t>by</w:t>
      </w:r>
      <w:r w:rsidRPr="00C270AF">
        <w:rPr>
          <w:b/>
          <w:bCs/>
          <w:spacing w:val="2"/>
          <w:sz w:val="18"/>
          <w:szCs w:val="18"/>
        </w:rPr>
        <w:t xml:space="preserve"> </w:t>
      </w:r>
      <w:r w:rsidRPr="00C270AF">
        <w:rPr>
          <w:b/>
          <w:bCs/>
          <w:sz w:val="18"/>
          <w:szCs w:val="18"/>
        </w:rPr>
        <w:t>gender</w:t>
      </w:r>
      <w:r w:rsidRPr="00C270AF">
        <w:rPr>
          <w:b/>
          <w:bCs/>
          <w:spacing w:val="6"/>
          <w:sz w:val="18"/>
          <w:szCs w:val="18"/>
        </w:rPr>
        <w:t xml:space="preserve"> </w:t>
      </w:r>
      <w:r w:rsidRPr="00C270AF">
        <w:rPr>
          <w:b/>
          <w:bCs/>
          <w:sz w:val="18"/>
          <w:szCs w:val="18"/>
        </w:rPr>
        <w:t>in</w:t>
      </w:r>
      <w:r w:rsidRPr="00C270AF">
        <w:rPr>
          <w:b/>
          <w:bCs/>
          <w:spacing w:val="6"/>
          <w:sz w:val="18"/>
          <w:szCs w:val="18"/>
        </w:rPr>
        <w:t xml:space="preserve"> </w:t>
      </w:r>
      <w:r w:rsidRPr="00C270AF">
        <w:rPr>
          <w:b/>
          <w:bCs/>
          <w:spacing w:val="-4"/>
          <w:sz w:val="18"/>
          <w:szCs w:val="18"/>
        </w:rPr>
        <w:t>2024</w:t>
      </w:r>
    </w:p>
    <w:p w14:paraId="1F806FEB" w14:textId="77777777" w:rsidR="004E04E1" w:rsidRPr="00B7244E" w:rsidRDefault="004E04E1" w:rsidP="00B7244E">
      <w:r w:rsidRPr="00B7244E">
        <w:rPr>
          <w:noProof/>
        </w:rPr>
        <w:drawing>
          <wp:inline distT="0" distB="0" distL="0" distR="0" wp14:anchorId="03962966" wp14:editId="752A4563">
            <wp:extent cx="5486400" cy="3200400"/>
            <wp:effectExtent l="0" t="0" r="0" b="0"/>
            <wp:docPr id="308983444" name="Char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D523CF3" w14:textId="77777777" w:rsidR="004E04E1" w:rsidRPr="00C270AF" w:rsidRDefault="004E04E1" w:rsidP="00C270AF">
      <w:pPr>
        <w:jc w:val="right"/>
        <w:rPr>
          <w:b/>
          <w:sz w:val="18"/>
          <w:szCs w:val="18"/>
        </w:rPr>
      </w:pPr>
      <w:r w:rsidRPr="00C270AF">
        <w:rPr>
          <w:b/>
          <w:sz w:val="18"/>
          <w:szCs w:val="18"/>
        </w:rPr>
        <w:t>Source: Data Sources: LBTH SEN2 Return 2024 and IDACI 2019 Postcode Checker [MHCLG 2019]</w:t>
      </w:r>
    </w:p>
    <w:p w14:paraId="2761367B" w14:textId="5BF42AC5" w:rsidR="004E04E1" w:rsidRDefault="004E04E1" w:rsidP="00B7244E">
      <w:r w:rsidRPr="00B7244E">
        <w:t xml:space="preserve">Poverty remains a significant factor for children and young people with autism in Tower Hamlets. </w:t>
      </w:r>
      <w:r w:rsidR="00D135DD">
        <w:t>Around</w:t>
      </w:r>
      <w:r w:rsidRPr="00B7244E">
        <w:t xml:space="preserve"> half (50.1%) of pupils with an Education, Health and Care Plan (EHCP) for ASD are eligible for free school meals, compared with 40.1% of the wider school population (</w:t>
      </w:r>
      <w:r w:rsidR="00F82B8C">
        <w:t xml:space="preserve">Figure </w:t>
      </w:r>
      <w:r w:rsidR="004110A4">
        <w:t>5.2</w:t>
      </w:r>
      <w:r w:rsidRPr="00B7244E">
        <w:t xml:space="preserve">). </w:t>
      </w:r>
    </w:p>
    <w:p w14:paraId="3F171760" w14:textId="1BB60BE9" w:rsidR="00FE127B" w:rsidRDefault="00DC5B58" w:rsidP="1D15E5FE">
      <w:pPr>
        <w:spacing w:after="0"/>
        <w:rPr>
          <w:b/>
          <w:bCs/>
          <w:spacing w:val="-5"/>
          <w:sz w:val="18"/>
          <w:szCs w:val="18"/>
        </w:rPr>
      </w:pPr>
      <w:r w:rsidRPr="00293C95">
        <w:rPr>
          <w:b/>
          <w:noProof/>
          <w:spacing w:val="-5"/>
          <w:sz w:val="18"/>
          <w:szCs w:val="18"/>
          <w:shd w:val="clear" w:color="auto" w:fill="01B9BE" w:themeFill="accent2"/>
        </w:rPr>
        <w:drawing>
          <wp:anchor distT="0" distB="0" distL="114300" distR="114300" simplePos="0" relativeHeight="251658247" behindDoc="0" locked="0" layoutInCell="1" allowOverlap="1" wp14:anchorId="1067AA14" wp14:editId="71B4D2DC">
            <wp:simplePos x="0" y="0"/>
            <wp:positionH relativeFrom="column">
              <wp:posOffset>0</wp:posOffset>
            </wp:positionH>
            <wp:positionV relativeFrom="paragraph">
              <wp:posOffset>219710</wp:posOffset>
            </wp:positionV>
            <wp:extent cx="5486400" cy="3200400"/>
            <wp:effectExtent l="0" t="0" r="0" b="0"/>
            <wp:wrapSquare wrapText="bothSides"/>
            <wp:docPr id="833144888" name="Chart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004E04E1" w:rsidRPr="00C270AF">
        <w:rPr>
          <w:b/>
          <w:bCs/>
          <w:sz w:val="18"/>
          <w:szCs w:val="18"/>
        </w:rPr>
        <w:t>Figure</w:t>
      </w:r>
      <w:r w:rsidR="004E04E1" w:rsidRPr="00C270AF">
        <w:rPr>
          <w:b/>
          <w:bCs/>
          <w:spacing w:val="1"/>
          <w:sz w:val="18"/>
          <w:szCs w:val="18"/>
        </w:rPr>
        <w:t xml:space="preserve"> </w:t>
      </w:r>
      <w:r w:rsidR="004110A4">
        <w:rPr>
          <w:b/>
          <w:bCs/>
          <w:sz w:val="18"/>
          <w:szCs w:val="18"/>
        </w:rPr>
        <w:t>5.2</w:t>
      </w:r>
      <w:r w:rsidR="004E04E1" w:rsidRPr="00C270AF">
        <w:rPr>
          <w:b/>
          <w:bCs/>
          <w:sz w:val="18"/>
          <w:szCs w:val="18"/>
        </w:rPr>
        <w:t>.</w:t>
      </w:r>
      <w:r w:rsidR="004E04E1" w:rsidRPr="00C270AF">
        <w:rPr>
          <w:b/>
          <w:bCs/>
          <w:spacing w:val="-1"/>
          <w:sz w:val="18"/>
          <w:szCs w:val="18"/>
        </w:rPr>
        <w:t xml:space="preserve"> </w:t>
      </w:r>
      <w:r w:rsidR="004E04E1" w:rsidRPr="00C270AF">
        <w:rPr>
          <w:b/>
          <w:bCs/>
          <w:sz w:val="18"/>
          <w:szCs w:val="18"/>
        </w:rPr>
        <w:t>Percentage</w:t>
      </w:r>
      <w:r w:rsidR="004E04E1" w:rsidRPr="00C270AF">
        <w:rPr>
          <w:b/>
          <w:bCs/>
          <w:spacing w:val="1"/>
          <w:sz w:val="18"/>
          <w:szCs w:val="18"/>
        </w:rPr>
        <w:t xml:space="preserve"> </w:t>
      </w:r>
      <w:r w:rsidR="004E04E1" w:rsidRPr="00C270AF">
        <w:rPr>
          <w:b/>
          <w:bCs/>
          <w:sz w:val="18"/>
          <w:szCs w:val="18"/>
        </w:rPr>
        <w:t>of</w:t>
      </w:r>
      <w:r w:rsidR="004E04E1" w:rsidRPr="00C270AF">
        <w:rPr>
          <w:b/>
          <w:bCs/>
          <w:spacing w:val="4"/>
          <w:sz w:val="18"/>
          <w:szCs w:val="18"/>
        </w:rPr>
        <w:t xml:space="preserve"> </w:t>
      </w:r>
      <w:r w:rsidR="004E04E1" w:rsidRPr="00C270AF">
        <w:rPr>
          <w:b/>
          <w:bCs/>
          <w:sz w:val="18"/>
          <w:szCs w:val="18"/>
        </w:rPr>
        <w:t>Free</w:t>
      </w:r>
      <w:r w:rsidR="004E04E1" w:rsidRPr="00C270AF">
        <w:rPr>
          <w:b/>
          <w:bCs/>
          <w:spacing w:val="-2"/>
          <w:sz w:val="18"/>
          <w:szCs w:val="18"/>
        </w:rPr>
        <w:t xml:space="preserve"> </w:t>
      </w:r>
      <w:r w:rsidR="004E04E1" w:rsidRPr="00C270AF">
        <w:rPr>
          <w:b/>
          <w:bCs/>
          <w:sz w:val="18"/>
          <w:szCs w:val="18"/>
        </w:rPr>
        <w:t>school</w:t>
      </w:r>
      <w:r w:rsidR="004E04E1" w:rsidRPr="00C270AF">
        <w:rPr>
          <w:b/>
          <w:bCs/>
          <w:spacing w:val="1"/>
          <w:sz w:val="18"/>
          <w:szCs w:val="18"/>
        </w:rPr>
        <w:t xml:space="preserve"> </w:t>
      </w:r>
      <w:r w:rsidR="004E04E1" w:rsidRPr="00C270AF">
        <w:rPr>
          <w:b/>
          <w:bCs/>
          <w:sz w:val="18"/>
          <w:szCs w:val="18"/>
        </w:rPr>
        <w:t>meal eligibility</w:t>
      </w:r>
      <w:r w:rsidR="004E04E1" w:rsidRPr="00C270AF">
        <w:rPr>
          <w:b/>
          <w:bCs/>
          <w:spacing w:val="2"/>
          <w:sz w:val="18"/>
          <w:szCs w:val="18"/>
        </w:rPr>
        <w:t xml:space="preserve"> </w:t>
      </w:r>
      <w:r w:rsidR="004E04E1" w:rsidRPr="00C270AF">
        <w:rPr>
          <w:b/>
          <w:bCs/>
          <w:sz w:val="18"/>
          <w:szCs w:val="18"/>
        </w:rPr>
        <w:t>among pupils</w:t>
      </w:r>
      <w:r w:rsidR="004E04E1" w:rsidRPr="00C270AF">
        <w:rPr>
          <w:b/>
          <w:bCs/>
          <w:spacing w:val="1"/>
          <w:sz w:val="18"/>
          <w:szCs w:val="18"/>
        </w:rPr>
        <w:t xml:space="preserve"> </w:t>
      </w:r>
      <w:r w:rsidR="004E04E1" w:rsidRPr="00C270AF">
        <w:rPr>
          <w:b/>
          <w:bCs/>
          <w:sz w:val="18"/>
          <w:szCs w:val="18"/>
        </w:rPr>
        <w:t>with</w:t>
      </w:r>
      <w:r w:rsidR="004E04E1" w:rsidRPr="00C270AF">
        <w:rPr>
          <w:b/>
          <w:bCs/>
          <w:spacing w:val="3"/>
          <w:sz w:val="18"/>
          <w:szCs w:val="18"/>
        </w:rPr>
        <w:t xml:space="preserve"> </w:t>
      </w:r>
      <w:r w:rsidR="004E04E1" w:rsidRPr="00C270AF">
        <w:rPr>
          <w:b/>
          <w:bCs/>
          <w:sz w:val="18"/>
          <w:szCs w:val="18"/>
        </w:rPr>
        <w:t>EHCP’s</w:t>
      </w:r>
      <w:r w:rsidR="004E04E1" w:rsidRPr="00C270AF">
        <w:rPr>
          <w:b/>
          <w:bCs/>
          <w:spacing w:val="-2"/>
          <w:sz w:val="18"/>
          <w:szCs w:val="18"/>
        </w:rPr>
        <w:t xml:space="preserve"> </w:t>
      </w:r>
      <w:r w:rsidR="004E04E1" w:rsidRPr="00C270AF">
        <w:rPr>
          <w:b/>
          <w:bCs/>
          <w:sz w:val="18"/>
          <w:szCs w:val="18"/>
        </w:rPr>
        <w:t>for</w:t>
      </w:r>
      <w:r w:rsidR="004E04E1" w:rsidRPr="00C270AF">
        <w:rPr>
          <w:b/>
          <w:bCs/>
          <w:spacing w:val="-3"/>
          <w:sz w:val="18"/>
          <w:szCs w:val="18"/>
        </w:rPr>
        <w:t xml:space="preserve"> </w:t>
      </w:r>
      <w:r w:rsidR="004E04E1" w:rsidRPr="00C270AF">
        <w:rPr>
          <w:b/>
          <w:bCs/>
          <w:spacing w:val="-5"/>
          <w:sz w:val="18"/>
          <w:szCs w:val="18"/>
        </w:rPr>
        <w:t xml:space="preserve">ASD, 2023/4 </w:t>
      </w:r>
    </w:p>
    <w:p w14:paraId="1AA50139" w14:textId="32A4780E" w:rsidR="00FE127B" w:rsidRDefault="00FE127B" w:rsidP="1D15E5FE">
      <w:pPr>
        <w:spacing w:after="0"/>
        <w:rPr>
          <w:b/>
          <w:bCs/>
          <w:spacing w:val="-5"/>
          <w:sz w:val="18"/>
          <w:szCs w:val="18"/>
        </w:rPr>
      </w:pPr>
    </w:p>
    <w:p w14:paraId="5773E34D" w14:textId="4DBD37BA" w:rsidR="004E04E1" w:rsidRPr="00C270AF" w:rsidRDefault="004E04E1" w:rsidP="1D15E5FE">
      <w:pPr>
        <w:spacing w:after="0"/>
        <w:rPr>
          <w:b/>
          <w:bCs/>
          <w:spacing w:val="-5"/>
          <w:sz w:val="18"/>
          <w:szCs w:val="18"/>
        </w:rPr>
      </w:pPr>
    </w:p>
    <w:p w14:paraId="13E3D9EA" w14:textId="30F5D2A9" w:rsidR="004E04E1" w:rsidRPr="00C270AF" w:rsidRDefault="004E04E1" w:rsidP="00C270AF">
      <w:pPr>
        <w:ind w:left="720" w:firstLine="810"/>
        <w:jc w:val="center"/>
        <w:rPr>
          <w:b/>
          <w:bCs/>
          <w:spacing w:val="-5"/>
          <w:sz w:val="18"/>
          <w:szCs w:val="18"/>
        </w:rPr>
      </w:pPr>
      <w:r w:rsidRPr="00C270AF">
        <w:rPr>
          <w:b/>
          <w:bCs/>
          <w:spacing w:val="-5"/>
          <w:sz w:val="18"/>
          <w:szCs w:val="18"/>
        </w:rPr>
        <w:t>Source:</w:t>
      </w:r>
      <w:r w:rsidRPr="00C270AF">
        <w:rPr>
          <w:spacing w:val="-5"/>
          <w:sz w:val="18"/>
          <w:szCs w:val="18"/>
        </w:rPr>
        <w:t xml:space="preserve"> </w:t>
      </w:r>
      <w:r w:rsidRPr="00C270AF">
        <w:rPr>
          <w:b/>
          <w:bCs/>
          <w:spacing w:val="-5"/>
          <w:sz w:val="18"/>
          <w:szCs w:val="18"/>
        </w:rPr>
        <w:t>Special educational needs in England, GOV.UK</w:t>
      </w:r>
    </w:p>
    <w:p w14:paraId="5D17AE7F" w14:textId="0EAADDA7" w:rsidR="00A811CD" w:rsidRPr="00B7244E" w:rsidRDefault="00A811CD" w:rsidP="00B7244E">
      <w:r w:rsidRPr="00A811CD">
        <w:t>Additionally, the majority (61%) of pupils with an EHCP for ASD speak a first language other than English, a figure that mirrors the overall linguistic diversity of Tower Hamlets’ school population. This suggests that pupils with ASD are not over-represented among children who speak English as an additional language.</w:t>
      </w:r>
      <w:r w:rsidR="00A95D6C">
        <w:t xml:space="preserve"> </w:t>
      </w:r>
    </w:p>
    <w:p w14:paraId="5229F37F" w14:textId="77777777" w:rsidR="004E04E1" w:rsidRPr="00B7244E" w:rsidRDefault="004E04E1" w:rsidP="00B7244E">
      <w:r w:rsidRPr="00B7244E">
        <w:t>Ethnic disparities are also evident in ASD identification and support. Local data from 2023 suggests that while the overall distribution of pupils with EHCPs for ASD broadly reflects the ethnic composition of the borough’s school population, certain groups are over- or under-represented.</w:t>
      </w:r>
    </w:p>
    <w:p w14:paraId="2E6F3F3B" w14:textId="4C060D09" w:rsidR="004E04E1" w:rsidRPr="00B7244E" w:rsidRDefault="004E04E1" w:rsidP="00B7244E">
      <w:r w:rsidRPr="00B7244E">
        <w:t xml:space="preserve">Pupils of Black Somali heritage are notably </w:t>
      </w:r>
      <w:r w:rsidR="001545AD">
        <w:t xml:space="preserve">and disproportionally </w:t>
      </w:r>
      <w:r w:rsidRPr="00B7244E">
        <w:t xml:space="preserve">represented in ASD diagnoses, with 5.6% of Somali pupils having an EHCP for ASD, higher than the 3.6% representation of Somali pupils in the school population. In contrast, pupils from 'Any other ethnic group' and 'Any other white background' are under-represented in EHCPs for ASD. </w:t>
      </w:r>
      <w:r w:rsidR="00564DBD" w:rsidRPr="00A95D6C">
        <w:t>This pattern is not unique to Tower Hamlets; similar trends have been observed nationally, such as in Bristol, and internationally, including studies from Sweden, where children of Somali heritage have been found to have higher rates of ASD diagnosis.</w:t>
      </w:r>
      <w:r w:rsidR="00042BB8">
        <w:t xml:space="preserve"> </w:t>
      </w:r>
      <w:r w:rsidR="00042BB8" w:rsidRPr="00042BB8">
        <w:t>Community feedback suggests Somali families may face additional barriers to accessing assessment and support, such as limited awareness of available services and cultural differences in understanding autism.</w:t>
      </w:r>
    </w:p>
    <w:p w14:paraId="7CD98A14" w14:textId="269439CB" w:rsidR="004E04E1" w:rsidRPr="00B7244E" w:rsidRDefault="004E04E1" w:rsidP="00B7244E">
      <w:r w:rsidRPr="00B7244E">
        <w:t>Disparities are also observed at the level of SEN support (i.e. without an EHCP). White British pupils are significantly over-represented, accounting for 18.7% of those receiving SEN support for ASD despite representing only 7.7% of the school population. Conversely, Bangladeshi pupils are under-represented, comprising 48.7% of those receiving SEN support for ASD, while making up 62.4% of the overall school population (</w:t>
      </w:r>
      <w:r w:rsidR="00304FCB">
        <w:t>table 7</w:t>
      </w:r>
      <w:r w:rsidRPr="00B7244E">
        <w:t>).</w:t>
      </w:r>
    </w:p>
    <w:p w14:paraId="7F70F521" w14:textId="3B571DC4" w:rsidR="004E04E1" w:rsidRPr="00C270AF" w:rsidRDefault="00304FCB" w:rsidP="00B7244E">
      <w:pPr>
        <w:rPr>
          <w:b/>
          <w:bCs/>
          <w:sz w:val="18"/>
          <w:szCs w:val="18"/>
        </w:rPr>
      </w:pPr>
      <w:r w:rsidRPr="00304FCB">
        <w:rPr>
          <w:b/>
          <w:bCs/>
          <w:sz w:val="18"/>
          <w:szCs w:val="18"/>
        </w:rPr>
        <w:t xml:space="preserve">Table </w:t>
      </w:r>
      <w:r w:rsidR="004110A4">
        <w:rPr>
          <w:b/>
          <w:bCs/>
          <w:sz w:val="18"/>
          <w:szCs w:val="18"/>
        </w:rPr>
        <w:t>5.1</w:t>
      </w:r>
      <w:r w:rsidR="004E04E1" w:rsidRPr="00304FCB">
        <w:rPr>
          <w:b/>
          <w:bCs/>
          <w:sz w:val="18"/>
          <w:szCs w:val="18"/>
        </w:rPr>
        <w:t>: Percentage of pupils receiving EHCP or SEN</w:t>
      </w:r>
      <w:r w:rsidR="004E04E1" w:rsidRPr="00C270AF">
        <w:rPr>
          <w:b/>
          <w:bCs/>
          <w:sz w:val="18"/>
          <w:szCs w:val="18"/>
        </w:rPr>
        <w:t xml:space="preserve"> Support by ethnic group, 2023.</w:t>
      </w:r>
    </w:p>
    <w:tbl>
      <w:tblPr>
        <w:tblStyle w:val="ListTable3-Accent1"/>
        <w:tblW w:w="9918" w:type="dxa"/>
        <w:tblLayout w:type="fixed"/>
        <w:tblLook w:val="01E0" w:firstRow="1" w:lastRow="1" w:firstColumn="1" w:lastColumn="1" w:noHBand="0" w:noVBand="0"/>
      </w:tblPr>
      <w:tblGrid>
        <w:gridCol w:w="800"/>
        <w:gridCol w:w="800"/>
        <w:gridCol w:w="800"/>
        <w:gridCol w:w="799"/>
        <w:gridCol w:w="799"/>
        <w:gridCol w:w="799"/>
        <w:gridCol w:w="799"/>
        <w:gridCol w:w="4322"/>
      </w:tblGrid>
      <w:tr w:rsidR="00CC1A31" w:rsidRPr="00B7244E" w14:paraId="68030290" w14:textId="77777777" w:rsidTr="00293C95">
        <w:trPr>
          <w:cnfStyle w:val="100000000000" w:firstRow="1" w:lastRow="0" w:firstColumn="0" w:lastColumn="0" w:oddVBand="0" w:evenVBand="0" w:oddHBand="0" w:evenHBand="0" w:firstRowFirstColumn="0" w:firstRowLastColumn="0" w:lastRowFirstColumn="0" w:lastRowLastColumn="0"/>
          <w:trHeight w:val="1147"/>
        </w:trPr>
        <w:tc>
          <w:tcPr>
            <w:cnfStyle w:val="001000000100" w:firstRow="0" w:lastRow="0" w:firstColumn="1" w:lastColumn="0" w:oddVBand="0" w:evenVBand="0" w:oddHBand="0" w:evenHBand="0" w:firstRowFirstColumn="1" w:firstRowLastColumn="0" w:lastRowFirstColumn="0" w:lastRowLastColumn="0"/>
            <w:tcW w:w="0" w:type="dxa"/>
          </w:tcPr>
          <w:p w14:paraId="2B78EF72" w14:textId="77777777" w:rsidR="004E04E1" w:rsidRPr="00293C95" w:rsidRDefault="004E04E1" w:rsidP="00293C95">
            <w:pPr>
              <w:spacing w:after="0" w:line="240" w:lineRule="auto"/>
              <w:jc w:val="left"/>
              <w:rPr>
                <w:sz w:val="20"/>
                <w:szCs w:val="20"/>
              </w:rPr>
            </w:pPr>
          </w:p>
          <w:p w14:paraId="5986B703" w14:textId="77777777" w:rsidR="004E04E1" w:rsidRPr="00293C95" w:rsidRDefault="004E04E1" w:rsidP="00293C95">
            <w:pPr>
              <w:spacing w:after="0" w:line="240" w:lineRule="auto"/>
              <w:jc w:val="left"/>
              <w:rPr>
                <w:sz w:val="20"/>
                <w:szCs w:val="20"/>
              </w:rPr>
            </w:pPr>
          </w:p>
          <w:p w14:paraId="2027DCB0" w14:textId="77777777" w:rsidR="004E04E1" w:rsidRPr="00293C95" w:rsidRDefault="004E04E1" w:rsidP="00293C95">
            <w:pPr>
              <w:spacing w:after="0" w:line="240" w:lineRule="auto"/>
              <w:jc w:val="left"/>
              <w:rPr>
                <w:sz w:val="20"/>
                <w:szCs w:val="20"/>
              </w:rPr>
            </w:pPr>
          </w:p>
        </w:tc>
        <w:tc>
          <w:tcPr>
            <w:cnfStyle w:val="000010000000" w:firstRow="0" w:lastRow="0" w:firstColumn="0" w:lastColumn="0" w:oddVBand="1" w:evenVBand="0" w:oddHBand="0" w:evenHBand="0" w:firstRowFirstColumn="0" w:firstRowLastColumn="0" w:lastRowFirstColumn="0" w:lastRowLastColumn="0"/>
            <w:tcW w:w="0" w:type="dxa"/>
          </w:tcPr>
          <w:p w14:paraId="344A0350" w14:textId="77777777" w:rsidR="004E04E1" w:rsidRPr="00293C95" w:rsidRDefault="004E04E1" w:rsidP="00293C95">
            <w:pPr>
              <w:spacing w:after="0" w:line="240" w:lineRule="auto"/>
              <w:jc w:val="left"/>
              <w:rPr>
                <w:color w:val="FFFFFF" w:themeColor="background1"/>
                <w:w w:val="110"/>
                <w:sz w:val="20"/>
                <w:szCs w:val="20"/>
              </w:rPr>
            </w:pPr>
            <w:r w:rsidRPr="00293C95">
              <w:rPr>
                <w:color w:val="FFFFFF" w:themeColor="background1"/>
                <w:w w:val="110"/>
                <w:sz w:val="20"/>
                <w:szCs w:val="20"/>
              </w:rPr>
              <w:t>Bangladeshi</w:t>
            </w:r>
          </w:p>
        </w:tc>
        <w:tc>
          <w:tcPr>
            <w:tcW w:w="0" w:type="dxa"/>
          </w:tcPr>
          <w:p w14:paraId="166DD075" w14:textId="77777777" w:rsidR="004E04E1" w:rsidRPr="00293C95" w:rsidRDefault="004E04E1" w:rsidP="00293C95">
            <w:pPr>
              <w:spacing w:after="0" w:line="240" w:lineRule="auto"/>
              <w:ind w:left="18"/>
              <w:jc w:val="lef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293C95">
              <w:rPr>
                <w:color w:val="FFFFFF" w:themeColor="background1"/>
                <w:w w:val="105"/>
                <w:sz w:val="20"/>
                <w:szCs w:val="20"/>
              </w:rPr>
              <w:t xml:space="preserve">Black </w:t>
            </w:r>
            <w:r w:rsidRPr="00293C95">
              <w:rPr>
                <w:color w:val="FFFFFF" w:themeColor="background1"/>
                <w:sz w:val="20"/>
                <w:szCs w:val="20"/>
              </w:rPr>
              <w:t>African</w:t>
            </w:r>
          </w:p>
        </w:tc>
        <w:tc>
          <w:tcPr>
            <w:cnfStyle w:val="000010000000" w:firstRow="0" w:lastRow="0" w:firstColumn="0" w:lastColumn="0" w:oddVBand="1" w:evenVBand="0" w:oddHBand="0" w:evenHBand="0" w:firstRowFirstColumn="0" w:firstRowLastColumn="0" w:lastRowFirstColumn="0" w:lastRowLastColumn="0"/>
            <w:tcW w:w="0" w:type="dxa"/>
            <w:tcBorders>
              <w:right w:val="single" w:sz="4" w:space="0" w:color="auto"/>
            </w:tcBorders>
          </w:tcPr>
          <w:p w14:paraId="0DE2DB6B" w14:textId="77777777" w:rsidR="004E04E1" w:rsidRPr="00293C95" w:rsidRDefault="004E04E1" w:rsidP="00293C95">
            <w:pPr>
              <w:spacing w:after="0" w:line="240" w:lineRule="auto"/>
              <w:jc w:val="left"/>
              <w:rPr>
                <w:color w:val="FFFFFF" w:themeColor="background1"/>
                <w:sz w:val="20"/>
                <w:szCs w:val="20"/>
              </w:rPr>
            </w:pPr>
            <w:r w:rsidRPr="00293C95">
              <w:rPr>
                <w:color w:val="FFFFFF" w:themeColor="background1"/>
                <w:w w:val="105"/>
                <w:sz w:val="20"/>
                <w:szCs w:val="20"/>
              </w:rPr>
              <w:t>Black Somali</w:t>
            </w:r>
          </w:p>
        </w:tc>
        <w:tc>
          <w:tcPr>
            <w:tcW w:w="0" w:type="dxa"/>
            <w:tcBorders>
              <w:top w:val="single" w:sz="4" w:space="0" w:color="auto"/>
              <w:left w:val="single" w:sz="4" w:space="0" w:color="auto"/>
              <w:bottom w:val="single" w:sz="4" w:space="0" w:color="auto"/>
              <w:right w:val="single" w:sz="4" w:space="0" w:color="auto"/>
            </w:tcBorders>
          </w:tcPr>
          <w:p w14:paraId="53085337" w14:textId="77777777" w:rsidR="004E04E1" w:rsidRPr="00293C95" w:rsidRDefault="004E04E1" w:rsidP="00293C95">
            <w:pPr>
              <w:spacing w:after="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293C95">
              <w:rPr>
                <w:color w:val="FFFFFF" w:themeColor="background1"/>
                <w:sz w:val="20"/>
                <w:szCs w:val="20"/>
              </w:rPr>
              <w:t>White British</w:t>
            </w: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tcPr>
          <w:p w14:paraId="016D396E" w14:textId="77777777" w:rsidR="004E04E1" w:rsidRPr="00293C95" w:rsidRDefault="004E04E1" w:rsidP="00293C95">
            <w:pPr>
              <w:spacing w:after="0" w:line="240" w:lineRule="auto"/>
              <w:jc w:val="left"/>
              <w:rPr>
                <w:color w:val="FFFFFF" w:themeColor="background1"/>
                <w:sz w:val="20"/>
                <w:szCs w:val="20"/>
              </w:rPr>
            </w:pPr>
            <w:r w:rsidRPr="00293C95">
              <w:rPr>
                <w:color w:val="FFFFFF" w:themeColor="background1"/>
                <w:spacing w:val="-4"/>
                <w:sz w:val="20"/>
                <w:szCs w:val="20"/>
              </w:rPr>
              <w:t xml:space="preserve">Any </w:t>
            </w:r>
            <w:r w:rsidRPr="00293C95">
              <w:rPr>
                <w:color w:val="FFFFFF" w:themeColor="background1"/>
                <w:sz w:val="20"/>
                <w:szCs w:val="20"/>
              </w:rPr>
              <w:t xml:space="preserve">other ethnic </w:t>
            </w:r>
            <w:r w:rsidRPr="00293C95">
              <w:rPr>
                <w:color w:val="FFFFFF" w:themeColor="background1"/>
                <w:w w:val="110"/>
                <w:sz w:val="20"/>
                <w:szCs w:val="20"/>
              </w:rPr>
              <w:t>group</w:t>
            </w:r>
          </w:p>
        </w:tc>
        <w:tc>
          <w:tcPr>
            <w:tcW w:w="0" w:type="dxa"/>
            <w:tcBorders>
              <w:left w:val="single" w:sz="4" w:space="0" w:color="auto"/>
              <w:bottom w:val="single" w:sz="4" w:space="0" w:color="auto"/>
            </w:tcBorders>
          </w:tcPr>
          <w:p w14:paraId="5640D945" w14:textId="77777777" w:rsidR="004E04E1" w:rsidRPr="00293C95" w:rsidRDefault="004E04E1" w:rsidP="00293C95">
            <w:pPr>
              <w:spacing w:after="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293C95">
              <w:rPr>
                <w:color w:val="FFFFFF" w:themeColor="background1"/>
                <w:w w:val="105"/>
                <w:sz w:val="20"/>
                <w:szCs w:val="20"/>
              </w:rPr>
              <w:t>Any</w:t>
            </w:r>
            <w:r w:rsidRPr="00293C95">
              <w:rPr>
                <w:color w:val="FFFFFF" w:themeColor="background1"/>
                <w:spacing w:val="-15"/>
                <w:w w:val="105"/>
                <w:sz w:val="20"/>
                <w:szCs w:val="20"/>
              </w:rPr>
              <w:t xml:space="preserve"> </w:t>
            </w:r>
            <w:r w:rsidRPr="00293C95">
              <w:rPr>
                <w:color w:val="FFFFFF" w:themeColor="background1"/>
                <w:w w:val="105"/>
                <w:sz w:val="20"/>
                <w:szCs w:val="20"/>
              </w:rPr>
              <w:t xml:space="preserve">other </w:t>
            </w:r>
            <w:r w:rsidRPr="00293C95">
              <w:rPr>
                <w:color w:val="FFFFFF" w:themeColor="background1"/>
                <w:spacing w:val="-4"/>
                <w:w w:val="105"/>
                <w:sz w:val="20"/>
                <w:szCs w:val="20"/>
              </w:rPr>
              <w:t xml:space="preserve">mixed </w:t>
            </w:r>
            <w:r w:rsidRPr="00293C95">
              <w:rPr>
                <w:color w:val="FFFFFF" w:themeColor="background1"/>
                <w:spacing w:val="-2"/>
                <w:w w:val="105"/>
                <w:sz w:val="20"/>
                <w:szCs w:val="20"/>
              </w:rPr>
              <w:t>backgroun</w:t>
            </w:r>
            <w:r w:rsidRPr="00293C95">
              <w:rPr>
                <w:color w:val="FFFFFF" w:themeColor="background1"/>
                <w:w w:val="110"/>
                <w:sz w:val="20"/>
                <w:szCs w:val="20"/>
              </w:rPr>
              <w:t>d</w:t>
            </w:r>
          </w:p>
        </w:tc>
        <w:tc>
          <w:tcPr>
            <w:cnfStyle w:val="000100001000" w:firstRow="0" w:lastRow="0" w:firstColumn="0" w:lastColumn="1" w:oddVBand="0" w:evenVBand="0" w:oddHBand="0" w:evenHBand="0" w:firstRowFirstColumn="0" w:firstRowLastColumn="1" w:lastRowFirstColumn="0" w:lastRowLastColumn="0"/>
            <w:tcW w:w="1276" w:type="dxa"/>
            <w:tcBorders>
              <w:bottom w:val="single" w:sz="4" w:space="0" w:color="auto"/>
            </w:tcBorders>
          </w:tcPr>
          <w:p w14:paraId="10DC21A2" w14:textId="77777777" w:rsidR="004E04E1" w:rsidRPr="00293C95" w:rsidRDefault="004E04E1" w:rsidP="00293C95">
            <w:pPr>
              <w:spacing w:after="0" w:line="240" w:lineRule="auto"/>
              <w:jc w:val="left"/>
              <w:rPr>
                <w:color w:val="FFFFFF" w:themeColor="background1"/>
                <w:sz w:val="20"/>
                <w:szCs w:val="20"/>
              </w:rPr>
            </w:pPr>
            <w:r w:rsidRPr="00293C95">
              <w:rPr>
                <w:color w:val="FFFFFF" w:themeColor="background1"/>
                <w:w w:val="105"/>
                <w:sz w:val="20"/>
                <w:szCs w:val="20"/>
              </w:rPr>
              <w:t>Any</w:t>
            </w:r>
            <w:r w:rsidRPr="00293C95">
              <w:rPr>
                <w:color w:val="FFFFFF" w:themeColor="background1"/>
                <w:spacing w:val="-15"/>
                <w:w w:val="105"/>
                <w:sz w:val="20"/>
                <w:szCs w:val="20"/>
              </w:rPr>
              <w:t xml:space="preserve"> </w:t>
            </w:r>
            <w:r w:rsidRPr="00293C95">
              <w:rPr>
                <w:color w:val="FFFFFF" w:themeColor="background1"/>
                <w:w w:val="105"/>
                <w:sz w:val="20"/>
                <w:szCs w:val="20"/>
              </w:rPr>
              <w:t>other white backgroun</w:t>
            </w:r>
            <w:r w:rsidRPr="00293C95">
              <w:rPr>
                <w:color w:val="FFFFFF" w:themeColor="background1"/>
                <w:w w:val="110"/>
                <w:sz w:val="20"/>
                <w:szCs w:val="20"/>
              </w:rPr>
              <w:t>d</w:t>
            </w:r>
          </w:p>
        </w:tc>
      </w:tr>
      <w:tr w:rsidR="00CC1A31" w:rsidRPr="00B7244E" w14:paraId="219D4DE5" w14:textId="77777777" w:rsidTr="00293C95">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tcPr>
          <w:p w14:paraId="56864FCA" w14:textId="77777777" w:rsidR="004E04E1" w:rsidRPr="00293C95" w:rsidRDefault="004E04E1" w:rsidP="00293C95">
            <w:pPr>
              <w:spacing w:line="240" w:lineRule="auto"/>
              <w:ind w:right="86"/>
              <w:jc w:val="left"/>
              <w:rPr>
                <w:sz w:val="20"/>
                <w:szCs w:val="20"/>
              </w:rPr>
            </w:pPr>
            <w:r w:rsidRPr="00293C95">
              <w:rPr>
                <w:w w:val="105"/>
                <w:sz w:val="20"/>
                <w:szCs w:val="20"/>
              </w:rPr>
              <w:t>Total</w:t>
            </w:r>
            <w:r w:rsidRPr="00293C95">
              <w:rPr>
                <w:spacing w:val="-14"/>
                <w:w w:val="105"/>
                <w:sz w:val="20"/>
                <w:szCs w:val="20"/>
              </w:rPr>
              <w:t xml:space="preserve"> </w:t>
            </w:r>
            <w:r w:rsidRPr="00293C95">
              <w:rPr>
                <w:w w:val="105"/>
                <w:sz w:val="20"/>
                <w:szCs w:val="20"/>
              </w:rPr>
              <w:t>%</w:t>
            </w:r>
            <w:r w:rsidRPr="00293C95">
              <w:rPr>
                <w:spacing w:val="-14"/>
                <w:w w:val="105"/>
                <w:sz w:val="20"/>
                <w:szCs w:val="20"/>
              </w:rPr>
              <w:t xml:space="preserve"> </w:t>
            </w:r>
            <w:r w:rsidRPr="00293C95">
              <w:rPr>
                <w:w w:val="105"/>
                <w:sz w:val="20"/>
                <w:szCs w:val="20"/>
              </w:rPr>
              <w:t>of</w:t>
            </w:r>
            <w:r w:rsidRPr="00293C95">
              <w:rPr>
                <w:spacing w:val="-13"/>
                <w:w w:val="105"/>
                <w:sz w:val="20"/>
                <w:szCs w:val="20"/>
              </w:rPr>
              <w:t xml:space="preserve"> </w:t>
            </w:r>
            <w:r w:rsidRPr="00293C95">
              <w:rPr>
                <w:w w:val="105"/>
                <w:sz w:val="20"/>
                <w:szCs w:val="20"/>
              </w:rPr>
              <w:t>all</w:t>
            </w:r>
            <w:r w:rsidRPr="00293C95">
              <w:rPr>
                <w:spacing w:val="-13"/>
                <w:w w:val="105"/>
                <w:sz w:val="20"/>
                <w:szCs w:val="20"/>
              </w:rPr>
              <w:t xml:space="preserve"> </w:t>
            </w:r>
            <w:r w:rsidRPr="00293C95">
              <w:rPr>
                <w:w w:val="105"/>
                <w:sz w:val="20"/>
                <w:szCs w:val="20"/>
              </w:rPr>
              <w:t>pupils</w:t>
            </w:r>
            <w:r w:rsidRPr="00293C95">
              <w:rPr>
                <w:spacing w:val="-13"/>
                <w:w w:val="105"/>
                <w:sz w:val="20"/>
                <w:szCs w:val="20"/>
              </w:rPr>
              <w:t xml:space="preserve"> </w:t>
            </w:r>
            <w:r w:rsidRPr="00293C95">
              <w:rPr>
                <w:w w:val="105"/>
                <w:sz w:val="20"/>
                <w:szCs w:val="20"/>
              </w:rPr>
              <w:t>in ethnic</w:t>
            </w:r>
            <w:r w:rsidRPr="00293C95">
              <w:rPr>
                <w:spacing w:val="-15"/>
                <w:w w:val="105"/>
                <w:sz w:val="20"/>
                <w:szCs w:val="20"/>
              </w:rPr>
              <w:t xml:space="preserve"> </w:t>
            </w:r>
            <w:r w:rsidRPr="00293C95">
              <w:rPr>
                <w:w w:val="105"/>
                <w:sz w:val="20"/>
                <w:szCs w:val="20"/>
              </w:rPr>
              <w:t>group</w:t>
            </w:r>
          </w:p>
        </w:tc>
        <w:tc>
          <w:tcPr>
            <w:cnfStyle w:val="000010000000" w:firstRow="0" w:lastRow="0" w:firstColumn="0" w:lastColumn="0" w:oddVBand="1" w:evenVBand="0" w:oddHBand="0" w:evenHBand="0" w:firstRowFirstColumn="0" w:firstRowLastColumn="0" w:lastRowFirstColumn="0" w:lastRowLastColumn="0"/>
            <w:tcW w:w="0" w:type="dxa"/>
            <w:tcBorders>
              <w:bottom w:val="single" w:sz="4" w:space="0" w:color="auto"/>
            </w:tcBorders>
          </w:tcPr>
          <w:p w14:paraId="79AFCD6C" w14:textId="77777777" w:rsidR="004E04E1" w:rsidRPr="00293C95" w:rsidRDefault="004E04E1" w:rsidP="00293C95">
            <w:pPr>
              <w:spacing w:line="240" w:lineRule="auto"/>
              <w:rPr>
                <w:sz w:val="20"/>
                <w:szCs w:val="20"/>
              </w:rPr>
            </w:pPr>
            <w:r w:rsidRPr="00293C95">
              <w:rPr>
                <w:sz w:val="20"/>
                <w:szCs w:val="20"/>
              </w:rPr>
              <w:t>62.4%</w:t>
            </w:r>
          </w:p>
        </w:tc>
        <w:tc>
          <w:tcPr>
            <w:tcW w:w="0" w:type="dxa"/>
            <w:tcBorders>
              <w:bottom w:val="single" w:sz="4" w:space="0" w:color="auto"/>
            </w:tcBorders>
          </w:tcPr>
          <w:p w14:paraId="6868AEA7" w14:textId="77777777" w:rsidR="004E04E1" w:rsidRPr="00293C95" w:rsidRDefault="004E04E1" w:rsidP="00293C95">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3.7%</w:t>
            </w:r>
          </w:p>
        </w:tc>
        <w:tc>
          <w:tcPr>
            <w:cnfStyle w:val="000010000000" w:firstRow="0" w:lastRow="0" w:firstColumn="0" w:lastColumn="0" w:oddVBand="1" w:evenVBand="0" w:oddHBand="0" w:evenHBand="0" w:firstRowFirstColumn="0" w:firstRowLastColumn="0" w:lastRowFirstColumn="0" w:lastRowLastColumn="0"/>
            <w:tcW w:w="0" w:type="dxa"/>
            <w:tcBorders>
              <w:bottom w:val="single" w:sz="4" w:space="0" w:color="auto"/>
            </w:tcBorders>
          </w:tcPr>
          <w:p w14:paraId="130137C7" w14:textId="77777777" w:rsidR="004E04E1" w:rsidRPr="00293C95" w:rsidRDefault="004E04E1" w:rsidP="00293C95">
            <w:pPr>
              <w:spacing w:line="240" w:lineRule="auto"/>
              <w:rPr>
                <w:sz w:val="20"/>
                <w:szCs w:val="20"/>
              </w:rPr>
            </w:pPr>
            <w:r w:rsidRPr="00293C95">
              <w:rPr>
                <w:sz w:val="20"/>
                <w:szCs w:val="20"/>
              </w:rPr>
              <w:t>3.6%</w:t>
            </w:r>
          </w:p>
        </w:tc>
        <w:tc>
          <w:tcPr>
            <w:tcW w:w="0" w:type="dxa"/>
            <w:tcBorders>
              <w:top w:val="single" w:sz="4" w:space="0" w:color="auto"/>
              <w:bottom w:val="single" w:sz="4" w:space="0" w:color="auto"/>
            </w:tcBorders>
          </w:tcPr>
          <w:p w14:paraId="30C5917B" w14:textId="77777777" w:rsidR="004E04E1" w:rsidRPr="00293C95" w:rsidRDefault="004E04E1" w:rsidP="00293C95">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7.7%</w:t>
            </w: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auto"/>
              <w:bottom w:val="single" w:sz="4" w:space="0" w:color="auto"/>
              <w:right w:val="single" w:sz="4" w:space="0" w:color="auto"/>
            </w:tcBorders>
          </w:tcPr>
          <w:p w14:paraId="266ADA67" w14:textId="77777777" w:rsidR="004E04E1" w:rsidRPr="00293C95" w:rsidRDefault="004E04E1" w:rsidP="00293C95">
            <w:pPr>
              <w:spacing w:line="240" w:lineRule="auto"/>
              <w:rPr>
                <w:sz w:val="20"/>
                <w:szCs w:val="20"/>
              </w:rPr>
            </w:pPr>
            <w:r w:rsidRPr="00293C95">
              <w:rPr>
                <w:w w:val="110"/>
                <w:sz w:val="20"/>
                <w:szCs w:val="20"/>
              </w:rPr>
              <w:t>3%</w:t>
            </w:r>
          </w:p>
        </w:tc>
        <w:tc>
          <w:tcPr>
            <w:tcW w:w="0" w:type="dxa"/>
            <w:tcBorders>
              <w:top w:val="single" w:sz="4" w:space="0" w:color="auto"/>
              <w:left w:val="single" w:sz="4" w:space="0" w:color="auto"/>
              <w:bottom w:val="single" w:sz="4" w:space="0" w:color="auto"/>
              <w:right w:val="single" w:sz="4" w:space="0" w:color="auto"/>
            </w:tcBorders>
          </w:tcPr>
          <w:p w14:paraId="6C49562A" w14:textId="77777777" w:rsidR="004E04E1" w:rsidRPr="00293C95" w:rsidRDefault="004E04E1" w:rsidP="00293C95">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93C95">
              <w:rPr>
                <w:sz w:val="20"/>
                <w:szCs w:val="20"/>
              </w:rPr>
              <w:t>4.8%</w:t>
            </w:r>
          </w:p>
        </w:tc>
        <w:tc>
          <w:tcPr>
            <w:cnfStyle w:val="000100000000" w:firstRow="0" w:lastRow="0" w:firstColumn="0" w:lastColumn="1" w:oddVBand="0"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tcPr>
          <w:p w14:paraId="547B84AA" w14:textId="77777777" w:rsidR="004E04E1" w:rsidRPr="00293C95" w:rsidRDefault="004E04E1" w:rsidP="00293C95">
            <w:pPr>
              <w:spacing w:line="240" w:lineRule="auto"/>
              <w:rPr>
                <w:b w:val="0"/>
                <w:bCs w:val="0"/>
                <w:sz w:val="20"/>
                <w:szCs w:val="20"/>
              </w:rPr>
            </w:pPr>
            <w:r w:rsidRPr="00293C95">
              <w:rPr>
                <w:sz w:val="20"/>
                <w:szCs w:val="20"/>
              </w:rPr>
              <w:t>4.9%</w:t>
            </w:r>
          </w:p>
        </w:tc>
      </w:tr>
      <w:tr w:rsidR="00DC5B58" w:rsidRPr="00B7244E" w14:paraId="15DF3A52" w14:textId="77777777" w:rsidTr="00293C95">
        <w:trPr>
          <w:trHeight w:val="396"/>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tcPr>
          <w:p w14:paraId="2AC1FF64" w14:textId="77777777" w:rsidR="004E04E1" w:rsidRPr="00293C95" w:rsidRDefault="004E04E1" w:rsidP="00293C95">
            <w:pPr>
              <w:spacing w:line="240" w:lineRule="auto"/>
              <w:ind w:right="86"/>
              <w:jc w:val="left"/>
              <w:rPr>
                <w:sz w:val="20"/>
                <w:szCs w:val="20"/>
              </w:rPr>
            </w:pPr>
            <w:r w:rsidRPr="00293C95">
              <w:rPr>
                <w:w w:val="105"/>
                <w:sz w:val="20"/>
                <w:szCs w:val="20"/>
              </w:rPr>
              <w:t>% of pupils in ethnic grou</w:t>
            </w:r>
            <w:r w:rsidRPr="00293C95">
              <w:rPr>
                <w:w w:val="105"/>
                <w:sz w:val="20"/>
                <w:szCs w:val="20"/>
              </w:rPr>
              <w:lastRenderedPageBreak/>
              <w:t>p</w:t>
            </w:r>
            <w:r w:rsidRPr="00293C95">
              <w:rPr>
                <w:spacing w:val="-13"/>
                <w:w w:val="105"/>
                <w:sz w:val="20"/>
                <w:szCs w:val="20"/>
              </w:rPr>
              <w:t xml:space="preserve"> </w:t>
            </w:r>
            <w:r w:rsidRPr="00293C95">
              <w:rPr>
                <w:w w:val="105"/>
                <w:sz w:val="20"/>
                <w:szCs w:val="20"/>
              </w:rPr>
              <w:t>with</w:t>
            </w:r>
            <w:r w:rsidRPr="00293C95">
              <w:rPr>
                <w:spacing w:val="-13"/>
                <w:w w:val="105"/>
                <w:sz w:val="20"/>
                <w:szCs w:val="20"/>
              </w:rPr>
              <w:t xml:space="preserve"> </w:t>
            </w:r>
            <w:r w:rsidRPr="00293C95">
              <w:rPr>
                <w:w w:val="105"/>
                <w:sz w:val="20"/>
                <w:szCs w:val="20"/>
              </w:rPr>
              <w:t>EHCP</w:t>
            </w:r>
            <w:r w:rsidRPr="00293C95">
              <w:rPr>
                <w:spacing w:val="-14"/>
                <w:w w:val="105"/>
                <w:sz w:val="20"/>
                <w:szCs w:val="20"/>
              </w:rPr>
              <w:t xml:space="preserve"> </w:t>
            </w:r>
            <w:r w:rsidRPr="00293C95">
              <w:rPr>
                <w:w w:val="105"/>
                <w:sz w:val="20"/>
                <w:szCs w:val="20"/>
              </w:rPr>
              <w:t>for</w:t>
            </w:r>
            <w:r w:rsidRPr="00293C95">
              <w:rPr>
                <w:spacing w:val="-15"/>
                <w:w w:val="105"/>
                <w:sz w:val="20"/>
                <w:szCs w:val="20"/>
              </w:rPr>
              <w:t xml:space="preserve"> </w:t>
            </w:r>
            <w:r w:rsidRPr="00293C95">
              <w:rPr>
                <w:w w:val="105"/>
                <w:sz w:val="20"/>
                <w:szCs w:val="20"/>
              </w:rPr>
              <w:t>ASD</w:t>
            </w: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tcPr>
          <w:p w14:paraId="6F6F77D1" w14:textId="77777777" w:rsidR="004E04E1" w:rsidRPr="00293C95" w:rsidRDefault="004E04E1" w:rsidP="00293C95">
            <w:pPr>
              <w:spacing w:line="240" w:lineRule="auto"/>
              <w:rPr>
                <w:sz w:val="20"/>
                <w:szCs w:val="20"/>
              </w:rPr>
            </w:pPr>
            <w:r w:rsidRPr="00293C95">
              <w:rPr>
                <w:sz w:val="20"/>
                <w:szCs w:val="20"/>
              </w:rPr>
              <w:lastRenderedPageBreak/>
              <w:t>62.8%</w:t>
            </w:r>
          </w:p>
        </w:tc>
        <w:tc>
          <w:tcPr>
            <w:tcW w:w="0" w:type="dxa"/>
            <w:tcBorders>
              <w:top w:val="single" w:sz="4" w:space="0" w:color="auto"/>
              <w:left w:val="single" w:sz="4" w:space="0" w:color="auto"/>
              <w:bottom w:val="single" w:sz="4" w:space="0" w:color="auto"/>
              <w:right w:val="single" w:sz="4" w:space="0" w:color="auto"/>
            </w:tcBorders>
          </w:tcPr>
          <w:p w14:paraId="22547A9F" w14:textId="77777777" w:rsidR="004E04E1" w:rsidRPr="00293C95" w:rsidRDefault="004E04E1" w:rsidP="00293C95">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4.3%</w:t>
            </w: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tcPr>
          <w:p w14:paraId="1DF0FC9B" w14:textId="77777777" w:rsidR="004E04E1" w:rsidRPr="00293C95" w:rsidRDefault="004E04E1" w:rsidP="00293C95">
            <w:pPr>
              <w:spacing w:line="240" w:lineRule="auto"/>
              <w:rPr>
                <w:sz w:val="20"/>
                <w:szCs w:val="20"/>
              </w:rPr>
            </w:pPr>
            <w:r w:rsidRPr="00293C95">
              <w:rPr>
                <w:sz w:val="20"/>
                <w:szCs w:val="20"/>
              </w:rPr>
              <w:t>↑</w:t>
            </w:r>
            <w:r w:rsidRPr="00293C95">
              <w:rPr>
                <w:spacing w:val="-12"/>
                <w:sz w:val="20"/>
                <w:szCs w:val="20"/>
              </w:rPr>
              <w:t xml:space="preserve"> </w:t>
            </w:r>
            <w:r w:rsidRPr="00293C95">
              <w:rPr>
                <w:sz w:val="20"/>
                <w:szCs w:val="20"/>
              </w:rPr>
              <w:t>5.6%</w:t>
            </w:r>
          </w:p>
        </w:tc>
        <w:tc>
          <w:tcPr>
            <w:tcW w:w="0" w:type="dxa"/>
            <w:tcBorders>
              <w:top w:val="single" w:sz="4" w:space="0" w:color="auto"/>
              <w:left w:val="single" w:sz="4" w:space="0" w:color="auto"/>
              <w:bottom w:val="single" w:sz="4" w:space="0" w:color="auto"/>
              <w:right w:val="single" w:sz="4" w:space="0" w:color="auto"/>
            </w:tcBorders>
          </w:tcPr>
          <w:p w14:paraId="41178DCA" w14:textId="77777777" w:rsidR="004E04E1" w:rsidRPr="00293C95" w:rsidRDefault="004E04E1" w:rsidP="00293C95">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8.2%</w:t>
            </w: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tcPr>
          <w:p w14:paraId="3FA76329" w14:textId="77777777" w:rsidR="004E04E1" w:rsidRPr="00293C95" w:rsidRDefault="004E04E1" w:rsidP="00293C95">
            <w:pPr>
              <w:spacing w:line="240" w:lineRule="auto"/>
              <w:rPr>
                <w:sz w:val="20"/>
                <w:szCs w:val="20"/>
              </w:rPr>
            </w:pPr>
            <w:r w:rsidRPr="00293C95">
              <w:rPr>
                <w:spacing w:val="-8"/>
                <w:sz w:val="20"/>
                <w:szCs w:val="20"/>
              </w:rPr>
              <w:t>↓</w:t>
            </w:r>
            <w:r w:rsidRPr="00293C95">
              <w:rPr>
                <w:spacing w:val="-9"/>
                <w:sz w:val="20"/>
                <w:szCs w:val="20"/>
              </w:rPr>
              <w:t xml:space="preserve"> </w:t>
            </w:r>
            <w:r w:rsidRPr="00293C95">
              <w:rPr>
                <w:sz w:val="20"/>
                <w:szCs w:val="20"/>
              </w:rPr>
              <w:t>1.4%</w:t>
            </w:r>
          </w:p>
        </w:tc>
        <w:tc>
          <w:tcPr>
            <w:tcW w:w="0" w:type="dxa"/>
            <w:tcBorders>
              <w:top w:val="single" w:sz="4" w:space="0" w:color="auto"/>
              <w:left w:val="single" w:sz="4" w:space="0" w:color="auto"/>
              <w:bottom w:val="single" w:sz="4" w:space="0" w:color="auto"/>
              <w:right w:val="single" w:sz="4" w:space="0" w:color="auto"/>
            </w:tcBorders>
          </w:tcPr>
          <w:p w14:paraId="13940180" w14:textId="77777777" w:rsidR="004E04E1" w:rsidRPr="00293C95" w:rsidRDefault="004E04E1" w:rsidP="00293C95">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93C95">
              <w:rPr>
                <w:sz w:val="20"/>
                <w:szCs w:val="20"/>
              </w:rPr>
              <w:t>4.9%</w:t>
            </w:r>
          </w:p>
        </w:tc>
        <w:tc>
          <w:tcPr>
            <w:cnfStyle w:val="000100000000" w:firstRow="0" w:lastRow="0" w:firstColumn="0" w:lastColumn="1" w:oddVBand="0" w:evenVBand="0" w:oddHBand="0" w:evenHBand="0" w:firstRowFirstColumn="0" w:firstRowLastColumn="0" w:lastRowFirstColumn="0" w:lastRowLastColumn="0"/>
            <w:tcW w:w="1276" w:type="dxa"/>
            <w:tcBorders>
              <w:top w:val="single" w:sz="4" w:space="0" w:color="auto"/>
              <w:left w:val="single" w:sz="4" w:space="0" w:color="auto"/>
              <w:bottom w:val="single" w:sz="4" w:space="0" w:color="auto"/>
              <w:right w:val="single" w:sz="4" w:space="0" w:color="auto"/>
            </w:tcBorders>
          </w:tcPr>
          <w:p w14:paraId="300A4AAA" w14:textId="77777777" w:rsidR="004E04E1" w:rsidRPr="00293C95" w:rsidRDefault="004E04E1" w:rsidP="00293C95">
            <w:pPr>
              <w:spacing w:line="240" w:lineRule="auto"/>
              <w:rPr>
                <w:b w:val="0"/>
                <w:bCs w:val="0"/>
                <w:sz w:val="20"/>
                <w:szCs w:val="20"/>
              </w:rPr>
            </w:pPr>
            <w:r w:rsidRPr="00293C95">
              <w:rPr>
                <w:spacing w:val="-8"/>
                <w:sz w:val="20"/>
                <w:szCs w:val="20"/>
              </w:rPr>
              <w:t>↓</w:t>
            </w:r>
            <w:r w:rsidRPr="00293C95">
              <w:rPr>
                <w:spacing w:val="-9"/>
                <w:sz w:val="20"/>
                <w:szCs w:val="20"/>
              </w:rPr>
              <w:t xml:space="preserve"> </w:t>
            </w:r>
            <w:r w:rsidRPr="00293C95">
              <w:rPr>
                <w:sz w:val="20"/>
                <w:szCs w:val="20"/>
              </w:rPr>
              <w:t>2.8%</w:t>
            </w:r>
          </w:p>
        </w:tc>
      </w:tr>
      <w:tr w:rsidR="00DC5B58" w:rsidRPr="00B7244E" w14:paraId="0C8B68FB" w14:textId="77777777" w:rsidTr="00293C95">
        <w:trPr>
          <w:cnfStyle w:val="010000000000" w:firstRow="0" w:lastRow="1" w:firstColumn="0" w:lastColumn="0" w:oddVBand="0" w:evenVBand="0" w:oddHBand="0" w:evenHBand="0" w:firstRowFirstColumn="0" w:firstRowLastColumn="0" w:lastRowFirstColumn="0" w:lastRowLastColumn="0"/>
          <w:trHeight w:val="593"/>
        </w:trPr>
        <w:tc>
          <w:tcPr>
            <w:cnfStyle w:val="001000000001" w:firstRow="0" w:lastRow="0" w:firstColumn="1" w:lastColumn="0" w:oddVBand="0" w:evenVBand="0" w:oddHBand="0" w:evenHBand="0" w:firstRowFirstColumn="0" w:firstRowLastColumn="0" w:lastRowFirstColumn="1" w:lastRowLastColumn="0"/>
            <w:tcW w:w="0" w:type="dxa"/>
            <w:tcBorders>
              <w:top w:val="single" w:sz="4" w:space="0" w:color="auto"/>
              <w:left w:val="single" w:sz="4" w:space="0" w:color="auto"/>
              <w:bottom w:val="single" w:sz="4" w:space="0" w:color="auto"/>
              <w:right w:val="single" w:sz="4" w:space="0" w:color="auto"/>
            </w:tcBorders>
          </w:tcPr>
          <w:p w14:paraId="6A22A61D" w14:textId="3AE45EDB" w:rsidR="004E04E1" w:rsidRPr="00293C95" w:rsidRDefault="004E04E1" w:rsidP="00293C95">
            <w:pPr>
              <w:spacing w:after="0" w:line="240" w:lineRule="auto"/>
              <w:jc w:val="left"/>
              <w:rPr>
                <w:sz w:val="20"/>
                <w:szCs w:val="20"/>
              </w:rPr>
            </w:pPr>
            <w:r w:rsidRPr="00293C95">
              <w:rPr>
                <w:w w:val="105"/>
                <w:sz w:val="20"/>
                <w:szCs w:val="20"/>
              </w:rPr>
              <w:t>%</w:t>
            </w:r>
            <w:r w:rsidRPr="00293C95">
              <w:rPr>
                <w:spacing w:val="-10"/>
                <w:w w:val="105"/>
                <w:sz w:val="20"/>
                <w:szCs w:val="20"/>
              </w:rPr>
              <w:t xml:space="preserve"> </w:t>
            </w:r>
            <w:r w:rsidRPr="00293C95">
              <w:rPr>
                <w:w w:val="105"/>
                <w:sz w:val="20"/>
                <w:szCs w:val="20"/>
              </w:rPr>
              <w:t>of</w:t>
            </w:r>
            <w:r w:rsidRPr="00293C95">
              <w:rPr>
                <w:spacing w:val="-7"/>
                <w:w w:val="105"/>
                <w:sz w:val="20"/>
                <w:szCs w:val="20"/>
              </w:rPr>
              <w:t xml:space="preserve"> </w:t>
            </w:r>
            <w:r w:rsidRPr="00293C95">
              <w:rPr>
                <w:sz w:val="20"/>
                <w:szCs w:val="20"/>
              </w:rPr>
              <w:t>pupils in ethnic group receiving SEN support for ASD</w:t>
            </w: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tcPr>
          <w:p w14:paraId="4E4B8C5D" w14:textId="77777777" w:rsidR="004E04E1" w:rsidRPr="00293C95" w:rsidRDefault="004E04E1" w:rsidP="00293C95">
            <w:pPr>
              <w:spacing w:line="240" w:lineRule="auto"/>
              <w:rPr>
                <w:b w:val="0"/>
                <w:bCs w:val="0"/>
                <w:sz w:val="20"/>
                <w:szCs w:val="20"/>
              </w:rPr>
            </w:pPr>
            <w:r w:rsidRPr="00293C95">
              <w:rPr>
                <w:spacing w:val="-8"/>
                <w:sz w:val="20"/>
                <w:szCs w:val="20"/>
              </w:rPr>
              <w:t>↓</w:t>
            </w:r>
            <w:r w:rsidRPr="00293C95">
              <w:rPr>
                <w:spacing w:val="-9"/>
                <w:sz w:val="20"/>
                <w:szCs w:val="20"/>
              </w:rPr>
              <w:t xml:space="preserve"> </w:t>
            </w:r>
            <w:r w:rsidRPr="00293C95">
              <w:rPr>
                <w:sz w:val="20"/>
                <w:szCs w:val="20"/>
              </w:rPr>
              <w:t>48.7%</w:t>
            </w:r>
          </w:p>
        </w:tc>
        <w:tc>
          <w:tcPr>
            <w:tcW w:w="0" w:type="dxa"/>
            <w:tcBorders>
              <w:top w:val="single" w:sz="4" w:space="0" w:color="auto"/>
              <w:left w:val="single" w:sz="4" w:space="0" w:color="auto"/>
              <w:bottom w:val="single" w:sz="4" w:space="0" w:color="auto"/>
              <w:right w:val="single" w:sz="4" w:space="0" w:color="auto"/>
            </w:tcBorders>
          </w:tcPr>
          <w:p w14:paraId="43549FDB" w14:textId="77777777" w:rsidR="004E04E1" w:rsidRPr="00293C95" w:rsidRDefault="004E04E1" w:rsidP="00293C95">
            <w:pPr>
              <w:spacing w:line="240" w:lineRule="auto"/>
              <w:cnfStyle w:val="010000000000" w:firstRow="0" w:lastRow="1" w:firstColumn="0" w:lastColumn="0" w:oddVBand="0" w:evenVBand="0" w:oddHBand="0" w:evenHBand="0" w:firstRowFirstColumn="0" w:firstRowLastColumn="0" w:lastRowFirstColumn="0" w:lastRowLastColumn="0"/>
              <w:rPr>
                <w:b w:val="0"/>
                <w:bCs w:val="0"/>
                <w:sz w:val="20"/>
                <w:szCs w:val="20"/>
              </w:rPr>
            </w:pPr>
            <w:r w:rsidRPr="00293C95">
              <w:rPr>
                <w:w w:val="110"/>
                <w:sz w:val="20"/>
                <w:szCs w:val="20"/>
              </w:rPr>
              <w:t>3%</w:t>
            </w: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tcPr>
          <w:p w14:paraId="208566C2" w14:textId="77777777" w:rsidR="004E04E1" w:rsidRPr="00293C95" w:rsidRDefault="004E04E1" w:rsidP="00293C95">
            <w:pPr>
              <w:spacing w:line="240" w:lineRule="auto"/>
              <w:rPr>
                <w:b w:val="0"/>
                <w:bCs w:val="0"/>
                <w:sz w:val="20"/>
                <w:szCs w:val="20"/>
              </w:rPr>
            </w:pPr>
            <w:r w:rsidRPr="00293C95">
              <w:rPr>
                <w:sz w:val="20"/>
                <w:szCs w:val="20"/>
              </w:rPr>
              <w:t>2.2%</w:t>
            </w:r>
          </w:p>
        </w:tc>
        <w:tc>
          <w:tcPr>
            <w:tcW w:w="0" w:type="dxa"/>
            <w:tcBorders>
              <w:top w:val="single" w:sz="4" w:space="0" w:color="auto"/>
              <w:left w:val="single" w:sz="4" w:space="0" w:color="auto"/>
              <w:bottom w:val="single" w:sz="4" w:space="0" w:color="auto"/>
              <w:right w:val="single" w:sz="4" w:space="0" w:color="auto"/>
            </w:tcBorders>
          </w:tcPr>
          <w:p w14:paraId="38C3DDEB" w14:textId="77777777" w:rsidR="004E04E1" w:rsidRPr="00293C95" w:rsidRDefault="004E04E1" w:rsidP="00293C95">
            <w:pPr>
              <w:spacing w:line="240" w:lineRule="auto"/>
              <w:cnfStyle w:val="010000000000" w:firstRow="0" w:lastRow="1" w:firstColumn="0" w:lastColumn="0" w:oddVBand="0" w:evenVBand="0" w:oddHBand="0" w:evenHBand="0" w:firstRowFirstColumn="0" w:firstRowLastColumn="0" w:lastRowFirstColumn="0" w:lastRowLastColumn="0"/>
              <w:rPr>
                <w:b w:val="0"/>
                <w:bCs w:val="0"/>
                <w:sz w:val="20"/>
                <w:szCs w:val="20"/>
              </w:rPr>
            </w:pPr>
            <w:r w:rsidRPr="00293C95">
              <w:rPr>
                <w:spacing w:val="-8"/>
                <w:sz w:val="20"/>
                <w:szCs w:val="20"/>
              </w:rPr>
              <w:t>↑</w:t>
            </w:r>
            <w:r w:rsidRPr="00293C95">
              <w:rPr>
                <w:spacing w:val="-9"/>
                <w:sz w:val="20"/>
                <w:szCs w:val="20"/>
              </w:rPr>
              <w:t xml:space="preserve"> </w:t>
            </w:r>
            <w:r w:rsidRPr="00293C95">
              <w:rPr>
                <w:sz w:val="20"/>
                <w:szCs w:val="20"/>
              </w:rPr>
              <w:t>18.7%</w:t>
            </w:r>
          </w:p>
        </w:tc>
        <w:tc>
          <w:tcPr>
            <w:cnfStyle w:val="000010000000" w:firstRow="0" w:lastRow="0" w:firstColumn="0" w:lastColumn="0" w:oddVBand="1"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tcPr>
          <w:p w14:paraId="4D25581D" w14:textId="77777777" w:rsidR="004E04E1" w:rsidRPr="00293C95" w:rsidRDefault="004E04E1" w:rsidP="00293C95">
            <w:pPr>
              <w:spacing w:line="240" w:lineRule="auto"/>
              <w:rPr>
                <w:b w:val="0"/>
                <w:bCs w:val="0"/>
                <w:sz w:val="20"/>
                <w:szCs w:val="20"/>
              </w:rPr>
            </w:pPr>
            <w:r w:rsidRPr="00293C95">
              <w:rPr>
                <w:sz w:val="20"/>
                <w:szCs w:val="20"/>
              </w:rPr>
              <w:t>1.7%</w:t>
            </w:r>
          </w:p>
        </w:tc>
        <w:tc>
          <w:tcPr>
            <w:tcW w:w="0" w:type="dxa"/>
            <w:tcBorders>
              <w:top w:val="single" w:sz="4" w:space="0" w:color="auto"/>
              <w:left w:val="single" w:sz="4" w:space="0" w:color="auto"/>
              <w:bottom w:val="single" w:sz="4" w:space="0" w:color="auto"/>
              <w:right w:val="single" w:sz="4" w:space="0" w:color="auto"/>
            </w:tcBorders>
          </w:tcPr>
          <w:p w14:paraId="2CB21EE9" w14:textId="77777777" w:rsidR="004E04E1" w:rsidRPr="00293C95" w:rsidRDefault="004E04E1" w:rsidP="00293C95">
            <w:pPr>
              <w:spacing w:line="240" w:lineRule="auto"/>
              <w:cnfStyle w:val="010000000000" w:firstRow="0" w:lastRow="1" w:firstColumn="0" w:lastColumn="0" w:oddVBand="0" w:evenVBand="0" w:oddHBand="0" w:evenHBand="0" w:firstRowFirstColumn="0" w:firstRowLastColumn="0" w:lastRowFirstColumn="0" w:lastRowLastColumn="0"/>
              <w:rPr>
                <w:b w:val="0"/>
                <w:bCs w:val="0"/>
                <w:sz w:val="20"/>
                <w:szCs w:val="20"/>
              </w:rPr>
            </w:pPr>
            <w:r w:rsidRPr="00293C95">
              <w:rPr>
                <w:spacing w:val="-8"/>
                <w:sz w:val="20"/>
                <w:szCs w:val="20"/>
              </w:rPr>
              <w:t>↑</w:t>
            </w:r>
            <w:r w:rsidRPr="00293C95">
              <w:rPr>
                <w:spacing w:val="-9"/>
                <w:sz w:val="20"/>
                <w:szCs w:val="20"/>
              </w:rPr>
              <w:t xml:space="preserve"> </w:t>
            </w:r>
            <w:r w:rsidRPr="00293C95">
              <w:rPr>
                <w:sz w:val="20"/>
                <w:szCs w:val="20"/>
              </w:rPr>
              <w:t>9.1%</w:t>
            </w:r>
          </w:p>
        </w:tc>
        <w:tc>
          <w:tcPr>
            <w:cnfStyle w:val="000100000010" w:firstRow="0" w:lastRow="0" w:firstColumn="0" w:lastColumn="1" w:oddVBand="0" w:evenVBand="0" w:oddHBand="0" w:evenHBand="0" w:firstRowFirstColumn="0" w:firstRowLastColumn="0" w:lastRowFirstColumn="0" w:lastRowLastColumn="1"/>
            <w:tcW w:w="1276" w:type="dxa"/>
            <w:tcBorders>
              <w:top w:val="single" w:sz="4" w:space="0" w:color="auto"/>
              <w:left w:val="single" w:sz="4" w:space="0" w:color="auto"/>
              <w:bottom w:val="single" w:sz="4" w:space="0" w:color="auto"/>
              <w:right w:val="single" w:sz="4" w:space="0" w:color="auto"/>
            </w:tcBorders>
          </w:tcPr>
          <w:p w14:paraId="4858AA55" w14:textId="77777777" w:rsidR="004E04E1" w:rsidRPr="00293C95" w:rsidRDefault="004E04E1" w:rsidP="00293C95">
            <w:pPr>
              <w:spacing w:line="240" w:lineRule="auto"/>
              <w:rPr>
                <w:b w:val="0"/>
                <w:bCs w:val="0"/>
                <w:sz w:val="20"/>
                <w:szCs w:val="20"/>
              </w:rPr>
            </w:pPr>
            <w:r w:rsidRPr="00293C95">
              <w:rPr>
                <w:spacing w:val="-8"/>
                <w:sz w:val="20"/>
                <w:szCs w:val="20"/>
              </w:rPr>
              <w:t>↓</w:t>
            </w:r>
            <w:r w:rsidRPr="00293C95">
              <w:rPr>
                <w:spacing w:val="-9"/>
                <w:sz w:val="20"/>
                <w:szCs w:val="20"/>
              </w:rPr>
              <w:t xml:space="preserve"> </w:t>
            </w:r>
            <w:r w:rsidRPr="00293C95">
              <w:rPr>
                <w:sz w:val="20"/>
                <w:szCs w:val="20"/>
              </w:rPr>
              <w:t>3%</w:t>
            </w:r>
          </w:p>
        </w:tc>
      </w:tr>
    </w:tbl>
    <w:p w14:paraId="7B666A7F" w14:textId="77777777" w:rsidR="004E04E1" w:rsidRPr="000A4863" w:rsidRDefault="004E04E1" w:rsidP="00B7244E">
      <w:pPr>
        <w:rPr>
          <w:sz w:val="2"/>
          <w:szCs w:val="2"/>
        </w:rPr>
      </w:pPr>
    </w:p>
    <w:p w14:paraId="5B472073" w14:textId="4CD3FB8F" w:rsidR="004E04E1" w:rsidRPr="00C270AF" w:rsidRDefault="004E04E1" w:rsidP="00B7244E">
      <w:pPr>
        <w:rPr>
          <w:sz w:val="18"/>
          <w:szCs w:val="18"/>
          <w:highlight w:val="cyan"/>
        </w:rPr>
      </w:pPr>
      <w:r w:rsidRPr="00C270AF">
        <w:rPr>
          <w:sz w:val="18"/>
          <w:szCs w:val="18"/>
        </w:rPr>
        <w:t>Note: This table includes a selection of the most prominent ethnic groups in Tower Hamlets to illustrate key differences. Data for all ethnic groups are available on request.</w:t>
      </w:r>
    </w:p>
    <w:p w14:paraId="52B4CF9E" w14:textId="77777777" w:rsidR="004E04E1" w:rsidRPr="004D664B" w:rsidRDefault="004E04E1" w:rsidP="00F93B5F">
      <w:pPr>
        <w:pStyle w:val="Heading3"/>
        <w:rPr>
          <w:color w:val="006B70"/>
        </w:rPr>
      </w:pPr>
      <w:bookmarkStart w:id="118" w:name="_Toc205386892"/>
      <w:bookmarkStart w:id="119" w:name="_Toc205387962"/>
      <w:bookmarkStart w:id="120" w:name="_Toc205445973"/>
      <w:r w:rsidRPr="004D664B">
        <w:rPr>
          <w:color w:val="006B70"/>
        </w:rPr>
        <w:t>Diagnosis</w:t>
      </w:r>
      <w:bookmarkEnd w:id="118"/>
      <w:bookmarkEnd w:id="119"/>
      <w:bookmarkEnd w:id="120"/>
    </w:p>
    <w:p w14:paraId="7D8DB331" w14:textId="77777777" w:rsidR="004E04E1" w:rsidRPr="00B7244E" w:rsidRDefault="004E04E1" w:rsidP="00B7244E">
      <w:r w:rsidRPr="00B7244E">
        <w:t>Accessing a paediatric ASD assessment in Tower Hamlets can be complex due to the fragmented nature of local services, which poses challenges for both families and professionals. Parents or carers who notice signs of ASD in their child can seek referral assistance from various professionals, including health visitors, nursery staff, school staff (teachers and SENCOs), speech and language therapists, and occupational therapists. Accessing</w:t>
      </w:r>
      <w:r w:rsidRPr="00B7244E">
        <w:rPr>
          <w:spacing w:val="33"/>
        </w:rPr>
        <w:t xml:space="preserve"> </w:t>
      </w:r>
      <w:r w:rsidRPr="00B7244E">
        <w:t>a</w:t>
      </w:r>
      <w:r w:rsidRPr="00B7244E">
        <w:rPr>
          <w:spacing w:val="29"/>
        </w:rPr>
        <w:t xml:space="preserve"> </w:t>
      </w:r>
      <w:r w:rsidRPr="00B7244E">
        <w:t>referral</w:t>
      </w:r>
      <w:r w:rsidRPr="00B7244E">
        <w:rPr>
          <w:spacing w:val="29"/>
        </w:rPr>
        <w:t xml:space="preserve"> </w:t>
      </w:r>
      <w:r w:rsidRPr="00B7244E">
        <w:t>through</w:t>
      </w:r>
      <w:r w:rsidRPr="00B7244E">
        <w:rPr>
          <w:spacing w:val="34"/>
        </w:rPr>
        <w:t xml:space="preserve"> </w:t>
      </w:r>
      <w:r w:rsidRPr="00B7244E">
        <w:t>a</w:t>
      </w:r>
      <w:r w:rsidRPr="00B7244E">
        <w:rPr>
          <w:spacing w:val="33"/>
        </w:rPr>
        <w:t xml:space="preserve"> </w:t>
      </w:r>
      <w:r w:rsidRPr="00B7244E">
        <w:t>GP</w:t>
      </w:r>
      <w:r w:rsidRPr="00B7244E">
        <w:rPr>
          <w:spacing w:val="33"/>
        </w:rPr>
        <w:t xml:space="preserve"> </w:t>
      </w:r>
      <w:r w:rsidRPr="00B7244E">
        <w:t>is</w:t>
      </w:r>
      <w:r w:rsidRPr="00B7244E">
        <w:rPr>
          <w:spacing w:val="29"/>
        </w:rPr>
        <w:t xml:space="preserve"> </w:t>
      </w:r>
      <w:r w:rsidRPr="00B7244E">
        <w:t>not</w:t>
      </w:r>
      <w:r w:rsidRPr="00B7244E">
        <w:rPr>
          <w:spacing w:val="33"/>
        </w:rPr>
        <w:t xml:space="preserve"> </w:t>
      </w:r>
      <w:r w:rsidRPr="00B7244E">
        <w:t>advisable,</w:t>
      </w:r>
      <w:r w:rsidRPr="00B7244E">
        <w:rPr>
          <w:spacing w:val="31"/>
        </w:rPr>
        <w:t xml:space="preserve"> </w:t>
      </w:r>
      <w:r w:rsidRPr="00B7244E">
        <w:t>as</w:t>
      </w:r>
      <w:r w:rsidRPr="00B7244E">
        <w:rPr>
          <w:spacing w:val="29"/>
        </w:rPr>
        <w:t xml:space="preserve"> </w:t>
      </w:r>
      <w:r w:rsidRPr="00B7244E">
        <w:t>they</w:t>
      </w:r>
      <w:r w:rsidRPr="00B7244E">
        <w:rPr>
          <w:spacing w:val="32"/>
        </w:rPr>
        <w:t xml:space="preserve"> </w:t>
      </w:r>
      <w:r w:rsidRPr="00B7244E">
        <w:t>may</w:t>
      </w:r>
      <w:r w:rsidRPr="00B7244E">
        <w:rPr>
          <w:spacing w:val="33"/>
        </w:rPr>
        <w:t xml:space="preserve"> </w:t>
      </w:r>
      <w:r w:rsidRPr="00B7244E">
        <w:t>not</w:t>
      </w:r>
      <w:r w:rsidRPr="00B7244E">
        <w:rPr>
          <w:spacing w:val="28"/>
        </w:rPr>
        <w:t xml:space="preserve"> </w:t>
      </w:r>
      <w:r w:rsidRPr="00B7244E">
        <w:t>be</w:t>
      </w:r>
      <w:r w:rsidRPr="00B7244E">
        <w:rPr>
          <w:spacing w:val="33"/>
        </w:rPr>
        <w:t xml:space="preserve"> </w:t>
      </w:r>
      <w:r w:rsidRPr="00B7244E">
        <w:t>able</w:t>
      </w:r>
      <w:r w:rsidRPr="00B7244E">
        <w:rPr>
          <w:spacing w:val="33"/>
        </w:rPr>
        <w:t xml:space="preserve"> </w:t>
      </w:r>
      <w:r w:rsidRPr="00B7244E">
        <w:t>to</w:t>
      </w:r>
      <w:r w:rsidRPr="00B7244E">
        <w:rPr>
          <w:spacing w:val="31"/>
        </w:rPr>
        <w:t xml:space="preserve"> </w:t>
      </w:r>
      <w:r w:rsidRPr="00B7244E">
        <w:t>provide the detailed information required.</w:t>
      </w:r>
    </w:p>
    <w:p w14:paraId="402053FD" w14:textId="77777777" w:rsidR="004E04E1" w:rsidRPr="00B7244E" w:rsidRDefault="004E04E1" w:rsidP="00B7244E">
      <w:r w:rsidRPr="00B7244E">
        <w:t>Two distinct services in Tower Hamlets offer ASD assessments for children and young people, each with its referral process and eligibility criteria:</w:t>
      </w:r>
    </w:p>
    <w:p w14:paraId="3342EE0C" w14:textId="77777777" w:rsidR="004E04E1" w:rsidRPr="00B7244E" w:rsidRDefault="004E04E1" w:rsidP="00BF63ED">
      <w:pPr>
        <w:numPr>
          <w:ilvl w:val="0"/>
          <w:numId w:val="2"/>
        </w:numPr>
      </w:pPr>
      <w:r w:rsidRPr="00B7244E">
        <w:t>The Autism Spectrum Disorder Assessment Service (ASDAS): This service is provided by a multidisciplinary team that includes community paediatricians, a clinical psychologist, an occupational therapist, a speech and language therapist, and a social worker. It is an "assessment-only" service funded by the NHS and delivered by Barts Health NHS Trust. Parents awaiting an assessment for their child receive an information support pack from the Community Paediatric Service, where ASDAS is based.</w:t>
      </w:r>
    </w:p>
    <w:p w14:paraId="29B313BC" w14:textId="77777777" w:rsidR="004E04E1" w:rsidRPr="00B7244E" w:rsidRDefault="004E04E1" w:rsidP="00BF63ED">
      <w:pPr>
        <w:numPr>
          <w:ilvl w:val="0"/>
          <w:numId w:val="2"/>
        </w:numPr>
      </w:pPr>
      <w:r w:rsidRPr="00B7244E">
        <w:t>Child and Adolescent Mental Health Services (CAMHS): CAMHS in Tower Hamlets conducts ASD assessments for children and young people referred for mental health issues who also display signs of ASD. Parents awaiting an assessment through CAMHS can access engagement and support sessions.</w:t>
      </w:r>
    </w:p>
    <w:p w14:paraId="5608D0D0" w14:textId="77777777" w:rsidR="004E04E1" w:rsidRPr="00B7244E" w:rsidRDefault="004E04E1" w:rsidP="00B7244E">
      <w:r w:rsidRPr="00B7244E">
        <w:rPr>
          <w:w w:val="105"/>
        </w:rPr>
        <w:t xml:space="preserve">Although there have been improvements in the coordination between these two services, stakeholders indicate that further improvement is needed. Post-diagnostic support for children with ASD and their families is available through the Phoenix Outreach Service and the Autism Support Tower Hamlets Service, delivered by the </w:t>
      </w:r>
      <w:r w:rsidRPr="00B7244E">
        <w:rPr>
          <w:spacing w:val="-2"/>
          <w:w w:val="105"/>
        </w:rPr>
        <w:t>National</w:t>
      </w:r>
      <w:r w:rsidRPr="00B7244E">
        <w:rPr>
          <w:spacing w:val="-8"/>
          <w:w w:val="105"/>
        </w:rPr>
        <w:t xml:space="preserve"> </w:t>
      </w:r>
      <w:r w:rsidRPr="00B7244E">
        <w:rPr>
          <w:spacing w:val="-2"/>
          <w:w w:val="105"/>
        </w:rPr>
        <w:t>Autistic</w:t>
      </w:r>
      <w:r w:rsidRPr="00B7244E">
        <w:rPr>
          <w:spacing w:val="-8"/>
          <w:w w:val="105"/>
        </w:rPr>
        <w:t xml:space="preserve"> </w:t>
      </w:r>
      <w:r w:rsidRPr="00B7244E">
        <w:rPr>
          <w:spacing w:val="-2"/>
          <w:w w:val="105"/>
        </w:rPr>
        <w:t>Society</w:t>
      </w:r>
      <w:r w:rsidRPr="00B7244E">
        <w:rPr>
          <w:spacing w:val="-9"/>
          <w:w w:val="105"/>
        </w:rPr>
        <w:t xml:space="preserve"> </w:t>
      </w:r>
      <w:r w:rsidRPr="00B7244E">
        <w:rPr>
          <w:spacing w:val="-2"/>
          <w:w w:val="105"/>
        </w:rPr>
        <w:t>(NAS).</w:t>
      </w:r>
      <w:r w:rsidRPr="00B7244E">
        <w:rPr>
          <w:spacing w:val="-8"/>
          <w:w w:val="105"/>
        </w:rPr>
        <w:t xml:space="preserve"> </w:t>
      </w:r>
      <w:r w:rsidRPr="00B7244E">
        <w:rPr>
          <w:spacing w:val="-2"/>
          <w:w w:val="105"/>
        </w:rPr>
        <w:t>Additionally,</w:t>
      </w:r>
      <w:r w:rsidRPr="00B7244E">
        <w:rPr>
          <w:spacing w:val="-6"/>
          <w:w w:val="105"/>
        </w:rPr>
        <w:t xml:space="preserve"> </w:t>
      </w:r>
      <w:r w:rsidRPr="00B7244E">
        <w:rPr>
          <w:spacing w:val="-2"/>
          <w:w w:val="105"/>
        </w:rPr>
        <w:t>the</w:t>
      </w:r>
      <w:r w:rsidRPr="00B7244E">
        <w:rPr>
          <w:spacing w:val="-7"/>
          <w:w w:val="105"/>
        </w:rPr>
        <w:t xml:space="preserve"> </w:t>
      </w:r>
      <w:r w:rsidRPr="00B7244E">
        <w:rPr>
          <w:spacing w:val="-2"/>
          <w:w w:val="105"/>
        </w:rPr>
        <w:t>Children’s</w:t>
      </w:r>
      <w:r w:rsidRPr="00B7244E">
        <w:rPr>
          <w:spacing w:val="-8"/>
          <w:w w:val="105"/>
        </w:rPr>
        <w:t xml:space="preserve"> </w:t>
      </w:r>
      <w:r w:rsidRPr="00B7244E">
        <w:rPr>
          <w:spacing w:val="-2"/>
          <w:w w:val="105"/>
        </w:rPr>
        <w:t>Disability</w:t>
      </w:r>
      <w:r w:rsidRPr="00B7244E">
        <w:rPr>
          <w:spacing w:val="-10"/>
          <w:w w:val="105"/>
        </w:rPr>
        <w:t xml:space="preserve"> </w:t>
      </w:r>
      <w:r w:rsidRPr="00B7244E">
        <w:rPr>
          <w:spacing w:val="-2"/>
          <w:w w:val="105"/>
        </w:rPr>
        <w:t>Team</w:t>
      </w:r>
      <w:r w:rsidRPr="00B7244E">
        <w:rPr>
          <w:spacing w:val="-8"/>
          <w:w w:val="105"/>
        </w:rPr>
        <w:t xml:space="preserve"> </w:t>
      </w:r>
      <w:r w:rsidRPr="00B7244E">
        <w:rPr>
          <w:spacing w:val="-2"/>
          <w:w w:val="105"/>
        </w:rPr>
        <w:t>offers</w:t>
      </w:r>
      <w:r w:rsidRPr="00B7244E">
        <w:rPr>
          <w:spacing w:val="-9"/>
          <w:w w:val="105"/>
        </w:rPr>
        <w:t xml:space="preserve"> </w:t>
      </w:r>
      <w:r w:rsidRPr="00B7244E">
        <w:rPr>
          <w:spacing w:val="-2"/>
          <w:w w:val="105"/>
        </w:rPr>
        <w:t>a</w:t>
      </w:r>
      <w:r w:rsidRPr="00B7244E">
        <w:rPr>
          <w:spacing w:val="-8"/>
          <w:w w:val="105"/>
        </w:rPr>
        <w:t xml:space="preserve"> </w:t>
      </w:r>
      <w:r w:rsidRPr="00B7244E">
        <w:rPr>
          <w:spacing w:val="-2"/>
          <w:w w:val="105"/>
        </w:rPr>
        <w:t xml:space="preserve">'stay </w:t>
      </w:r>
      <w:r w:rsidRPr="00B7244E">
        <w:rPr>
          <w:w w:val="105"/>
        </w:rPr>
        <w:t>and</w:t>
      </w:r>
      <w:r w:rsidRPr="00B7244E">
        <w:rPr>
          <w:spacing w:val="-9"/>
          <w:w w:val="105"/>
        </w:rPr>
        <w:t xml:space="preserve"> </w:t>
      </w:r>
      <w:r w:rsidRPr="00B7244E">
        <w:rPr>
          <w:w w:val="105"/>
        </w:rPr>
        <w:t>play'</w:t>
      </w:r>
      <w:r w:rsidRPr="00B7244E">
        <w:rPr>
          <w:spacing w:val="-9"/>
          <w:w w:val="105"/>
        </w:rPr>
        <w:t xml:space="preserve"> </w:t>
      </w:r>
      <w:r w:rsidRPr="00B7244E">
        <w:rPr>
          <w:w w:val="105"/>
        </w:rPr>
        <w:t>service,</w:t>
      </w:r>
      <w:r w:rsidRPr="00B7244E">
        <w:rPr>
          <w:spacing w:val="-6"/>
          <w:w w:val="105"/>
        </w:rPr>
        <w:t xml:space="preserve"> </w:t>
      </w:r>
      <w:r w:rsidRPr="00B7244E">
        <w:rPr>
          <w:w w:val="105"/>
        </w:rPr>
        <w:t>which</w:t>
      </w:r>
      <w:r w:rsidRPr="00B7244E">
        <w:rPr>
          <w:spacing w:val="-8"/>
          <w:w w:val="105"/>
        </w:rPr>
        <w:t xml:space="preserve"> </w:t>
      </w:r>
      <w:r w:rsidRPr="00B7244E">
        <w:rPr>
          <w:w w:val="105"/>
        </w:rPr>
        <w:t>includes</w:t>
      </w:r>
      <w:r w:rsidRPr="00B7244E">
        <w:rPr>
          <w:spacing w:val="-9"/>
          <w:w w:val="105"/>
        </w:rPr>
        <w:t xml:space="preserve"> </w:t>
      </w:r>
      <w:r w:rsidRPr="00B7244E">
        <w:rPr>
          <w:w w:val="105"/>
        </w:rPr>
        <w:t>support</w:t>
      </w:r>
      <w:r w:rsidRPr="00B7244E">
        <w:rPr>
          <w:spacing w:val="-9"/>
          <w:w w:val="105"/>
        </w:rPr>
        <w:t xml:space="preserve"> </w:t>
      </w:r>
      <w:r w:rsidRPr="00B7244E">
        <w:rPr>
          <w:w w:val="105"/>
        </w:rPr>
        <w:t>for</w:t>
      </w:r>
      <w:r w:rsidRPr="00B7244E">
        <w:rPr>
          <w:spacing w:val="-11"/>
          <w:w w:val="105"/>
        </w:rPr>
        <w:t xml:space="preserve"> </w:t>
      </w:r>
      <w:r w:rsidRPr="00B7244E">
        <w:rPr>
          <w:w w:val="105"/>
        </w:rPr>
        <w:t>children</w:t>
      </w:r>
      <w:r w:rsidRPr="00B7244E">
        <w:rPr>
          <w:spacing w:val="-5"/>
          <w:w w:val="105"/>
        </w:rPr>
        <w:t xml:space="preserve"> </w:t>
      </w:r>
      <w:r w:rsidRPr="00B7244E">
        <w:rPr>
          <w:w w:val="105"/>
        </w:rPr>
        <w:t>awaiting</w:t>
      </w:r>
      <w:r w:rsidRPr="00B7244E">
        <w:rPr>
          <w:spacing w:val="-9"/>
          <w:w w:val="105"/>
        </w:rPr>
        <w:t xml:space="preserve"> </w:t>
      </w:r>
      <w:r w:rsidRPr="00B7244E">
        <w:rPr>
          <w:w w:val="105"/>
        </w:rPr>
        <w:t>diagnosis,</w:t>
      </w:r>
      <w:r w:rsidRPr="00B7244E">
        <w:rPr>
          <w:spacing w:val="-8"/>
          <w:w w:val="105"/>
        </w:rPr>
        <w:t xml:space="preserve"> </w:t>
      </w:r>
      <w:r w:rsidRPr="00B7244E">
        <w:rPr>
          <w:w w:val="105"/>
        </w:rPr>
        <w:t>who</w:t>
      </w:r>
      <w:r w:rsidRPr="00B7244E">
        <w:rPr>
          <w:spacing w:val="-6"/>
          <w:w w:val="105"/>
        </w:rPr>
        <w:t xml:space="preserve"> </w:t>
      </w:r>
      <w:r w:rsidRPr="00B7244E">
        <w:rPr>
          <w:w w:val="105"/>
        </w:rPr>
        <w:t>are</w:t>
      </w:r>
      <w:r w:rsidRPr="00B7244E">
        <w:rPr>
          <w:spacing w:val="-9"/>
          <w:w w:val="105"/>
        </w:rPr>
        <w:t xml:space="preserve"> </w:t>
      </w:r>
      <w:r w:rsidRPr="00B7244E">
        <w:rPr>
          <w:w w:val="105"/>
        </w:rPr>
        <w:t xml:space="preserve">often </w:t>
      </w:r>
      <w:r w:rsidRPr="00B7244E">
        <w:rPr>
          <w:spacing w:val="-2"/>
          <w:w w:val="105"/>
        </w:rPr>
        <w:t>overlooked.</w:t>
      </w:r>
    </w:p>
    <w:p w14:paraId="2B3F9A46" w14:textId="77777777" w:rsidR="004E04E1" w:rsidRPr="004D664B" w:rsidRDefault="004E04E1" w:rsidP="00F93B5F">
      <w:pPr>
        <w:pStyle w:val="Heading3"/>
        <w:rPr>
          <w:color w:val="006B70"/>
        </w:rPr>
      </w:pPr>
      <w:bookmarkStart w:id="121" w:name="_Toc205386893"/>
      <w:bookmarkStart w:id="122" w:name="_Toc205387963"/>
      <w:bookmarkStart w:id="123" w:name="_Toc205445974"/>
      <w:r w:rsidRPr="004D664B">
        <w:rPr>
          <w:color w:val="006B70"/>
        </w:rPr>
        <w:lastRenderedPageBreak/>
        <w:t>Pathway</w:t>
      </w:r>
      <w:bookmarkEnd w:id="121"/>
      <w:bookmarkEnd w:id="122"/>
      <w:bookmarkEnd w:id="123"/>
    </w:p>
    <w:p w14:paraId="420E39AF" w14:textId="684D503A" w:rsidR="004E04E1" w:rsidRPr="00B7244E" w:rsidRDefault="004E04E1" w:rsidP="00B7244E">
      <w:pPr>
        <w:rPr>
          <w:highlight w:val="cyan"/>
        </w:rPr>
      </w:pPr>
      <w:r w:rsidRPr="00B7244E">
        <w:rPr>
          <w:w w:val="105"/>
        </w:rPr>
        <w:t>The demand for ASD assessments has increased nationwide,</w:t>
      </w:r>
      <w:r w:rsidRPr="00B7244E">
        <w:rPr>
          <w:b/>
          <w:w w:val="105"/>
        </w:rPr>
        <w:t xml:space="preserve"> </w:t>
      </w:r>
      <w:r w:rsidRPr="00B7244E">
        <w:rPr>
          <w:w w:val="105"/>
        </w:rPr>
        <w:t>exceeding available resources</w:t>
      </w:r>
      <w:r w:rsidRPr="00B7244E">
        <w:rPr>
          <w:w w:val="105"/>
          <w:vertAlign w:val="superscript"/>
        </w:rPr>
        <w:endnoteReference w:id="41"/>
      </w:r>
      <w:r w:rsidRPr="00B7244E">
        <w:rPr>
          <w:spacing w:val="-9"/>
          <w:w w:val="105"/>
        </w:rPr>
        <w:t xml:space="preserve"> </w:t>
      </w:r>
      <w:r w:rsidRPr="00B7244E">
        <w:rPr>
          <w:spacing w:val="-9"/>
          <w:w w:val="105"/>
          <w:vertAlign w:val="superscript"/>
        </w:rPr>
        <w:endnoteReference w:id="42"/>
      </w:r>
      <w:r w:rsidR="00BE2133">
        <w:rPr>
          <w:spacing w:val="-9"/>
          <w:w w:val="105"/>
        </w:rPr>
        <w:t>.</w:t>
      </w:r>
      <w:r w:rsidRPr="00B7244E">
        <w:rPr>
          <w:spacing w:val="-9"/>
          <w:w w:val="105"/>
        </w:rPr>
        <w:t xml:space="preserve"> </w:t>
      </w:r>
      <w:r w:rsidRPr="00B7244E">
        <w:rPr>
          <w:w w:val="105"/>
        </w:rPr>
        <w:t>Tower</w:t>
      </w:r>
      <w:r w:rsidRPr="00B7244E">
        <w:rPr>
          <w:spacing w:val="-9"/>
          <w:w w:val="105"/>
        </w:rPr>
        <w:t xml:space="preserve"> </w:t>
      </w:r>
      <w:r w:rsidRPr="00B7244E">
        <w:rPr>
          <w:w w:val="105"/>
        </w:rPr>
        <w:t>Hamlets</w:t>
      </w:r>
      <w:r w:rsidRPr="00B7244E">
        <w:rPr>
          <w:spacing w:val="-9"/>
          <w:w w:val="105"/>
        </w:rPr>
        <w:t xml:space="preserve"> </w:t>
      </w:r>
      <w:r w:rsidRPr="00B7244E">
        <w:rPr>
          <w:w w:val="105"/>
        </w:rPr>
        <w:t>has</w:t>
      </w:r>
      <w:r w:rsidRPr="00B7244E">
        <w:rPr>
          <w:spacing w:val="-9"/>
          <w:w w:val="105"/>
        </w:rPr>
        <w:t xml:space="preserve"> </w:t>
      </w:r>
      <w:r w:rsidRPr="00B7244E">
        <w:rPr>
          <w:w w:val="105"/>
        </w:rPr>
        <w:t>been</w:t>
      </w:r>
      <w:r w:rsidRPr="00B7244E">
        <w:rPr>
          <w:spacing w:val="-7"/>
          <w:w w:val="105"/>
        </w:rPr>
        <w:t xml:space="preserve"> </w:t>
      </w:r>
      <w:r w:rsidRPr="00B7244E">
        <w:rPr>
          <w:w w:val="105"/>
        </w:rPr>
        <w:t>particularly</w:t>
      </w:r>
      <w:r w:rsidRPr="00B7244E">
        <w:rPr>
          <w:spacing w:val="-9"/>
          <w:w w:val="105"/>
        </w:rPr>
        <w:t xml:space="preserve"> </w:t>
      </w:r>
      <w:r w:rsidRPr="00B7244E">
        <w:rPr>
          <w:w w:val="105"/>
        </w:rPr>
        <w:t>affected,</w:t>
      </w:r>
      <w:r w:rsidRPr="00B7244E">
        <w:rPr>
          <w:spacing w:val="-6"/>
          <w:w w:val="105"/>
        </w:rPr>
        <w:t xml:space="preserve"> </w:t>
      </w:r>
      <w:r w:rsidRPr="00B7244E">
        <w:rPr>
          <w:w w:val="105"/>
        </w:rPr>
        <w:t>with</w:t>
      </w:r>
      <w:r w:rsidRPr="00B7244E">
        <w:rPr>
          <w:spacing w:val="-5"/>
          <w:w w:val="105"/>
        </w:rPr>
        <w:t xml:space="preserve"> </w:t>
      </w:r>
      <w:r w:rsidRPr="00B7244E">
        <w:rPr>
          <w:w w:val="105"/>
        </w:rPr>
        <w:t>the</w:t>
      </w:r>
      <w:r w:rsidRPr="00B7244E">
        <w:rPr>
          <w:spacing w:val="-9"/>
          <w:w w:val="105"/>
        </w:rPr>
        <w:t xml:space="preserve"> </w:t>
      </w:r>
      <w:r w:rsidRPr="00B7244E">
        <w:rPr>
          <w:w w:val="105"/>
        </w:rPr>
        <w:t>number</w:t>
      </w:r>
      <w:r w:rsidRPr="00B7244E">
        <w:rPr>
          <w:spacing w:val="-11"/>
          <w:w w:val="105"/>
        </w:rPr>
        <w:t xml:space="preserve"> </w:t>
      </w:r>
      <w:r w:rsidRPr="00B7244E">
        <w:rPr>
          <w:w w:val="105"/>
        </w:rPr>
        <w:t>of</w:t>
      </w:r>
      <w:r w:rsidRPr="00B7244E">
        <w:rPr>
          <w:spacing w:val="-9"/>
          <w:w w:val="105"/>
        </w:rPr>
        <w:t xml:space="preserve"> </w:t>
      </w:r>
      <w:r w:rsidRPr="00B7244E">
        <w:rPr>
          <w:w w:val="105"/>
        </w:rPr>
        <w:t>accepted referrals for ASD assessments at the Autism Spectrum Disorder Assessment Service (ASDAS)</w:t>
      </w:r>
      <w:r w:rsidRPr="00B7244E">
        <w:rPr>
          <w:spacing w:val="-8"/>
          <w:w w:val="105"/>
        </w:rPr>
        <w:t xml:space="preserve"> </w:t>
      </w:r>
      <w:r w:rsidRPr="00B7244E">
        <w:rPr>
          <w:w w:val="105"/>
        </w:rPr>
        <w:t>tripling</w:t>
      </w:r>
      <w:r w:rsidRPr="00B7244E">
        <w:rPr>
          <w:spacing w:val="-11"/>
          <w:w w:val="105"/>
        </w:rPr>
        <w:t xml:space="preserve"> </w:t>
      </w:r>
      <w:r w:rsidRPr="00B7244E">
        <w:rPr>
          <w:w w:val="105"/>
        </w:rPr>
        <w:t>since</w:t>
      </w:r>
      <w:r w:rsidRPr="00B7244E">
        <w:rPr>
          <w:spacing w:val="-9"/>
          <w:w w:val="105"/>
        </w:rPr>
        <w:t xml:space="preserve"> </w:t>
      </w:r>
      <w:r w:rsidRPr="00B7244E">
        <w:rPr>
          <w:w w:val="105"/>
        </w:rPr>
        <w:t>2020,</w:t>
      </w:r>
      <w:r w:rsidRPr="00B7244E">
        <w:rPr>
          <w:spacing w:val="-8"/>
          <w:w w:val="105"/>
        </w:rPr>
        <w:t xml:space="preserve"> </w:t>
      </w:r>
      <w:r w:rsidRPr="00B7244E">
        <w:rPr>
          <w:w w:val="105"/>
        </w:rPr>
        <w:t>reaching</w:t>
      </w:r>
      <w:r w:rsidRPr="00B7244E">
        <w:rPr>
          <w:spacing w:val="-11"/>
          <w:w w:val="105"/>
        </w:rPr>
        <w:t xml:space="preserve"> </w:t>
      </w:r>
      <w:r w:rsidRPr="00B7244E">
        <w:rPr>
          <w:w w:val="105"/>
        </w:rPr>
        <w:t>over</w:t>
      </w:r>
      <w:r w:rsidRPr="00B7244E">
        <w:rPr>
          <w:spacing w:val="-13"/>
          <w:w w:val="105"/>
        </w:rPr>
        <w:t xml:space="preserve"> </w:t>
      </w:r>
      <w:r w:rsidRPr="00B7244E">
        <w:rPr>
          <w:w w:val="105"/>
        </w:rPr>
        <w:t>600</w:t>
      </w:r>
      <w:r w:rsidRPr="00B7244E">
        <w:rPr>
          <w:spacing w:val="-13"/>
          <w:w w:val="105"/>
        </w:rPr>
        <w:t xml:space="preserve"> </w:t>
      </w:r>
      <w:r w:rsidRPr="00B7244E">
        <w:rPr>
          <w:w w:val="105"/>
        </w:rPr>
        <w:t>referrals</w:t>
      </w:r>
      <w:r w:rsidRPr="00B7244E">
        <w:rPr>
          <w:spacing w:val="-11"/>
          <w:w w:val="105"/>
        </w:rPr>
        <w:t xml:space="preserve"> </w:t>
      </w:r>
      <w:r w:rsidRPr="00B7244E">
        <w:rPr>
          <w:w w:val="105"/>
        </w:rPr>
        <w:t>in</w:t>
      </w:r>
      <w:r w:rsidRPr="00B7244E">
        <w:rPr>
          <w:spacing w:val="-9"/>
          <w:w w:val="105"/>
        </w:rPr>
        <w:t xml:space="preserve"> </w:t>
      </w:r>
      <w:r w:rsidRPr="00B7244E">
        <w:rPr>
          <w:w w:val="105"/>
        </w:rPr>
        <w:t>2023.</w:t>
      </w:r>
      <w:r w:rsidRPr="00B7244E">
        <w:rPr>
          <w:spacing w:val="-13"/>
          <w:w w:val="105"/>
        </w:rPr>
        <w:t xml:space="preserve"> </w:t>
      </w:r>
      <w:r w:rsidRPr="00B7244E">
        <w:rPr>
          <w:w w:val="105"/>
        </w:rPr>
        <w:t>Local</w:t>
      </w:r>
      <w:r w:rsidRPr="00B7244E">
        <w:rPr>
          <w:spacing w:val="-13"/>
          <w:w w:val="105"/>
        </w:rPr>
        <w:t xml:space="preserve"> </w:t>
      </w:r>
      <w:r w:rsidRPr="00B7244E">
        <w:rPr>
          <w:w w:val="105"/>
        </w:rPr>
        <w:t>data</w:t>
      </w:r>
      <w:r w:rsidRPr="00B7244E">
        <w:rPr>
          <w:spacing w:val="-11"/>
          <w:w w:val="105"/>
        </w:rPr>
        <w:t xml:space="preserve"> </w:t>
      </w:r>
      <w:r w:rsidRPr="00B7244E">
        <w:rPr>
          <w:w w:val="105"/>
        </w:rPr>
        <w:t>from</w:t>
      </w:r>
      <w:r w:rsidRPr="00B7244E">
        <w:rPr>
          <w:spacing w:val="-9"/>
          <w:w w:val="105"/>
        </w:rPr>
        <w:t xml:space="preserve"> </w:t>
      </w:r>
      <w:r w:rsidRPr="00B7244E">
        <w:rPr>
          <w:w w:val="105"/>
        </w:rPr>
        <w:t>ASDAS, covering</w:t>
      </w:r>
      <w:r w:rsidRPr="00B7244E">
        <w:rPr>
          <w:spacing w:val="-6"/>
          <w:w w:val="105"/>
        </w:rPr>
        <w:t xml:space="preserve"> </w:t>
      </w:r>
      <w:r w:rsidRPr="00B7244E">
        <w:rPr>
          <w:w w:val="105"/>
        </w:rPr>
        <w:t>January</w:t>
      </w:r>
      <w:r w:rsidRPr="00B7244E">
        <w:rPr>
          <w:spacing w:val="-7"/>
          <w:w w:val="105"/>
        </w:rPr>
        <w:t xml:space="preserve"> </w:t>
      </w:r>
      <w:r w:rsidRPr="00B7244E">
        <w:rPr>
          <w:w w:val="105"/>
        </w:rPr>
        <w:t>to</w:t>
      </w:r>
      <w:r w:rsidRPr="00B7244E">
        <w:rPr>
          <w:spacing w:val="-7"/>
          <w:w w:val="105"/>
        </w:rPr>
        <w:t xml:space="preserve"> </w:t>
      </w:r>
      <w:r w:rsidRPr="00B7244E">
        <w:rPr>
          <w:w w:val="105"/>
        </w:rPr>
        <w:t>July</w:t>
      </w:r>
      <w:r w:rsidRPr="00B7244E">
        <w:rPr>
          <w:spacing w:val="-7"/>
          <w:w w:val="105"/>
        </w:rPr>
        <w:t xml:space="preserve"> </w:t>
      </w:r>
      <w:r w:rsidRPr="00B7244E">
        <w:rPr>
          <w:w w:val="105"/>
        </w:rPr>
        <w:t>2023,</w:t>
      </w:r>
      <w:r w:rsidRPr="00B7244E">
        <w:rPr>
          <w:spacing w:val="-7"/>
          <w:w w:val="105"/>
        </w:rPr>
        <w:t xml:space="preserve"> </w:t>
      </w:r>
      <w:r w:rsidRPr="00B7244E">
        <w:rPr>
          <w:w w:val="105"/>
        </w:rPr>
        <w:t>indicates</w:t>
      </w:r>
      <w:r w:rsidRPr="00B7244E">
        <w:rPr>
          <w:spacing w:val="-8"/>
          <w:w w:val="105"/>
        </w:rPr>
        <w:t xml:space="preserve"> </w:t>
      </w:r>
      <w:r w:rsidRPr="00B7244E">
        <w:rPr>
          <w:w w:val="105"/>
        </w:rPr>
        <w:t>that</w:t>
      </w:r>
      <w:r w:rsidRPr="00B7244E">
        <w:rPr>
          <w:spacing w:val="-7"/>
          <w:w w:val="105"/>
        </w:rPr>
        <w:t xml:space="preserve"> </w:t>
      </w:r>
      <w:r w:rsidRPr="00B7244E">
        <w:rPr>
          <w:w w:val="105"/>
        </w:rPr>
        <w:t>the</w:t>
      </w:r>
      <w:r w:rsidRPr="00B7244E">
        <w:rPr>
          <w:spacing w:val="-8"/>
          <w:w w:val="105"/>
        </w:rPr>
        <w:t xml:space="preserve"> </w:t>
      </w:r>
      <w:r w:rsidRPr="00B7244E">
        <w:rPr>
          <w:w w:val="105"/>
        </w:rPr>
        <w:t>service</w:t>
      </w:r>
      <w:r w:rsidRPr="00B7244E">
        <w:rPr>
          <w:spacing w:val="-6"/>
          <w:w w:val="105"/>
        </w:rPr>
        <w:t xml:space="preserve"> </w:t>
      </w:r>
      <w:r w:rsidRPr="00B7244E">
        <w:rPr>
          <w:w w:val="105"/>
        </w:rPr>
        <w:t>receives</w:t>
      </w:r>
      <w:r w:rsidRPr="00B7244E">
        <w:rPr>
          <w:spacing w:val="-8"/>
          <w:w w:val="105"/>
        </w:rPr>
        <w:t xml:space="preserve"> </w:t>
      </w:r>
      <w:r w:rsidRPr="00B7244E">
        <w:rPr>
          <w:w w:val="105"/>
        </w:rPr>
        <w:t>an</w:t>
      </w:r>
      <w:r w:rsidRPr="00B7244E">
        <w:rPr>
          <w:spacing w:val="-6"/>
          <w:w w:val="105"/>
        </w:rPr>
        <w:t xml:space="preserve"> </w:t>
      </w:r>
      <w:r w:rsidRPr="00B7244E">
        <w:rPr>
          <w:w w:val="105"/>
        </w:rPr>
        <w:t>average</w:t>
      </w:r>
      <w:r w:rsidRPr="00B7244E">
        <w:rPr>
          <w:spacing w:val="-6"/>
          <w:w w:val="105"/>
        </w:rPr>
        <w:t xml:space="preserve"> </w:t>
      </w:r>
      <w:r w:rsidRPr="00B7244E">
        <w:rPr>
          <w:w w:val="105"/>
        </w:rPr>
        <w:t>of</w:t>
      </w:r>
      <w:r w:rsidRPr="00B7244E">
        <w:rPr>
          <w:spacing w:val="-8"/>
          <w:w w:val="105"/>
        </w:rPr>
        <w:t xml:space="preserve"> </w:t>
      </w:r>
      <w:r w:rsidRPr="00B7244E">
        <w:rPr>
          <w:w w:val="105"/>
        </w:rPr>
        <w:t>88</w:t>
      </w:r>
      <w:r w:rsidRPr="00B7244E">
        <w:rPr>
          <w:spacing w:val="-8"/>
          <w:w w:val="105"/>
        </w:rPr>
        <w:t xml:space="preserve"> </w:t>
      </w:r>
      <w:r w:rsidRPr="00B7244E">
        <w:rPr>
          <w:w w:val="105"/>
        </w:rPr>
        <w:t>new referrals</w:t>
      </w:r>
      <w:r w:rsidRPr="00B7244E">
        <w:rPr>
          <w:spacing w:val="-5"/>
          <w:w w:val="105"/>
        </w:rPr>
        <w:t xml:space="preserve"> </w:t>
      </w:r>
      <w:r w:rsidRPr="00B7244E">
        <w:rPr>
          <w:w w:val="105"/>
        </w:rPr>
        <w:t>each</w:t>
      </w:r>
      <w:r w:rsidRPr="00B7244E">
        <w:rPr>
          <w:spacing w:val="-3"/>
          <w:w w:val="105"/>
        </w:rPr>
        <w:t xml:space="preserve"> </w:t>
      </w:r>
      <w:r w:rsidRPr="00B7244E">
        <w:rPr>
          <w:w w:val="105"/>
        </w:rPr>
        <w:t>month.</w:t>
      </w:r>
      <w:r w:rsidRPr="00B7244E">
        <w:rPr>
          <w:spacing w:val="-7"/>
          <w:w w:val="105"/>
        </w:rPr>
        <w:t xml:space="preserve"> </w:t>
      </w:r>
      <w:r w:rsidRPr="00B7244E">
        <w:rPr>
          <w:w w:val="105"/>
        </w:rPr>
        <w:t>Of</w:t>
      </w:r>
      <w:r w:rsidRPr="00B7244E">
        <w:rPr>
          <w:spacing w:val="-5"/>
          <w:w w:val="105"/>
        </w:rPr>
        <w:t xml:space="preserve"> </w:t>
      </w:r>
      <w:r w:rsidRPr="00B7244E">
        <w:rPr>
          <w:w w:val="105"/>
        </w:rPr>
        <w:t>those</w:t>
      </w:r>
      <w:r w:rsidRPr="00B7244E">
        <w:rPr>
          <w:spacing w:val="-2"/>
          <w:w w:val="105"/>
        </w:rPr>
        <w:t xml:space="preserve"> </w:t>
      </w:r>
      <w:r w:rsidRPr="00B7244E">
        <w:rPr>
          <w:w w:val="105"/>
        </w:rPr>
        <w:t>assessed,</w:t>
      </w:r>
      <w:r w:rsidRPr="00B7244E">
        <w:rPr>
          <w:spacing w:val="-3"/>
          <w:w w:val="105"/>
        </w:rPr>
        <w:t xml:space="preserve"> </w:t>
      </w:r>
      <w:r w:rsidRPr="00B7244E">
        <w:rPr>
          <w:w w:val="105"/>
        </w:rPr>
        <w:t>over</w:t>
      </w:r>
      <w:r w:rsidRPr="00B7244E">
        <w:rPr>
          <w:spacing w:val="-5"/>
          <w:w w:val="105"/>
        </w:rPr>
        <w:t xml:space="preserve"> </w:t>
      </w:r>
      <w:r w:rsidRPr="00B7244E">
        <w:rPr>
          <w:w w:val="105"/>
        </w:rPr>
        <w:t>90%</w:t>
      </w:r>
      <w:r w:rsidRPr="00B7244E">
        <w:rPr>
          <w:spacing w:val="-3"/>
          <w:w w:val="105"/>
        </w:rPr>
        <w:t xml:space="preserve"> </w:t>
      </w:r>
      <w:r w:rsidRPr="00B7244E">
        <w:rPr>
          <w:w w:val="105"/>
        </w:rPr>
        <w:t>are</w:t>
      </w:r>
      <w:r w:rsidRPr="00B7244E">
        <w:rPr>
          <w:spacing w:val="-4"/>
          <w:w w:val="105"/>
        </w:rPr>
        <w:t xml:space="preserve"> </w:t>
      </w:r>
      <w:r w:rsidRPr="00B7244E">
        <w:rPr>
          <w:w w:val="105"/>
        </w:rPr>
        <w:t>diagnosed</w:t>
      </w:r>
      <w:r w:rsidRPr="00B7244E">
        <w:rPr>
          <w:spacing w:val="-2"/>
          <w:w w:val="105"/>
        </w:rPr>
        <w:t xml:space="preserve"> </w:t>
      </w:r>
      <w:r w:rsidRPr="00B7244E">
        <w:rPr>
          <w:w w:val="105"/>
        </w:rPr>
        <w:t>with</w:t>
      </w:r>
      <w:r w:rsidRPr="00B7244E">
        <w:rPr>
          <w:spacing w:val="-5"/>
          <w:w w:val="105"/>
        </w:rPr>
        <w:t xml:space="preserve"> </w:t>
      </w:r>
      <w:r w:rsidRPr="00B7244E">
        <w:rPr>
          <w:w w:val="105"/>
        </w:rPr>
        <w:t>ASD,</w:t>
      </w:r>
      <w:r w:rsidRPr="00B7244E">
        <w:rPr>
          <w:spacing w:val="-1"/>
          <w:w w:val="105"/>
        </w:rPr>
        <w:t xml:space="preserve"> </w:t>
      </w:r>
      <w:r w:rsidRPr="00B7244E">
        <w:rPr>
          <w:w w:val="105"/>
        </w:rPr>
        <w:t>equating</w:t>
      </w:r>
      <w:r w:rsidRPr="00B7244E">
        <w:rPr>
          <w:spacing w:val="-5"/>
          <w:w w:val="105"/>
        </w:rPr>
        <w:t xml:space="preserve"> </w:t>
      </w:r>
      <w:r w:rsidRPr="00B7244E">
        <w:rPr>
          <w:w w:val="105"/>
        </w:rPr>
        <w:t>to about 32 diagnoses per month. However, the average wait-time for a diagnosis is 20 months,</w:t>
      </w:r>
      <w:r w:rsidRPr="00B7244E">
        <w:rPr>
          <w:spacing w:val="-18"/>
          <w:w w:val="105"/>
        </w:rPr>
        <w:t xml:space="preserve"> </w:t>
      </w:r>
      <w:r w:rsidRPr="00B7244E">
        <w:rPr>
          <w:w w:val="105"/>
        </w:rPr>
        <w:t>with</w:t>
      </w:r>
      <w:r w:rsidRPr="00B7244E">
        <w:rPr>
          <w:spacing w:val="-17"/>
          <w:w w:val="105"/>
        </w:rPr>
        <w:t xml:space="preserve"> </w:t>
      </w:r>
      <w:r w:rsidRPr="00B7244E">
        <w:rPr>
          <w:w w:val="105"/>
        </w:rPr>
        <w:t>some</w:t>
      </w:r>
      <w:r w:rsidRPr="00B7244E">
        <w:rPr>
          <w:spacing w:val="-18"/>
          <w:w w:val="105"/>
        </w:rPr>
        <w:t xml:space="preserve"> </w:t>
      </w:r>
      <w:r w:rsidRPr="00B7244E">
        <w:rPr>
          <w:w w:val="105"/>
        </w:rPr>
        <w:t>families</w:t>
      </w:r>
      <w:r w:rsidRPr="00B7244E">
        <w:rPr>
          <w:spacing w:val="-15"/>
          <w:w w:val="105"/>
        </w:rPr>
        <w:t xml:space="preserve"> </w:t>
      </w:r>
      <w:r w:rsidRPr="00B7244E">
        <w:rPr>
          <w:w w:val="105"/>
        </w:rPr>
        <w:t>waiting</w:t>
      </w:r>
      <w:r w:rsidRPr="00B7244E">
        <w:rPr>
          <w:spacing w:val="-18"/>
          <w:w w:val="105"/>
        </w:rPr>
        <w:t xml:space="preserve"> </w:t>
      </w:r>
      <w:r w:rsidRPr="00B7244E">
        <w:rPr>
          <w:w w:val="105"/>
        </w:rPr>
        <w:t>up</w:t>
      </w:r>
      <w:r w:rsidRPr="00B7244E">
        <w:rPr>
          <w:spacing w:val="-15"/>
          <w:w w:val="105"/>
        </w:rPr>
        <w:t xml:space="preserve"> </w:t>
      </w:r>
      <w:r w:rsidRPr="00B7244E">
        <w:rPr>
          <w:w w:val="105"/>
        </w:rPr>
        <w:t>to</w:t>
      </w:r>
      <w:r w:rsidRPr="00B7244E">
        <w:rPr>
          <w:spacing w:val="-15"/>
          <w:w w:val="105"/>
        </w:rPr>
        <w:t xml:space="preserve"> </w:t>
      </w:r>
      <w:r w:rsidRPr="00B7244E">
        <w:rPr>
          <w:w w:val="105"/>
        </w:rPr>
        <w:t>30</w:t>
      </w:r>
      <w:r w:rsidRPr="00B7244E">
        <w:rPr>
          <w:spacing w:val="-16"/>
          <w:w w:val="105"/>
        </w:rPr>
        <w:t xml:space="preserve"> </w:t>
      </w:r>
      <w:r w:rsidRPr="00B7244E">
        <w:rPr>
          <w:w w:val="105"/>
        </w:rPr>
        <w:t>months</w:t>
      </w:r>
      <w:r w:rsidRPr="00B7244E">
        <w:rPr>
          <w:spacing w:val="-18"/>
          <w:w w:val="105"/>
        </w:rPr>
        <w:t xml:space="preserve"> </w:t>
      </w:r>
      <w:r w:rsidRPr="00B7244E">
        <w:rPr>
          <w:w w:val="105"/>
        </w:rPr>
        <w:t>(2.5</w:t>
      </w:r>
      <w:r w:rsidRPr="00B7244E">
        <w:rPr>
          <w:spacing w:val="-15"/>
          <w:w w:val="105"/>
        </w:rPr>
        <w:t xml:space="preserve"> </w:t>
      </w:r>
      <w:r w:rsidRPr="00B7244E">
        <w:rPr>
          <w:w w:val="105"/>
        </w:rPr>
        <w:t>years).</w:t>
      </w:r>
    </w:p>
    <w:p w14:paraId="36C7C8A4" w14:textId="77777777" w:rsidR="004E04E1" w:rsidRPr="00B7244E" w:rsidRDefault="004E04E1" w:rsidP="00B7244E">
      <w:r w:rsidRPr="00B7244E">
        <w:t>This rising demand is putting a significant strain on Tower Hamlets' services, which are increasingly understaffed and underfunded. Key stakeholders have identified several contributing issues, including long waiting times, limited interim support for families, and overly complex assessment processes. There is a growing need for streamlined referral</w:t>
      </w:r>
      <w:r w:rsidRPr="00B7244E">
        <w:rPr>
          <w:spacing w:val="80"/>
        </w:rPr>
        <w:t xml:space="preserve"> </w:t>
      </w:r>
      <w:r w:rsidRPr="00B7244E">
        <w:t>and</w:t>
      </w:r>
      <w:r w:rsidRPr="00B7244E">
        <w:rPr>
          <w:spacing w:val="40"/>
        </w:rPr>
        <w:t xml:space="preserve"> </w:t>
      </w:r>
      <w:r w:rsidRPr="00B7244E">
        <w:t>assessment</w:t>
      </w:r>
      <w:r w:rsidRPr="00B7244E">
        <w:rPr>
          <w:spacing w:val="40"/>
        </w:rPr>
        <w:t xml:space="preserve"> </w:t>
      </w:r>
      <w:r w:rsidRPr="00B7244E">
        <w:t>procedures,</w:t>
      </w:r>
      <w:r w:rsidRPr="00B7244E">
        <w:rPr>
          <w:spacing w:val="40"/>
        </w:rPr>
        <w:t xml:space="preserve"> </w:t>
      </w:r>
      <w:r w:rsidRPr="00B7244E">
        <w:t>prioritising</w:t>
      </w:r>
      <w:r w:rsidRPr="00B7244E">
        <w:rPr>
          <w:spacing w:val="40"/>
        </w:rPr>
        <w:t xml:space="preserve"> </w:t>
      </w:r>
      <w:r w:rsidRPr="00B7244E">
        <w:t>children</w:t>
      </w:r>
      <w:r w:rsidRPr="00B7244E">
        <w:rPr>
          <w:spacing w:val="40"/>
        </w:rPr>
        <w:t xml:space="preserve"> </w:t>
      </w:r>
      <w:r w:rsidRPr="00B7244E">
        <w:t>with</w:t>
      </w:r>
      <w:r w:rsidRPr="00B7244E">
        <w:rPr>
          <w:spacing w:val="40"/>
        </w:rPr>
        <w:t xml:space="preserve"> </w:t>
      </w:r>
      <w:r w:rsidRPr="00B7244E">
        <w:t>the</w:t>
      </w:r>
      <w:r w:rsidRPr="00B7244E">
        <w:rPr>
          <w:spacing w:val="40"/>
        </w:rPr>
        <w:t xml:space="preserve"> </w:t>
      </w:r>
      <w:r w:rsidRPr="00B7244E">
        <w:t>highest</w:t>
      </w:r>
      <w:r w:rsidRPr="00B7244E">
        <w:rPr>
          <w:spacing w:val="40"/>
        </w:rPr>
        <w:t xml:space="preserve"> </w:t>
      </w:r>
      <w:r w:rsidRPr="00B7244E">
        <w:t>need,</w:t>
      </w:r>
      <w:r w:rsidRPr="00B7244E">
        <w:rPr>
          <w:spacing w:val="40"/>
        </w:rPr>
        <w:t xml:space="preserve"> </w:t>
      </w:r>
      <w:r w:rsidRPr="00B7244E">
        <w:t>enhanced support for professionals involved in the process, and improved service integration.</w:t>
      </w:r>
    </w:p>
    <w:p w14:paraId="2968FBCB" w14:textId="77777777" w:rsidR="004E04E1" w:rsidRPr="004D664B" w:rsidRDefault="004E04E1" w:rsidP="00F93B5F">
      <w:pPr>
        <w:pStyle w:val="Heading3"/>
        <w:rPr>
          <w:color w:val="006B70"/>
        </w:rPr>
      </w:pPr>
      <w:bookmarkStart w:id="124" w:name="_Toc205386894"/>
      <w:bookmarkStart w:id="125" w:name="_Toc205387964"/>
      <w:bookmarkStart w:id="126" w:name="_Toc205445975"/>
      <w:r w:rsidRPr="004D664B">
        <w:rPr>
          <w:color w:val="006B70"/>
        </w:rPr>
        <w:t>Healthy Lifestyle</w:t>
      </w:r>
      <w:bookmarkEnd w:id="124"/>
      <w:bookmarkEnd w:id="125"/>
      <w:bookmarkEnd w:id="126"/>
    </w:p>
    <w:p w14:paraId="3B9067C6" w14:textId="2148987F" w:rsidR="004E04E1" w:rsidRPr="00B7244E" w:rsidRDefault="004E04E1" w:rsidP="00B7244E">
      <w:r w:rsidRPr="00B7244E">
        <w:t>Children with ASD often face unique challenges in maintaining a healthy lifestyle. Dietary issues are common, such as the need for routine at mealtimes, preferences for eating alone, sensory sensitivities, and gastrointestinal distress, which can lead to limited food choices</w:t>
      </w:r>
      <w:r w:rsidRPr="00B7244E">
        <w:rPr>
          <w:vertAlign w:val="superscript"/>
        </w:rPr>
        <w:endnoteReference w:id="43"/>
      </w:r>
      <w:r w:rsidRPr="00B7244E">
        <w:t xml:space="preserve"> </w:t>
      </w:r>
      <w:r w:rsidR="00937220" w:rsidRPr="00B7244E">
        <w:t>.</w:t>
      </w:r>
    </w:p>
    <w:p w14:paraId="2DE9E648" w14:textId="4C1E328E" w:rsidR="004E04E1" w:rsidRPr="00B7244E" w:rsidRDefault="004E04E1" w:rsidP="00B7244E">
      <w:r w:rsidRPr="00B7244E">
        <w:t>Additionally, research suggests children with ASD tend to be less active than their peers</w:t>
      </w:r>
      <w:r w:rsidRPr="00B7244E">
        <w:rPr>
          <w:vertAlign w:val="superscript"/>
        </w:rPr>
        <w:t xml:space="preserve"> </w:t>
      </w:r>
      <w:r w:rsidRPr="00B7244E">
        <w:rPr>
          <w:vertAlign w:val="superscript"/>
        </w:rPr>
        <w:endnoteReference w:id="44"/>
      </w:r>
      <w:r w:rsidR="00F737EB">
        <w:t>.</w:t>
      </w:r>
      <w:r w:rsidRPr="00B7244E">
        <w:t xml:space="preserve"> </w:t>
      </w:r>
      <w:r w:rsidRPr="00B7244E">
        <w:rPr>
          <w:w w:val="105"/>
        </w:rPr>
        <w:t>A recent</w:t>
      </w:r>
      <w:r w:rsidRPr="00B7244E">
        <w:rPr>
          <w:spacing w:val="-7"/>
          <w:w w:val="105"/>
        </w:rPr>
        <w:t xml:space="preserve"> </w:t>
      </w:r>
      <w:r w:rsidRPr="00B7244E">
        <w:rPr>
          <w:w w:val="105"/>
        </w:rPr>
        <w:t>meta-analysis</w:t>
      </w:r>
      <w:r w:rsidRPr="00B7244E">
        <w:rPr>
          <w:spacing w:val="-7"/>
          <w:w w:val="105"/>
        </w:rPr>
        <w:t xml:space="preserve"> </w:t>
      </w:r>
      <w:r w:rsidRPr="00B7244E">
        <w:rPr>
          <w:w w:val="105"/>
        </w:rPr>
        <w:t>of</w:t>
      </w:r>
      <w:r w:rsidRPr="00B7244E">
        <w:rPr>
          <w:spacing w:val="-7"/>
          <w:w w:val="105"/>
        </w:rPr>
        <w:t xml:space="preserve"> </w:t>
      </w:r>
      <w:r w:rsidRPr="00B7244E">
        <w:rPr>
          <w:w w:val="105"/>
        </w:rPr>
        <w:t>nine</w:t>
      </w:r>
      <w:r w:rsidRPr="00B7244E">
        <w:rPr>
          <w:spacing w:val="-5"/>
          <w:w w:val="105"/>
        </w:rPr>
        <w:t xml:space="preserve"> </w:t>
      </w:r>
      <w:r w:rsidRPr="00B7244E">
        <w:rPr>
          <w:w w:val="105"/>
        </w:rPr>
        <w:t>studies</w:t>
      </w:r>
      <w:r w:rsidRPr="00B7244E">
        <w:rPr>
          <w:spacing w:val="-7"/>
          <w:w w:val="105"/>
        </w:rPr>
        <w:t xml:space="preserve"> </w:t>
      </w:r>
      <w:r w:rsidRPr="00B7244E">
        <w:rPr>
          <w:w w:val="105"/>
        </w:rPr>
        <w:t>found</w:t>
      </w:r>
      <w:r w:rsidRPr="00B7244E">
        <w:rPr>
          <w:spacing w:val="-5"/>
          <w:w w:val="105"/>
        </w:rPr>
        <w:t xml:space="preserve"> </w:t>
      </w:r>
      <w:r w:rsidRPr="00B7244E">
        <w:rPr>
          <w:w w:val="105"/>
        </w:rPr>
        <w:t>that</w:t>
      </w:r>
      <w:r w:rsidRPr="00B7244E">
        <w:rPr>
          <w:spacing w:val="-5"/>
          <w:w w:val="105"/>
        </w:rPr>
        <w:t xml:space="preserve"> </w:t>
      </w:r>
      <w:r w:rsidRPr="00B7244E">
        <w:rPr>
          <w:w w:val="105"/>
        </w:rPr>
        <w:t>children</w:t>
      </w:r>
      <w:r w:rsidRPr="00B7244E">
        <w:rPr>
          <w:spacing w:val="-5"/>
          <w:w w:val="105"/>
        </w:rPr>
        <w:t xml:space="preserve"> </w:t>
      </w:r>
      <w:r w:rsidRPr="00B7244E">
        <w:rPr>
          <w:w w:val="105"/>
        </w:rPr>
        <w:t>with ASD spend 30</w:t>
      </w:r>
      <w:r w:rsidRPr="00B7244E">
        <w:rPr>
          <w:spacing w:val="-1"/>
          <w:w w:val="105"/>
        </w:rPr>
        <w:t xml:space="preserve"> </w:t>
      </w:r>
      <w:r w:rsidRPr="00B7244E">
        <w:rPr>
          <w:w w:val="105"/>
        </w:rPr>
        <w:t>minutes less per day in moderate-to-vigorous physical</w:t>
      </w:r>
      <w:r w:rsidRPr="00B7244E">
        <w:rPr>
          <w:spacing w:val="-3"/>
          <w:w w:val="105"/>
        </w:rPr>
        <w:t xml:space="preserve"> </w:t>
      </w:r>
      <w:r w:rsidRPr="00B7244E">
        <w:rPr>
          <w:w w:val="105"/>
        </w:rPr>
        <w:t>activity</w:t>
      </w:r>
      <w:r w:rsidRPr="00B7244E">
        <w:rPr>
          <w:spacing w:val="-1"/>
          <w:w w:val="105"/>
        </w:rPr>
        <w:t xml:space="preserve"> </w:t>
      </w:r>
      <w:r w:rsidRPr="00B7244E">
        <w:rPr>
          <w:w w:val="105"/>
        </w:rPr>
        <w:t>than their peers</w:t>
      </w:r>
      <w:r w:rsidRPr="00B7244E">
        <w:rPr>
          <w:w w:val="105"/>
          <w:vertAlign w:val="superscript"/>
        </w:rPr>
        <w:endnoteReference w:id="45"/>
      </w:r>
      <w:r w:rsidRPr="00B7244E">
        <w:rPr>
          <w:w w:val="105"/>
        </w:rPr>
        <w:t xml:space="preserve">. This is </w:t>
      </w:r>
      <w:r w:rsidRPr="00B7244E">
        <w:t>partly</w:t>
      </w:r>
      <w:r w:rsidRPr="00B7244E">
        <w:rPr>
          <w:spacing w:val="40"/>
        </w:rPr>
        <w:t xml:space="preserve"> </w:t>
      </w:r>
      <w:r w:rsidRPr="00B7244E">
        <w:t>due</w:t>
      </w:r>
      <w:r w:rsidRPr="00B7244E">
        <w:rPr>
          <w:spacing w:val="39"/>
        </w:rPr>
        <w:t xml:space="preserve"> </w:t>
      </w:r>
      <w:r w:rsidRPr="00B7244E">
        <w:t>to</w:t>
      </w:r>
      <w:r w:rsidRPr="00B7244E">
        <w:rPr>
          <w:spacing w:val="40"/>
        </w:rPr>
        <w:t xml:space="preserve"> </w:t>
      </w:r>
      <w:r w:rsidRPr="00B7244E">
        <w:t>barriers</w:t>
      </w:r>
      <w:r w:rsidRPr="00B7244E">
        <w:rPr>
          <w:spacing w:val="40"/>
        </w:rPr>
        <w:t xml:space="preserve"> </w:t>
      </w:r>
      <w:r w:rsidRPr="00B7244E">
        <w:t>like</w:t>
      </w:r>
      <w:r w:rsidRPr="00B7244E">
        <w:rPr>
          <w:spacing w:val="40"/>
        </w:rPr>
        <w:t xml:space="preserve"> </w:t>
      </w:r>
      <w:r w:rsidRPr="00B7244E">
        <w:t>delayed</w:t>
      </w:r>
      <w:r w:rsidRPr="00B7244E">
        <w:rPr>
          <w:spacing w:val="39"/>
        </w:rPr>
        <w:t xml:space="preserve"> </w:t>
      </w:r>
      <w:r w:rsidRPr="00B7244E">
        <w:t>movement</w:t>
      </w:r>
      <w:r w:rsidRPr="00B7244E">
        <w:rPr>
          <w:spacing w:val="40"/>
        </w:rPr>
        <w:t xml:space="preserve"> </w:t>
      </w:r>
      <w:r w:rsidRPr="00B7244E">
        <w:t>skills,</w:t>
      </w:r>
      <w:r w:rsidRPr="00B7244E">
        <w:rPr>
          <w:spacing w:val="40"/>
        </w:rPr>
        <w:t xml:space="preserve"> </w:t>
      </w:r>
      <w:r w:rsidRPr="00B7244E">
        <w:t>sensory</w:t>
      </w:r>
      <w:r w:rsidRPr="00B7244E">
        <w:rPr>
          <w:spacing w:val="40"/>
        </w:rPr>
        <w:t xml:space="preserve"> </w:t>
      </w:r>
      <w:r w:rsidRPr="00B7244E">
        <w:t>sensitivities,</w:t>
      </w:r>
      <w:r w:rsidRPr="00B7244E">
        <w:rPr>
          <w:spacing w:val="40"/>
        </w:rPr>
        <w:t xml:space="preserve"> </w:t>
      </w:r>
      <w:r w:rsidRPr="00B7244E">
        <w:t>social and communication</w:t>
      </w:r>
      <w:r w:rsidRPr="00B7244E">
        <w:rPr>
          <w:spacing w:val="40"/>
        </w:rPr>
        <w:t xml:space="preserve"> </w:t>
      </w:r>
      <w:r w:rsidRPr="00B7244E">
        <w:t>challenges,</w:t>
      </w:r>
      <w:r w:rsidRPr="00B7244E">
        <w:rPr>
          <w:spacing w:val="40"/>
        </w:rPr>
        <w:t xml:space="preserve"> </w:t>
      </w:r>
      <w:r w:rsidRPr="00B7244E">
        <w:t>and the need</w:t>
      </w:r>
      <w:r w:rsidRPr="00B7244E">
        <w:rPr>
          <w:spacing w:val="40"/>
        </w:rPr>
        <w:t xml:space="preserve"> </w:t>
      </w:r>
      <w:r w:rsidRPr="00B7244E">
        <w:t>for increased</w:t>
      </w:r>
      <w:r w:rsidRPr="00B7244E">
        <w:rPr>
          <w:spacing w:val="40"/>
        </w:rPr>
        <w:t xml:space="preserve"> </w:t>
      </w:r>
      <w:r w:rsidRPr="00B7244E">
        <w:t>parental</w:t>
      </w:r>
      <w:r w:rsidRPr="00B7244E">
        <w:rPr>
          <w:spacing w:val="40"/>
        </w:rPr>
        <w:t xml:space="preserve"> </w:t>
      </w:r>
      <w:r w:rsidRPr="00B7244E">
        <w:t>involvement.</w:t>
      </w:r>
    </w:p>
    <w:p w14:paraId="01341959" w14:textId="1EEDBB4B" w:rsidR="004E04E1" w:rsidRDefault="004E04E1" w:rsidP="00B7244E">
      <w:r w:rsidRPr="00B7244E">
        <w:t>Sleep problems, including insomnia and sleep apnoea, are twice as common among children with ASD when compared to their non-ASD peers, which can impact their appetite, metabolism, and physical activity levels during the day</w:t>
      </w:r>
      <w:r w:rsidRPr="00B7244E">
        <w:rPr>
          <w:vertAlign w:val="superscript"/>
        </w:rPr>
        <w:endnoteReference w:id="46"/>
      </w:r>
      <w:r w:rsidR="00937220" w:rsidRPr="00937220">
        <w:t xml:space="preserve"> </w:t>
      </w:r>
      <w:r w:rsidR="00937220" w:rsidRPr="00B7244E">
        <w:t>.</w:t>
      </w:r>
    </w:p>
    <w:p w14:paraId="52E764F5" w14:textId="0A659FBB" w:rsidR="00356DB0" w:rsidRDefault="00356DB0" w:rsidP="00B7244E">
      <w:r w:rsidRPr="00356DB0">
        <w:t>Young people with ASD have similar desires for sexual and personal relationships as their peers without ASD. However, they often face limitations in sexual health education and encounter challenges in accessing sexual health services. These challenges may include difficulties in obtaining contraception due to communication barriers, sensory sensitivities, and social anxiety</w:t>
      </w:r>
      <w:r w:rsidR="004312D1">
        <w:rPr>
          <w:rStyle w:val="EndnoteReference"/>
        </w:rPr>
        <w:endnoteReference w:id="47"/>
      </w:r>
      <w:r w:rsidRPr="00356DB0">
        <w:t>.</w:t>
      </w:r>
    </w:p>
    <w:p w14:paraId="46BD1FDB" w14:textId="77777777" w:rsidR="004E04E1" w:rsidRPr="004D664B" w:rsidRDefault="004E04E1" w:rsidP="00F93B5F">
      <w:pPr>
        <w:pStyle w:val="Heading3"/>
        <w:rPr>
          <w:color w:val="006B70"/>
        </w:rPr>
      </w:pPr>
      <w:bookmarkStart w:id="127" w:name="_Toc205386895"/>
      <w:bookmarkStart w:id="128" w:name="_Toc205387965"/>
      <w:bookmarkStart w:id="129" w:name="_Toc205445976"/>
      <w:r w:rsidRPr="004D664B">
        <w:rPr>
          <w:color w:val="006B70"/>
        </w:rPr>
        <w:t>School Life</w:t>
      </w:r>
      <w:bookmarkEnd w:id="127"/>
      <w:bookmarkEnd w:id="128"/>
      <w:bookmarkEnd w:id="129"/>
    </w:p>
    <w:p w14:paraId="607BFB0F" w14:textId="440D369B" w:rsidR="004E04E1" w:rsidRPr="00B7244E" w:rsidRDefault="004E04E1" w:rsidP="00B7244E">
      <w:r w:rsidRPr="00B7244E">
        <w:t>A national survey by the National Autistic Society (2021) reveals significant challenges faced by children with ASD in mainstream education. The survey found that only one in four pupils</w:t>
      </w:r>
      <w:r w:rsidR="00D36939">
        <w:t xml:space="preserve"> with ASD</w:t>
      </w:r>
      <w:r w:rsidRPr="00B7244E">
        <w:t xml:space="preserve"> were happy at </w:t>
      </w:r>
      <w:r w:rsidR="00C270AF" w:rsidRPr="00B7244E">
        <w:t>school, and</w:t>
      </w:r>
      <w:r w:rsidRPr="00B7244E">
        <w:t xml:space="preserve"> </w:t>
      </w:r>
      <w:r w:rsidRPr="00B7244E">
        <w:rPr>
          <w:w w:val="105"/>
        </w:rPr>
        <w:t>70%</w:t>
      </w:r>
      <w:r w:rsidRPr="00B7244E">
        <w:rPr>
          <w:spacing w:val="-17"/>
          <w:w w:val="105"/>
        </w:rPr>
        <w:t xml:space="preserve"> </w:t>
      </w:r>
      <w:r w:rsidRPr="00B7244E">
        <w:rPr>
          <w:w w:val="105"/>
        </w:rPr>
        <w:t>of</w:t>
      </w:r>
      <w:r w:rsidRPr="00B7244E">
        <w:rPr>
          <w:spacing w:val="-18"/>
          <w:w w:val="105"/>
        </w:rPr>
        <w:t xml:space="preserve"> </w:t>
      </w:r>
      <w:r w:rsidRPr="00B7244E">
        <w:rPr>
          <w:w w:val="105"/>
        </w:rPr>
        <w:t>children</w:t>
      </w:r>
      <w:r w:rsidRPr="00B7244E">
        <w:rPr>
          <w:spacing w:val="-17"/>
          <w:w w:val="105"/>
        </w:rPr>
        <w:t xml:space="preserve"> </w:t>
      </w:r>
      <w:r w:rsidRPr="00B7244E">
        <w:rPr>
          <w:w w:val="105"/>
        </w:rPr>
        <w:t>and</w:t>
      </w:r>
      <w:r w:rsidRPr="00B7244E">
        <w:rPr>
          <w:spacing w:val="-18"/>
          <w:w w:val="105"/>
        </w:rPr>
        <w:t xml:space="preserve"> </w:t>
      </w:r>
      <w:r w:rsidRPr="00B7244E">
        <w:rPr>
          <w:w w:val="105"/>
        </w:rPr>
        <w:t>young</w:t>
      </w:r>
      <w:r w:rsidRPr="00B7244E">
        <w:rPr>
          <w:spacing w:val="-17"/>
          <w:w w:val="105"/>
        </w:rPr>
        <w:t xml:space="preserve"> </w:t>
      </w:r>
      <w:r w:rsidRPr="00B7244E">
        <w:rPr>
          <w:w w:val="105"/>
        </w:rPr>
        <w:t>people</w:t>
      </w:r>
      <w:r w:rsidRPr="00B7244E">
        <w:rPr>
          <w:spacing w:val="-17"/>
          <w:w w:val="105"/>
        </w:rPr>
        <w:t xml:space="preserve"> </w:t>
      </w:r>
      <w:r w:rsidRPr="00B7244E">
        <w:rPr>
          <w:w w:val="105"/>
        </w:rPr>
        <w:t>believe</w:t>
      </w:r>
      <w:r w:rsidRPr="00B7244E">
        <w:rPr>
          <w:spacing w:val="-18"/>
          <w:w w:val="105"/>
        </w:rPr>
        <w:t xml:space="preserve"> </w:t>
      </w:r>
      <w:r w:rsidRPr="00B7244E">
        <w:rPr>
          <w:w w:val="105"/>
        </w:rPr>
        <w:t>that</w:t>
      </w:r>
      <w:r w:rsidRPr="00B7244E">
        <w:rPr>
          <w:spacing w:val="-17"/>
          <w:w w:val="105"/>
        </w:rPr>
        <w:t xml:space="preserve"> </w:t>
      </w:r>
      <w:r w:rsidRPr="00B7244E">
        <w:rPr>
          <w:w w:val="105"/>
        </w:rPr>
        <w:t>their</w:t>
      </w:r>
      <w:r w:rsidRPr="00B7244E">
        <w:rPr>
          <w:spacing w:val="-18"/>
          <w:w w:val="105"/>
        </w:rPr>
        <w:t xml:space="preserve"> </w:t>
      </w:r>
      <w:r w:rsidRPr="00B7244E">
        <w:rPr>
          <w:w w:val="105"/>
        </w:rPr>
        <w:t>school experience</w:t>
      </w:r>
      <w:r w:rsidRPr="00B7244E">
        <w:rPr>
          <w:spacing w:val="-1"/>
          <w:w w:val="105"/>
        </w:rPr>
        <w:t xml:space="preserve"> </w:t>
      </w:r>
      <w:r w:rsidRPr="00B7244E">
        <w:rPr>
          <w:w w:val="105"/>
        </w:rPr>
        <w:t>would</w:t>
      </w:r>
      <w:r w:rsidRPr="00B7244E">
        <w:rPr>
          <w:spacing w:val="-6"/>
          <w:w w:val="105"/>
        </w:rPr>
        <w:t xml:space="preserve"> </w:t>
      </w:r>
      <w:r w:rsidRPr="00B7244E">
        <w:rPr>
          <w:w w:val="105"/>
        </w:rPr>
        <w:t>improve</w:t>
      </w:r>
      <w:r w:rsidRPr="00B7244E">
        <w:rPr>
          <w:spacing w:val="-1"/>
          <w:w w:val="105"/>
        </w:rPr>
        <w:t xml:space="preserve"> </w:t>
      </w:r>
      <w:r w:rsidRPr="00B7244E">
        <w:rPr>
          <w:w w:val="105"/>
        </w:rPr>
        <w:t>if</w:t>
      </w:r>
      <w:r w:rsidRPr="00B7244E">
        <w:rPr>
          <w:spacing w:val="-1"/>
          <w:w w:val="105"/>
        </w:rPr>
        <w:t xml:space="preserve"> </w:t>
      </w:r>
      <w:r w:rsidRPr="00B7244E">
        <w:rPr>
          <w:w w:val="105"/>
        </w:rPr>
        <w:t>more</w:t>
      </w:r>
      <w:r w:rsidRPr="00B7244E">
        <w:rPr>
          <w:spacing w:val="-3"/>
          <w:w w:val="105"/>
        </w:rPr>
        <w:t xml:space="preserve"> </w:t>
      </w:r>
      <w:r w:rsidRPr="00B7244E">
        <w:rPr>
          <w:w w:val="105"/>
        </w:rPr>
        <w:t>teachers</w:t>
      </w:r>
      <w:r w:rsidRPr="00B7244E">
        <w:rPr>
          <w:spacing w:val="-6"/>
          <w:w w:val="105"/>
        </w:rPr>
        <w:t xml:space="preserve"> </w:t>
      </w:r>
      <w:r w:rsidRPr="00B7244E">
        <w:rPr>
          <w:w w:val="105"/>
        </w:rPr>
        <w:t>had</w:t>
      </w:r>
      <w:r w:rsidRPr="00B7244E">
        <w:rPr>
          <w:spacing w:val="-1"/>
          <w:w w:val="105"/>
        </w:rPr>
        <w:t xml:space="preserve"> </w:t>
      </w:r>
      <w:r w:rsidRPr="00B7244E">
        <w:rPr>
          <w:w w:val="105"/>
        </w:rPr>
        <w:t>a</w:t>
      </w:r>
      <w:r w:rsidRPr="00B7244E">
        <w:rPr>
          <w:spacing w:val="-6"/>
          <w:w w:val="105"/>
        </w:rPr>
        <w:t xml:space="preserve"> </w:t>
      </w:r>
      <w:r w:rsidRPr="00B7244E">
        <w:rPr>
          <w:w w:val="105"/>
        </w:rPr>
        <w:t>better</w:t>
      </w:r>
      <w:r w:rsidRPr="00B7244E">
        <w:rPr>
          <w:spacing w:val="-1"/>
          <w:w w:val="105"/>
        </w:rPr>
        <w:t xml:space="preserve"> </w:t>
      </w:r>
      <w:r w:rsidRPr="00B7244E">
        <w:rPr>
          <w:w w:val="105"/>
        </w:rPr>
        <w:t>understanding of</w:t>
      </w:r>
      <w:r w:rsidRPr="00B7244E">
        <w:rPr>
          <w:spacing w:val="-5"/>
          <w:w w:val="105"/>
        </w:rPr>
        <w:t xml:space="preserve"> </w:t>
      </w:r>
      <w:r w:rsidRPr="00B7244E">
        <w:rPr>
          <w:w w:val="105"/>
        </w:rPr>
        <w:t>ASD</w:t>
      </w:r>
      <w:r w:rsidRPr="00B7244E">
        <w:rPr>
          <w:w w:val="105"/>
          <w:vertAlign w:val="superscript"/>
        </w:rPr>
        <w:endnoteReference w:id="48"/>
      </w:r>
      <w:r w:rsidR="00937220" w:rsidRPr="00B7244E">
        <w:t>.</w:t>
      </w:r>
    </w:p>
    <w:p w14:paraId="0F5B6656" w14:textId="268D364C" w:rsidR="004E04E1" w:rsidRPr="00C270AF" w:rsidRDefault="004E04E1" w:rsidP="00B7244E">
      <w:pPr>
        <w:rPr>
          <w:b/>
          <w:bCs/>
          <w:spacing w:val="-2"/>
          <w:sz w:val="18"/>
          <w:szCs w:val="18"/>
        </w:rPr>
      </w:pPr>
      <w:r w:rsidRPr="00C270AF">
        <w:rPr>
          <w:b/>
          <w:bCs/>
          <w:sz w:val="18"/>
          <w:szCs w:val="18"/>
        </w:rPr>
        <w:t>Figure</w:t>
      </w:r>
      <w:r w:rsidRPr="00C270AF">
        <w:rPr>
          <w:b/>
          <w:bCs/>
          <w:spacing w:val="-4"/>
          <w:sz w:val="18"/>
          <w:szCs w:val="18"/>
        </w:rPr>
        <w:t xml:space="preserve"> </w:t>
      </w:r>
      <w:r w:rsidR="004110A4">
        <w:rPr>
          <w:b/>
          <w:bCs/>
          <w:sz w:val="18"/>
          <w:szCs w:val="18"/>
        </w:rPr>
        <w:t>5.</w:t>
      </w:r>
      <w:r w:rsidR="005954A8">
        <w:rPr>
          <w:b/>
          <w:bCs/>
          <w:sz w:val="18"/>
          <w:szCs w:val="18"/>
        </w:rPr>
        <w:t>3</w:t>
      </w:r>
      <w:r w:rsidR="00F82B8C">
        <w:rPr>
          <w:b/>
          <w:bCs/>
          <w:sz w:val="18"/>
          <w:szCs w:val="18"/>
        </w:rPr>
        <w:t xml:space="preserve">: </w:t>
      </w:r>
      <w:r w:rsidRPr="00C270AF">
        <w:rPr>
          <w:b/>
          <w:bCs/>
          <w:sz w:val="18"/>
          <w:szCs w:val="18"/>
        </w:rPr>
        <w:t>National</w:t>
      </w:r>
      <w:r w:rsidRPr="00C270AF">
        <w:rPr>
          <w:b/>
          <w:bCs/>
          <w:spacing w:val="-3"/>
          <w:sz w:val="18"/>
          <w:szCs w:val="18"/>
        </w:rPr>
        <w:t xml:space="preserve"> </w:t>
      </w:r>
      <w:r w:rsidRPr="00C270AF">
        <w:rPr>
          <w:b/>
          <w:bCs/>
          <w:sz w:val="18"/>
          <w:szCs w:val="18"/>
        </w:rPr>
        <w:t>Autistic</w:t>
      </w:r>
      <w:r w:rsidRPr="00C270AF">
        <w:rPr>
          <w:b/>
          <w:bCs/>
          <w:spacing w:val="-6"/>
          <w:sz w:val="18"/>
          <w:szCs w:val="18"/>
        </w:rPr>
        <w:t xml:space="preserve"> </w:t>
      </w:r>
      <w:r w:rsidRPr="00C270AF">
        <w:rPr>
          <w:b/>
          <w:bCs/>
          <w:sz w:val="18"/>
          <w:szCs w:val="18"/>
        </w:rPr>
        <w:t>Society</w:t>
      </w:r>
      <w:r w:rsidRPr="00C270AF">
        <w:rPr>
          <w:b/>
          <w:bCs/>
          <w:spacing w:val="-3"/>
          <w:sz w:val="18"/>
          <w:szCs w:val="18"/>
        </w:rPr>
        <w:t xml:space="preserve"> </w:t>
      </w:r>
      <w:r w:rsidRPr="00C270AF">
        <w:rPr>
          <w:b/>
          <w:bCs/>
          <w:w w:val="135"/>
          <w:sz w:val="18"/>
          <w:szCs w:val="18"/>
        </w:rPr>
        <w:t>–</w:t>
      </w:r>
      <w:r w:rsidRPr="00C270AF">
        <w:rPr>
          <w:b/>
          <w:bCs/>
          <w:spacing w:val="-23"/>
          <w:w w:val="135"/>
          <w:sz w:val="18"/>
          <w:szCs w:val="18"/>
        </w:rPr>
        <w:t xml:space="preserve"> </w:t>
      </w:r>
      <w:r w:rsidRPr="00C270AF">
        <w:rPr>
          <w:b/>
          <w:bCs/>
          <w:sz w:val="18"/>
          <w:szCs w:val="18"/>
        </w:rPr>
        <w:t>Education</w:t>
      </w:r>
      <w:r w:rsidRPr="00C270AF">
        <w:rPr>
          <w:b/>
          <w:bCs/>
          <w:spacing w:val="-6"/>
          <w:sz w:val="18"/>
          <w:szCs w:val="18"/>
        </w:rPr>
        <w:t xml:space="preserve"> </w:t>
      </w:r>
      <w:r w:rsidRPr="00C270AF">
        <w:rPr>
          <w:b/>
          <w:bCs/>
          <w:sz w:val="18"/>
          <w:szCs w:val="18"/>
        </w:rPr>
        <w:t>Report</w:t>
      </w:r>
      <w:r w:rsidRPr="00C270AF">
        <w:rPr>
          <w:b/>
          <w:bCs/>
          <w:spacing w:val="-3"/>
          <w:sz w:val="18"/>
          <w:szCs w:val="18"/>
        </w:rPr>
        <w:t xml:space="preserve"> </w:t>
      </w:r>
      <w:r w:rsidRPr="00C270AF">
        <w:rPr>
          <w:b/>
          <w:bCs/>
          <w:sz w:val="18"/>
          <w:szCs w:val="18"/>
        </w:rPr>
        <w:t>2023,</w:t>
      </w:r>
      <w:r w:rsidRPr="00C270AF">
        <w:rPr>
          <w:b/>
          <w:bCs/>
          <w:spacing w:val="-2"/>
          <w:sz w:val="18"/>
          <w:szCs w:val="18"/>
        </w:rPr>
        <w:t xml:space="preserve"> </w:t>
      </w:r>
      <w:r w:rsidRPr="00C270AF">
        <w:rPr>
          <w:b/>
          <w:bCs/>
          <w:sz w:val="18"/>
          <w:szCs w:val="18"/>
        </w:rPr>
        <w:t>Key</w:t>
      </w:r>
      <w:r w:rsidRPr="00C270AF">
        <w:rPr>
          <w:b/>
          <w:bCs/>
          <w:spacing w:val="-4"/>
          <w:sz w:val="18"/>
          <w:szCs w:val="18"/>
        </w:rPr>
        <w:t xml:space="preserve"> </w:t>
      </w:r>
      <w:r w:rsidRPr="00C270AF">
        <w:rPr>
          <w:b/>
          <w:bCs/>
          <w:spacing w:val="-2"/>
          <w:sz w:val="18"/>
          <w:szCs w:val="18"/>
        </w:rPr>
        <w:t>findings from 2021 report</w:t>
      </w:r>
    </w:p>
    <w:p w14:paraId="4071BCB2" w14:textId="77777777" w:rsidR="004E04E1" w:rsidRDefault="004E04E1" w:rsidP="00B7244E">
      <w:pPr>
        <w:rPr>
          <w:highlight w:val="cyan"/>
        </w:rPr>
      </w:pPr>
      <w:r w:rsidRPr="00B7244E">
        <w:rPr>
          <w:noProof/>
        </w:rPr>
        <w:lastRenderedPageBreak/>
        <w:drawing>
          <wp:inline distT="0" distB="0" distL="0" distR="0" wp14:anchorId="13AEDA7C" wp14:editId="5BAE5716">
            <wp:extent cx="5372100" cy="3584073"/>
            <wp:effectExtent l="19050" t="19050" r="19050" b="16510"/>
            <wp:docPr id="1489357597" name="Picture 1" descr="Quotes from a 2021 report showing key findings;&#10;Only 26 per cent of autistic pupils feel happy at school&#10;Almost three in four parents said their child's school place did not fully meet their needs&#10;More that one in four parents waited over three years to receive support for their child&#10;Seven in ten autistic children and young people said school would be better if more teachers understood autism&#10;over half of autistic pupils said they don't have a quiet place to go at school&#10;fifty three percent of autistic children and young people said they have someone to go to if there is a problem at school&#10;fifty four per cent of autistic students said that having teachers who don't understand them is the worst thing about school &#10;without appropriate teacher training, autistic children are twice as likely to be excluded from school&#10;over half (51%) wanted help to understand how to get on with their peers&#10;half of parents were dissatisfied with their child's education, health and care (EHC) needs assessment planning proces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57597" name="Picture 1" descr="Quotes from a 2021 report showing key findings;&#10;Only 26 per cent of autistic pupils feel happy at school&#10;Almost three in four parents said their child's school place did not fully meet their needs&#10;More that one in four parents waited over three years to receive support for their child&#10;Seven in ten autistic children and young people said school would be better if more teachers understood autism&#10;over half of autistic pupils said they don't have a quiet place to go at school&#10;fifty three percent of autistic children and young people said they have someone to go to if there is a problem at school&#10;fifty four per cent of autistic students said that having teachers who don't understand them is the worst thing about school &#10;without appropriate teacher training, autistic children are twice as likely to be excluded from school&#10;over half (51%) wanted help to understand how to get on with their peers&#10;half of parents were dissatisfied with their child's education, health and care (EHC) needs assessment planning process. &#10;&#10;"/>
                    <pic:cNvPicPr/>
                  </pic:nvPicPr>
                  <pic:blipFill>
                    <a:blip r:embed="rId19"/>
                    <a:stretch>
                      <a:fillRect/>
                    </a:stretch>
                  </pic:blipFill>
                  <pic:spPr>
                    <a:xfrm>
                      <a:off x="0" y="0"/>
                      <a:ext cx="5377778" cy="3587861"/>
                    </a:xfrm>
                    <a:prstGeom prst="rect">
                      <a:avLst/>
                    </a:prstGeom>
                    <a:ln w="3175">
                      <a:solidFill>
                        <a:sysClr val="window" lastClr="FFFFFF">
                          <a:lumMod val="85000"/>
                        </a:sysClr>
                      </a:solidFill>
                    </a:ln>
                  </pic:spPr>
                </pic:pic>
              </a:graphicData>
            </a:graphic>
          </wp:inline>
        </w:drawing>
      </w:r>
    </w:p>
    <w:p w14:paraId="1583CE14" w14:textId="55704E33" w:rsidR="009D390A" w:rsidRPr="003D6538" w:rsidRDefault="009D390A" w:rsidP="009D390A">
      <w:pPr>
        <w:jc w:val="right"/>
        <w:rPr>
          <w:b/>
          <w:bCs/>
          <w:sz w:val="16"/>
          <w:szCs w:val="16"/>
        </w:rPr>
      </w:pPr>
      <w:r w:rsidRPr="003D6538">
        <w:rPr>
          <w:b/>
          <w:bCs/>
          <w:sz w:val="16"/>
          <w:szCs w:val="16"/>
        </w:rPr>
        <w:t>Source:</w:t>
      </w:r>
      <w:r w:rsidR="00973B12" w:rsidRPr="003D6538">
        <w:rPr>
          <w:b/>
          <w:bCs/>
          <w:sz w:val="16"/>
          <w:szCs w:val="16"/>
        </w:rPr>
        <w:t xml:space="preserve"> National Autistic Society</w:t>
      </w:r>
    </w:p>
    <w:p w14:paraId="6660CF21" w14:textId="49F4BFA2" w:rsidR="004E04E1" w:rsidRPr="00B7244E" w:rsidRDefault="00681C9C" w:rsidP="00B7244E">
      <w:r w:rsidRPr="00681C9C">
        <w:rPr>
          <w:w w:val="105"/>
        </w:rPr>
        <w:t>The voices of young people with ASD in Tower Hamlets highlight these challenges vividly. Members of the Our Time Youth Forum</w:t>
      </w:r>
      <w:r>
        <w:rPr>
          <w:w w:val="105"/>
        </w:rPr>
        <w:t xml:space="preserve"> describe </w:t>
      </w:r>
      <w:r w:rsidR="004E04E1" w:rsidRPr="00B7244E">
        <w:rPr>
          <w:w w:val="105"/>
        </w:rPr>
        <w:t>experiencing significant challenges in mainstream education. They express a lack of immediate support, particularly for those targeted by bullying or dealing with anger management issues. Many felt that there was</w:t>
      </w:r>
      <w:r w:rsidR="007521A6">
        <w:rPr>
          <w:w w:val="105"/>
        </w:rPr>
        <w:t xml:space="preserve"> </w:t>
      </w:r>
      <w:r w:rsidR="004E04E1" w:rsidRPr="00B7244E">
        <w:rPr>
          <w:w w:val="105"/>
        </w:rPr>
        <w:t>n</w:t>
      </w:r>
      <w:r w:rsidR="007521A6">
        <w:rPr>
          <w:w w:val="105"/>
        </w:rPr>
        <w:t>o</w:t>
      </w:r>
      <w:r w:rsidR="004E04E1" w:rsidRPr="00B7244E">
        <w:rPr>
          <w:w w:val="105"/>
        </w:rPr>
        <w:t>t enough understanding or inclusion of ASD</w:t>
      </w:r>
      <w:r w:rsidR="004E04E1" w:rsidRPr="00B7244E">
        <w:rPr>
          <w:spacing w:val="-18"/>
          <w:w w:val="105"/>
        </w:rPr>
        <w:t xml:space="preserve"> </w:t>
      </w:r>
      <w:r w:rsidR="004E04E1" w:rsidRPr="00B7244E">
        <w:rPr>
          <w:w w:val="105"/>
        </w:rPr>
        <w:t>within</w:t>
      </w:r>
      <w:r w:rsidR="004E04E1" w:rsidRPr="00B7244E">
        <w:rPr>
          <w:spacing w:val="-17"/>
          <w:w w:val="105"/>
        </w:rPr>
        <w:t xml:space="preserve"> </w:t>
      </w:r>
      <w:r w:rsidR="004E04E1" w:rsidRPr="00B7244E">
        <w:rPr>
          <w:w w:val="105"/>
        </w:rPr>
        <w:t>the</w:t>
      </w:r>
      <w:r w:rsidR="004E04E1" w:rsidRPr="00B7244E">
        <w:rPr>
          <w:spacing w:val="-18"/>
          <w:w w:val="105"/>
        </w:rPr>
        <w:t xml:space="preserve"> </w:t>
      </w:r>
      <w:r w:rsidR="004E04E1" w:rsidRPr="00B7244E">
        <w:rPr>
          <w:w w:val="105"/>
        </w:rPr>
        <w:t>education</w:t>
      </w:r>
      <w:r w:rsidR="004E04E1" w:rsidRPr="00B7244E">
        <w:rPr>
          <w:spacing w:val="-17"/>
          <w:w w:val="105"/>
        </w:rPr>
        <w:t xml:space="preserve"> </w:t>
      </w:r>
      <w:r w:rsidR="004E04E1" w:rsidRPr="00B7244E">
        <w:rPr>
          <w:w w:val="105"/>
        </w:rPr>
        <w:t>system,</w:t>
      </w:r>
      <w:r w:rsidR="004E04E1" w:rsidRPr="00B7244E">
        <w:rPr>
          <w:spacing w:val="-17"/>
          <w:w w:val="105"/>
        </w:rPr>
        <w:t xml:space="preserve"> </w:t>
      </w:r>
      <w:r w:rsidR="004E04E1" w:rsidRPr="00B7244E">
        <w:rPr>
          <w:w w:val="105"/>
        </w:rPr>
        <w:t>both</w:t>
      </w:r>
      <w:r w:rsidR="004E04E1" w:rsidRPr="00B7244E">
        <w:rPr>
          <w:spacing w:val="-18"/>
          <w:w w:val="105"/>
        </w:rPr>
        <w:t xml:space="preserve"> </w:t>
      </w:r>
      <w:r w:rsidR="004E04E1" w:rsidRPr="00B7244E">
        <w:rPr>
          <w:w w:val="105"/>
        </w:rPr>
        <w:t>from</w:t>
      </w:r>
      <w:r w:rsidR="004E04E1" w:rsidRPr="00B7244E">
        <w:rPr>
          <w:spacing w:val="-17"/>
          <w:w w:val="105"/>
        </w:rPr>
        <w:t xml:space="preserve"> </w:t>
      </w:r>
      <w:r w:rsidR="004E04E1" w:rsidRPr="00B7244E">
        <w:rPr>
          <w:w w:val="105"/>
        </w:rPr>
        <w:t>teachers</w:t>
      </w:r>
      <w:r w:rsidR="004E04E1" w:rsidRPr="00B7244E">
        <w:rPr>
          <w:spacing w:val="-18"/>
          <w:w w:val="105"/>
        </w:rPr>
        <w:t xml:space="preserve"> </w:t>
      </w:r>
      <w:r w:rsidR="004E04E1" w:rsidRPr="00B7244E">
        <w:rPr>
          <w:w w:val="105"/>
        </w:rPr>
        <w:t>and</w:t>
      </w:r>
      <w:r w:rsidR="004E04E1" w:rsidRPr="00B7244E">
        <w:rPr>
          <w:spacing w:val="-17"/>
          <w:w w:val="105"/>
        </w:rPr>
        <w:t xml:space="preserve"> </w:t>
      </w:r>
      <w:r w:rsidR="004E04E1" w:rsidRPr="00B7244E">
        <w:rPr>
          <w:w w:val="105"/>
        </w:rPr>
        <w:t>peers.</w:t>
      </w:r>
      <w:r w:rsidR="004E04E1" w:rsidRPr="00B7244E">
        <w:rPr>
          <w:spacing w:val="-17"/>
          <w:w w:val="105"/>
        </w:rPr>
        <w:t xml:space="preserve"> </w:t>
      </w:r>
      <w:r w:rsidR="004E04E1" w:rsidRPr="00B7244E">
        <w:rPr>
          <w:w w:val="105"/>
        </w:rPr>
        <w:t>They</w:t>
      </w:r>
      <w:r w:rsidR="004E04E1" w:rsidRPr="00B7244E">
        <w:rPr>
          <w:spacing w:val="-18"/>
          <w:w w:val="105"/>
        </w:rPr>
        <w:t xml:space="preserve"> </w:t>
      </w:r>
      <w:r w:rsidR="004E04E1" w:rsidRPr="00B7244E">
        <w:rPr>
          <w:w w:val="105"/>
        </w:rPr>
        <w:t>highlight</w:t>
      </w:r>
      <w:r w:rsidR="004E04E1" w:rsidRPr="00B7244E">
        <w:rPr>
          <w:spacing w:val="-17"/>
          <w:w w:val="105"/>
        </w:rPr>
        <w:t xml:space="preserve"> </w:t>
      </w:r>
      <w:r w:rsidR="004E04E1" w:rsidRPr="00B7244E">
        <w:rPr>
          <w:w w:val="105"/>
        </w:rPr>
        <w:t>the</w:t>
      </w:r>
      <w:r w:rsidR="004E04E1" w:rsidRPr="00B7244E">
        <w:rPr>
          <w:spacing w:val="-18"/>
          <w:w w:val="105"/>
        </w:rPr>
        <w:t xml:space="preserve"> </w:t>
      </w:r>
      <w:r w:rsidR="004E04E1" w:rsidRPr="00B7244E">
        <w:rPr>
          <w:w w:val="105"/>
        </w:rPr>
        <w:t>need for better training for educators and greater awareness and acceptance in schools. Additionally, they emphasise the importance</w:t>
      </w:r>
      <w:r w:rsidR="004E04E1" w:rsidRPr="00B7244E">
        <w:rPr>
          <w:spacing w:val="-1"/>
          <w:w w:val="105"/>
        </w:rPr>
        <w:t xml:space="preserve"> </w:t>
      </w:r>
      <w:r w:rsidR="004E04E1" w:rsidRPr="00B7244E">
        <w:rPr>
          <w:w w:val="105"/>
        </w:rPr>
        <w:t>of fostering connections and encouraging those</w:t>
      </w:r>
      <w:r w:rsidR="004E04E1" w:rsidRPr="00B7244E">
        <w:rPr>
          <w:spacing w:val="-16"/>
          <w:w w:val="105"/>
        </w:rPr>
        <w:t xml:space="preserve"> </w:t>
      </w:r>
      <w:r w:rsidR="004E04E1" w:rsidRPr="00B7244E">
        <w:rPr>
          <w:w w:val="105"/>
        </w:rPr>
        <w:t>who</w:t>
      </w:r>
      <w:r w:rsidR="004E04E1" w:rsidRPr="00B7244E">
        <w:rPr>
          <w:spacing w:val="-14"/>
          <w:w w:val="105"/>
        </w:rPr>
        <w:t xml:space="preserve"> </w:t>
      </w:r>
      <w:r w:rsidR="004E04E1" w:rsidRPr="00B7244E">
        <w:rPr>
          <w:w w:val="105"/>
        </w:rPr>
        <w:t>struggle</w:t>
      </w:r>
      <w:r w:rsidR="004E04E1" w:rsidRPr="00B7244E">
        <w:rPr>
          <w:spacing w:val="-16"/>
          <w:w w:val="105"/>
        </w:rPr>
        <w:t xml:space="preserve"> </w:t>
      </w:r>
      <w:r w:rsidR="004E04E1" w:rsidRPr="00B7244E">
        <w:rPr>
          <w:w w:val="105"/>
        </w:rPr>
        <w:t>to</w:t>
      </w:r>
      <w:r w:rsidR="004E04E1" w:rsidRPr="00B7244E">
        <w:rPr>
          <w:spacing w:val="-13"/>
          <w:w w:val="105"/>
        </w:rPr>
        <w:t xml:space="preserve"> </w:t>
      </w:r>
      <w:r w:rsidR="004E04E1" w:rsidRPr="00B7244E">
        <w:rPr>
          <w:w w:val="105"/>
        </w:rPr>
        <w:t>engage</w:t>
      </w:r>
      <w:r w:rsidR="004E04E1" w:rsidRPr="00B7244E">
        <w:rPr>
          <w:spacing w:val="-18"/>
          <w:w w:val="105"/>
        </w:rPr>
        <w:t xml:space="preserve"> </w:t>
      </w:r>
      <w:r w:rsidR="004E04E1" w:rsidRPr="00B7244E">
        <w:rPr>
          <w:w w:val="105"/>
        </w:rPr>
        <w:t>with</w:t>
      </w:r>
      <w:r w:rsidR="004E04E1" w:rsidRPr="00B7244E">
        <w:rPr>
          <w:spacing w:val="-15"/>
          <w:w w:val="105"/>
        </w:rPr>
        <w:t xml:space="preserve"> </w:t>
      </w:r>
      <w:r w:rsidR="004E04E1" w:rsidRPr="00B7244E">
        <w:rPr>
          <w:w w:val="105"/>
        </w:rPr>
        <w:t>others,</w:t>
      </w:r>
      <w:r w:rsidR="004E04E1" w:rsidRPr="00B7244E">
        <w:rPr>
          <w:spacing w:val="-14"/>
          <w:w w:val="105"/>
        </w:rPr>
        <w:t xml:space="preserve"> </w:t>
      </w:r>
      <w:r w:rsidR="004E04E1" w:rsidRPr="00B7244E">
        <w:rPr>
          <w:w w:val="105"/>
        </w:rPr>
        <w:t>which</w:t>
      </w:r>
      <w:r w:rsidR="004E04E1" w:rsidRPr="00B7244E">
        <w:rPr>
          <w:spacing w:val="-13"/>
          <w:w w:val="105"/>
        </w:rPr>
        <w:t xml:space="preserve"> </w:t>
      </w:r>
      <w:r w:rsidR="004E04E1" w:rsidRPr="00B7244E">
        <w:rPr>
          <w:w w:val="105"/>
        </w:rPr>
        <w:t>could</w:t>
      </w:r>
      <w:r w:rsidR="004E04E1" w:rsidRPr="00B7244E">
        <w:rPr>
          <w:spacing w:val="-14"/>
          <w:w w:val="105"/>
        </w:rPr>
        <w:t xml:space="preserve"> </w:t>
      </w:r>
      <w:r w:rsidR="004E04E1" w:rsidRPr="00B7244E">
        <w:rPr>
          <w:w w:val="105"/>
        </w:rPr>
        <w:t>improve</w:t>
      </w:r>
      <w:r w:rsidR="004E04E1" w:rsidRPr="00B7244E">
        <w:rPr>
          <w:spacing w:val="-14"/>
          <w:w w:val="105"/>
        </w:rPr>
        <w:t xml:space="preserve"> </w:t>
      </w:r>
      <w:r w:rsidR="004E04E1" w:rsidRPr="00B7244E">
        <w:rPr>
          <w:w w:val="105"/>
        </w:rPr>
        <w:t>their</w:t>
      </w:r>
      <w:r w:rsidR="004E04E1" w:rsidRPr="00B7244E">
        <w:rPr>
          <w:spacing w:val="-18"/>
          <w:w w:val="105"/>
        </w:rPr>
        <w:t xml:space="preserve"> </w:t>
      </w:r>
      <w:r w:rsidR="004E04E1" w:rsidRPr="00B7244E">
        <w:rPr>
          <w:w w:val="105"/>
        </w:rPr>
        <w:t>school</w:t>
      </w:r>
      <w:r w:rsidR="004E04E1" w:rsidRPr="00B7244E">
        <w:rPr>
          <w:spacing w:val="-16"/>
          <w:w w:val="105"/>
        </w:rPr>
        <w:t xml:space="preserve"> </w:t>
      </w:r>
      <w:r w:rsidR="004E04E1" w:rsidRPr="00B7244E">
        <w:rPr>
          <w:w w:val="105"/>
        </w:rPr>
        <w:t>experience.</w:t>
      </w:r>
    </w:p>
    <w:p w14:paraId="2AF7165B" w14:textId="77777777" w:rsidR="004E04E1" w:rsidRPr="00B7244E" w:rsidRDefault="004E04E1" w:rsidP="00B7244E">
      <w:r w:rsidRPr="00B7244E">
        <w:rPr>
          <w:w w:val="105"/>
        </w:rPr>
        <w:t>Autism has been compared to a fingerprint, each person has their own version, yet no two are alike. This uniqueness makes it essential for parents, teachers, peers and healthcare</w:t>
      </w:r>
      <w:r w:rsidRPr="00B7244E">
        <w:rPr>
          <w:spacing w:val="-5"/>
          <w:w w:val="105"/>
        </w:rPr>
        <w:t xml:space="preserve"> </w:t>
      </w:r>
      <w:r w:rsidRPr="00B7244E">
        <w:rPr>
          <w:w w:val="105"/>
        </w:rPr>
        <w:t>professionals</w:t>
      </w:r>
      <w:r w:rsidRPr="00B7244E">
        <w:rPr>
          <w:spacing w:val="-5"/>
          <w:w w:val="105"/>
        </w:rPr>
        <w:t xml:space="preserve"> </w:t>
      </w:r>
      <w:r w:rsidRPr="00B7244E">
        <w:rPr>
          <w:w w:val="105"/>
        </w:rPr>
        <w:t>to</w:t>
      </w:r>
      <w:r w:rsidRPr="00B7244E">
        <w:rPr>
          <w:spacing w:val="-4"/>
          <w:w w:val="105"/>
        </w:rPr>
        <w:t xml:space="preserve"> </w:t>
      </w:r>
      <w:r w:rsidRPr="00B7244E">
        <w:rPr>
          <w:w w:val="105"/>
        </w:rPr>
        <w:t>recognise</w:t>
      </w:r>
      <w:r w:rsidRPr="00B7244E">
        <w:rPr>
          <w:spacing w:val="-4"/>
          <w:w w:val="105"/>
        </w:rPr>
        <w:t xml:space="preserve"> </w:t>
      </w:r>
      <w:r w:rsidRPr="00B7244E">
        <w:rPr>
          <w:w w:val="105"/>
        </w:rPr>
        <w:t>and</w:t>
      </w:r>
      <w:r w:rsidRPr="00B7244E">
        <w:rPr>
          <w:spacing w:val="-2"/>
          <w:w w:val="105"/>
        </w:rPr>
        <w:t xml:space="preserve"> </w:t>
      </w:r>
      <w:r w:rsidRPr="00B7244E">
        <w:rPr>
          <w:w w:val="105"/>
        </w:rPr>
        <w:t>understand</w:t>
      </w:r>
      <w:r w:rsidRPr="00B7244E">
        <w:rPr>
          <w:spacing w:val="-2"/>
          <w:w w:val="105"/>
        </w:rPr>
        <w:t xml:space="preserve"> </w:t>
      </w:r>
      <w:r w:rsidRPr="00B7244E">
        <w:rPr>
          <w:w w:val="105"/>
        </w:rPr>
        <w:t>individual</w:t>
      </w:r>
      <w:r w:rsidRPr="00B7244E">
        <w:rPr>
          <w:spacing w:val="-2"/>
          <w:w w:val="105"/>
        </w:rPr>
        <w:t xml:space="preserve"> </w:t>
      </w:r>
      <w:r w:rsidRPr="00B7244E">
        <w:rPr>
          <w:w w:val="105"/>
        </w:rPr>
        <w:t>differences</w:t>
      </w:r>
      <w:r w:rsidRPr="00B7244E">
        <w:rPr>
          <w:spacing w:val="-5"/>
          <w:w w:val="105"/>
        </w:rPr>
        <w:t xml:space="preserve"> </w:t>
      </w:r>
      <w:proofErr w:type="gramStart"/>
      <w:r w:rsidRPr="00B7244E">
        <w:rPr>
          <w:w w:val="105"/>
        </w:rPr>
        <w:t>in</w:t>
      </w:r>
      <w:r w:rsidRPr="00B7244E">
        <w:rPr>
          <w:spacing w:val="-1"/>
          <w:w w:val="105"/>
        </w:rPr>
        <w:t xml:space="preserve"> </w:t>
      </w:r>
      <w:r w:rsidRPr="00B7244E">
        <w:rPr>
          <w:w w:val="105"/>
        </w:rPr>
        <w:t>order</w:t>
      </w:r>
      <w:r w:rsidRPr="00B7244E">
        <w:rPr>
          <w:spacing w:val="-2"/>
          <w:w w:val="105"/>
        </w:rPr>
        <w:t xml:space="preserve"> </w:t>
      </w:r>
      <w:r w:rsidRPr="00B7244E">
        <w:rPr>
          <w:w w:val="105"/>
        </w:rPr>
        <w:t>to</w:t>
      </w:r>
      <w:proofErr w:type="gramEnd"/>
      <w:r w:rsidRPr="00B7244E">
        <w:rPr>
          <w:w w:val="105"/>
        </w:rPr>
        <w:t xml:space="preserve"> provide effective support and inclusion.</w:t>
      </w:r>
    </w:p>
    <w:p w14:paraId="64217414" w14:textId="77777777" w:rsidR="004E04E1" w:rsidRPr="004D664B" w:rsidRDefault="004E04E1" w:rsidP="00F93B5F">
      <w:pPr>
        <w:pStyle w:val="Heading3"/>
        <w:rPr>
          <w:color w:val="006B70"/>
        </w:rPr>
      </w:pPr>
      <w:bookmarkStart w:id="130" w:name="_Toc205386896"/>
      <w:bookmarkStart w:id="131" w:name="_Toc205387966"/>
      <w:bookmarkStart w:id="132" w:name="_Toc205445977"/>
      <w:r w:rsidRPr="004D664B">
        <w:rPr>
          <w:color w:val="006B70"/>
        </w:rPr>
        <w:t>Outcomes</w:t>
      </w:r>
      <w:bookmarkEnd w:id="130"/>
      <w:bookmarkEnd w:id="131"/>
      <w:bookmarkEnd w:id="132"/>
    </w:p>
    <w:p w14:paraId="726F06FE" w14:textId="6A30E1F6" w:rsidR="004E04E1" w:rsidRPr="00B7244E" w:rsidRDefault="004E04E1" w:rsidP="00B7244E">
      <w:r w:rsidRPr="00B7244E">
        <w:t xml:space="preserve">Children and young people with ASD frequently experience significant challenges relating to both physical and mental health. Research indicates that adolescents with ASD may face </w:t>
      </w:r>
      <w:proofErr w:type="gramStart"/>
      <w:r w:rsidRPr="00B7244E">
        <w:t>particular difficulties</w:t>
      </w:r>
      <w:proofErr w:type="gramEnd"/>
      <w:r w:rsidRPr="00B7244E">
        <w:t xml:space="preserve"> in understanding and navigating sexual health, due in part to social communication differences and a lack of sexual education tailored to their specific needs. These challenges can increase vulnerability to sexual exploitation and engagement in risky sexual behaviours</w:t>
      </w:r>
      <w:r w:rsidRPr="00B7244E">
        <w:rPr>
          <w:vertAlign w:val="superscript"/>
        </w:rPr>
        <w:endnoteReference w:id="49"/>
      </w:r>
      <w:r w:rsidRPr="00B7244E">
        <w:t xml:space="preserve"> </w:t>
      </w:r>
      <w:r w:rsidRPr="00B7244E">
        <w:rPr>
          <w:vertAlign w:val="superscript"/>
        </w:rPr>
        <w:endnoteReference w:id="50"/>
      </w:r>
      <w:r w:rsidR="00937220" w:rsidRPr="00B7244E">
        <w:t>.</w:t>
      </w:r>
    </w:p>
    <w:p w14:paraId="286C3569" w14:textId="334CC327" w:rsidR="004E04E1" w:rsidRPr="00B7244E" w:rsidRDefault="004E04E1" w:rsidP="00B7244E">
      <w:r w:rsidRPr="00B7244E">
        <w:t>Evidence suggests that substance misuse is generally less prevalent among children and young people with ASD compared to their neurotypical peers. However, the risk can increase during adolescence and adulthood, particularly as individuals with ASD may use substances as a means of coping with anxiety, depression, or social isolation</w:t>
      </w:r>
      <w:r w:rsidRPr="00B7244E">
        <w:rPr>
          <w:vertAlign w:val="superscript"/>
        </w:rPr>
        <w:endnoteReference w:id="51"/>
      </w:r>
      <w:r w:rsidR="00937220" w:rsidRPr="00B7244E">
        <w:t>.</w:t>
      </w:r>
    </w:p>
    <w:p w14:paraId="5A49CFCA" w14:textId="4D689633" w:rsidR="004E04E1" w:rsidRDefault="004E04E1" w:rsidP="00B7244E">
      <w:r w:rsidRPr="00B7244E">
        <w:lastRenderedPageBreak/>
        <w:t>Mental health issues are significantly more common among children and young people with ASD, with conditions such as anxiety, and obsessive-compulsive disorder occurring at higher rates than in the general population</w:t>
      </w:r>
      <w:r w:rsidR="00FE4904">
        <w:rPr>
          <w:rStyle w:val="EndnoteReference"/>
        </w:rPr>
        <w:endnoteReference w:id="52"/>
      </w:r>
      <w:r w:rsidRPr="00B7244E">
        <w:t>. A large-scale UK study found that around 70% of children</w:t>
      </w:r>
      <w:r w:rsidR="00D36939">
        <w:t xml:space="preserve"> with ASD</w:t>
      </w:r>
      <w:r w:rsidRPr="00B7244E">
        <w:t xml:space="preserve"> have at least one co-occurring mental health condition, with approximately 40% experiencing two or more</w:t>
      </w:r>
      <w:r w:rsidRPr="00B7244E">
        <w:rPr>
          <w:vertAlign w:val="superscript"/>
        </w:rPr>
        <w:endnoteReference w:id="53"/>
      </w:r>
      <w:r w:rsidRPr="00B7244E">
        <w:t xml:space="preserve"> </w:t>
      </w:r>
      <w:r w:rsidRPr="00B7244E">
        <w:rPr>
          <w:vertAlign w:val="superscript"/>
        </w:rPr>
        <w:endnoteReference w:id="54"/>
      </w:r>
      <w:r w:rsidR="00937220" w:rsidRPr="00B7244E">
        <w:t>.</w:t>
      </w:r>
      <w:r w:rsidRPr="00B7244E">
        <w:t xml:space="preserve"> These co-occurring mental health difficulties can further exacerbate challenges in areas such as social relationships, education, and overall well-being.</w:t>
      </w:r>
    </w:p>
    <w:p w14:paraId="3F5CD9E1" w14:textId="5D3DCF94" w:rsidR="00205E6A" w:rsidRPr="00B7244E" w:rsidRDefault="00205E6A" w:rsidP="00205E6A">
      <w:pPr>
        <w:spacing w:line="278" w:lineRule="auto"/>
        <w:jc w:val="left"/>
      </w:pPr>
      <w:r w:rsidRPr="00F23C16">
        <w:t>Research indicates that gender-diverse identities, including transgender</w:t>
      </w:r>
      <w:r>
        <w:rPr>
          <w:rStyle w:val="EndnoteReference"/>
        </w:rPr>
        <w:endnoteReference w:id="55"/>
      </w:r>
      <w:r w:rsidRPr="00F23C16">
        <w:t xml:space="preserve"> and gender non-conforming identities, are more prevalent among individuals with A</w:t>
      </w:r>
      <w:r>
        <w:t>SD</w:t>
      </w:r>
      <w:r w:rsidRPr="00F23C16">
        <w:t xml:space="preserve"> than in the general population. Although the exact reasons for this association remain unclear, several contributing factors are currently being explored. These include potential differences in how gender identity develops and is expressed in individuals</w:t>
      </w:r>
      <w:r w:rsidR="00D36939">
        <w:t xml:space="preserve"> with ASD</w:t>
      </w:r>
      <w:r w:rsidRPr="00F23C16">
        <w:t>. Some evidence suggests a link between autism and gender dysphoria</w:t>
      </w:r>
      <w:r>
        <w:rPr>
          <w:rStyle w:val="EndnoteReference"/>
        </w:rPr>
        <w:endnoteReference w:id="56"/>
      </w:r>
      <w:r w:rsidRPr="00F23C16">
        <w:t>, with individuals</w:t>
      </w:r>
      <w:r w:rsidR="00D36939">
        <w:t xml:space="preserve"> with ASD</w:t>
      </w:r>
      <w:r w:rsidRPr="00F23C16">
        <w:t xml:space="preserve"> appearing more likely to experience gender dysphoria compared to neurotypical individuals. However, the underlying causes of this connection are not yet well understood, and further research is needed to clarify the nature of this relationship. </w:t>
      </w:r>
    </w:p>
    <w:p w14:paraId="648844A7" w14:textId="47C871E0" w:rsidR="00375C10" w:rsidRPr="00B7244E" w:rsidRDefault="00375C10" w:rsidP="00293C95">
      <w:pPr>
        <w:spacing w:line="278" w:lineRule="auto"/>
        <w:jc w:val="left"/>
      </w:pPr>
      <w:r w:rsidRPr="00F23C16">
        <w:t>Research indicates that gender-diverse identities, including transgender</w:t>
      </w:r>
      <w:r>
        <w:rPr>
          <w:rStyle w:val="EndnoteReference"/>
        </w:rPr>
        <w:endnoteReference w:id="57"/>
      </w:r>
      <w:r w:rsidRPr="00F23C16">
        <w:t xml:space="preserve"> and gender non-conforming identities, are more prevalent among individuals with A</w:t>
      </w:r>
      <w:r>
        <w:t>SD</w:t>
      </w:r>
      <w:r w:rsidRPr="00F23C16">
        <w:t xml:space="preserve"> than in the general population. Although the exact reasons for this association remain unclear, several contributing factors are currently being explored. These include potential differences in how gender identity develops and is expressed in individuals</w:t>
      </w:r>
      <w:r w:rsidR="00E953D1">
        <w:t xml:space="preserve"> with ASD</w:t>
      </w:r>
      <w:r w:rsidRPr="00F23C16">
        <w:t xml:space="preserve">. Some evidence suggests a link between </w:t>
      </w:r>
      <w:r w:rsidR="00E953D1">
        <w:t>ASD</w:t>
      </w:r>
      <w:r w:rsidRPr="00F23C16">
        <w:t xml:space="preserve"> and gender dysphoria</w:t>
      </w:r>
      <w:r>
        <w:rPr>
          <w:rStyle w:val="EndnoteReference"/>
        </w:rPr>
        <w:endnoteReference w:id="58"/>
      </w:r>
      <w:r w:rsidRPr="00F23C16">
        <w:t>, with individuals</w:t>
      </w:r>
      <w:r w:rsidR="00E953D1">
        <w:t xml:space="preserve"> with ASD</w:t>
      </w:r>
      <w:r w:rsidRPr="00F23C16">
        <w:t xml:space="preserve"> appearing more likely to experience gender dysphoria compared to neurotypical individuals. However, the underlying causes of this connection are not yet well understood, and further research is needed to clarify the nature of this relationship. </w:t>
      </w:r>
    </w:p>
    <w:p w14:paraId="29391AFB" w14:textId="4056EF08" w:rsidR="004E04E1" w:rsidRPr="00CF7E57" w:rsidRDefault="004E04E1" w:rsidP="00CF7E57">
      <w:r w:rsidRPr="00B7244E">
        <w:t>Children and young people with ASD also commonly experience gastrointestinal (GI) issues, including abdominal pain, constipation, and diarrhoea. Studies indicate that GI problems are significantly more prevalent among individuals</w:t>
      </w:r>
      <w:r w:rsidR="00CF3590">
        <w:t xml:space="preserve"> with ASD</w:t>
      </w:r>
      <w:r w:rsidRPr="00B7244E">
        <w:t xml:space="preserve"> than among the general population and can substantially impact daily life, including sleep, behaviour, and overall quality of life</w:t>
      </w:r>
      <w:r w:rsidRPr="00B7244E">
        <w:rPr>
          <w:vertAlign w:val="superscript"/>
        </w:rPr>
        <w:endnoteReference w:id="59"/>
      </w:r>
      <w:r w:rsidR="00937220" w:rsidRPr="00B7244E">
        <w:t>.</w:t>
      </w:r>
    </w:p>
    <w:p w14:paraId="3522AF3B" w14:textId="4925D205" w:rsidR="004E04E1" w:rsidRPr="00C270AF" w:rsidRDefault="00E63EBF" w:rsidP="00E63EBF">
      <w:pPr>
        <w:ind w:firstLine="720"/>
        <w:rPr>
          <w:b/>
          <w:bCs/>
          <w:sz w:val="18"/>
          <w:szCs w:val="18"/>
        </w:rPr>
      </w:pPr>
      <w:r>
        <w:rPr>
          <w:b/>
          <w:bCs/>
          <w:sz w:val="18"/>
          <w:szCs w:val="18"/>
        </w:rPr>
        <w:t xml:space="preserve">   </w:t>
      </w:r>
      <w:r w:rsidR="004E04E1" w:rsidRPr="00C270AF">
        <w:rPr>
          <w:b/>
          <w:bCs/>
          <w:sz w:val="18"/>
          <w:szCs w:val="18"/>
        </w:rPr>
        <w:t>Figure</w:t>
      </w:r>
      <w:r w:rsidR="004E04E1" w:rsidRPr="00C270AF">
        <w:rPr>
          <w:b/>
          <w:bCs/>
          <w:spacing w:val="-4"/>
          <w:sz w:val="18"/>
          <w:szCs w:val="18"/>
        </w:rPr>
        <w:t xml:space="preserve"> </w:t>
      </w:r>
      <w:r w:rsidR="005954A8">
        <w:rPr>
          <w:b/>
          <w:bCs/>
          <w:sz w:val="18"/>
          <w:szCs w:val="18"/>
        </w:rPr>
        <w:t>5.4</w:t>
      </w:r>
      <w:r w:rsidR="00F82B8C">
        <w:rPr>
          <w:b/>
          <w:bCs/>
          <w:sz w:val="18"/>
          <w:szCs w:val="18"/>
        </w:rPr>
        <w:t>:</w:t>
      </w:r>
      <w:r w:rsidR="004E04E1" w:rsidRPr="00C270AF">
        <w:rPr>
          <w:b/>
          <w:bCs/>
          <w:spacing w:val="-4"/>
          <w:sz w:val="18"/>
          <w:szCs w:val="18"/>
        </w:rPr>
        <w:t xml:space="preserve"> </w:t>
      </w:r>
      <w:r w:rsidR="004E04E1" w:rsidRPr="00C270AF">
        <w:rPr>
          <w:b/>
          <w:bCs/>
          <w:sz w:val="18"/>
          <w:szCs w:val="18"/>
        </w:rPr>
        <w:t>OHID,</w:t>
      </w:r>
      <w:r w:rsidR="004E04E1" w:rsidRPr="00C270AF">
        <w:rPr>
          <w:b/>
          <w:bCs/>
          <w:spacing w:val="-3"/>
          <w:sz w:val="18"/>
          <w:szCs w:val="18"/>
        </w:rPr>
        <w:t xml:space="preserve"> </w:t>
      </w:r>
      <w:r w:rsidR="004E04E1" w:rsidRPr="00C270AF">
        <w:rPr>
          <w:b/>
          <w:bCs/>
          <w:sz w:val="18"/>
          <w:szCs w:val="18"/>
        </w:rPr>
        <w:t>Childhood</w:t>
      </w:r>
      <w:r w:rsidR="004E04E1" w:rsidRPr="00C270AF">
        <w:rPr>
          <w:b/>
          <w:bCs/>
          <w:spacing w:val="-6"/>
          <w:sz w:val="18"/>
          <w:szCs w:val="18"/>
        </w:rPr>
        <w:t xml:space="preserve"> </w:t>
      </w:r>
      <w:r w:rsidR="004E04E1" w:rsidRPr="00C270AF">
        <w:rPr>
          <w:b/>
          <w:bCs/>
          <w:sz w:val="18"/>
          <w:szCs w:val="18"/>
        </w:rPr>
        <w:t>obesity:</w:t>
      </w:r>
      <w:r w:rsidR="004E04E1" w:rsidRPr="00C270AF">
        <w:rPr>
          <w:b/>
          <w:bCs/>
          <w:spacing w:val="-1"/>
          <w:sz w:val="18"/>
          <w:szCs w:val="18"/>
        </w:rPr>
        <w:t xml:space="preserve"> </w:t>
      </w:r>
      <w:r w:rsidR="004E04E1" w:rsidRPr="00C270AF">
        <w:rPr>
          <w:b/>
          <w:bCs/>
          <w:sz w:val="18"/>
          <w:szCs w:val="18"/>
        </w:rPr>
        <w:t>applying</w:t>
      </w:r>
      <w:r w:rsidR="004E04E1" w:rsidRPr="00C270AF">
        <w:rPr>
          <w:b/>
          <w:bCs/>
          <w:spacing w:val="-3"/>
          <w:sz w:val="18"/>
          <w:szCs w:val="18"/>
        </w:rPr>
        <w:t xml:space="preserve"> </w:t>
      </w:r>
      <w:r w:rsidR="004E04E1" w:rsidRPr="00C270AF">
        <w:rPr>
          <w:b/>
          <w:bCs/>
          <w:sz w:val="18"/>
          <w:szCs w:val="18"/>
        </w:rPr>
        <w:t>All</w:t>
      </w:r>
      <w:r w:rsidR="004E04E1" w:rsidRPr="00C270AF">
        <w:rPr>
          <w:b/>
          <w:bCs/>
          <w:spacing w:val="-7"/>
          <w:sz w:val="18"/>
          <w:szCs w:val="18"/>
        </w:rPr>
        <w:t xml:space="preserve"> </w:t>
      </w:r>
      <w:r w:rsidR="004E04E1" w:rsidRPr="00C270AF">
        <w:rPr>
          <w:b/>
          <w:bCs/>
          <w:sz w:val="18"/>
          <w:szCs w:val="18"/>
        </w:rPr>
        <w:t>Our</w:t>
      </w:r>
      <w:r w:rsidR="004E04E1" w:rsidRPr="00C270AF">
        <w:rPr>
          <w:b/>
          <w:bCs/>
          <w:spacing w:val="-3"/>
          <w:sz w:val="18"/>
          <w:szCs w:val="18"/>
        </w:rPr>
        <w:t xml:space="preserve"> </w:t>
      </w:r>
      <w:r w:rsidR="004E04E1" w:rsidRPr="00C270AF">
        <w:rPr>
          <w:b/>
          <w:bCs/>
          <w:sz w:val="18"/>
          <w:szCs w:val="18"/>
        </w:rPr>
        <w:t>Health,</w:t>
      </w:r>
      <w:r w:rsidR="004E04E1" w:rsidRPr="00C270AF">
        <w:rPr>
          <w:b/>
          <w:bCs/>
          <w:spacing w:val="-4"/>
          <w:sz w:val="18"/>
          <w:szCs w:val="18"/>
        </w:rPr>
        <w:t xml:space="preserve"> </w:t>
      </w:r>
      <w:r w:rsidR="004E04E1" w:rsidRPr="00C270AF">
        <w:rPr>
          <w:b/>
          <w:bCs/>
          <w:sz w:val="18"/>
          <w:szCs w:val="18"/>
        </w:rPr>
        <w:t>April</w:t>
      </w:r>
      <w:r w:rsidR="004E04E1" w:rsidRPr="00C270AF">
        <w:rPr>
          <w:b/>
          <w:bCs/>
          <w:spacing w:val="-5"/>
          <w:sz w:val="18"/>
          <w:szCs w:val="18"/>
        </w:rPr>
        <w:t xml:space="preserve"> </w:t>
      </w:r>
      <w:r w:rsidR="004E04E1" w:rsidRPr="00C270AF">
        <w:rPr>
          <w:b/>
          <w:bCs/>
          <w:spacing w:val="-4"/>
          <w:sz w:val="18"/>
          <w:szCs w:val="18"/>
        </w:rPr>
        <w:t>2022</w:t>
      </w:r>
    </w:p>
    <w:p w14:paraId="0EA93B0F" w14:textId="77777777" w:rsidR="004E04E1" w:rsidRDefault="004E04E1" w:rsidP="009D390A">
      <w:pPr>
        <w:jc w:val="center"/>
        <w:rPr>
          <w:sz w:val="16"/>
          <w:highlight w:val="cyan"/>
        </w:rPr>
      </w:pPr>
      <w:r>
        <w:rPr>
          <w:noProof/>
        </w:rPr>
        <w:drawing>
          <wp:inline distT="0" distB="0" distL="0" distR="0" wp14:anchorId="4ED31109" wp14:editId="072DC409">
            <wp:extent cx="4697951" cy="2700337"/>
            <wp:effectExtent l="0" t="0" r="0" b="0"/>
            <wp:docPr id="206" name="Image 206" descr="Obesity harms children and young people. Emotional and behavioural: stigmatism, bullying and low self esteem. &#10;School absence&#10;High cholesterol, high blood pressure, pre-diabetes, bone and joint problems, breathing difficulties. &#10;Increased risk of becoming overweight adults, risk of ill health and premature mortality in adult lif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descr="Obesity harms children and young people. Emotional and behavioural: stigmatism, bullying and low self esteem. &#10;School absence&#10;High cholesterol, high blood pressure, pre-diabetes, bone and joint problems, breathing difficulties. &#10;Increased risk of becoming overweight adults, risk of ill health and premature mortality in adult life"/>
                    <pic:cNvPicPr/>
                  </pic:nvPicPr>
                  <pic:blipFill>
                    <a:blip r:embed="rId20" cstate="print"/>
                    <a:stretch>
                      <a:fillRect/>
                    </a:stretch>
                  </pic:blipFill>
                  <pic:spPr>
                    <a:xfrm>
                      <a:off x="0" y="0"/>
                      <a:ext cx="4697951" cy="2700337"/>
                    </a:xfrm>
                    <a:prstGeom prst="rect">
                      <a:avLst/>
                    </a:prstGeom>
                  </pic:spPr>
                </pic:pic>
              </a:graphicData>
            </a:graphic>
          </wp:inline>
        </w:drawing>
      </w:r>
    </w:p>
    <w:p w14:paraId="37845ABD" w14:textId="31B69BFD" w:rsidR="009D390A" w:rsidRPr="003D6538" w:rsidRDefault="009D390A" w:rsidP="009D390A">
      <w:pPr>
        <w:jc w:val="right"/>
        <w:rPr>
          <w:b/>
          <w:bCs/>
          <w:sz w:val="16"/>
          <w:szCs w:val="16"/>
        </w:rPr>
      </w:pPr>
      <w:r w:rsidRPr="003D6538">
        <w:rPr>
          <w:b/>
          <w:bCs/>
          <w:sz w:val="16"/>
          <w:szCs w:val="16"/>
        </w:rPr>
        <w:t>Source:</w:t>
      </w:r>
      <w:r w:rsidR="00D76DE7" w:rsidRPr="003D6538">
        <w:rPr>
          <w:b/>
          <w:bCs/>
          <w:sz w:val="16"/>
          <w:szCs w:val="16"/>
        </w:rPr>
        <w:t xml:space="preserve"> GOV.UK Office for Health Improvement &amp; Disparities</w:t>
      </w:r>
    </w:p>
    <w:p w14:paraId="2287F549" w14:textId="0599B4CB" w:rsidR="004E04E1" w:rsidRPr="00B7244E" w:rsidRDefault="004E04E1" w:rsidP="00B7244E">
      <w:pPr>
        <w:rPr>
          <w:w w:val="105"/>
        </w:rPr>
      </w:pPr>
      <w:r w:rsidRPr="00B7244E">
        <w:rPr>
          <w:w w:val="105"/>
        </w:rPr>
        <w:lastRenderedPageBreak/>
        <w:t>In</w:t>
      </w:r>
      <w:r w:rsidRPr="00B7244E">
        <w:rPr>
          <w:spacing w:val="-5"/>
          <w:w w:val="105"/>
        </w:rPr>
        <w:t xml:space="preserve"> </w:t>
      </w:r>
      <w:r w:rsidRPr="00B7244E">
        <w:rPr>
          <w:w w:val="105"/>
        </w:rPr>
        <w:t>Tower</w:t>
      </w:r>
      <w:r w:rsidRPr="00B7244E">
        <w:rPr>
          <w:spacing w:val="-6"/>
          <w:w w:val="105"/>
        </w:rPr>
        <w:t xml:space="preserve"> </w:t>
      </w:r>
      <w:r w:rsidRPr="00B7244E">
        <w:rPr>
          <w:w w:val="105"/>
        </w:rPr>
        <w:t>Hamlets,</w:t>
      </w:r>
      <w:r w:rsidRPr="00B7244E">
        <w:rPr>
          <w:spacing w:val="-7"/>
          <w:w w:val="105"/>
        </w:rPr>
        <w:t xml:space="preserve"> </w:t>
      </w:r>
      <w:r w:rsidRPr="00B7244E">
        <w:rPr>
          <w:w w:val="105"/>
        </w:rPr>
        <w:t>children</w:t>
      </w:r>
      <w:r w:rsidRPr="00B7244E">
        <w:rPr>
          <w:spacing w:val="-5"/>
          <w:w w:val="105"/>
        </w:rPr>
        <w:t xml:space="preserve"> </w:t>
      </w:r>
      <w:r w:rsidRPr="00B7244E">
        <w:rPr>
          <w:w w:val="105"/>
        </w:rPr>
        <w:t>in</w:t>
      </w:r>
      <w:r w:rsidRPr="00B7244E">
        <w:rPr>
          <w:spacing w:val="-5"/>
          <w:w w:val="105"/>
        </w:rPr>
        <w:t xml:space="preserve"> </w:t>
      </w:r>
      <w:r w:rsidRPr="00B7244E">
        <w:rPr>
          <w:w w:val="105"/>
        </w:rPr>
        <w:t>Reception</w:t>
      </w:r>
      <w:r w:rsidRPr="00B7244E">
        <w:rPr>
          <w:spacing w:val="-6"/>
          <w:w w:val="105"/>
        </w:rPr>
        <w:t xml:space="preserve"> </w:t>
      </w:r>
      <w:r w:rsidRPr="00B7244E">
        <w:rPr>
          <w:w w:val="105"/>
        </w:rPr>
        <w:t>and</w:t>
      </w:r>
      <w:r w:rsidRPr="00B7244E">
        <w:rPr>
          <w:spacing w:val="-6"/>
          <w:w w:val="105"/>
        </w:rPr>
        <w:t xml:space="preserve"> </w:t>
      </w:r>
      <w:r w:rsidRPr="00B7244E">
        <w:rPr>
          <w:w w:val="105"/>
        </w:rPr>
        <w:t>Year</w:t>
      </w:r>
      <w:r w:rsidRPr="00B7244E">
        <w:rPr>
          <w:spacing w:val="-6"/>
          <w:w w:val="105"/>
        </w:rPr>
        <w:t xml:space="preserve"> </w:t>
      </w:r>
      <w:r w:rsidRPr="00B7244E">
        <w:rPr>
          <w:w w:val="105"/>
        </w:rPr>
        <w:t>6</w:t>
      </w:r>
      <w:r w:rsidRPr="00B7244E">
        <w:rPr>
          <w:spacing w:val="-5"/>
          <w:w w:val="105"/>
        </w:rPr>
        <w:t xml:space="preserve"> </w:t>
      </w:r>
      <w:r w:rsidRPr="00B7244E">
        <w:rPr>
          <w:w w:val="105"/>
        </w:rPr>
        <w:t>in</w:t>
      </w:r>
      <w:r w:rsidRPr="00B7244E">
        <w:rPr>
          <w:spacing w:val="-5"/>
          <w:w w:val="105"/>
        </w:rPr>
        <w:t xml:space="preserve"> </w:t>
      </w:r>
      <w:r w:rsidRPr="00B7244E">
        <w:rPr>
          <w:w w:val="105"/>
        </w:rPr>
        <w:t>mainstream</w:t>
      </w:r>
      <w:r w:rsidRPr="00B7244E">
        <w:rPr>
          <w:spacing w:val="-6"/>
          <w:w w:val="105"/>
        </w:rPr>
        <w:t xml:space="preserve"> </w:t>
      </w:r>
      <w:r w:rsidRPr="00B7244E">
        <w:rPr>
          <w:w w:val="105"/>
        </w:rPr>
        <w:t>schools</w:t>
      </w:r>
      <w:r w:rsidRPr="00B7244E">
        <w:rPr>
          <w:spacing w:val="-6"/>
          <w:w w:val="105"/>
        </w:rPr>
        <w:t xml:space="preserve"> </w:t>
      </w:r>
      <w:r w:rsidRPr="00B7244E">
        <w:rPr>
          <w:w w:val="105"/>
        </w:rPr>
        <w:t>are</w:t>
      </w:r>
      <w:r w:rsidRPr="00B7244E">
        <w:rPr>
          <w:spacing w:val="-4"/>
          <w:w w:val="105"/>
        </w:rPr>
        <w:t xml:space="preserve"> </w:t>
      </w:r>
      <w:r w:rsidRPr="00B7244E">
        <w:rPr>
          <w:w w:val="105"/>
        </w:rPr>
        <w:t>weighed annually, as</w:t>
      </w:r>
      <w:r w:rsidRPr="00B7244E">
        <w:rPr>
          <w:spacing w:val="-1"/>
          <w:w w:val="105"/>
        </w:rPr>
        <w:t xml:space="preserve"> </w:t>
      </w:r>
      <w:r w:rsidRPr="00B7244E">
        <w:rPr>
          <w:w w:val="105"/>
        </w:rPr>
        <w:t>part of the National Child</w:t>
      </w:r>
      <w:r w:rsidRPr="00B7244E">
        <w:rPr>
          <w:spacing w:val="-1"/>
          <w:w w:val="105"/>
        </w:rPr>
        <w:t xml:space="preserve"> </w:t>
      </w:r>
      <w:r w:rsidRPr="00B7244E">
        <w:rPr>
          <w:w w:val="105"/>
        </w:rPr>
        <w:t>Measurement Programme. However, the results are</w:t>
      </w:r>
      <w:r w:rsidRPr="00B7244E">
        <w:rPr>
          <w:spacing w:val="-16"/>
          <w:w w:val="105"/>
        </w:rPr>
        <w:t xml:space="preserve"> </w:t>
      </w:r>
      <w:r w:rsidRPr="00B7244E">
        <w:rPr>
          <w:w w:val="105"/>
        </w:rPr>
        <w:t>not</w:t>
      </w:r>
      <w:r w:rsidRPr="00B7244E">
        <w:rPr>
          <w:spacing w:val="-16"/>
          <w:w w:val="105"/>
        </w:rPr>
        <w:t xml:space="preserve"> </w:t>
      </w:r>
      <w:r w:rsidRPr="00B7244E">
        <w:rPr>
          <w:w w:val="105"/>
        </w:rPr>
        <w:t>adjusted</w:t>
      </w:r>
      <w:r w:rsidRPr="00B7244E">
        <w:rPr>
          <w:spacing w:val="-17"/>
          <w:w w:val="105"/>
        </w:rPr>
        <w:t xml:space="preserve"> </w:t>
      </w:r>
      <w:r w:rsidRPr="00B7244E">
        <w:rPr>
          <w:w w:val="105"/>
        </w:rPr>
        <w:t>for</w:t>
      </w:r>
      <w:r w:rsidRPr="00B7244E">
        <w:rPr>
          <w:spacing w:val="-17"/>
          <w:w w:val="105"/>
        </w:rPr>
        <w:t xml:space="preserve"> </w:t>
      </w:r>
      <w:r w:rsidRPr="00B7244E">
        <w:rPr>
          <w:w w:val="105"/>
        </w:rPr>
        <w:t>special</w:t>
      </w:r>
      <w:r w:rsidRPr="00B7244E">
        <w:rPr>
          <w:spacing w:val="-17"/>
          <w:w w:val="105"/>
        </w:rPr>
        <w:t xml:space="preserve"> </w:t>
      </w:r>
      <w:r w:rsidRPr="00B7244E">
        <w:rPr>
          <w:w w:val="105"/>
        </w:rPr>
        <w:t>educational</w:t>
      </w:r>
      <w:r w:rsidRPr="00B7244E">
        <w:rPr>
          <w:spacing w:val="-17"/>
          <w:w w:val="105"/>
        </w:rPr>
        <w:t xml:space="preserve"> </w:t>
      </w:r>
      <w:r w:rsidRPr="00B7244E">
        <w:rPr>
          <w:w w:val="105"/>
        </w:rPr>
        <w:t>needs,</w:t>
      </w:r>
      <w:r w:rsidRPr="00B7244E">
        <w:rPr>
          <w:spacing w:val="-14"/>
          <w:w w:val="105"/>
        </w:rPr>
        <w:t xml:space="preserve"> </w:t>
      </w:r>
      <w:r w:rsidRPr="00B7244E">
        <w:rPr>
          <w:w w:val="105"/>
        </w:rPr>
        <w:t>making</w:t>
      </w:r>
      <w:r w:rsidRPr="00B7244E">
        <w:rPr>
          <w:spacing w:val="-15"/>
          <w:w w:val="105"/>
        </w:rPr>
        <w:t xml:space="preserve"> </w:t>
      </w:r>
      <w:r w:rsidRPr="00B7244E">
        <w:rPr>
          <w:w w:val="105"/>
        </w:rPr>
        <w:t>it</w:t>
      </w:r>
      <w:r w:rsidRPr="00B7244E">
        <w:rPr>
          <w:spacing w:val="-15"/>
          <w:w w:val="105"/>
        </w:rPr>
        <w:t xml:space="preserve"> </w:t>
      </w:r>
      <w:r w:rsidRPr="00B7244E">
        <w:rPr>
          <w:w w:val="105"/>
        </w:rPr>
        <w:t>difficult</w:t>
      </w:r>
      <w:r w:rsidRPr="00B7244E">
        <w:rPr>
          <w:spacing w:val="-17"/>
          <w:w w:val="105"/>
        </w:rPr>
        <w:t xml:space="preserve"> </w:t>
      </w:r>
      <w:r w:rsidRPr="00B7244E">
        <w:rPr>
          <w:w w:val="105"/>
        </w:rPr>
        <w:t>to</w:t>
      </w:r>
      <w:r w:rsidRPr="00B7244E">
        <w:rPr>
          <w:spacing w:val="-17"/>
          <w:w w:val="105"/>
        </w:rPr>
        <w:t xml:space="preserve"> </w:t>
      </w:r>
      <w:r w:rsidRPr="00B7244E">
        <w:rPr>
          <w:w w:val="105"/>
        </w:rPr>
        <w:t>monitor</w:t>
      </w:r>
      <w:r w:rsidRPr="00B7244E">
        <w:rPr>
          <w:spacing w:val="-17"/>
          <w:w w:val="105"/>
        </w:rPr>
        <w:t xml:space="preserve"> </w:t>
      </w:r>
      <w:r w:rsidRPr="00B7244E">
        <w:rPr>
          <w:w w:val="105"/>
        </w:rPr>
        <w:t>the</w:t>
      </w:r>
      <w:r w:rsidRPr="00B7244E">
        <w:rPr>
          <w:spacing w:val="-15"/>
          <w:w w:val="105"/>
        </w:rPr>
        <w:t xml:space="preserve"> </w:t>
      </w:r>
      <w:r w:rsidRPr="00B7244E">
        <w:rPr>
          <w:w w:val="105"/>
        </w:rPr>
        <w:t>weight status of children with ASD locally. Living with excess weight increases the risk of developing Type 2 diabetes and cardiovascular disease</w:t>
      </w:r>
      <w:r w:rsidRPr="00B7244E">
        <w:rPr>
          <w:b/>
          <w:w w:val="105"/>
          <w:vertAlign w:val="superscript"/>
        </w:rPr>
        <w:endnoteReference w:id="60"/>
      </w:r>
      <w:r w:rsidR="00937220">
        <w:rPr>
          <w:w w:val="105"/>
        </w:rPr>
        <w:t>,</w:t>
      </w:r>
      <w:r w:rsidR="00937220">
        <w:rPr>
          <w:b/>
          <w:w w:val="105"/>
        </w:rPr>
        <w:t xml:space="preserve"> </w:t>
      </w:r>
      <w:r w:rsidRPr="00B7244E">
        <w:rPr>
          <w:w w:val="105"/>
        </w:rPr>
        <w:t>as well as a range of social</w:t>
      </w:r>
      <w:r w:rsidRPr="00B7244E">
        <w:rPr>
          <w:spacing w:val="-16"/>
          <w:w w:val="105"/>
        </w:rPr>
        <w:t xml:space="preserve"> </w:t>
      </w:r>
      <w:r w:rsidRPr="00B7244E">
        <w:rPr>
          <w:w w:val="105"/>
        </w:rPr>
        <w:t>impacts</w:t>
      </w:r>
      <w:r w:rsidRPr="00B7244E">
        <w:rPr>
          <w:spacing w:val="-16"/>
          <w:w w:val="105"/>
        </w:rPr>
        <w:t xml:space="preserve"> </w:t>
      </w:r>
      <w:r w:rsidRPr="00B7244E">
        <w:rPr>
          <w:w w:val="105"/>
        </w:rPr>
        <w:t>outlined</w:t>
      </w:r>
      <w:r w:rsidRPr="00B7244E">
        <w:rPr>
          <w:spacing w:val="-16"/>
          <w:w w:val="105"/>
        </w:rPr>
        <w:t xml:space="preserve"> </w:t>
      </w:r>
      <w:r w:rsidRPr="00B7244E">
        <w:rPr>
          <w:w w:val="105"/>
        </w:rPr>
        <w:t>by</w:t>
      </w:r>
      <w:r w:rsidRPr="00B7244E">
        <w:rPr>
          <w:spacing w:val="-14"/>
          <w:w w:val="105"/>
        </w:rPr>
        <w:t xml:space="preserve"> </w:t>
      </w:r>
      <w:r w:rsidRPr="00B7244E">
        <w:rPr>
          <w:w w:val="105"/>
        </w:rPr>
        <w:t>the</w:t>
      </w:r>
      <w:r w:rsidRPr="00B7244E">
        <w:rPr>
          <w:spacing w:val="-14"/>
          <w:w w:val="105"/>
        </w:rPr>
        <w:t xml:space="preserve"> </w:t>
      </w:r>
      <w:r w:rsidRPr="00B7244E">
        <w:rPr>
          <w:w w:val="105"/>
        </w:rPr>
        <w:t>Office</w:t>
      </w:r>
      <w:r w:rsidRPr="00B7244E">
        <w:rPr>
          <w:spacing w:val="-14"/>
          <w:w w:val="105"/>
        </w:rPr>
        <w:t xml:space="preserve"> </w:t>
      </w:r>
      <w:r w:rsidRPr="00B7244E">
        <w:rPr>
          <w:w w:val="105"/>
        </w:rPr>
        <w:t>of</w:t>
      </w:r>
      <w:r w:rsidRPr="00B7244E">
        <w:rPr>
          <w:spacing w:val="-16"/>
          <w:w w:val="105"/>
        </w:rPr>
        <w:t xml:space="preserve"> </w:t>
      </w:r>
      <w:r w:rsidRPr="00B7244E">
        <w:rPr>
          <w:w w:val="105"/>
        </w:rPr>
        <w:t>Health</w:t>
      </w:r>
      <w:r w:rsidRPr="00B7244E">
        <w:rPr>
          <w:spacing w:val="-16"/>
          <w:w w:val="105"/>
        </w:rPr>
        <w:t xml:space="preserve"> </w:t>
      </w:r>
      <w:r w:rsidRPr="00B7244E">
        <w:rPr>
          <w:w w:val="105"/>
        </w:rPr>
        <w:t>Improvement</w:t>
      </w:r>
      <w:r w:rsidRPr="00B7244E">
        <w:rPr>
          <w:spacing w:val="-15"/>
          <w:w w:val="105"/>
        </w:rPr>
        <w:t xml:space="preserve"> </w:t>
      </w:r>
      <w:r w:rsidRPr="00B7244E">
        <w:rPr>
          <w:w w:val="105"/>
        </w:rPr>
        <w:t>and</w:t>
      </w:r>
      <w:r w:rsidRPr="00B7244E">
        <w:rPr>
          <w:spacing w:val="-16"/>
          <w:w w:val="105"/>
        </w:rPr>
        <w:t xml:space="preserve"> </w:t>
      </w:r>
      <w:r w:rsidRPr="00B7244E">
        <w:rPr>
          <w:w w:val="105"/>
        </w:rPr>
        <w:t>Disparities</w:t>
      </w:r>
      <w:r w:rsidRPr="00B7244E">
        <w:rPr>
          <w:spacing w:val="-16"/>
          <w:w w:val="105"/>
        </w:rPr>
        <w:t xml:space="preserve"> </w:t>
      </w:r>
      <w:r w:rsidRPr="00B7244E">
        <w:rPr>
          <w:w w:val="105"/>
        </w:rPr>
        <w:t>(</w:t>
      </w:r>
      <w:r w:rsidRPr="00F677BD">
        <w:rPr>
          <w:w w:val="105"/>
        </w:rPr>
        <w:t>Figure</w:t>
      </w:r>
      <w:r w:rsidRPr="00F677BD">
        <w:rPr>
          <w:spacing w:val="-15"/>
          <w:w w:val="105"/>
        </w:rPr>
        <w:t xml:space="preserve"> </w:t>
      </w:r>
      <w:r w:rsidR="00F677BD" w:rsidRPr="00F677BD">
        <w:rPr>
          <w:w w:val="105"/>
        </w:rPr>
        <w:t>4</w:t>
      </w:r>
      <w:r w:rsidRPr="00B7244E">
        <w:rPr>
          <w:w w:val="105"/>
        </w:rPr>
        <w:t xml:space="preserve">). </w:t>
      </w:r>
    </w:p>
    <w:p w14:paraId="54D9B807" w14:textId="77777777" w:rsidR="004E04E1" w:rsidRPr="004D664B" w:rsidRDefault="004E04E1" w:rsidP="00F93B5F">
      <w:pPr>
        <w:pStyle w:val="Heading3"/>
        <w:rPr>
          <w:color w:val="006B70"/>
        </w:rPr>
      </w:pPr>
      <w:bookmarkStart w:id="133" w:name="_Toc205386897"/>
      <w:bookmarkStart w:id="134" w:name="_Toc205387967"/>
      <w:bookmarkStart w:id="135" w:name="_Toc205445978"/>
      <w:r w:rsidRPr="004D664B">
        <w:rPr>
          <w:color w:val="006B70"/>
        </w:rPr>
        <w:t>What works (evidence-based practice)</w:t>
      </w:r>
      <w:bookmarkEnd w:id="133"/>
      <w:bookmarkEnd w:id="134"/>
      <w:bookmarkEnd w:id="135"/>
    </w:p>
    <w:p w14:paraId="3F75BB76" w14:textId="621CCAD7" w:rsidR="004E04E1" w:rsidRPr="00B7244E" w:rsidRDefault="004E04E1" w:rsidP="00B7244E">
      <w:r w:rsidRPr="00B7244E">
        <w:t xml:space="preserve">Supporting children and young people </w:t>
      </w:r>
      <w:r w:rsidR="00CF3590">
        <w:t xml:space="preserve">with ASD </w:t>
      </w:r>
      <w:r w:rsidRPr="00B7244E">
        <w:t xml:space="preserve">requires a holistic, person-centred approach that considers the individual’s strengths, needs, and preferences. Interventions should be tailored rather than “one size fits all,” as autism presents differently in </w:t>
      </w:r>
      <w:proofErr w:type="gramStart"/>
      <w:r w:rsidRPr="00B7244E">
        <w:t>each individual</w:t>
      </w:r>
      <w:proofErr w:type="gramEnd"/>
      <w:r w:rsidRPr="00B7244E">
        <w:t>. UK guidance emphasises early intervention, multidisciplinary support, and meaningful involvement of families and young people in planning and decision-making.</w:t>
      </w:r>
    </w:p>
    <w:p w14:paraId="22A56C52" w14:textId="77777777" w:rsidR="004E04E1" w:rsidRPr="00B7244E" w:rsidRDefault="004E04E1" w:rsidP="00F469F9">
      <w:pPr>
        <w:pStyle w:val="Heading5"/>
        <w:rPr>
          <w:i/>
        </w:rPr>
      </w:pPr>
      <w:r w:rsidRPr="00B7244E">
        <w:t>Early identification and assessment</w:t>
      </w:r>
    </w:p>
    <w:p w14:paraId="3F394015" w14:textId="7D9AE13D" w:rsidR="004E04E1" w:rsidRPr="00B7244E" w:rsidRDefault="004E04E1" w:rsidP="00B7244E">
      <w:r w:rsidRPr="00B7244E">
        <w:t xml:space="preserve">Early recognition and assessment of autism are associated with improved outcomes, including better communication skills, social engagement, and family wellbeing. NICE guidelines recommend structured assessments </w:t>
      </w:r>
      <w:r w:rsidR="008E0490">
        <w:t xml:space="preserve">are </w:t>
      </w:r>
      <w:r w:rsidRPr="00B7244E">
        <w:t>undertaken by professionals trained in recognising autism in children and young people</w:t>
      </w:r>
      <w:r w:rsidR="00D572B8">
        <w:rPr>
          <w:vertAlign w:val="superscript"/>
        </w:rPr>
        <w:fldChar w:fldCharType="begin"/>
      </w:r>
      <w:r w:rsidR="00D572B8">
        <w:rPr>
          <w:vertAlign w:val="superscript"/>
        </w:rPr>
        <w:instrText xml:space="preserve"> NOTEREF  _Ref205198371 \f \h </w:instrText>
      </w:r>
      <w:r w:rsidR="00D572B8">
        <w:rPr>
          <w:vertAlign w:val="superscript"/>
        </w:rPr>
      </w:r>
      <w:r w:rsidR="00D572B8">
        <w:rPr>
          <w:vertAlign w:val="superscript"/>
        </w:rPr>
        <w:fldChar w:fldCharType="separate"/>
      </w:r>
      <w:r w:rsidR="008722C4" w:rsidRPr="008722C4">
        <w:rPr>
          <w:rStyle w:val="EndnoteReference"/>
        </w:rPr>
        <w:t>14</w:t>
      </w:r>
      <w:r w:rsidR="00D572B8">
        <w:rPr>
          <w:vertAlign w:val="superscript"/>
        </w:rPr>
        <w:fldChar w:fldCharType="end"/>
      </w:r>
      <w:r w:rsidR="007533D3">
        <w:t>.</w:t>
      </w:r>
      <w:r w:rsidRPr="00B7244E">
        <w:t xml:space="preserve"> Early identification allows families to access targeted support, including educational adjustments and family interventions.</w:t>
      </w:r>
    </w:p>
    <w:p w14:paraId="125C4B9C" w14:textId="77777777" w:rsidR="004E04E1" w:rsidRPr="00293C95" w:rsidRDefault="004E04E1" w:rsidP="00F469F9">
      <w:pPr>
        <w:pStyle w:val="Heading5"/>
      </w:pPr>
      <w:r w:rsidRPr="00F469F9">
        <w:t>Communication support</w:t>
      </w:r>
    </w:p>
    <w:p w14:paraId="79CD5B50" w14:textId="050DA6CF" w:rsidR="004E04E1" w:rsidRDefault="004E04E1" w:rsidP="00B7244E">
      <w:r w:rsidRPr="00B7244E">
        <w:t>Many children</w:t>
      </w:r>
      <w:r w:rsidR="00CF3590">
        <w:t xml:space="preserve"> with ASD</w:t>
      </w:r>
      <w:r w:rsidRPr="00B7244E">
        <w:t xml:space="preserve"> experience differences in how they communicate and understand social interactions. Effective support aims to reduce barriers and enhance participation, with interventions tailored to the individual’s goals and needs. Speech and language therapy, play-based programmes to build understanding among families and teachers, and alternative communication tools for children who use </w:t>
      </w:r>
      <w:r w:rsidR="002062DD" w:rsidRPr="00B7244E">
        <w:t>little,</w:t>
      </w:r>
      <w:r w:rsidRPr="00B7244E">
        <w:t xml:space="preserve"> or no speech can all be helpful. Some children </w:t>
      </w:r>
      <w:r w:rsidR="00CF3590">
        <w:t xml:space="preserve">with ASD </w:t>
      </w:r>
      <w:r w:rsidRPr="00B7244E">
        <w:t xml:space="preserve">develop personal strategies, such as preparing for social situations or choosing activities that feel manageable. Good practice also involves </w:t>
      </w:r>
      <w:r w:rsidR="00CF3590">
        <w:t>neurotypical</w:t>
      </w:r>
      <w:r w:rsidRPr="00B7244E">
        <w:t xml:space="preserve"> people allowing extra time for processing, respecting all forms of communication, and recognising that behaviour can be a means of expression. Professionals should be mindful of cultural differences and the tendency of some girls</w:t>
      </w:r>
      <w:r w:rsidR="00CF3590">
        <w:t xml:space="preserve"> </w:t>
      </w:r>
      <w:r w:rsidRPr="00B7244E">
        <w:t xml:space="preserve">and young women </w:t>
      </w:r>
      <w:r w:rsidR="00CF3590">
        <w:t>with ASD</w:t>
      </w:r>
      <w:r w:rsidR="00CF3590" w:rsidRPr="00B7244E">
        <w:t xml:space="preserve"> </w:t>
      </w:r>
      <w:r w:rsidRPr="00B7244E">
        <w:t>to mask social communication difficulties</w:t>
      </w:r>
      <w:r w:rsidRPr="00547CF2">
        <w:rPr>
          <w:b/>
          <w:bCs/>
          <w:vertAlign w:val="superscript"/>
        </w:rPr>
        <w:endnoteReference w:id="61"/>
      </w:r>
      <w:r w:rsidR="00547CF2">
        <w:t>.</w:t>
      </w:r>
    </w:p>
    <w:p w14:paraId="4634D144" w14:textId="6C49164F" w:rsidR="008932A5" w:rsidRPr="00293C95" w:rsidRDefault="008932A5" w:rsidP="00B7244E">
      <w:r w:rsidRPr="00293C95">
        <w:t>Evidence-based communication strategies include structured social communication programmes (e.g. Social Stories™, PECS), speech and language therapy focused on functional communication, and approaches that build joint attention and interaction skills, such as the Early Start Denver Model. NICE guidance</w:t>
      </w:r>
      <w:r w:rsidR="007C2032">
        <w:rPr>
          <w:rStyle w:val="EndnoteReference"/>
        </w:rPr>
        <w:endnoteReference w:id="62"/>
      </w:r>
      <w:r w:rsidRPr="00293C95">
        <w:t xml:space="preserve"> also emphasises supporting alternative or augmentative communication methods for minimally verbal children.</w:t>
      </w:r>
    </w:p>
    <w:p w14:paraId="5634FC61" w14:textId="77777777" w:rsidR="004E04E1" w:rsidRPr="00B7244E" w:rsidRDefault="004E04E1" w:rsidP="00F469F9">
      <w:pPr>
        <w:pStyle w:val="Heading5"/>
        <w:rPr>
          <w:i/>
        </w:rPr>
      </w:pPr>
      <w:r w:rsidRPr="00B7244E">
        <w:t>Sensory and environmental adaptations</w:t>
      </w:r>
    </w:p>
    <w:p w14:paraId="49C2F9DE" w14:textId="6FEF6063" w:rsidR="004E04E1" w:rsidRPr="00B7244E" w:rsidRDefault="004E04E1" w:rsidP="00B7244E">
      <w:r w:rsidRPr="00B7244E">
        <w:t>Sensory processing differences are common. Adjustments such as creating quiet spaces, reducing noise and light levels, and using sensory tools can help children feel comfortable and participate more fully at home, school, and in the community</w:t>
      </w:r>
      <w:r w:rsidRPr="00B7244E">
        <w:rPr>
          <w:vertAlign w:val="superscript"/>
        </w:rPr>
        <w:endnoteReference w:id="63"/>
      </w:r>
      <w:r w:rsidR="009631CB" w:rsidRPr="00B7244E">
        <w:t>.</w:t>
      </w:r>
    </w:p>
    <w:p w14:paraId="57F89150" w14:textId="77777777" w:rsidR="004E04E1" w:rsidRPr="00B7244E" w:rsidRDefault="004E04E1" w:rsidP="00F469F9">
      <w:pPr>
        <w:pStyle w:val="Heading5"/>
        <w:rPr>
          <w:i/>
        </w:rPr>
      </w:pPr>
      <w:r w:rsidRPr="00B7244E">
        <w:lastRenderedPageBreak/>
        <w:t>Education and learning</w:t>
      </w:r>
    </w:p>
    <w:p w14:paraId="75EB97D4" w14:textId="10B4246E" w:rsidR="004E04E1" w:rsidRPr="00B7244E" w:rsidRDefault="00CF3590" w:rsidP="00B7244E">
      <w:r>
        <w:t>C</w:t>
      </w:r>
      <w:r w:rsidR="004E04E1" w:rsidRPr="00B7244E">
        <w:t>hildren</w:t>
      </w:r>
      <w:r>
        <w:t xml:space="preserve"> with ASD</w:t>
      </w:r>
      <w:r w:rsidR="004E04E1" w:rsidRPr="00B7244E">
        <w:t xml:space="preserve"> often benefit from tailored support in education, including visual timetables, clear instructions, additional processing time, and regular movement breaks. Adapting teaching strategies and collaborating closely with families are key to helping children engage and succeed</w:t>
      </w:r>
      <w:r w:rsidR="00EE0766">
        <w:rPr>
          <w:vertAlign w:val="superscript"/>
        </w:rPr>
        <w:fldChar w:fldCharType="begin"/>
      </w:r>
      <w:r w:rsidR="00EE0766">
        <w:rPr>
          <w:vertAlign w:val="superscript"/>
        </w:rPr>
        <w:instrText xml:space="preserve"> NOTEREF  _Ref205190196 \f \h </w:instrText>
      </w:r>
      <w:r w:rsidR="00EE0766">
        <w:rPr>
          <w:vertAlign w:val="superscript"/>
        </w:rPr>
      </w:r>
      <w:r w:rsidR="00EE0766">
        <w:rPr>
          <w:vertAlign w:val="superscript"/>
        </w:rPr>
        <w:fldChar w:fldCharType="separate"/>
      </w:r>
      <w:r w:rsidR="008722C4" w:rsidRPr="008722C4">
        <w:rPr>
          <w:rStyle w:val="EndnoteReference"/>
        </w:rPr>
        <w:t>1</w:t>
      </w:r>
      <w:r w:rsidR="00EE0766">
        <w:rPr>
          <w:vertAlign w:val="superscript"/>
        </w:rPr>
        <w:fldChar w:fldCharType="end"/>
      </w:r>
      <w:r w:rsidR="009631CB" w:rsidRPr="00B7244E">
        <w:t>.</w:t>
      </w:r>
    </w:p>
    <w:p w14:paraId="6A2CA430" w14:textId="77777777" w:rsidR="004E04E1" w:rsidRPr="00B7244E" w:rsidRDefault="004E04E1" w:rsidP="00F469F9">
      <w:pPr>
        <w:pStyle w:val="Heading5"/>
        <w:rPr>
          <w:i/>
        </w:rPr>
      </w:pPr>
      <w:r w:rsidRPr="00B7244E">
        <w:t>Family support and mental health</w:t>
      </w:r>
    </w:p>
    <w:p w14:paraId="4DA3AF29" w14:textId="42C70513" w:rsidR="004E04E1" w:rsidRPr="00B7244E" w:rsidRDefault="004E04E1" w:rsidP="00B7244E">
      <w:r w:rsidRPr="00B7244E">
        <w:t>Families of children</w:t>
      </w:r>
      <w:r w:rsidR="00CF3590">
        <w:t xml:space="preserve"> with ASD</w:t>
      </w:r>
      <w:r w:rsidRPr="00B7244E">
        <w:t xml:space="preserve"> benefit from clear, accessible information about autism, practical strategies for managing daily challenges, and emotional support to reduce stress and improve wellbeing. Peer support groups and parent networks offer valuable opportunities for sharing experiences and reducing feelings of isolation</w:t>
      </w:r>
      <w:r w:rsidR="004B288B">
        <w:rPr>
          <w:vertAlign w:val="superscript"/>
        </w:rPr>
        <w:fldChar w:fldCharType="begin"/>
      </w:r>
      <w:r w:rsidR="004B288B">
        <w:rPr>
          <w:vertAlign w:val="superscript"/>
        </w:rPr>
        <w:instrText xml:space="preserve"> NOTEREF  _Ref205198371 \f \h </w:instrText>
      </w:r>
      <w:r w:rsidR="004B288B">
        <w:rPr>
          <w:vertAlign w:val="superscript"/>
        </w:rPr>
      </w:r>
      <w:r w:rsidR="004B288B">
        <w:rPr>
          <w:vertAlign w:val="superscript"/>
        </w:rPr>
        <w:fldChar w:fldCharType="separate"/>
      </w:r>
      <w:r w:rsidR="008722C4" w:rsidRPr="008722C4">
        <w:rPr>
          <w:rStyle w:val="EndnoteReference"/>
        </w:rPr>
        <w:t>14</w:t>
      </w:r>
      <w:r w:rsidR="004B288B">
        <w:rPr>
          <w:vertAlign w:val="superscript"/>
        </w:rPr>
        <w:fldChar w:fldCharType="end"/>
      </w:r>
      <w:r w:rsidRPr="00B7244E">
        <w:t xml:space="preserve">. </w:t>
      </w:r>
    </w:p>
    <w:p w14:paraId="1B839D0D" w14:textId="15F6B8A8" w:rsidR="004E04E1" w:rsidRPr="00B7244E" w:rsidRDefault="004E04E1" w:rsidP="00B7244E">
      <w:r w:rsidRPr="00B7244E">
        <w:t xml:space="preserve">Supporting parents and carers to understand their child’s communication and sensory needs, as well as helping them navigate education and health services, empowers them to advocate effectively. </w:t>
      </w:r>
      <w:r w:rsidR="00CF3590">
        <w:t>C</w:t>
      </w:r>
      <w:r w:rsidRPr="00B7244E">
        <w:t xml:space="preserve">hildren and young people </w:t>
      </w:r>
      <w:r w:rsidR="00CF3590">
        <w:t xml:space="preserve">with ASD </w:t>
      </w:r>
      <w:r w:rsidRPr="00B7244E">
        <w:t>are more likely to experience anxiety, depression, and other mental health difficulties. All children and young people</w:t>
      </w:r>
      <w:r w:rsidR="00CF3590">
        <w:t xml:space="preserve"> with ASD</w:t>
      </w:r>
      <w:r w:rsidRPr="00B7244E">
        <w:t xml:space="preserve"> should have full access to health and social care services, including mental health services, regardless of their intellectual ability or any coexisting diagnosis. Health and social care professionals working with children and young people</w:t>
      </w:r>
      <w:r w:rsidR="00CF3590">
        <w:t xml:space="preserve"> with ASD</w:t>
      </w:r>
      <w:r w:rsidRPr="00B7244E">
        <w:t xml:space="preserve"> in any setting should have training in autism awareness and skills in managing autism</w:t>
      </w:r>
      <w:r w:rsidR="00BE6077">
        <w:t>,</w:t>
      </w:r>
      <w:r w:rsidRPr="00B7244E">
        <w:t xml:space="preserve"> </w:t>
      </w:r>
    </w:p>
    <w:p w14:paraId="232CB771" w14:textId="24DBE7DD" w:rsidR="004E04E1" w:rsidRPr="00B7244E" w:rsidRDefault="002062DD" w:rsidP="00F469F9">
      <w:pPr>
        <w:pStyle w:val="Heading5"/>
        <w:rPr>
          <w:i/>
        </w:rPr>
      </w:pPr>
      <w:r w:rsidRPr="00B7244E">
        <w:t>Shared decision</w:t>
      </w:r>
      <w:r w:rsidR="004E04E1" w:rsidRPr="00B7244E">
        <w:t xml:space="preserve"> making</w:t>
      </w:r>
    </w:p>
    <w:p w14:paraId="05863AFA" w14:textId="3516BDD4" w:rsidR="004E04E1" w:rsidRPr="00B7244E" w:rsidRDefault="004E04E1" w:rsidP="00B7244E">
      <w:r w:rsidRPr="00B7244E">
        <w:t>It is good practice to involve children and young people</w:t>
      </w:r>
      <w:r w:rsidR="00CF3590">
        <w:t xml:space="preserve"> with ASD</w:t>
      </w:r>
      <w:r w:rsidRPr="00B7244E">
        <w:t xml:space="preserve"> in decisions about their care and support wherever possible. This helps ensure interventions reflect their strengths, preferences and goals</w:t>
      </w:r>
      <w:r w:rsidR="009631CB" w:rsidRPr="00B7244E">
        <w:t>.</w:t>
      </w:r>
    </w:p>
    <w:p w14:paraId="099142E5" w14:textId="77777777" w:rsidR="006964CC" w:rsidRPr="004D664B" w:rsidRDefault="006964CC" w:rsidP="00F93B5F">
      <w:pPr>
        <w:pStyle w:val="Heading3"/>
        <w:rPr>
          <w:color w:val="006B70"/>
        </w:rPr>
      </w:pPr>
      <w:bookmarkStart w:id="136" w:name="_Toc205386898"/>
      <w:bookmarkStart w:id="137" w:name="_Toc205387968"/>
      <w:bookmarkStart w:id="138" w:name="_Toc205445979"/>
      <w:r w:rsidRPr="004D664B">
        <w:rPr>
          <w:color w:val="006B70"/>
        </w:rPr>
        <w:t>Support services (ASD services available across 0-25 life course)</w:t>
      </w:r>
      <w:bookmarkEnd w:id="136"/>
      <w:bookmarkEnd w:id="137"/>
      <w:bookmarkEnd w:id="138"/>
    </w:p>
    <w:p w14:paraId="24BFF5E7" w14:textId="447D3BB7" w:rsidR="006964CC" w:rsidRDefault="006964CC" w:rsidP="00B7244E">
      <w:r w:rsidRPr="00B7244E">
        <w:rPr>
          <w:b/>
          <w:bCs/>
        </w:rPr>
        <w:t>Local Offer</w:t>
      </w:r>
      <w:r w:rsidR="00484D60">
        <w:rPr>
          <w:b/>
          <w:bCs/>
        </w:rPr>
        <w:t xml:space="preserve"> (</w:t>
      </w:r>
      <w:r w:rsidR="0088050E">
        <w:rPr>
          <w:b/>
          <w:bCs/>
        </w:rPr>
        <w:t>u</w:t>
      </w:r>
      <w:r w:rsidR="00484D60">
        <w:rPr>
          <w:b/>
          <w:bCs/>
        </w:rPr>
        <w:t>niversal</w:t>
      </w:r>
      <w:r w:rsidR="0088050E">
        <w:rPr>
          <w:b/>
          <w:bCs/>
        </w:rPr>
        <w:t xml:space="preserve"> offer</w:t>
      </w:r>
      <w:r w:rsidR="00484D60">
        <w:rPr>
          <w:b/>
          <w:bCs/>
        </w:rPr>
        <w:t>)</w:t>
      </w:r>
      <w:r w:rsidRPr="00B7244E">
        <w:t xml:space="preserve">: The Tower Hamlets Local Offer website provides dedicated information and guidance for families around autism, including support available before and after a diagnosis. The Local Offer signposts to services such as parent support groups, autism-specific short breaks, educational support, and local community activities for </w:t>
      </w:r>
      <w:r w:rsidR="00AC6393">
        <w:t>chi</w:t>
      </w:r>
      <w:r w:rsidR="00675FF4">
        <w:t>ldren and young people with ASD</w:t>
      </w:r>
      <w:r w:rsidRPr="00B7244E">
        <w:t>.</w:t>
      </w:r>
    </w:p>
    <w:p w14:paraId="6F5261EE" w14:textId="7F685498" w:rsidR="006964CC" w:rsidRPr="00C270AF" w:rsidRDefault="006964CC" w:rsidP="00B7244E">
      <w:pPr>
        <w:rPr>
          <w:b/>
          <w:bCs/>
          <w:sz w:val="18"/>
          <w:szCs w:val="18"/>
        </w:rPr>
      </w:pPr>
      <w:r w:rsidRPr="00C270AF">
        <w:rPr>
          <w:b/>
          <w:bCs/>
          <w:sz w:val="18"/>
          <w:szCs w:val="18"/>
        </w:rPr>
        <w:t xml:space="preserve">Figure </w:t>
      </w:r>
      <w:r w:rsidR="007B43FE">
        <w:rPr>
          <w:b/>
          <w:sz w:val="18"/>
          <w:szCs w:val="18"/>
        </w:rPr>
        <w:t>5</w:t>
      </w:r>
      <w:r w:rsidR="004110A4">
        <w:rPr>
          <w:b/>
          <w:sz w:val="18"/>
          <w:szCs w:val="18"/>
        </w:rPr>
        <w:t>.</w:t>
      </w:r>
      <w:r w:rsidR="005954A8">
        <w:rPr>
          <w:b/>
          <w:sz w:val="18"/>
          <w:szCs w:val="18"/>
        </w:rPr>
        <w:t>5</w:t>
      </w:r>
      <w:r w:rsidRPr="00C270AF">
        <w:rPr>
          <w:b/>
          <w:bCs/>
          <w:sz w:val="18"/>
          <w:szCs w:val="18"/>
        </w:rPr>
        <w:t>: Example Parenting Classes provided by the Tower Hamlets Family Hubs to support families with children and young people with autism</w:t>
      </w:r>
      <w:bookmarkStart w:id="139" w:name="_Ref205215302"/>
      <w:r w:rsidRPr="00C270AF">
        <w:rPr>
          <w:rStyle w:val="EndnoteReference"/>
          <w:b/>
          <w:bCs/>
          <w:sz w:val="18"/>
          <w:szCs w:val="18"/>
        </w:rPr>
        <w:endnoteReference w:id="64"/>
      </w:r>
      <w:bookmarkEnd w:id="139"/>
      <w:r w:rsidRPr="00C270AF">
        <w:rPr>
          <w:b/>
          <w:bCs/>
          <w:sz w:val="18"/>
          <w:szCs w:val="18"/>
        </w:rPr>
        <w:t>.</w:t>
      </w:r>
    </w:p>
    <w:p w14:paraId="3C3E7439" w14:textId="06B77CB9" w:rsidR="006542B3" w:rsidRDefault="006542B3" w:rsidP="00777F94">
      <w:pPr>
        <w:jc w:val="center"/>
      </w:pPr>
      <w:r>
        <w:rPr>
          <w:noProof/>
        </w:rPr>
        <w:lastRenderedPageBreak/>
        <w:drawing>
          <wp:inline distT="0" distB="0" distL="0" distR="0" wp14:anchorId="3B01D3E4" wp14:editId="49C182FE">
            <wp:extent cx="5722620" cy="2806065"/>
            <wp:effectExtent l="0" t="0" r="0" b="0"/>
            <wp:docPr id="211316197" name="Picture 43" descr="Parenting cla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16197" name="Picture 43" descr="Parenting classe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2620" cy="2806065"/>
                    </a:xfrm>
                    <a:prstGeom prst="rect">
                      <a:avLst/>
                    </a:prstGeom>
                    <a:noFill/>
                    <a:ln>
                      <a:noFill/>
                    </a:ln>
                  </pic:spPr>
                </pic:pic>
              </a:graphicData>
            </a:graphic>
          </wp:inline>
        </w:drawing>
      </w:r>
    </w:p>
    <w:p w14:paraId="3B8B8D7B" w14:textId="154426F1" w:rsidR="00E63EBF" w:rsidRPr="003D6538" w:rsidRDefault="00E63EBF" w:rsidP="00E63EBF">
      <w:pPr>
        <w:jc w:val="right"/>
        <w:rPr>
          <w:b/>
          <w:bCs/>
          <w:sz w:val="16"/>
          <w:szCs w:val="16"/>
        </w:rPr>
      </w:pPr>
      <w:r w:rsidRPr="003D6538">
        <w:rPr>
          <w:b/>
          <w:bCs/>
          <w:sz w:val="16"/>
          <w:szCs w:val="16"/>
        </w:rPr>
        <w:t>Source</w:t>
      </w:r>
      <w:r w:rsidR="00753C08" w:rsidRPr="003D6538">
        <w:rPr>
          <w:b/>
          <w:bCs/>
          <w:sz w:val="16"/>
          <w:szCs w:val="16"/>
        </w:rPr>
        <w:t>: Tower Hamlets Family Hubs – Family Wellbeing &amp; Support Services</w:t>
      </w:r>
    </w:p>
    <w:p w14:paraId="734966EC" w14:textId="3514A489" w:rsidR="004E04E1" w:rsidRPr="00B7244E" w:rsidRDefault="004E04E1" w:rsidP="00B7244E">
      <w:r w:rsidRPr="00B7244E">
        <w:rPr>
          <w:b/>
          <w:bCs/>
        </w:rPr>
        <w:t>Tower Hamlets Autism Services</w:t>
      </w:r>
      <w:r w:rsidRPr="00B7244E">
        <w:t xml:space="preserve">: Several services in Tower Hamlets support children and young people with autism. The Phoenix Outreach Service offers specialist advice to schools and families to help </w:t>
      </w:r>
      <w:r w:rsidR="00675FF4">
        <w:t>pupils with ASD</w:t>
      </w:r>
      <w:r w:rsidRPr="00B7244E">
        <w:t xml:space="preserve"> thrive in education. The Tower Project runs the First Start Autism Service, supporting children and young people aged 5–25 </w:t>
      </w:r>
      <w:r w:rsidR="00675FF4">
        <w:t xml:space="preserve">with ASD </w:t>
      </w:r>
      <w:r w:rsidRPr="00B7244E">
        <w:t>with life skills, social inclusion, and community access.</w:t>
      </w:r>
    </w:p>
    <w:p w14:paraId="61FE5AED" w14:textId="73F8FA07" w:rsidR="004E04E1" w:rsidRPr="00B7244E" w:rsidRDefault="004E04E1" w:rsidP="00B7244E">
      <w:r w:rsidRPr="00B7244E">
        <w:rPr>
          <w:b/>
          <w:bCs/>
        </w:rPr>
        <w:t>CAMHS Neurodevelopmental Service:</w:t>
      </w:r>
      <w:r w:rsidRPr="00B7244E">
        <w:t xml:space="preserve"> The Child and Adolescent Mental Health Service (CAMHS) in Tower Hamlets includes a neurodevelopmental team that provides assessment, treatment, and support for children and young people</w:t>
      </w:r>
      <w:r w:rsidR="00675FF4">
        <w:t xml:space="preserve"> with ASD</w:t>
      </w:r>
      <w:r w:rsidRPr="00B7244E">
        <w:t xml:space="preserve"> who also have mental health needs. The service offers individual interventions as well as workshops for parents.</w:t>
      </w:r>
    </w:p>
    <w:p w14:paraId="75F32537" w14:textId="673FF7FB" w:rsidR="004E04E1" w:rsidRDefault="004E04E1" w:rsidP="00B7244E">
      <w:r w:rsidRPr="00B7244E">
        <w:rPr>
          <w:b/>
          <w:bCs/>
        </w:rPr>
        <w:t>Short Breaks and Community Support:</w:t>
      </w:r>
      <w:r w:rsidRPr="00B7244E">
        <w:t xml:space="preserve"> Short breaks specifically for children</w:t>
      </w:r>
      <w:r w:rsidR="00002250">
        <w:t xml:space="preserve"> with ASD</w:t>
      </w:r>
      <w:r w:rsidRPr="00B7244E">
        <w:t xml:space="preserve"> are available through services such as the Tower Project and the Children with Disabilities Team. These provide respite care and structured activities tailored to children’s sensory and communication needs. Community-based activities, including autism-friendly leisure sessions, are also offered locally.</w:t>
      </w:r>
      <w:r w:rsidR="00616052">
        <w:t xml:space="preserve"> Stakeholders report </w:t>
      </w:r>
      <w:r w:rsidR="005B0595">
        <w:t>in comparison to other boroughs, the short breaks offer provides variance and choice</w:t>
      </w:r>
      <w:r w:rsidR="00B81F2C">
        <w:t xml:space="preserve">, without the need for complex assessments process which often cause stress. Example offers </w:t>
      </w:r>
      <w:r w:rsidR="002062DD">
        <w:t>include</w:t>
      </w:r>
      <w:r w:rsidR="00B81F2C">
        <w:t xml:space="preserve"> overnight respite, childcare schemes, befriending or direct payment options.</w:t>
      </w:r>
    </w:p>
    <w:p w14:paraId="6FBCEEC5" w14:textId="61BB61C6" w:rsidR="001A7C1C" w:rsidRPr="00B7244E" w:rsidRDefault="001A7C1C" w:rsidP="00B7244E">
      <w:r w:rsidRPr="00DD00F5">
        <w:rPr>
          <w:b/>
          <w:bCs/>
        </w:rPr>
        <w:t>Disabled Children’s Outreach Service (DCOS):</w:t>
      </w:r>
      <w:r>
        <w:t xml:space="preserve"> A community based, therapeutic interventions team s</w:t>
      </w:r>
      <w:r w:rsidR="00810C02">
        <w:t xml:space="preserve">upporting children and young people with behaviour that is challenging to understand and manage due to diagnosed developmental difficulties, disabilities and/or complex lifelong physical health needs. </w:t>
      </w:r>
      <w:r w:rsidR="001841DC">
        <w:t xml:space="preserve">Eligibility for this includes children and young people with ASD (who also have severe learning disabilities or behaviour which is challenged) or children and young people with complex health needs (physical and /or </w:t>
      </w:r>
      <w:r w:rsidR="00DD00F5">
        <w:t>learning disabilities, who require palliative care and those with sensory impairments).</w:t>
      </w:r>
    </w:p>
    <w:p w14:paraId="0BE79722" w14:textId="103EA3B9" w:rsidR="004E04E1" w:rsidRPr="00B7244E" w:rsidRDefault="004E04E1" w:rsidP="00B7244E">
      <w:pPr>
        <w:rPr>
          <w:b/>
          <w:bCs/>
        </w:rPr>
      </w:pPr>
      <w:r w:rsidRPr="00B7244E">
        <w:rPr>
          <w:b/>
          <w:bCs/>
        </w:rPr>
        <w:t xml:space="preserve">Phoenix School: </w:t>
      </w:r>
      <w:r w:rsidRPr="00B7244E">
        <w:t>Phoenix School is the main specialist school in Tower Hamlets for children and young people</w:t>
      </w:r>
      <w:r w:rsidR="00002250">
        <w:t xml:space="preserve"> with ASD</w:t>
      </w:r>
      <w:r w:rsidRPr="00B7244E">
        <w:t xml:space="preserve">. It caters for pupils aged 3–19 with autism and severe learning difficulties. The school offers a highly individualised curriculum focusing on communication, independence, and life skills, supported by a multidisciplinary team including speech and language therapists, occupational </w:t>
      </w:r>
      <w:r w:rsidRPr="00B7244E">
        <w:lastRenderedPageBreak/>
        <w:t xml:space="preserve">therapists, and behaviour support staff. Phoenix also provides outreach services to mainstream schools to help support pupils </w:t>
      </w:r>
      <w:r w:rsidR="00C22C56">
        <w:t xml:space="preserve">with ASD </w:t>
      </w:r>
      <w:r w:rsidRPr="00B7244E">
        <w:t>in inclusive settings.</w:t>
      </w:r>
    </w:p>
    <w:p w14:paraId="4E9DB969" w14:textId="1CDCE92A" w:rsidR="004E04E1" w:rsidRPr="00B7244E" w:rsidRDefault="004E04E1" w:rsidP="00B7244E">
      <w:r w:rsidRPr="00B7244E">
        <w:rPr>
          <w:b/>
          <w:bCs/>
        </w:rPr>
        <w:t xml:space="preserve">Specialist Classes in Mainstream Schools: </w:t>
      </w:r>
      <w:r w:rsidRPr="00B7244E">
        <w:t xml:space="preserve">In addition to Phoenix School, some mainstream primary schools in Tower Hamlets host specialist autism </w:t>
      </w:r>
      <w:r w:rsidRPr="00AB1732">
        <w:t xml:space="preserve">classes. These classes, sometimes supported by Phoenix’s outreach service, provide targeted support within a mainstream environment. Pupils remain </w:t>
      </w:r>
      <w:r w:rsidR="00AB1732" w:rsidRPr="00AB1732">
        <w:t>enrolled in</w:t>
      </w:r>
      <w:r w:rsidRPr="00AB1732">
        <w:t xml:space="preserve"> the mainstream school but receive specialist teaching</w:t>
      </w:r>
      <w:r w:rsidRPr="00B7244E">
        <w:t xml:space="preserve"> in smaller groups to address their specific communication, sensory, and learning needs. However, stakeholders report that capacity for these classes is limited, and families have raised concerns about a lack of clear information and choice around placements</w:t>
      </w:r>
      <w:r w:rsidR="001C22F1">
        <w:t>.</w:t>
      </w:r>
    </w:p>
    <w:p w14:paraId="13DEC49E" w14:textId="4E1BA21C" w:rsidR="004E04E1" w:rsidRPr="00B7244E" w:rsidRDefault="004E04E1" w:rsidP="00B7244E">
      <w:r w:rsidRPr="00B7244E">
        <w:rPr>
          <w:b/>
          <w:bCs/>
        </w:rPr>
        <w:t xml:space="preserve">Other Special Schools: </w:t>
      </w:r>
      <w:r w:rsidRPr="00B7244E">
        <w:t>While not exclusively for pupils</w:t>
      </w:r>
      <w:r w:rsidR="00C22C56">
        <w:t xml:space="preserve"> with ASD</w:t>
      </w:r>
      <w:r w:rsidRPr="00B7244E">
        <w:t>, other special schools in Tower Hamlets, such as Beatrice Tate School and Stephen Hawking School, support children and young people with autism alongside a broader range of learning needs. These schools provide structured environments and specialist teaching approaches suitable for pupils with complex needs.</w:t>
      </w:r>
    </w:p>
    <w:p w14:paraId="6429A236" w14:textId="28865C6A" w:rsidR="004E04E1" w:rsidRPr="00B7244E" w:rsidRDefault="004E04E1" w:rsidP="00B7244E">
      <w:r w:rsidRPr="00B7244E">
        <w:rPr>
          <w:b/>
        </w:rPr>
        <w:t>Tower Hamlets Transition Team</w:t>
      </w:r>
      <w:r w:rsidRPr="00B7244E">
        <w:t xml:space="preserve">: This team supports young people with disabilities, including those with ASD, in transitioning from </w:t>
      </w:r>
      <w:r w:rsidR="005954A8" w:rsidRPr="00B7244E">
        <w:t>children</w:t>
      </w:r>
      <w:r w:rsidRPr="00B7244E">
        <w:t xml:space="preserve"> to adult services. They provide guidance on education, employment, and independent</w:t>
      </w:r>
      <w:r w:rsidRPr="00B7244E">
        <w:rPr>
          <w:spacing w:val="40"/>
        </w:rPr>
        <w:t xml:space="preserve"> </w:t>
      </w:r>
      <w:r w:rsidRPr="00B7244E">
        <w:rPr>
          <w:spacing w:val="-2"/>
        </w:rPr>
        <w:t>living.</w:t>
      </w:r>
    </w:p>
    <w:p w14:paraId="2C40D007" w14:textId="77777777" w:rsidR="004E04E1" w:rsidRDefault="004E04E1" w:rsidP="00B7244E">
      <w:r w:rsidRPr="00B7244E">
        <w:t>These services work together to ensure that individuals with ASD in Tower Hamlets have the support they need during critical transitions in their lives.</w:t>
      </w:r>
    </w:p>
    <w:p w14:paraId="4D797149" w14:textId="77777777" w:rsidR="004E04E1" w:rsidRPr="004D664B" w:rsidRDefault="004E04E1" w:rsidP="005954A8">
      <w:pPr>
        <w:pStyle w:val="Heading3"/>
        <w:rPr>
          <w:color w:val="006B70"/>
        </w:rPr>
      </w:pPr>
      <w:bookmarkStart w:id="140" w:name="_Toc205386899"/>
      <w:bookmarkStart w:id="141" w:name="_Toc205387969"/>
      <w:bookmarkStart w:id="142" w:name="_Toc205445980"/>
      <w:r w:rsidRPr="004D664B">
        <w:rPr>
          <w:color w:val="006B70"/>
        </w:rPr>
        <w:t>Gaps</w:t>
      </w:r>
      <w:bookmarkEnd w:id="140"/>
      <w:bookmarkEnd w:id="141"/>
      <w:bookmarkEnd w:id="142"/>
    </w:p>
    <w:p w14:paraId="46FBE811" w14:textId="77777777" w:rsidR="004E04E1" w:rsidRPr="00B7244E" w:rsidRDefault="004E04E1" w:rsidP="00B7244E">
      <w:proofErr w:type="gramStart"/>
      <w:r w:rsidRPr="00B7244E">
        <w:t>A number of</w:t>
      </w:r>
      <w:proofErr w:type="gramEnd"/>
      <w:r w:rsidRPr="00B7244E">
        <w:t xml:space="preserve"> gaps were identified by stakeholders: </w:t>
      </w:r>
    </w:p>
    <w:p w14:paraId="4902B941" w14:textId="1526E4F7" w:rsidR="004E04E1" w:rsidRPr="00042123" w:rsidRDefault="004E04E1" w:rsidP="00B7592D">
      <w:pPr>
        <w:pStyle w:val="Heading5"/>
      </w:pPr>
      <w:r w:rsidRPr="00293C95">
        <w:t xml:space="preserve">Gaps in </w:t>
      </w:r>
      <w:r w:rsidR="00C91483" w:rsidRPr="00293C95">
        <w:t>p</w:t>
      </w:r>
      <w:r w:rsidRPr="00293C95">
        <w:t>rovision</w:t>
      </w:r>
      <w:r w:rsidRPr="00042123">
        <w:t xml:space="preserve"> and </w:t>
      </w:r>
      <w:r w:rsidR="00C91483" w:rsidRPr="00042123">
        <w:t>s</w:t>
      </w:r>
      <w:r w:rsidRPr="00042123">
        <w:t xml:space="preserve">ystem </w:t>
      </w:r>
      <w:r w:rsidR="00C91483" w:rsidRPr="00042123">
        <w:t>f</w:t>
      </w:r>
      <w:r w:rsidRPr="00042123">
        <w:t>ragmentation</w:t>
      </w:r>
    </w:p>
    <w:p w14:paraId="0889CDBB" w14:textId="02A02602" w:rsidR="004E04E1" w:rsidRPr="00B7244E" w:rsidRDefault="004E04E1" w:rsidP="00B7244E">
      <w:r w:rsidRPr="00B7244E">
        <w:t xml:space="preserve">There are significant service gaps for children </w:t>
      </w:r>
      <w:r w:rsidR="00FE0C2C">
        <w:t>with</w:t>
      </w:r>
      <w:r w:rsidRPr="00B7244E">
        <w:t xml:space="preserve"> ASD in Tower Hamlets. Stakeholders report a clear divide between specialist and mainstream provision. Children who do not meet the threshold for specialist services but struggle in mainstream settings often fall through the cracks, receiving little or no support.</w:t>
      </w:r>
    </w:p>
    <w:p w14:paraId="29A62D9E" w14:textId="77777777" w:rsidR="004E04E1" w:rsidRPr="00B7244E" w:rsidRDefault="004E04E1" w:rsidP="00B7244E">
      <w:r w:rsidRPr="00B7244E">
        <w:t>This issue is compounded by limited early interventions and insufficient pathways for children with emerging needs. Services are often reactive rather than preventative, and parents frequently feel that support is only accessible after a formal diagnosis or when needs become acute.</w:t>
      </w:r>
    </w:p>
    <w:p w14:paraId="6730C017" w14:textId="102A9493" w:rsidR="004E04E1" w:rsidRPr="000A4863" w:rsidRDefault="004E04E1" w:rsidP="00F469F9">
      <w:pPr>
        <w:pStyle w:val="Heading5"/>
      </w:pPr>
      <w:r w:rsidRPr="000A4863">
        <w:t>Limitations of EHCPs and academic focus</w:t>
      </w:r>
    </w:p>
    <w:p w14:paraId="54462D50" w14:textId="00595090" w:rsidR="004E04E1" w:rsidRPr="00B7244E" w:rsidRDefault="004E04E1" w:rsidP="00B7244E">
      <w:r w:rsidRPr="00B7244E">
        <w:t>EHCPs are viewed as too narrowly focused on academic attainment. This approach fails to capture the broader challenges faced by many children with ASD, particularly those who are academically capable but struggle with daily functioning, such as social communication, emotional regulation, and life skills.</w:t>
      </w:r>
    </w:p>
    <w:p w14:paraId="234532AD" w14:textId="7E4244A2" w:rsidR="004E04E1" w:rsidRPr="00B7244E" w:rsidRDefault="004E04E1" w:rsidP="00B7244E">
      <w:r w:rsidRPr="00B7244E">
        <w:t xml:space="preserve">Crucial areas of need, such as sleep hygiene, feeding, toilet training, and bedtime routines, are under-supported. While the Occupational Therapy (OT) </w:t>
      </w:r>
      <w:r w:rsidR="001D72BC">
        <w:t>s</w:t>
      </w:r>
      <w:r w:rsidRPr="00B7244E">
        <w:t>ervice is praised for its holistic, independence-focused approach, access remains limited due to demand and resourcing constraints.</w:t>
      </w:r>
    </w:p>
    <w:p w14:paraId="30B5DDCE" w14:textId="77777777" w:rsidR="004E04E1" w:rsidRPr="00B7244E" w:rsidRDefault="004E04E1" w:rsidP="00F469F9">
      <w:pPr>
        <w:pStyle w:val="Heading5"/>
        <w:rPr>
          <w:i/>
        </w:rPr>
      </w:pPr>
      <w:r w:rsidRPr="00B7244E">
        <w:lastRenderedPageBreak/>
        <w:t>Reduced services for feeding and eating issues</w:t>
      </w:r>
    </w:p>
    <w:p w14:paraId="4C0B0233" w14:textId="77777777" w:rsidR="004E04E1" w:rsidRPr="00B7244E" w:rsidRDefault="004E04E1" w:rsidP="00B7244E">
      <w:r w:rsidRPr="00B7244E">
        <w:t>Specialist support for children with restrictive eating or feeding difficulties has declined. A previously commissioned six-week programme run by Educational Psychologists to support families around fussy eating was decommissioned in 2022. This has left a gap for families dealing with complex feeding issues, which are often co-occurring with ASD.</w:t>
      </w:r>
    </w:p>
    <w:p w14:paraId="5D603A9D" w14:textId="4C9291C2" w:rsidR="004E04E1" w:rsidRPr="00B7244E" w:rsidRDefault="004E04E1" w:rsidP="00F469F9">
      <w:pPr>
        <w:pStyle w:val="Heading5"/>
        <w:rPr>
          <w:i/>
        </w:rPr>
      </w:pPr>
      <w:r w:rsidRPr="00B7244E">
        <w:t>Underdiagnosis and inequities in identification</w:t>
      </w:r>
    </w:p>
    <w:p w14:paraId="4FB57BF1" w14:textId="2DEEAED2" w:rsidR="004E04E1" w:rsidRPr="00B7244E" w:rsidRDefault="00545077" w:rsidP="00545077">
      <w:r w:rsidRPr="00545077">
        <w:t>Although ASD is generally more prevalent among boys, research suggests that part of this gender gap reflects underdiagnosis in girls, who may present differently or mask their difficulties.</w:t>
      </w:r>
      <w:r>
        <w:t xml:space="preserve"> This may </w:t>
      </w:r>
      <w:proofErr w:type="gramStart"/>
      <w:r>
        <w:t xml:space="preserve">lead </w:t>
      </w:r>
      <w:r w:rsidR="004E04E1" w:rsidRPr="00B7244E">
        <w:t xml:space="preserve"> to</w:t>
      </w:r>
      <w:proofErr w:type="gramEnd"/>
      <w:r w:rsidR="004E04E1" w:rsidRPr="00B7244E">
        <w:t xml:space="preserve"> missed opportunities for timely intervention and tailored support. This disparity has lifelong consequences, particularly as girls transition into adolescence and adulthood.</w:t>
      </w:r>
    </w:p>
    <w:p w14:paraId="00609D67" w14:textId="77777777" w:rsidR="004E04E1" w:rsidRPr="00B7244E" w:rsidRDefault="004E04E1" w:rsidP="00B7244E">
      <w:r w:rsidRPr="00B7244E">
        <w:t>Certain ethnic groups are also disproportionately impacted. While both White British and Somali children are more likely to be affected by ASD, Somali families face additional barriers, such as lack of culturally sensitive services and limited community awareness of autism. Cultural differences in understanding and identifying ASD may contribute to reduced engagement with services.</w:t>
      </w:r>
    </w:p>
    <w:p w14:paraId="15832B86" w14:textId="77777777" w:rsidR="004E04E1" w:rsidRPr="00B7244E" w:rsidRDefault="004E04E1" w:rsidP="00F469F9">
      <w:pPr>
        <w:pStyle w:val="Heading5"/>
        <w:rPr>
          <w:i/>
        </w:rPr>
      </w:pPr>
      <w:r w:rsidRPr="00B7244E">
        <w:t>Lengthy waiting times and lack of interim support</w:t>
      </w:r>
    </w:p>
    <w:p w14:paraId="64296282" w14:textId="77777777" w:rsidR="004E04E1" w:rsidRPr="00B7244E" w:rsidRDefault="004E04E1" w:rsidP="00B7244E">
      <w:r w:rsidRPr="00B7244E">
        <w:t>Families often wait up to two and a half years for a diagnosis. During this long waiting period, there is minimal interim support. Even post-diagnosis, many families report receiving little help in understanding what the diagnosis means, how to support their child, or how to navigate the complex SEND system.</w:t>
      </w:r>
    </w:p>
    <w:p w14:paraId="22B51197" w14:textId="75E5B72F" w:rsidR="004E04E1" w:rsidRPr="00B7244E" w:rsidRDefault="000E0BE0" w:rsidP="00B7244E">
      <w:r>
        <w:rPr>
          <w:noProof/>
        </w:rPr>
        <w:drawing>
          <wp:anchor distT="0" distB="0" distL="114300" distR="114300" simplePos="0" relativeHeight="251658241" behindDoc="0" locked="0" layoutInCell="1" allowOverlap="1" wp14:anchorId="2171AA9A" wp14:editId="13D18DB1">
            <wp:simplePos x="0" y="0"/>
            <wp:positionH relativeFrom="column">
              <wp:posOffset>0</wp:posOffset>
            </wp:positionH>
            <wp:positionV relativeFrom="paragraph">
              <wp:posOffset>5080</wp:posOffset>
            </wp:positionV>
            <wp:extent cx="2014666" cy="742950"/>
            <wp:effectExtent l="0" t="0" r="5080" b="0"/>
            <wp:wrapSquare wrapText="bothSides"/>
            <wp:docPr id="1638276880"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76880" name="Picture 32">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14666"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4E04E1" w:rsidRPr="00B7244E">
        <w:t>SENDIASS (Special Educational Needs and Disabilities Information, Advice and Support Service) is highlighted as a helpful resource, but awareness of such support is inconsistent among professionals and families.</w:t>
      </w:r>
    </w:p>
    <w:p w14:paraId="17709D48" w14:textId="38B584FB" w:rsidR="004E04E1" w:rsidRPr="00B7244E" w:rsidRDefault="004E04E1" w:rsidP="00F469F9">
      <w:pPr>
        <w:pStyle w:val="Heading5"/>
        <w:rPr>
          <w:i/>
        </w:rPr>
      </w:pPr>
      <w:r w:rsidRPr="00B7244E">
        <w:t>Insufficient awareness and training in schools</w:t>
      </w:r>
    </w:p>
    <w:p w14:paraId="564E9B50" w14:textId="26BB7118" w:rsidR="004E04E1" w:rsidRPr="00B7244E" w:rsidRDefault="001A260C" w:rsidP="00B7244E">
      <w:r w:rsidRPr="001A260C">
        <w:t>Stakeholders and education partners report that</w:t>
      </w:r>
      <w:r>
        <w:t xml:space="preserve"> t</w:t>
      </w:r>
      <w:r w:rsidR="004E04E1" w:rsidRPr="00B7244E">
        <w:t>here is a low level of autism awareness among school staff and pupils, which contributes to the social isolation of children with ASD. This lack of understanding can exacerbate behavioural issues, mislabel children's needs, and undermine inclusion efforts. Furthermore, professionals themselves often lack knowledge of local SEND services, creating additional barriers to effective support.</w:t>
      </w:r>
    </w:p>
    <w:p w14:paraId="20A922D5" w14:textId="77777777" w:rsidR="004E04E1" w:rsidRPr="00B7244E" w:rsidRDefault="004E04E1" w:rsidP="00F469F9">
      <w:pPr>
        <w:pStyle w:val="Heading5"/>
        <w:rPr>
          <w:i/>
        </w:rPr>
      </w:pPr>
      <w:r w:rsidRPr="00B7244E">
        <w:t>Capacity and choice in specialist provision</w:t>
      </w:r>
    </w:p>
    <w:p w14:paraId="13AA05E5" w14:textId="46C9CD55" w:rsidR="004E04E1" w:rsidRPr="00B7244E" w:rsidRDefault="004E04E1" w:rsidP="00B7244E">
      <w:r w:rsidRPr="00B7244E">
        <w:t>There are concerns about the current capacity of autism-specific classrooms in Tower Hamlets. While approximately 200 children are supported in these settings, demand is rapidly increasing</w:t>
      </w:r>
      <w:r w:rsidR="003609A0" w:rsidRPr="00B7244E">
        <w:t>,</w:t>
      </w:r>
      <w:r w:rsidRPr="00B7244E">
        <w:t xml:space="preserve"> and provision is not expanding to match. These classrooms, often located in mainstream schools and supported by Phoenix School, are not officially designated as SEN units or resource bases, leading to inconsistencies in access and provision.</w:t>
      </w:r>
    </w:p>
    <w:p w14:paraId="7CB0E4B9" w14:textId="77777777" w:rsidR="004E04E1" w:rsidRPr="00B7244E" w:rsidRDefault="004E04E1" w:rsidP="00B7244E">
      <w:r w:rsidRPr="00B7244E">
        <w:t>Parents report a lack of real choice when it comes to placements, and the system struggles to adapt to growing numbers of children with social communication difficulties, many of whom may be awaiting diagnosis or operating in a pre-diagnosis space.</w:t>
      </w:r>
    </w:p>
    <w:p w14:paraId="294398CD" w14:textId="77777777" w:rsidR="004E04E1" w:rsidRPr="00B7244E" w:rsidRDefault="004E04E1" w:rsidP="00F469F9">
      <w:pPr>
        <w:pStyle w:val="Heading5"/>
        <w:rPr>
          <w:i/>
        </w:rPr>
      </w:pPr>
      <w:r w:rsidRPr="00B7244E">
        <w:lastRenderedPageBreak/>
        <w:t>Shifting towards a needs-based approach</w:t>
      </w:r>
    </w:p>
    <w:p w14:paraId="2149B33C" w14:textId="77777777" w:rsidR="004E04E1" w:rsidRPr="00B7244E" w:rsidRDefault="004E04E1" w:rsidP="00B7244E">
      <w:r w:rsidRPr="00B7244E">
        <w:t>Stakeholders express a strong desire to move away from a diagnosis-driven model towards a needs-based approach. Currently, ASD diagnosis is often seen as a "gateway" to support, particularly for unlocking EHCPs or other statutory interventions. This can delay essential help for children who have clear needs but are stuck waiting for formal assessment.</w:t>
      </w:r>
    </w:p>
    <w:p w14:paraId="236DD892" w14:textId="77777777" w:rsidR="004E04E1" w:rsidRPr="00B7244E" w:rsidRDefault="004E04E1" w:rsidP="00B7244E">
      <w:r w:rsidRPr="00B7244E">
        <w:t>There is a call for a more graduated response model that identifies and addresses needs without the prerequisite of diagnosis. This would enable earlier, more responsive interventions and better match support to individual children and families.</w:t>
      </w:r>
    </w:p>
    <w:p w14:paraId="481A0F5D" w14:textId="740F3632" w:rsidR="004E04E1" w:rsidRPr="00B7244E" w:rsidRDefault="004E04E1" w:rsidP="00F469F9">
      <w:pPr>
        <w:pStyle w:val="Heading5"/>
        <w:rPr>
          <w:i/>
        </w:rPr>
      </w:pPr>
      <w:r w:rsidRPr="00B7244E">
        <w:t xml:space="preserve">Empowering </w:t>
      </w:r>
      <w:r w:rsidR="00EB35C0">
        <w:t xml:space="preserve">families and making better use of existing resources </w:t>
      </w:r>
    </w:p>
    <w:p w14:paraId="2ACC30B6" w14:textId="77777777" w:rsidR="004E04E1" w:rsidRPr="00B7244E" w:rsidRDefault="004E04E1" w:rsidP="00B7244E">
      <w:r w:rsidRPr="00B7244E">
        <w:t>Many families feel disempowered in the current system. There is an opportunity to strengthen and better utilise services such as Family Hubs, which could offer practical support around emotional wellbeing, toilet training, and parenting strategies.</w:t>
      </w:r>
    </w:p>
    <w:p w14:paraId="76758C5B" w14:textId="77777777" w:rsidR="004E04E1" w:rsidRPr="00B7244E" w:rsidRDefault="004E04E1" w:rsidP="00B7244E">
      <w:r w:rsidRPr="00B7244E">
        <w:t>Tower Hamlets is a comparatively well-resourced borough, but there is a recurring challenge around "what exists, where, and when." Families and professionals alike struggle to navigate the landscape of services, suggesting the need for clearer pathways and joined-up information.</w:t>
      </w:r>
    </w:p>
    <w:p w14:paraId="31BEE5BC" w14:textId="333033EB" w:rsidR="004E04E1" w:rsidRPr="004D664B" w:rsidRDefault="004E04E1" w:rsidP="00DB5053">
      <w:pPr>
        <w:pStyle w:val="Heading3"/>
        <w:rPr>
          <w:color w:val="006B70"/>
        </w:rPr>
      </w:pPr>
      <w:bookmarkStart w:id="143" w:name="_Toc205386900"/>
      <w:bookmarkStart w:id="144" w:name="_Toc205387970"/>
      <w:bookmarkStart w:id="145" w:name="_Toc205445981"/>
      <w:r w:rsidRPr="004D664B">
        <w:rPr>
          <w:color w:val="006B70"/>
        </w:rPr>
        <w:t>Recommendations</w:t>
      </w:r>
      <w:bookmarkEnd w:id="143"/>
      <w:bookmarkEnd w:id="144"/>
      <w:bookmarkEnd w:id="145"/>
    </w:p>
    <w:p w14:paraId="338CA49F" w14:textId="253A2BC1" w:rsidR="00EA36DF" w:rsidRPr="00EA36DF" w:rsidRDefault="002D3E5A" w:rsidP="00EA36DF">
      <w:r w:rsidRPr="002D3E5A">
        <w:t>Following the analysis conducted, the recommendations outlined below are proposed to address the key findings</w:t>
      </w:r>
      <w:r>
        <w:t>:</w:t>
      </w:r>
    </w:p>
    <w:p w14:paraId="11714B56" w14:textId="7FEE6C5F" w:rsidR="00CD6C85" w:rsidRPr="00EC106C" w:rsidRDefault="00812921" w:rsidP="00BF63ED">
      <w:pPr>
        <w:pStyle w:val="ListParagraph"/>
        <w:numPr>
          <w:ilvl w:val="0"/>
          <w:numId w:val="46"/>
        </w:numPr>
      </w:pPr>
      <w:r w:rsidRPr="002D3E5A">
        <w:rPr>
          <w:b/>
        </w:rPr>
        <w:t>Bridge the gap between mainstream and specialist provision:</w:t>
      </w:r>
      <w:r w:rsidR="00EB35C0" w:rsidRPr="00EC106C">
        <w:t xml:space="preserve"> </w:t>
      </w:r>
      <w:r w:rsidRPr="00EC106C">
        <w:t xml:space="preserve">Establish a graduated support framework that ensures children with ASD who do not meet thresholds for specialist services, still receive timely and appropriate help within mainstream settings. This should </w:t>
      </w:r>
      <w:proofErr w:type="gramStart"/>
      <w:r w:rsidRPr="00EC106C">
        <w:t>include,</w:t>
      </w:r>
      <w:proofErr w:type="gramEnd"/>
      <w:r w:rsidRPr="00EC106C">
        <w:t xml:space="preserve"> targeted early interventions, flexible school-based support and clear referral/ escalation pathways to avoid children falling through the cracks between mainstream and specialist provision.</w:t>
      </w:r>
    </w:p>
    <w:p w14:paraId="760354F0" w14:textId="4F03EC68" w:rsidR="00812921" w:rsidRPr="00EC106C" w:rsidRDefault="00F87FB4" w:rsidP="00BF63ED">
      <w:pPr>
        <w:pStyle w:val="ListParagraph"/>
        <w:numPr>
          <w:ilvl w:val="0"/>
          <w:numId w:val="46"/>
        </w:numPr>
      </w:pPr>
      <w:r w:rsidRPr="002D3E5A">
        <w:rPr>
          <w:b/>
        </w:rPr>
        <w:t xml:space="preserve">Adopting a </w:t>
      </w:r>
      <w:r w:rsidR="005A4470" w:rsidRPr="002D3E5A">
        <w:rPr>
          <w:b/>
        </w:rPr>
        <w:t>needs-based</w:t>
      </w:r>
      <w:r w:rsidR="00812921" w:rsidRPr="002D3E5A">
        <w:rPr>
          <w:b/>
        </w:rPr>
        <w:t xml:space="preserve"> approach:</w:t>
      </w:r>
      <w:r w:rsidR="00812921" w:rsidRPr="00EC106C">
        <w:t xml:space="preserve"> A shift towards a needs-led approach rather than relying on formal </w:t>
      </w:r>
      <w:r w:rsidR="00ED0256" w:rsidRPr="00EC106C">
        <w:t>diagnosis</w:t>
      </w:r>
      <w:r w:rsidR="00812921" w:rsidRPr="00EC106C">
        <w:t xml:space="preserve"> as a gateway to support</w:t>
      </w:r>
      <w:r w:rsidR="0091413B" w:rsidRPr="00EC106C">
        <w:t xml:space="preserve"> </w:t>
      </w:r>
      <w:r w:rsidR="00EB35C0" w:rsidRPr="00EC106C">
        <w:t>would allow earlier identification of and response to individual needs, strengthening support for children and young people and leading to improved outcomes across education, health, and wellbeing. A more flexible, responsive system would also reduce delays in access and ensure that support is matched to need rather than diagnostic status.</w:t>
      </w:r>
    </w:p>
    <w:p w14:paraId="69607354" w14:textId="698B240C" w:rsidR="00EB35C0" w:rsidRPr="00EC106C" w:rsidRDefault="00F87FB4" w:rsidP="00BF63ED">
      <w:pPr>
        <w:pStyle w:val="ListParagraph"/>
        <w:numPr>
          <w:ilvl w:val="0"/>
          <w:numId w:val="46"/>
        </w:numPr>
      </w:pPr>
      <w:r w:rsidRPr="002D3E5A">
        <w:rPr>
          <w:b/>
        </w:rPr>
        <w:t>Strengthen</w:t>
      </w:r>
      <w:r w:rsidR="00385374" w:rsidRPr="002D3E5A">
        <w:rPr>
          <w:b/>
        </w:rPr>
        <w:t xml:space="preserve"> EHCPs:</w:t>
      </w:r>
      <w:r w:rsidR="00385374" w:rsidRPr="00EC106C">
        <w:t xml:space="preserve"> </w:t>
      </w:r>
      <w:r w:rsidR="00F4542A" w:rsidRPr="00EC106C">
        <w:t xml:space="preserve">Continue to build on established relationships between health, social and education to develop a more holistic approach to the health and wellbeing of children and young with ASD. </w:t>
      </w:r>
      <w:r w:rsidR="00294B62" w:rsidRPr="00EC106C">
        <w:t>An</w:t>
      </w:r>
      <w:r w:rsidR="00A20CD9" w:rsidRPr="00EC106C">
        <w:t xml:space="preserve"> MDT approach </w:t>
      </w:r>
      <w:r w:rsidR="00EC5A9B" w:rsidRPr="00EC106C">
        <w:t xml:space="preserve">will enable practices of broader areas of functioning (emotional, social) to be understood and better supported. </w:t>
      </w:r>
    </w:p>
    <w:p w14:paraId="558B0F0B" w14:textId="57BEDBC7" w:rsidR="00EC5A9B" w:rsidRPr="00EC106C" w:rsidRDefault="004E7A01" w:rsidP="00BF63ED">
      <w:pPr>
        <w:pStyle w:val="ListParagraph"/>
        <w:numPr>
          <w:ilvl w:val="0"/>
          <w:numId w:val="46"/>
        </w:numPr>
      </w:pPr>
      <w:r w:rsidRPr="00322DB3">
        <w:rPr>
          <w:b/>
        </w:rPr>
        <w:t>Complex feeding support:</w:t>
      </w:r>
      <w:r w:rsidRPr="00EC106C">
        <w:t xml:space="preserve"> Develop a multidisciplinary approach involving dieticians, psychologists, OTs and autism specialists to address and support complex feeding needs. Offering accessible resources and training for parents and early years </w:t>
      </w:r>
      <w:r w:rsidR="009A3B63" w:rsidRPr="00EC106C">
        <w:t xml:space="preserve">can further support efforts in this area. </w:t>
      </w:r>
    </w:p>
    <w:p w14:paraId="40C3F877" w14:textId="78C083BA" w:rsidR="00A77551" w:rsidRPr="00EC106C" w:rsidRDefault="00A77551" w:rsidP="00BF63ED">
      <w:pPr>
        <w:pStyle w:val="ListParagraph"/>
        <w:numPr>
          <w:ilvl w:val="0"/>
          <w:numId w:val="46"/>
        </w:numPr>
      </w:pPr>
      <w:r w:rsidRPr="002D3E5A">
        <w:rPr>
          <w:b/>
        </w:rPr>
        <w:lastRenderedPageBreak/>
        <w:t>Improving equity:</w:t>
      </w:r>
      <w:r w:rsidRPr="00EC106C">
        <w:t xml:space="preserve"> Introduce targeted awareness </w:t>
      </w:r>
      <w:r w:rsidR="00F87FB4" w:rsidRPr="00EC106C">
        <w:t>approaches</w:t>
      </w:r>
      <w:r w:rsidRPr="00EC106C">
        <w:t xml:space="preserve"> to reduce gender and cultural disparities in ASD identification, with a focus on improving early recognition in girls and </w:t>
      </w:r>
      <w:r w:rsidR="00562930">
        <w:t>ethnic diverse</w:t>
      </w:r>
      <w:r w:rsidRPr="00EC106C">
        <w:t xml:space="preserve"> communities.</w:t>
      </w:r>
      <w:r w:rsidR="00F87FB4" w:rsidRPr="00EC106C">
        <w:t xml:space="preserve"> Additionally, w</w:t>
      </w:r>
      <w:r w:rsidRPr="00A77551">
        <w:t>ork with Somali and other underrepresented communities to co-design culturally sensitive outreach and support materials around neurodiversity.</w:t>
      </w:r>
    </w:p>
    <w:p w14:paraId="10DE9F2D" w14:textId="0C8A634B" w:rsidR="00C50260" w:rsidRPr="00EC106C" w:rsidRDefault="00C50260" w:rsidP="00BF63ED">
      <w:pPr>
        <w:pStyle w:val="ListParagraph"/>
        <w:numPr>
          <w:ilvl w:val="0"/>
          <w:numId w:val="46"/>
        </w:numPr>
      </w:pPr>
      <w:r w:rsidRPr="002D3E5A">
        <w:rPr>
          <w:b/>
        </w:rPr>
        <w:t>Increased awareness</w:t>
      </w:r>
      <w:r w:rsidR="00DF4E01">
        <w:rPr>
          <w:b/>
        </w:rPr>
        <w:t xml:space="preserve">, </w:t>
      </w:r>
      <w:r w:rsidRPr="002D3E5A">
        <w:rPr>
          <w:b/>
        </w:rPr>
        <w:t>access</w:t>
      </w:r>
      <w:r w:rsidR="00DF4E01">
        <w:rPr>
          <w:b/>
        </w:rPr>
        <w:t xml:space="preserve"> and equity</w:t>
      </w:r>
      <w:r w:rsidRPr="002D3E5A">
        <w:rPr>
          <w:b/>
        </w:rPr>
        <w:t>:</w:t>
      </w:r>
      <w:r w:rsidRPr="00EC106C">
        <w:t xml:space="preserve"> </w:t>
      </w:r>
      <w:r w:rsidR="006B0E04" w:rsidRPr="00EC106C">
        <w:t>Whilst progress continues to be made, gaps remain in understanding what services and support are available. Assessing the effectiveness of existing mechanisms aimed at raising awareness can help inform the development of more targeted approaches. Additionally, collaboration with parents, carers, and professionals can help identify specific gaps and determine how best to address them.</w:t>
      </w:r>
    </w:p>
    <w:p w14:paraId="02D87C46" w14:textId="647550A2" w:rsidR="00120302" w:rsidRPr="00A77551" w:rsidRDefault="00322DB3" w:rsidP="00BF63ED">
      <w:pPr>
        <w:pStyle w:val="ListParagraph"/>
        <w:numPr>
          <w:ilvl w:val="0"/>
          <w:numId w:val="46"/>
        </w:numPr>
      </w:pPr>
      <w:r w:rsidRPr="00322DB3">
        <w:rPr>
          <w:b/>
          <w:bCs/>
        </w:rPr>
        <w:t>Training:</w:t>
      </w:r>
      <w:r>
        <w:t xml:space="preserve"> </w:t>
      </w:r>
      <w:r w:rsidR="00120302" w:rsidRPr="00EC106C">
        <w:t xml:space="preserve">For education professionals, </w:t>
      </w:r>
      <w:r w:rsidR="00034429" w:rsidRPr="00EC106C">
        <w:t xml:space="preserve">implement a consistent, borough-wide approach to training for education professionals to strengthen understanding of ASD. This should include developing knowledge of </w:t>
      </w:r>
      <w:r w:rsidR="00831EC0">
        <w:t>ASD</w:t>
      </w:r>
      <w:r w:rsidR="00831EC0" w:rsidRPr="00EC106C">
        <w:t xml:space="preserve"> </w:t>
      </w:r>
      <w:r w:rsidR="00034429" w:rsidRPr="00EC106C">
        <w:t>behaviours, individual needs, and available local services. A standardised approach will help reduce barriers to support, promote inclusive practice, and improve outcomes for pupils</w:t>
      </w:r>
      <w:r w:rsidR="0027082C">
        <w:t xml:space="preserve"> with ASD</w:t>
      </w:r>
      <w:r w:rsidR="00034429" w:rsidRPr="00EC106C">
        <w:t>.</w:t>
      </w:r>
    </w:p>
    <w:p w14:paraId="3124A145" w14:textId="2DC22294" w:rsidR="009A3B63" w:rsidRPr="00EC106C" w:rsidRDefault="00C55CBC" w:rsidP="00BF63ED">
      <w:pPr>
        <w:pStyle w:val="ListParagraph"/>
        <w:numPr>
          <w:ilvl w:val="0"/>
          <w:numId w:val="46"/>
        </w:numPr>
      </w:pPr>
      <w:r w:rsidRPr="002D3E5A">
        <w:rPr>
          <w:b/>
        </w:rPr>
        <w:t>Pathway support:</w:t>
      </w:r>
      <w:r w:rsidRPr="00EC106C">
        <w:t xml:space="preserve"> Whilst navigating the pathway for diagnosis, pr</w:t>
      </w:r>
      <w:r w:rsidR="003B095D" w:rsidRPr="00EC106C">
        <w:t>ovisioning</w:t>
      </w:r>
      <w:r w:rsidR="00A0120D" w:rsidRPr="00EC106C">
        <w:t xml:space="preserve"> of interim support packages can be strengthened through clear, accessible guides and resources that help families navigate each step. Increasing awareness of local services such as SENDIASS, Family Hubs, and Parent Carer Forums will further empower families and improve access to early help.</w:t>
      </w:r>
    </w:p>
    <w:p w14:paraId="5A95B124" w14:textId="418882A0" w:rsidR="004E04E1" w:rsidRDefault="001421F8" w:rsidP="00BF63ED">
      <w:pPr>
        <w:pStyle w:val="ListParagraph"/>
        <w:numPr>
          <w:ilvl w:val="0"/>
          <w:numId w:val="46"/>
        </w:numPr>
      </w:pPr>
      <w:r w:rsidRPr="002D3E5A">
        <w:rPr>
          <w:b/>
        </w:rPr>
        <w:t xml:space="preserve">Strengthen </w:t>
      </w:r>
      <w:r w:rsidR="00396DA9" w:rsidRPr="002D3E5A">
        <w:rPr>
          <w:b/>
        </w:rPr>
        <w:t>information</w:t>
      </w:r>
      <w:r w:rsidR="00B20ED8" w:rsidRPr="002D3E5A">
        <w:rPr>
          <w:b/>
        </w:rPr>
        <w:t>-seeking behaviours</w:t>
      </w:r>
      <w:r w:rsidR="00B20ED8" w:rsidRPr="00EC106C">
        <w:t xml:space="preserve">: </w:t>
      </w:r>
      <w:r w:rsidR="00CC5A6E" w:rsidRPr="00EC106C">
        <w:t xml:space="preserve">Promote proactive engagement with services by encouraging families and carers to take ownership of </w:t>
      </w:r>
      <w:r w:rsidR="00396DA9" w:rsidRPr="00EC106C">
        <w:t>information</w:t>
      </w:r>
      <w:r w:rsidR="00CC5A6E" w:rsidRPr="00EC106C">
        <w:t>-seeking behaviours. Techniques such as motivational interviewing can be used to build trust, enhance motivation, and support families in accessing relevant information, resources, and support networks.</w:t>
      </w:r>
    </w:p>
    <w:p w14:paraId="0DCD56F7" w14:textId="103D56B4" w:rsidR="00AC2066" w:rsidRDefault="00AC2066" w:rsidP="00BF63ED">
      <w:pPr>
        <w:pStyle w:val="ListParagraph"/>
        <w:numPr>
          <w:ilvl w:val="0"/>
          <w:numId w:val="46"/>
        </w:numPr>
      </w:pPr>
      <w:r w:rsidRPr="00AC2066">
        <w:rPr>
          <w:b/>
          <w:bCs/>
        </w:rPr>
        <w:t>Service capacity and resource planning:</w:t>
      </w:r>
      <w:r w:rsidRPr="00AC2066">
        <w:t xml:space="preserve"> Explore opportunities to expand assessment capacity, recruit additional multidisciplinary staff, and increase places in specialist ASD classes to meet growing demand.</w:t>
      </w:r>
    </w:p>
    <w:p w14:paraId="6EC1654D" w14:textId="7563E7D8" w:rsidR="00AF6114" w:rsidRPr="003C3049" w:rsidRDefault="00AF6114" w:rsidP="00BF63ED">
      <w:pPr>
        <w:pStyle w:val="ListParagraph"/>
        <w:numPr>
          <w:ilvl w:val="0"/>
          <w:numId w:val="46"/>
        </w:numPr>
      </w:pPr>
      <w:r w:rsidRPr="00AF6114">
        <w:rPr>
          <w:b/>
          <w:bCs/>
        </w:rPr>
        <w:t>Address disproportionality:</w:t>
      </w:r>
      <w:r w:rsidRPr="00AF6114">
        <w:t xml:space="preserve"> Undertake targeted analysis and community engagement to understand and address the over-representation of Black Somali pupils in ASD EHCPs and White British pupils at SEN Support level. Co-produce culturally sensitive outreach, awareness, and early support strategies with affected communities.</w:t>
      </w:r>
    </w:p>
    <w:p w14:paraId="3C73B61D" w14:textId="393B7B92" w:rsidR="006254C8" w:rsidRPr="004D664B" w:rsidRDefault="006254C8" w:rsidP="00C07552">
      <w:pPr>
        <w:pStyle w:val="Heading3"/>
        <w:rPr>
          <w:color w:val="006B70"/>
        </w:rPr>
      </w:pPr>
      <w:bookmarkStart w:id="146" w:name="_Toc205386901"/>
      <w:bookmarkStart w:id="147" w:name="_Toc205387971"/>
      <w:bookmarkStart w:id="148" w:name="_Toc205445982"/>
      <w:r w:rsidRPr="004D664B">
        <w:rPr>
          <w:color w:val="006B70"/>
        </w:rPr>
        <w:t>Summary</w:t>
      </w:r>
      <w:bookmarkEnd w:id="146"/>
      <w:bookmarkEnd w:id="147"/>
      <w:bookmarkEnd w:id="148"/>
      <w:r w:rsidRPr="004D664B">
        <w:rPr>
          <w:color w:val="006B70"/>
        </w:rPr>
        <w:t xml:space="preserve"> </w:t>
      </w:r>
    </w:p>
    <w:p w14:paraId="1826AA0D" w14:textId="5F040F25" w:rsidR="00FF4B2A" w:rsidRDefault="000A4A7E" w:rsidP="00BD38EC">
      <w:r>
        <w:t>The increase in capacity to undertake assessments has enabled greater identification and provisioning of support. However,</w:t>
      </w:r>
      <w:r w:rsidR="00D21EB7" w:rsidRPr="00BD38EC">
        <w:t xml:space="preserve"> rising</w:t>
      </w:r>
      <w:r w:rsidR="00D21EB7" w:rsidRPr="00D21EB7">
        <w:t xml:space="preserve"> demand, long waits for diagnosis, and fragmented services make it difficult for families to access timely support</w:t>
      </w:r>
      <w:r w:rsidR="00F73D91">
        <w:t xml:space="preserve"> for children and young people</w:t>
      </w:r>
      <w:r w:rsidR="00D21EB7" w:rsidRPr="00D21EB7">
        <w:t>.</w:t>
      </w:r>
      <w:r w:rsidR="00F22F49">
        <w:t xml:space="preserve"> </w:t>
      </w:r>
      <w:r w:rsidR="00D21EB7" w:rsidRPr="00D21EB7">
        <w:t>Many children fall through the cracks</w:t>
      </w:r>
      <w:r w:rsidR="00F73D91">
        <w:t xml:space="preserve">, </w:t>
      </w:r>
      <w:r w:rsidR="00D21EB7" w:rsidRPr="00D21EB7">
        <w:t>particularly girls and those from minority backgrounds</w:t>
      </w:r>
      <w:r w:rsidR="00F73D91">
        <w:t xml:space="preserve">, </w:t>
      </w:r>
      <w:r w:rsidR="00D21EB7" w:rsidRPr="00D21EB7">
        <w:t xml:space="preserve">due to underdiagnosis and a system that often requires a </w:t>
      </w:r>
      <w:r w:rsidR="00F73D91">
        <w:t xml:space="preserve">diagnosis before formal help is provided. </w:t>
      </w:r>
    </w:p>
    <w:p w14:paraId="23450424" w14:textId="2BEAEA96" w:rsidR="00F21037" w:rsidRDefault="00FF4B2A" w:rsidP="00BD38EC">
      <w:r>
        <w:t xml:space="preserve">Furthermore, </w:t>
      </w:r>
      <w:r w:rsidR="00F21037">
        <w:t xml:space="preserve">schools struggle to meet the diverse needs of students and whilst </w:t>
      </w:r>
      <w:r w:rsidR="00D21EB7" w:rsidRPr="00D21EB7">
        <w:t xml:space="preserve">specialist services like Phoenix School and local outreach efforts exist, capacity is limited, and information is often unclear. Despite this, there is a growing movement toward </w:t>
      </w:r>
      <w:r w:rsidR="00F21037">
        <w:t xml:space="preserve">more </w:t>
      </w:r>
      <w:r w:rsidR="007A624D">
        <w:t xml:space="preserve">holistic support and observed increases in </w:t>
      </w:r>
      <w:r w:rsidR="007A624D">
        <w:lastRenderedPageBreak/>
        <w:t xml:space="preserve">support provisions whilst navigating ASD diagnosis pathways. </w:t>
      </w:r>
      <w:r w:rsidR="00BD38EC" w:rsidRPr="00BD38EC">
        <w:t>The recommendations focus on creating a more inclusive, needs-led system by improving early intervention, reducing reliance on formal diagnosis, strengthening support in schools, addressing inequalities in identification, enhancing service awareness</w:t>
      </w:r>
      <w:r w:rsidR="00A3051F">
        <w:t xml:space="preserve"> </w:t>
      </w:r>
      <w:r w:rsidR="00BD38EC" w:rsidRPr="00BD38EC">
        <w:t>and empowering families through clearer pathways and accessible resources.</w:t>
      </w:r>
    </w:p>
    <w:p w14:paraId="7F8C5435" w14:textId="77777777" w:rsidR="009B07CA" w:rsidRDefault="009B07CA">
      <w:pPr>
        <w:spacing w:before="0" w:after="160" w:line="278" w:lineRule="auto"/>
        <w:jc w:val="left"/>
        <w:rPr>
          <w:b/>
          <w:bCs/>
          <w:color w:val="00435D"/>
          <w:sz w:val="44"/>
          <w:szCs w:val="36"/>
        </w:rPr>
      </w:pPr>
      <w:bookmarkStart w:id="149" w:name="_Toc211414157"/>
      <w:r>
        <w:br w:type="page"/>
      </w:r>
    </w:p>
    <w:p w14:paraId="33C4DA93" w14:textId="0C0BD193" w:rsidR="004E04E1" w:rsidRDefault="004E04E1" w:rsidP="00DB5053">
      <w:pPr>
        <w:pStyle w:val="Heading2"/>
        <w:tabs>
          <w:tab w:val="left" w:pos="90"/>
        </w:tabs>
      </w:pPr>
      <w:bookmarkStart w:id="150" w:name="_Toc211440056"/>
      <w:r>
        <w:lastRenderedPageBreak/>
        <w:t>Attention Deficit Hyperactivity Disorder (ADHD)</w:t>
      </w:r>
      <w:bookmarkEnd w:id="149"/>
      <w:bookmarkEnd w:id="150"/>
    </w:p>
    <w:p w14:paraId="220206E1" w14:textId="77777777" w:rsidR="004E04E1" w:rsidRPr="006A3861" w:rsidRDefault="004E04E1" w:rsidP="003C3049">
      <w:r>
        <w:t xml:space="preserve">ADHD is a childhood-onset condition with characteristics of inattention, impulsivity and hyperactivity. </w:t>
      </w:r>
      <w:r w:rsidRPr="006A3861">
        <w:t>A child or young person may show signs of being inattentive, such as:</w:t>
      </w:r>
    </w:p>
    <w:p w14:paraId="42CEB889" w14:textId="77777777" w:rsidR="004E04E1" w:rsidRPr="006A3861" w:rsidRDefault="004E04E1" w:rsidP="003C3049">
      <w:pPr>
        <w:pStyle w:val="ListParagraph"/>
      </w:pPr>
      <w:r>
        <w:t>B</w:t>
      </w:r>
      <w:r w:rsidRPr="006A3861">
        <w:t>eing easily distracted</w:t>
      </w:r>
      <w:r>
        <w:t>.</w:t>
      </w:r>
    </w:p>
    <w:p w14:paraId="0F8A2E99" w14:textId="77777777" w:rsidR="004E04E1" w:rsidRPr="006A3861" w:rsidRDefault="004E04E1" w:rsidP="003C3049">
      <w:pPr>
        <w:pStyle w:val="ListParagraph"/>
      </w:pPr>
      <w:r>
        <w:t>F</w:t>
      </w:r>
      <w:r w:rsidRPr="006A3861">
        <w:t>inding it hard to listen to what people are saying or to follow instructions</w:t>
      </w:r>
      <w:r>
        <w:t>.</w:t>
      </w:r>
    </w:p>
    <w:p w14:paraId="432A5A5B" w14:textId="77777777" w:rsidR="004E04E1" w:rsidRPr="006A3861" w:rsidRDefault="004E04E1" w:rsidP="003C3049">
      <w:pPr>
        <w:pStyle w:val="ListParagraph"/>
      </w:pPr>
      <w:r>
        <w:t>F</w:t>
      </w:r>
      <w:r w:rsidRPr="006A3861">
        <w:t>orgetting everyday tasks, like brushing their teeth or putting on socks</w:t>
      </w:r>
      <w:r>
        <w:t>.</w:t>
      </w:r>
    </w:p>
    <w:p w14:paraId="4AD9266E" w14:textId="77777777" w:rsidR="004E04E1" w:rsidRPr="006A3861" w:rsidRDefault="004E04E1" w:rsidP="003C3049">
      <w:r w:rsidRPr="006A3861">
        <w:t>They may show signs of being hyperactive and impulsive, including:</w:t>
      </w:r>
    </w:p>
    <w:p w14:paraId="07A42DD8" w14:textId="77777777" w:rsidR="004E04E1" w:rsidRPr="006A3861" w:rsidRDefault="004E04E1" w:rsidP="003C3049">
      <w:pPr>
        <w:pStyle w:val="ListParagraph"/>
      </w:pPr>
      <w:r>
        <w:t>H</w:t>
      </w:r>
      <w:r w:rsidRPr="006A3861">
        <w:t>aving high energy levels</w:t>
      </w:r>
      <w:r>
        <w:t>.</w:t>
      </w:r>
    </w:p>
    <w:p w14:paraId="407F6FD1" w14:textId="77777777" w:rsidR="004E04E1" w:rsidRPr="006A3861" w:rsidRDefault="004E04E1" w:rsidP="003C3049">
      <w:pPr>
        <w:pStyle w:val="ListParagraph"/>
      </w:pPr>
      <w:r>
        <w:t>F</w:t>
      </w:r>
      <w:r w:rsidRPr="006A3861">
        <w:t>idgeting or tapping their hands and feet</w:t>
      </w:r>
      <w:r>
        <w:t>.</w:t>
      </w:r>
    </w:p>
    <w:p w14:paraId="73F16F2D" w14:textId="77777777" w:rsidR="004E04E1" w:rsidRPr="006A3861" w:rsidRDefault="004E04E1" w:rsidP="003C3049">
      <w:pPr>
        <w:pStyle w:val="ListParagraph"/>
      </w:pPr>
      <w:r>
        <w:t>T</w:t>
      </w:r>
      <w:r w:rsidRPr="006A3861">
        <w:t>alking noisily</w:t>
      </w:r>
      <w:r>
        <w:t>.</w:t>
      </w:r>
    </w:p>
    <w:p w14:paraId="104311C7" w14:textId="176D40E0" w:rsidR="004E04E1" w:rsidRPr="006A3861" w:rsidRDefault="004E04E1" w:rsidP="003C3049">
      <w:pPr>
        <w:pStyle w:val="ListParagraph"/>
      </w:pPr>
      <w:r>
        <w:t>F</w:t>
      </w:r>
      <w:r w:rsidRPr="006A3861">
        <w:t>eeling restless, or getting up and moving around</w:t>
      </w:r>
      <w:r w:rsidR="00F83239">
        <w:t>,</w:t>
      </w:r>
      <w:r w:rsidRPr="006A3861">
        <w:t xml:space="preserve"> when they</w:t>
      </w:r>
      <w:r>
        <w:t xml:space="preserve"> a</w:t>
      </w:r>
      <w:r w:rsidRPr="006A3861">
        <w:t>re supposed to sit still</w:t>
      </w:r>
      <w:r>
        <w:t>.</w:t>
      </w:r>
    </w:p>
    <w:p w14:paraId="780DBFA7" w14:textId="77777777" w:rsidR="004E04E1" w:rsidRPr="006A3861" w:rsidRDefault="004E04E1" w:rsidP="003C3049">
      <w:pPr>
        <w:pStyle w:val="ListParagraph"/>
      </w:pPr>
      <w:r>
        <w:t>F</w:t>
      </w:r>
      <w:r w:rsidRPr="006A3861">
        <w:t>inding it hard to wait their turn, or interrupting conversations</w:t>
      </w:r>
      <w:r>
        <w:t>.</w:t>
      </w:r>
    </w:p>
    <w:p w14:paraId="427E6AFF" w14:textId="6DE9C265" w:rsidR="004E04E1" w:rsidRDefault="004E04E1" w:rsidP="00DB5053">
      <w:r w:rsidRPr="006A3861">
        <w:t>Most children and young people with ADHD have symptoms of both the inattentive and hyperactive-impulsive type</w:t>
      </w:r>
      <w:r w:rsidR="007F6ACF">
        <w:t xml:space="preserve"> </w:t>
      </w:r>
      <w:r>
        <w:rPr>
          <w:rStyle w:val="EndnoteReference"/>
        </w:rPr>
        <w:endnoteReference w:id="65"/>
      </w:r>
      <w:r w:rsidRPr="006A3861">
        <w:t xml:space="preserve">. </w:t>
      </w:r>
    </w:p>
    <w:p w14:paraId="06DB7FE6" w14:textId="77777777" w:rsidR="004E04E1" w:rsidRPr="004D664B" w:rsidRDefault="004E04E1" w:rsidP="00DB5053">
      <w:pPr>
        <w:pStyle w:val="Heading3"/>
        <w:rPr>
          <w:color w:val="006B70"/>
        </w:rPr>
      </w:pPr>
      <w:bookmarkStart w:id="151" w:name="_Toc205445984"/>
      <w:bookmarkStart w:id="152" w:name="_Toc205386903"/>
      <w:bookmarkStart w:id="153" w:name="_Toc205387973"/>
      <w:bookmarkStart w:id="154" w:name="OLE_LINK1"/>
      <w:r w:rsidRPr="004D664B">
        <w:rPr>
          <w:color w:val="006B70"/>
        </w:rPr>
        <w:t>Causal Factors</w:t>
      </w:r>
      <w:bookmarkEnd w:id="151"/>
      <w:r w:rsidRPr="004D664B">
        <w:rPr>
          <w:color w:val="006B70"/>
        </w:rPr>
        <w:t xml:space="preserve">  </w:t>
      </w:r>
      <w:bookmarkEnd w:id="152"/>
      <w:bookmarkEnd w:id="153"/>
    </w:p>
    <w:p w14:paraId="2DC64411" w14:textId="01C32328" w:rsidR="004E04E1" w:rsidRPr="000A72BB" w:rsidRDefault="004E04E1" w:rsidP="00DB5053">
      <w:r w:rsidRPr="009949BA">
        <w:t xml:space="preserve">The </w:t>
      </w:r>
      <w:r w:rsidR="009C07C5">
        <w:t>causes</w:t>
      </w:r>
      <w:r w:rsidR="009C07C5" w:rsidRPr="009949BA">
        <w:t xml:space="preserve"> </w:t>
      </w:r>
      <w:r w:rsidRPr="009949BA">
        <w:t xml:space="preserve">of ADHD </w:t>
      </w:r>
      <w:r w:rsidR="003B4B53">
        <w:t>are</w:t>
      </w:r>
      <w:r w:rsidRPr="009949BA">
        <w:t xml:space="preserve"> complex and therefore not fully understood or always known. However, it is most likely to include a combination of both genetic and environmental factors</w:t>
      </w:r>
      <w:bookmarkStart w:id="155" w:name="_Ref204721201"/>
      <w:r w:rsidR="007F6ACF">
        <w:t xml:space="preserve"> </w:t>
      </w:r>
      <w:r w:rsidRPr="009949BA">
        <w:rPr>
          <w:rStyle w:val="EndnoteReference"/>
        </w:rPr>
        <w:endnoteReference w:id="66"/>
      </w:r>
      <w:bookmarkEnd w:id="155"/>
      <w:r w:rsidRPr="009949BA">
        <w:t>.</w:t>
      </w:r>
      <w:r w:rsidRPr="000A72BB">
        <w:t xml:space="preserve"> Research highlights a strong hereditary component, while certain prenatal conditions and brain injuries may also increase the risk. Though no single cause has been identified, these factors collectively contribute to the complexity of ADHD’s development</w:t>
      </w:r>
      <w:r>
        <w:t xml:space="preserve"> and are outlined below:</w:t>
      </w:r>
    </w:p>
    <w:p w14:paraId="2A2E0BC8" w14:textId="77777777" w:rsidR="004E04E1" w:rsidRDefault="004E04E1" w:rsidP="00F469F9">
      <w:pPr>
        <w:pStyle w:val="Heading5"/>
      </w:pPr>
      <w:r>
        <w:t>Genetic influences</w:t>
      </w:r>
    </w:p>
    <w:p w14:paraId="419DA7C3" w14:textId="6376AB42" w:rsidR="0017127C" w:rsidRPr="0017127C" w:rsidRDefault="0017127C" w:rsidP="0017127C">
      <w:r w:rsidRPr="0017127C">
        <w:t>Research indicates a strong genetic component to ADHD. Studies suggest that if a parent has ADHD, their child has more than a 50% likelihood of also having the condition</w:t>
      </w:r>
      <w:r>
        <w:rPr>
          <w:rStyle w:val="EndnoteReference"/>
        </w:rPr>
        <w:endnoteReference w:id="67"/>
      </w:r>
      <w:r w:rsidRPr="0017127C">
        <w:t>. Twin and family studies estimate ADHD heritability at approximately 70–80%, indicating that while genetics play a major role, environmental factors also contribute to its development</w:t>
      </w:r>
      <w:r w:rsidR="00D52294">
        <w:rPr>
          <w:rStyle w:val="EndnoteReference"/>
        </w:rPr>
        <w:endnoteReference w:id="68"/>
      </w:r>
      <w:r w:rsidRPr="0017127C">
        <w:t>.</w:t>
      </w:r>
    </w:p>
    <w:p w14:paraId="21F556CA" w14:textId="77777777" w:rsidR="004E04E1" w:rsidRDefault="004E04E1" w:rsidP="00F469F9">
      <w:pPr>
        <w:pStyle w:val="Heading5"/>
      </w:pPr>
      <w:r>
        <w:t>Pregnancy and birth risks</w:t>
      </w:r>
    </w:p>
    <w:p w14:paraId="5C0F5727" w14:textId="56235930" w:rsidR="004E04E1" w:rsidRDefault="004E04E1" w:rsidP="00DB5053">
      <w:r w:rsidRPr="00882599">
        <w:t xml:space="preserve">Whilst ADHD does not necessarily have a direct cause associated with pregnancy, </w:t>
      </w:r>
      <w:r w:rsidR="00B93953" w:rsidRPr="00882599">
        <w:t>exposure to certain factors during pregnancy may increase the risk of the child being diagnosed with ADHD</w:t>
      </w:r>
      <w:r w:rsidRPr="00882599">
        <w:t>. For example, smoking during pregnancy, alcohol exposure, exposure to toxins, maternal stress, children born with a low birth weight or born premature have a higher risk of having ADHD</w:t>
      </w:r>
      <w:r w:rsidR="005D67CB">
        <w:t xml:space="preserve"> </w:t>
      </w:r>
      <w:r w:rsidR="0005392D" w:rsidRPr="0005392D">
        <w:rPr>
          <w:vertAlign w:val="superscript"/>
        </w:rPr>
        <w:fldChar w:fldCharType="begin"/>
      </w:r>
      <w:r w:rsidR="0005392D" w:rsidRPr="0005392D">
        <w:rPr>
          <w:vertAlign w:val="superscript"/>
        </w:rPr>
        <w:instrText xml:space="preserve"> NOTEREF _Ref204721201 \h </w:instrText>
      </w:r>
      <w:r w:rsidR="0005392D">
        <w:rPr>
          <w:vertAlign w:val="superscript"/>
        </w:rPr>
        <w:instrText xml:space="preserve"> \* MERGEFORMAT </w:instrText>
      </w:r>
      <w:r w:rsidR="0005392D" w:rsidRPr="0005392D">
        <w:rPr>
          <w:vertAlign w:val="superscript"/>
        </w:rPr>
      </w:r>
      <w:r w:rsidR="0005392D" w:rsidRPr="0005392D">
        <w:rPr>
          <w:vertAlign w:val="superscript"/>
        </w:rPr>
        <w:fldChar w:fldCharType="separate"/>
      </w:r>
      <w:r w:rsidR="008722C4">
        <w:rPr>
          <w:vertAlign w:val="superscript"/>
        </w:rPr>
        <w:t>66</w:t>
      </w:r>
      <w:r w:rsidR="0005392D" w:rsidRPr="0005392D">
        <w:rPr>
          <w:vertAlign w:val="superscript"/>
        </w:rPr>
        <w:fldChar w:fldCharType="end"/>
      </w:r>
      <w:r w:rsidR="005A4470" w:rsidRPr="00B7244E">
        <w:t>.</w:t>
      </w:r>
      <w:r w:rsidRPr="0005392D">
        <w:rPr>
          <w:vertAlign w:val="superscript"/>
        </w:rPr>
        <w:t xml:space="preserve"> </w:t>
      </w:r>
    </w:p>
    <w:p w14:paraId="538F4FDA" w14:textId="2526A748" w:rsidR="004E04E1" w:rsidRDefault="004E04E1" w:rsidP="00DB5053">
      <w:r>
        <w:t>A high</w:t>
      </w:r>
      <w:r w:rsidR="00292D79">
        <w:t xml:space="preserve"> </w:t>
      </w:r>
      <w:r>
        <w:t>fat, high sugar diet during pregnancy may also be linked to symptoms of ADHD in children who show conduct problems early in life</w:t>
      </w:r>
      <w:r w:rsidR="005D67CB">
        <w:t xml:space="preserve"> </w:t>
      </w:r>
      <w:r>
        <w:rPr>
          <w:rStyle w:val="EndnoteReference"/>
        </w:rPr>
        <w:endnoteReference w:id="69"/>
      </w:r>
      <w:r w:rsidR="005A4470" w:rsidRPr="00B7244E">
        <w:t>.</w:t>
      </w:r>
    </w:p>
    <w:p w14:paraId="3BF7527C" w14:textId="77777777" w:rsidR="004E04E1" w:rsidRDefault="004E04E1" w:rsidP="00F469F9">
      <w:pPr>
        <w:pStyle w:val="Heading5"/>
      </w:pPr>
      <w:r>
        <w:lastRenderedPageBreak/>
        <w:t xml:space="preserve">Brain injury </w:t>
      </w:r>
    </w:p>
    <w:p w14:paraId="0EC66A59" w14:textId="21A57434" w:rsidR="00882599" w:rsidRPr="00882599" w:rsidRDefault="00882599" w:rsidP="00293C95">
      <w:pPr>
        <w:jc w:val="left"/>
      </w:pPr>
      <w:r w:rsidRPr="00882599">
        <w:t>A recent meta-analysis found that children with severe traumatic brain injuries are around three times more likely to develop ADHD symptoms compared with those without brain injury, while the risk was not significantly elevated for mild or moderate injuries</w:t>
      </w:r>
      <w:r w:rsidR="00606254">
        <w:rPr>
          <w:rStyle w:val="EndnoteReference"/>
        </w:rPr>
        <w:endnoteReference w:id="70"/>
      </w:r>
      <w:r w:rsidRPr="00882599">
        <w:t>.</w:t>
      </w:r>
      <w:r>
        <w:t xml:space="preserve"> </w:t>
      </w:r>
    </w:p>
    <w:p w14:paraId="7A1D3457" w14:textId="77777777" w:rsidR="004E04E1" w:rsidRPr="004D664B" w:rsidRDefault="004E04E1" w:rsidP="00DB5053">
      <w:pPr>
        <w:pStyle w:val="Heading3"/>
        <w:rPr>
          <w:color w:val="006B70"/>
        </w:rPr>
      </w:pPr>
      <w:bookmarkStart w:id="156" w:name="_Toc205386904"/>
      <w:bookmarkStart w:id="157" w:name="_Toc205387974"/>
      <w:bookmarkStart w:id="158" w:name="_Toc205445985"/>
      <w:r w:rsidRPr="004D664B">
        <w:rPr>
          <w:color w:val="006B70"/>
        </w:rPr>
        <w:t>Local Picture</w:t>
      </w:r>
      <w:bookmarkEnd w:id="156"/>
      <w:bookmarkEnd w:id="157"/>
      <w:bookmarkEnd w:id="158"/>
      <w:r w:rsidRPr="004D664B">
        <w:rPr>
          <w:color w:val="006B70"/>
        </w:rPr>
        <w:t xml:space="preserve"> </w:t>
      </w:r>
    </w:p>
    <w:p w14:paraId="4D6DF35A" w14:textId="1E1110AE" w:rsidR="004E04E1" w:rsidRDefault="00E43D49" w:rsidP="00DB5053">
      <w:r>
        <w:t>Due to limitations in local data on ADHD, this section draws on national</w:t>
      </w:r>
      <w:r w:rsidR="000E24E6">
        <w:t xml:space="preserve"> and international</w:t>
      </w:r>
      <w:r>
        <w:t xml:space="preserve"> data</w:t>
      </w:r>
      <w:r w:rsidR="000E24E6">
        <w:t>, with local insights included where possible.</w:t>
      </w:r>
      <w:r>
        <w:t xml:space="preserve"> </w:t>
      </w:r>
      <w:r w:rsidR="004E04E1">
        <w:t>Recent research</w:t>
      </w:r>
      <w:r w:rsidR="004E04E1" w:rsidRPr="00523018">
        <w:t xml:space="preserve"> </w:t>
      </w:r>
      <w:r w:rsidR="004E04E1">
        <w:t>estimates</w:t>
      </w:r>
      <w:r w:rsidR="004E04E1" w:rsidRPr="00523018">
        <w:t xml:space="preserve"> the</w:t>
      </w:r>
      <w:r w:rsidR="0055212F">
        <w:t xml:space="preserve"> global </w:t>
      </w:r>
      <w:r w:rsidR="004E04E1" w:rsidRPr="00CA6F70">
        <w:t>prevalence of childhood ADHD (in children aged 3 to 12 years) as 7.6% and adolescent ADHD (young people aged 12 to 18 years) as 5.6%</w:t>
      </w:r>
      <w:r w:rsidR="006706A6">
        <w:t xml:space="preserve"> </w:t>
      </w:r>
      <w:r w:rsidR="00CC2AFE" w:rsidRPr="00CA6F70">
        <w:rPr>
          <w:rStyle w:val="EndnoteReference"/>
        </w:rPr>
        <w:endnoteReference w:id="71"/>
      </w:r>
      <w:r w:rsidR="004E04E1" w:rsidRPr="00CA6F70">
        <w:t xml:space="preserve">. </w:t>
      </w:r>
    </w:p>
    <w:p w14:paraId="0E1DA661" w14:textId="0F4068D2" w:rsidR="004E04E1" w:rsidRDefault="004E04E1" w:rsidP="00DB5053">
      <w:r w:rsidRPr="00B5070D">
        <w:t>ADHD is typically categori</w:t>
      </w:r>
      <w:r>
        <w:t>s</w:t>
      </w:r>
      <w:r w:rsidRPr="00B5070D">
        <w:t>ed under SEMH</w:t>
      </w:r>
      <w:r w:rsidR="007932B9">
        <w:t xml:space="preserve"> SEND</w:t>
      </w:r>
      <w:r w:rsidRPr="00B5070D">
        <w:t xml:space="preserve"> needs. This is because ADHD often presents with difficulties in social interaction, emotional regulation, and mental well-being.</w:t>
      </w:r>
    </w:p>
    <w:p w14:paraId="2284932F" w14:textId="61CA4CB7" w:rsidR="004E04E1" w:rsidRDefault="00C143A4" w:rsidP="00BE09EC">
      <w:pPr>
        <w:jc w:val="left"/>
      </w:pPr>
      <w:r w:rsidRPr="00293C95">
        <w:t xml:space="preserve">In 2024, within Tower Hamlets, 1,303 pupils in schools were identified as having a </w:t>
      </w:r>
      <w:r w:rsidRPr="00293C95">
        <w:rPr>
          <w:i/>
          <w:iCs/>
        </w:rPr>
        <w:t>primary need</w:t>
      </w:r>
      <w:r w:rsidRPr="00293C95">
        <w:t xml:space="preserve"> of SEMH. This category includes a range of conditions, including ADHD</w:t>
      </w:r>
      <w:r w:rsidR="00A26B6D">
        <w:t xml:space="preserve"> (</w:t>
      </w:r>
      <w:r w:rsidRPr="00293C95">
        <w:t>but does not mean all pupils identified with SEMH have ADHD</w:t>
      </w:r>
      <w:r w:rsidR="00A26B6D">
        <w:t>)</w:t>
      </w:r>
      <w:r w:rsidRPr="00293C95">
        <w:t>. These pupils represent 23% of all pupils receiving SEN support across Tower Hamlets schools</w:t>
      </w:r>
      <w:r w:rsidR="001D7E42" w:rsidRPr="00C143A4">
        <w:t xml:space="preserve">. See figure </w:t>
      </w:r>
      <w:r w:rsidR="00CA6F70" w:rsidRPr="00C143A4">
        <w:t>6.1</w:t>
      </w:r>
      <w:r w:rsidR="001D7E42" w:rsidRPr="00C143A4">
        <w:t>.</w:t>
      </w:r>
    </w:p>
    <w:p w14:paraId="6F08C8C5" w14:textId="377B89E8" w:rsidR="00C270AF" w:rsidRPr="00C270AF" w:rsidRDefault="00C270AF" w:rsidP="00BE09EC">
      <w:pPr>
        <w:jc w:val="left"/>
        <w:rPr>
          <w:sz w:val="18"/>
          <w:szCs w:val="18"/>
        </w:rPr>
      </w:pPr>
      <w:r w:rsidRPr="00C270AF">
        <w:rPr>
          <w:b/>
          <w:bCs/>
          <w:sz w:val="18"/>
          <w:szCs w:val="18"/>
        </w:rPr>
        <w:t xml:space="preserve">Figure </w:t>
      </w:r>
      <w:r w:rsidR="00CE76A1">
        <w:rPr>
          <w:b/>
          <w:bCs/>
          <w:sz w:val="18"/>
          <w:szCs w:val="18"/>
        </w:rPr>
        <w:t>6.1</w:t>
      </w:r>
      <w:r w:rsidRPr="00C270AF">
        <w:rPr>
          <w:b/>
          <w:bCs/>
          <w:sz w:val="18"/>
          <w:szCs w:val="18"/>
        </w:rPr>
        <w:t xml:space="preserve">: Receipt of SEN support type for the primary need of </w:t>
      </w:r>
      <w:r w:rsidR="002733FA">
        <w:rPr>
          <w:b/>
          <w:bCs/>
          <w:sz w:val="18"/>
          <w:szCs w:val="18"/>
        </w:rPr>
        <w:t>SEMH</w:t>
      </w:r>
    </w:p>
    <w:p w14:paraId="20C7FD91" w14:textId="48416AB4" w:rsidR="001D7E42" w:rsidRDefault="00BE09EC" w:rsidP="00D10B36">
      <w:pPr>
        <w:jc w:val="center"/>
      </w:pPr>
      <w:r>
        <w:rPr>
          <w:noProof/>
        </w:rPr>
        <w:drawing>
          <wp:inline distT="0" distB="0" distL="0" distR="0" wp14:anchorId="10A761D2" wp14:editId="69357300">
            <wp:extent cx="3670300" cy="2438400"/>
            <wp:effectExtent l="0" t="0" r="6350" b="0"/>
            <wp:docPr id="1438469012" name="Chart 1">
              <a:extLst xmlns:a="http://schemas.openxmlformats.org/drawingml/2006/main">
                <a:ext uri="{FF2B5EF4-FFF2-40B4-BE49-F238E27FC236}">
                  <a16:creationId xmlns:a16="http://schemas.microsoft.com/office/drawing/2014/main" id="{3DC61B34-276C-DB86-CA3B-84DB40C062D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6E05BCE" w14:textId="3352B90B" w:rsidR="00E63EBF" w:rsidRPr="00CE76A1" w:rsidRDefault="00CE76A1" w:rsidP="00CE76A1">
      <w:pPr>
        <w:spacing w:before="0" w:line="240" w:lineRule="auto"/>
        <w:jc w:val="right"/>
        <w:rPr>
          <w:b/>
          <w:bCs/>
          <w:sz w:val="18"/>
          <w:szCs w:val="18"/>
        </w:rPr>
      </w:pPr>
      <w:r w:rsidRPr="00973B12">
        <w:rPr>
          <w:b/>
          <w:bCs/>
          <w:sz w:val="18"/>
          <w:szCs w:val="18"/>
        </w:rPr>
        <w:t>Source: January 2024 School Census [LBTH Data, March 2024]</w:t>
      </w:r>
    </w:p>
    <w:p w14:paraId="530F318A" w14:textId="0FFDECDC" w:rsidR="004E04E1" w:rsidRDefault="004E04E1" w:rsidP="00DB5053">
      <w:r>
        <w:t>In England, there has been a significant increase in referrals in ADHD assessments and treatments, alongside a rise in ADHD diagnoses. This has been partly attributed to greater public awareness of ADHD and other neurodevelopmental conditions which has driven more people to seek support. This trend has also been observed internationally</w:t>
      </w:r>
      <w:r w:rsidR="001B6EBE">
        <w:t xml:space="preserve"> </w:t>
      </w:r>
      <w:r w:rsidR="006D7A50">
        <w:rPr>
          <w:rStyle w:val="EndnoteReference"/>
        </w:rPr>
        <w:fldChar w:fldCharType="begin"/>
      </w:r>
      <w:r w:rsidR="006D7A50">
        <w:rPr>
          <w:rStyle w:val="EndnoteReference"/>
        </w:rPr>
        <w:instrText xml:space="preserve"> NOTEREF  _Ref205199806 \f \h </w:instrText>
      </w:r>
      <w:r w:rsidR="006D7A50">
        <w:rPr>
          <w:rStyle w:val="EndnoteReference"/>
        </w:rPr>
      </w:r>
      <w:r w:rsidR="006D7A50">
        <w:rPr>
          <w:rStyle w:val="EndnoteReference"/>
        </w:rPr>
        <w:fldChar w:fldCharType="separate"/>
      </w:r>
      <w:r w:rsidR="008722C4" w:rsidRPr="008722C4">
        <w:rPr>
          <w:rStyle w:val="EndnoteReference"/>
        </w:rPr>
        <w:t>8</w:t>
      </w:r>
      <w:r w:rsidR="006D7A50">
        <w:rPr>
          <w:rStyle w:val="EndnoteReference"/>
        </w:rPr>
        <w:fldChar w:fldCharType="end"/>
      </w:r>
      <w:r w:rsidR="006D7A50">
        <w:t xml:space="preserve"> </w:t>
      </w:r>
      <w:r>
        <w:t>and locally. This has recently reduced from 78 weeks following an increase in assessment capacity</w:t>
      </w:r>
      <w:r w:rsidR="001B6EBE">
        <w:t xml:space="preserve"> </w:t>
      </w:r>
      <w:r>
        <w:rPr>
          <w:rStyle w:val="EndnoteReference"/>
        </w:rPr>
        <w:endnoteReference w:id="72"/>
      </w:r>
      <w:r>
        <w:t>.</w:t>
      </w:r>
      <w:r w:rsidR="00351DB3">
        <w:t xml:space="preserve"> </w:t>
      </w:r>
      <w:r w:rsidR="00351DB3" w:rsidRPr="00CA6F70">
        <w:t>However, there remains significant gaps in the reporting of ADHD, reflected as a national challenge.</w:t>
      </w:r>
    </w:p>
    <w:p w14:paraId="08EC4F35" w14:textId="77777777" w:rsidR="004E04E1" w:rsidRPr="004D664B" w:rsidRDefault="004E04E1" w:rsidP="00DB5053">
      <w:pPr>
        <w:pStyle w:val="Heading3"/>
        <w:rPr>
          <w:color w:val="006B70"/>
        </w:rPr>
      </w:pPr>
      <w:bookmarkStart w:id="159" w:name="_Toc205386905"/>
      <w:bookmarkStart w:id="160" w:name="_Toc205387975"/>
      <w:bookmarkStart w:id="161" w:name="_Toc205445986"/>
      <w:r w:rsidRPr="004D664B">
        <w:rPr>
          <w:color w:val="006B70"/>
        </w:rPr>
        <w:t>Diagnosis and pathway</w:t>
      </w:r>
      <w:bookmarkEnd w:id="159"/>
      <w:bookmarkEnd w:id="160"/>
      <w:bookmarkEnd w:id="161"/>
    </w:p>
    <w:p w14:paraId="6CA75016" w14:textId="09D51747" w:rsidR="004E04E1" w:rsidRDefault="004E04E1" w:rsidP="00DB5053">
      <w:r>
        <w:t xml:space="preserve">There is no definitive clinical test of ADHD and therefore diagnosis can be difficult. The GP is the primary referral point, however, schools or other professionals (e.g. health visitors, social care provider) can also initiate referrals. </w:t>
      </w:r>
      <w:r w:rsidR="00E313A5">
        <w:t>For those aged 18 and older, r</w:t>
      </w:r>
      <w:r>
        <w:t>eferrals are made to</w:t>
      </w:r>
      <w:r w:rsidR="00BD784E">
        <w:t xml:space="preserve"> the ADHD service </w:t>
      </w:r>
      <w:r w:rsidR="00BD784E">
        <w:lastRenderedPageBreak/>
        <w:t>at</w:t>
      </w:r>
      <w:r>
        <w:t xml:space="preserve"> East London NHS Foundation </w:t>
      </w:r>
      <w:proofErr w:type="gramStart"/>
      <w:r>
        <w:t>Trust</w:t>
      </w:r>
      <w:r w:rsidR="00BD784E">
        <w:t>.</w:t>
      </w:r>
      <w:r w:rsidR="00E313A5">
        <w:t>.</w:t>
      </w:r>
      <w:proofErr w:type="gramEnd"/>
      <w:r>
        <w:t xml:space="preserve"> For those under the age of 18, diagnosis for children and young people with ADHD are commonly undertaken within CAMHS. These are specialist services for children and young people.</w:t>
      </w:r>
    </w:p>
    <w:p w14:paraId="69B83FCB" w14:textId="77777777" w:rsidR="004E04E1" w:rsidRDefault="004E04E1" w:rsidP="00DB5053">
      <w:r>
        <w:t>CAMHS</w:t>
      </w:r>
      <w:r w:rsidRPr="00C676C5">
        <w:rPr>
          <w:rFonts w:ascii="Arial" w:hAnsi="Arial" w:cs="Arial"/>
          <w:color w:val="545D7E"/>
          <w:spacing w:val="2"/>
          <w:shd w:val="clear" w:color="auto" w:fill="FFFFFF"/>
        </w:rPr>
        <w:t xml:space="preserve"> </w:t>
      </w:r>
      <w:r w:rsidRPr="00C676C5">
        <w:t xml:space="preserve">teams often </w:t>
      </w:r>
      <w:r>
        <w:t>include</w:t>
      </w:r>
      <w:r w:rsidRPr="00C676C5">
        <w:t xml:space="preserve"> psychiatrists, psychologists, and other specialists</w:t>
      </w:r>
      <w:r>
        <w:t xml:space="preserve"> who, as a multi-disciplinary team</w:t>
      </w:r>
      <w:r w:rsidRPr="00C676C5">
        <w:t xml:space="preserve"> conduct assessments to evaluate the child's symptoms and functionin</w:t>
      </w:r>
      <w:r>
        <w:t>g. This involves gathering information and supporting evidence from multiple sources, including the child, parent, teachers and other caregivers. Alongside this, professionals may use standardised screening, behavioural observations and other diagnostic tools to assess for ADHD symptoms, and, if the child meets the criteria for ADHD, a diagnosis will be made. A</w:t>
      </w:r>
      <w:r w:rsidRPr="003A1FD7">
        <w:t xml:space="preserve"> diagnosis of ADHD should only be made by a Child and Adolescent Psychiatrist, Paediatrician or other appropriately qualified healthcare professional (HCP) with training and expertise in the diagnosis of ADHD and other mental health conditions</w:t>
      </w:r>
      <w:r>
        <w:t>.</w:t>
      </w:r>
    </w:p>
    <w:p w14:paraId="5C744CD9" w14:textId="4EEAC6A6" w:rsidR="004E04E1" w:rsidRDefault="004E04E1" w:rsidP="00DB5053">
      <w:r>
        <w:t>I</w:t>
      </w:r>
      <w:r w:rsidRPr="00C676C5">
        <w:t xml:space="preserve">t's important to note that ADHD can often co-occur with other conditions, such as anxiety, depression, or learning difficulties, so CAMHS may </w:t>
      </w:r>
      <w:r w:rsidR="00FE5AA7">
        <w:t>identify</w:t>
      </w:r>
      <w:r w:rsidR="00FE5AA7" w:rsidRPr="00C676C5">
        <w:t xml:space="preserve"> </w:t>
      </w:r>
      <w:r w:rsidRPr="00C676C5">
        <w:t>these as well. After a diagnosis, CAMHS can provide</w:t>
      </w:r>
      <w:r>
        <w:t xml:space="preserve"> </w:t>
      </w:r>
      <w:r w:rsidRPr="00C676C5">
        <w:t>various forms of treatment and support, including medication management, therapy, and school-based strategies</w:t>
      </w:r>
      <w:r>
        <w:t>.</w:t>
      </w:r>
      <w:r w:rsidR="00093B72">
        <w:t xml:space="preserve"> School-based strategies may include </w:t>
      </w:r>
      <w:r w:rsidR="009359C4">
        <w:t xml:space="preserve">staff consultation and training on supporting students, </w:t>
      </w:r>
      <w:r w:rsidR="00FB625D">
        <w:t xml:space="preserve">promoting positive activities or establishing specific support systems within the school environment. </w:t>
      </w:r>
    </w:p>
    <w:p w14:paraId="74B51591" w14:textId="1A78753A" w:rsidR="004E04E1" w:rsidRDefault="004E04E1" w:rsidP="00DB5053">
      <w:r w:rsidRPr="0036463F">
        <w:t xml:space="preserve">While ADHD can be diagnosed at any age, it usually starts before the age of </w:t>
      </w:r>
      <w:r>
        <w:t>12</w:t>
      </w:r>
      <w:r w:rsidRPr="0036463F">
        <w:t>. However, some people do</w:t>
      </w:r>
      <w:r>
        <w:t xml:space="preserve"> </w:t>
      </w:r>
      <w:r w:rsidRPr="0036463F">
        <w:t>n</w:t>
      </w:r>
      <w:r>
        <w:t>o</w:t>
      </w:r>
      <w:r w:rsidRPr="0036463F">
        <w:t xml:space="preserve">t realise they have ADHD until they are older. ADHD can be different for everyone and can </w:t>
      </w:r>
      <w:r>
        <w:t xml:space="preserve">be </w:t>
      </w:r>
      <w:r w:rsidRPr="0036463F">
        <w:t>depen</w:t>
      </w:r>
      <w:r>
        <w:t>dent</w:t>
      </w:r>
      <w:r w:rsidRPr="0036463F">
        <w:t xml:space="preserve"> on age, sex, gender identity and if other neurodevelopment conditions are present</w:t>
      </w:r>
      <w:r w:rsidR="004E2D98">
        <w:t xml:space="preserve"> </w:t>
      </w:r>
      <w:r w:rsidRPr="0036463F">
        <w:rPr>
          <w:rStyle w:val="EndnoteReference"/>
        </w:rPr>
        <w:endnoteReference w:id="73"/>
      </w:r>
      <w:r w:rsidRPr="0036463F">
        <w:t>.</w:t>
      </w:r>
    </w:p>
    <w:p w14:paraId="11F5F6AE" w14:textId="6C485E10" w:rsidR="007547DD" w:rsidRPr="004D664B" w:rsidRDefault="004E04E1" w:rsidP="007547DD">
      <w:pPr>
        <w:pStyle w:val="Heading3"/>
        <w:rPr>
          <w:color w:val="006B70"/>
        </w:rPr>
      </w:pPr>
      <w:bookmarkStart w:id="162" w:name="_Toc205386906"/>
      <w:bookmarkStart w:id="163" w:name="_Toc205387976"/>
      <w:bookmarkStart w:id="164" w:name="_Toc205445987"/>
      <w:r w:rsidRPr="004D664B">
        <w:rPr>
          <w:color w:val="006B70"/>
        </w:rPr>
        <w:t>Healthy Lifestyle</w:t>
      </w:r>
      <w:bookmarkEnd w:id="162"/>
      <w:bookmarkEnd w:id="163"/>
      <w:bookmarkEnd w:id="164"/>
      <w:r w:rsidRPr="004D664B">
        <w:rPr>
          <w:color w:val="006B70"/>
        </w:rPr>
        <w:t xml:space="preserve"> </w:t>
      </w:r>
    </w:p>
    <w:p w14:paraId="1C10D8BF" w14:textId="1A35DFC7" w:rsidR="004E04E1" w:rsidRDefault="004E04E1" w:rsidP="00DB5053">
      <w:r>
        <w:t>ADHD has been associated with poorer health outcomes with the characteristics of inattention, impulsivity and poor planning are likely to contribute to poorer health behaviours, but ADHD can also be influenced by these same behaviours</w:t>
      </w:r>
      <w:r w:rsidR="004E2D98">
        <w:t xml:space="preserve"> </w:t>
      </w:r>
      <w:r>
        <w:rPr>
          <w:rStyle w:val="EndnoteReference"/>
        </w:rPr>
        <w:endnoteReference w:id="74"/>
      </w:r>
      <w:r>
        <w:t xml:space="preserve">. </w:t>
      </w:r>
    </w:p>
    <w:p w14:paraId="4D57D99F" w14:textId="77777777" w:rsidR="004E04E1" w:rsidRDefault="004E04E1" w:rsidP="00F469F9">
      <w:pPr>
        <w:pStyle w:val="Heading5"/>
      </w:pPr>
      <w:r>
        <w:t xml:space="preserve">Physical activity </w:t>
      </w:r>
    </w:p>
    <w:p w14:paraId="3E44987B" w14:textId="1FD3AF90" w:rsidR="004E04E1" w:rsidRDefault="004E04E1" w:rsidP="00DB5053">
      <w:r>
        <w:t>Children and young people with ADHD are often less likely to engage in physical activity compared to their peers without ADHD</w:t>
      </w:r>
      <w:r w:rsidR="004E2D98">
        <w:t xml:space="preserve"> </w:t>
      </w:r>
      <w:r>
        <w:rPr>
          <w:rStyle w:val="EndnoteReference"/>
        </w:rPr>
        <w:endnoteReference w:id="75"/>
      </w:r>
      <w:r>
        <w:t>. Whilst growing evidence demonstrates that physical activity can improve attention</w:t>
      </w:r>
      <w:r w:rsidR="0072149E">
        <w:t xml:space="preserve"> and alleviate symptoms of ADHD</w:t>
      </w:r>
      <w:r>
        <w:t xml:space="preserve">, </w:t>
      </w:r>
      <w:r w:rsidRPr="00B41D18">
        <w:t>children with inattention symptoms are at increased risk of being less physically active in adolescence</w:t>
      </w:r>
      <w:r w:rsidR="00DC54C9">
        <w:t xml:space="preserve"> </w:t>
      </w:r>
      <w:r>
        <w:rPr>
          <w:rStyle w:val="EndnoteReference"/>
        </w:rPr>
        <w:endnoteReference w:id="76"/>
      </w:r>
      <w:r>
        <w:t xml:space="preserve">. </w:t>
      </w:r>
    </w:p>
    <w:p w14:paraId="689A79DA" w14:textId="77777777" w:rsidR="006964CC" w:rsidRDefault="006964CC" w:rsidP="00F469F9">
      <w:pPr>
        <w:pStyle w:val="Heading5"/>
      </w:pPr>
      <w:r>
        <w:t>Healthy eating habits</w:t>
      </w:r>
    </w:p>
    <w:p w14:paraId="094191DD" w14:textId="184DCC7E" w:rsidR="006964CC" w:rsidRDefault="006964CC" w:rsidP="00DB5053">
      <w:r>
        <w:t>Children and young people with ADHD can struggle to eat healthily due to impulsivity, difficulty regulating emotions and challenges with planning and decision-making around food. Additionally, poor sleep, boredom, anxiety, anger and low self-esteem can lead to emotional eating, which can be exacerbated by impulsivity. Furthermore, children and young people with ADHD may struggle to recognise hunger and fullness cues, leading to unpredictable eating patterns. Due to this, it can be difficult to maintain healthy eating habits</w:t>
      </w:r>
      <w:r w:rsidR="002677E4">
        <w:t xml:space="preserve"> </w:t>
      </w:r>
      <w:r>
        <w:rPr>
          <w:rStyle w:val="EndnoteReference"/>
        </w:rPr>
        <w:endnoteReference w:id="77"/>
      </w:r>
      <w:r>
        <w:t>.</w:t>
      </w:r>
      <w:r w:rsidRPr="001B6576">
        <w:rPr>
          <w:rStyle w:val="EndnoteReference"/>
        </w:rPr>
        <w:t xml:space="preserve"> </w:t>
      </w:r>
    </w:p>
    <w:p w14:paraId="64A4A7A2" w14:textId="77777777" w:rsidR="00572FBA" w:rsidRDefault="00572FBA">
      <w:pPr>
        <w:spacing w:before="0" w:after="160" w:line="278" w:lineRule="auto"/>
        <w:jc w:val="left"/>
        <w:rPr>
          <w:b/>
          <w:bCs/>
          <w:sz w:val="18"/>
          <w:szCs w:val="18"/>
        </w:rPr>
      </w:pPr>
      <w:r>
        <w:rPr>
          <w:b/>
          <w:bCs/>
          <w:sz w:val="18"/>
          <w:szCs w:val="18"/>
        </w:rPr>
        <w:br w:type="page"/>
      </w:r>
    </w:p>
    <w:p w14:paraId="56316D04" w14:textId="7BAABDCC" w:rsidR="006964CC" w:rsidRPr="00C270AF" w:rsidRDefault="006964CC" w:rsidP="00DB5053">
      <w:pPr>
        <w:rPr>
          <w:b/>
          <w:bCs/>
          <w:sz w:val="18"/>
          <w:szCs w:val="18"/>
        </w:rPr>
      </w:pPr>
      <w:r w:rsidRPr="00C270AF">
        <w:rPr>
          <w:b/>
          <w:bCs/>
          <w:sz w:val="18"/>
          <w:szCs w:val="18"/>
        </w:rPr>
        <w:lastRenderedPageBreak/>
        <w:t xml:space="preserve">Figure </w:t>
      </w:r>
      <w:r w:rsidR="00CE76A1">
        <w:rPr>
          <w:b/>
          <w:bCs/>
          <w:sz w:val="18"/>
          <w:szCs w:val="18"/>
        </w:rPr>
        <w:t>6.</w:t>
      </w:r>
      <w:r w:rsidR="00CA6F70">
        <w:rPr>
          <w:b/>
          <w:bCs/>
          <w:sz w:val="18"/>
          <w:szCs w:val="18"/>
        </w:rPr>
        <w:t>2</w:t>
      </w:r>
      <w:r w:rsidRPr="00C270AF">
        <w:rPr>
          <w:b/>
          <w:bCs/>
          <w:sz w:val="18"/>
          <w:szCs w:val="18"/>
        </w:rPr>
        <w:t>: The Eatwell guide defining government recommendations on eating healthily and achieving a balanced diet</w:t>
      </w:r>
      <w:r w:rsidR="002677E4">
        <w:rPr>
          <w:b/>
          <w:bCs/>
          <w:sz w:val="18"/>
          <w:szCs w:val="18"/>
        </w:rPr>
        <w:t xml:space="preserve"> </w:t>
      </w:r>
      <w:r w:rsidRPr="00C270AF">
        <w:rPr>
          <w:rStyle w:val="EndnoteReference"/>
          <w:b/>
          <w:bCs/>
          <w:sz w:val="18"/>
          <w:szCs w:val="18"/>
        </w:rPr>
        <w:endnoteReference w:id="78"/>
      </w:r>
      <w:r w:rsidRPr="00C270AF">
        <w:rPr>
          <w:b/>
          <w:bCs/>
          <w:sz w:val="18"/>
          <w:szCs w:val="18"/>
        </w:rPr>
        <w:t>.</w:t>
      </w:r>
    </w:p>
    <w:p w14:paraId="001C2FCC" w14:textId="3506DA46" w:rsidR="004B0406" w:rsidRDefault="003F50EF" w:rsidP="00777F94">
      <w:pPr>
        <w:jc w:val="center"/>
      </w:pPr>
      <w:r>
        <w:rPr>
          <w:noProof/>
        </w:rPr>
        <w:object w:dxaOrig="8419" w:dyaOrig="5950" w14:anchorId="5C69B5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he eat well visual aid." style="width:397.8pt;height:4in;mso-position-horizontal:absolute" o:ole="">
            <v:imagedata r:id="rId24" o:title=""/>
          </v:shape>
          <o:OLEObject Type="Embed" ProgID="Acrobat.Document.DC" ShapeID="_x0000_i1025" DrawAspect="Content" ObjectID="_1838902627" r:id="rId25"/>
        </w:object>
      </w:r>
    </w:p>
    <w:p w14:paraId="246B9A55" w14:textId="08D10B90" w:rsidR="00E63EBF" w:rsidRPr="00CB4D4A" w:rsidRDefault="00E63EBF" w:rsidP="00E63EBF">
      <w:pPr>
        <w:jc w:val="right"/>
        <w:rPr>
          <w:b/>
          <w:bCs/>
          <w:sz w:val="16"/>
          <w:szCs w:val="16"/>
        </w:rPr>
      </w:pPr>
      <w:r w:rsidRPr="00CB4D4A">
        <w:rPr>
          <w:b/>
          <w:bCs/>
          <w:sz w:val="16"/>
          <w:szCs w:val="16"/>
        </w:rPr>
        <w:t>Source:</w:t>
      </w:r>
      <w:r w:rsidR="00186521" w:rsidRPr="00CB4D4A">
        <w:rPr>
          <w:b/>
          <w:bCs/>
          <w:sz w:val="16"/>
          <w:szCs w:val="16"/>
        </w:rPr>
        <w:t xml:space="preserve"> GOV.UK Office for Health Improvement and Disparities – The Eatwell Guide</w:t>
      </w:r>
    </w:p>
    <w:p w14:paraId="338593D1" w14:textId="77777777" w:rsidR="004E04E1" w:rsidRDefault="004E04E1" w:rsidP="00F469F9">
      <w:pPr>
        <w:pStyle w:val="Heading5"/>
      </w:pPr>
      <w:r>
        <w:t>Smoking</w:t>
      </w:r>
    </w:p>
    <w:p w14:paraId="26848C2C" w14:textId="50F711C2" w:rsidR="004E04E1" w:rsidRDefault="004E04E1" w:rsidP="00DB5053">
      <w:r>
        <w:t>Children with ADHD are more likely to smoke cigarettes in adolescence and into adulthood</w:t>
      </w:r>
      <w:r>
        <w:rPr>
          <w:rStyle w:val="EndnoteReference"/>
        </w:rPr>
        <w:endnoteReference w:id="79"/>
      </w:r>
      <w:r>
        <w:t>. Furthermore, research suggest that ADHD in childhood c</w:t>
      </w:r>
      <w:r w:rsidRPr="00C56C61">
        <w:t>onfers a risk for earlier daily smoking onset, faster progression from smoking initiation to daily smoking, more attempts to quit at least once, greater likelihood of relapse during quit attempts, and more severe withdraw</w:t>
      </w:r>
      <w:r>
        <w:t>al</w:t>
      </w:r>
      <w:r w:rsidR="00A6359D">
        <w:t xml:space="preserve"> </w:t>
      </w:r>
      <w:r>
        <w:rPr>
          <w:rStyle w:val="EndnoteReference"/>
        </w:rPr>
        <w:endnoteReference w:id="80"/>
      </w:r>
      <w:r>
        <w:t>.</w:t>
      </w:r>
    </w:p>
    <w:p w14:paraId="46024641" w14:textId="77777777" w:rsidR="004E04E1" w:rsidRDefault="004E04E1" w:rsidP="00F469F9">
      <w:pPr>
        <w:pStyle w:val="Heading5"/>
      </w:pPr>
      <w:r>
        <w:t>Sleep</w:t>
      </w:r>
    </w:p>
    <w:p w14:paraId="604E1662" w14:textId="1702F850" w:rsidR="004E04E1" w:rsidRPr="005127C0" w:rsidRDefault="004E04E1" w:rsidP="00DB5053">
      <w:pPr>
        <w:rPr>
          <w:lang w:val="en-US"/>
        </w:rPr>
      </w:pPr>
      <w:r>
        <w:t xml:space="preserve">Young people with ADHD often experience difficulties with sleep, including trouble falling asleep, staying asleep and waking up. It is anticipated that almost 75% of children with ADHD have sleep problems. A lack of good quality sleep can worsen ADHD symptoms and affect children and young people’s ability to think and reason.  </w:t>
      </w:r>
      <w:r w:rsidR="00A513B3">
        <w:t>Additionally</w:t>
      </w:r>
      <w:r>
        <w:t xml:space="preserve">, it can </w:t>
      </w:r>
      <w:proofErr w:type="gramStart"/>
      <w:r>
        <w:t>have an effect on</w:t>
      </w:r>
      <w:proofErr w:type="gramEnd"/>
      <w:r>
        <w:t xml:space="preserve"> the quality of life of the whole family</w:t>
      </w:r>
      <w:r w:rsidR="007552A4">
        <w:t xml:space="preserve"> </w:t>
      </w:r>
      <w:r>
        <w:rPr>
          <w:rStyle w:val="EndnoteReference"/>
        </w:rPr>
        <w:endnoteReference w:id="81"/>
      </w:r>
      <w:r>
        <w:t xml:space="preserve">. </w:t>
      </w:r>
    </w:p>
    <w:p w14:paraId="2EBDA796" w14:textId="77777777" w:rsidR="004E04E1" w:rsidRPr="004D664B" w:rsidRDefault="004E04E1" w:rsidP="00DB5053">
      <w:pPr>
        <w:pStyle w:val="Heading3"/>
        <w:rPr>
          <w:color w:val="006B70"/>
        </w:rPr>
      </w:pPr>
      <w:bookmarkStart w:id="165" w:name="_Toc205386907"/>
      <w:bookmarkStart w:id="166" w:name="_Toc205387977"/>
      <w:bookmarkStart w:id="167" w:name="_Toc205445988"/>
      <w:r w:rsidRPr="004D664B">
        <w:rPr>
          <w:color w:val="006B70"/>
        </w:rPr>
        <w:t>School Life</w:t>
      </w:r>
      <w:bookmarkEnd w:id="165"/>
      <w:bookmarkEnd w:id="166"/>
      <w:bookmarkEnd w:id="167"/>
      <w:r w:rsidRPr="004D664B">
        <w:rPr>
          <w:color w:val="006B70"/>
        </w:rPr>
        <w:t xml:space="preserve"> </w:t>
      </w:r>
    </w:p>
    <w:p w14:paraId="3CD2F43E" w14:textId="6F69491B" w:rsidR="004E04E1" w:rsidRDefault="004E04E1" w:rsidP="00DB5053">
      <w:r>
        <w:t>Children and young people with ADHD can face significant challenges in educational settings due to inattention, hyperactivity and impulsivity. Y</w:t>
      </w:r>
      <w:r w:rsidRPr="00120263">
        <w:t>oung people with ADHD are more likely to experience lower academic attainment and increased school difficulties compared to their peers</w:t>
      </w:r>
      <w:r w:rsidR="00DD3812">
        <w:t xml:space="preserve"> </w:t>
      </w:r>
      <w:r>
        <w:rPr>
          <w:rStyle w:val="EndnoteReference"/>
        </w:rPr>
        <w:endnoteReference w:id="82"/>
      </w:r>
      <w:r w:rsidRPr="00120263">
        <w:t>. </w:t>
      </w:r>
    </w:p>
    <w:p w14:paraId="03F0C4B2" w14:textId="77777777" w:rsidR="004E04E1" w:rsidRPr="009E4B5D" w:rsidRDefault="004E04E1" w:rsidP="00F469F9">
      <w:pPr>
        <w:pStyle w:val="Heading5"/>
      </w:pPr>
      <w:r w:rsidRPr="009E4B5D">
        <w:t>Emotional and social impact</w:t>
      </w:r>
    </w:p>
    <w:p w14:paraId="46B68FCB" w14:textId="77777777" w:rsidR="004E04E1" w:rsidRDefault="004E04E1" w:rsidP="00DB5053">
      <w:r>
        <w:t xml:space="preserve">Children and young people </w:t>
      </w:r>
      <w:r w:rsidRPr="0055304E">
        <w:t xml:space="preserve">with ADHD often face emotional and social challenges influenced by their interactions with their environment. Difficulties with emotional regulation may result in frequent </w:t>
      </w:r>
      <w:r w:rsidRPr="0055304E">
        <w:lastRenderedPageBreak/>
        <w:t>frustration or sudden outbursts. Additionally, impulsivity and trouble interpreting social cues can make it challenging for them to build and sustain positive peer relationships.</w:t>
      </w:r>
    </w:p>
    <w:p w14:paraId="64B74240" w14:textId="77777777" w:rsidR="004E04E1" w:rsidRPr="009E4B5D" w:rsidRDefault="004E04E1" w:rsidP="00F469F9">
      <w:pPr>
        <w:pStyle w:val="Heading5"/>
      </w:pPr>
      <w:r w:rsidRPr="009E4B5D">
        <w:t>Traditional academic achievement</w:t>
      </w:r>
    </w:p>
    <w:p w14:paraId="6575737B" w14:textId="77777777" w:rsidR="004E04E1" w:rsidRDefault="004E04E1" w:rsidP="00DB5053">
      <w:pPr>
        <w:pStyle w:val="NormalWeb"/>
        <w:rPr>
          <w:rFonts w:ascii="Calibri" w:hAnsi="Calibri" w:cs="Calibri"/>
          <w:sz w:val="22"/>
          <w:szCs w:val="22"/>
        </w:rPr>
      </w:pPr>
      <w:r w:rsidRPr="00257AEF">
        <w:rPr>
          <w:rFonts w:ascii="Calibri" w:hAnsi="Calibri" w:cs="Calibri"/>
          <w:sz w:val="22"/>
          <w:szCs w:val="22"/>
        </w:rPr>
        <w:t>Although students with ADHD often possess significant potential, they may have difficulty maintaining focus. This can hinder their ability to complete assignments, meet deadlines, and reach academic goals.</w:t>
      </w:r>
    </w:p>
    <w:p w14:paraId="65DC148A" w14:textId="77777777" w:rsidR="004E04E1" w:rsidRPr="00257AEF" w:rsidRDefault="004E04E1" w:rsidP="00DB5053">
      <w:pPr>
        <w:pStyle w:val="NormalWeb"/>
        <w:rPr>
          <w:rFonts w:ascii="Calibri" w:hAnsi="Calibri" w:cs="Calibri"/>
          <w:sz w:val="22"/>
          <w:szCs w:val="22"/>
        </w:rPr>
      </w:pPr>
      <w:r>
        <w:rPr>
          <w:rFonts w:ascii="Calibri" w:hAnsi="Calibri" w:cs="Calibri"/>
          <w:sz w:val="22"/>
          <w:szCs w:val="22"/>
        </w:rPr>
        <w:t>P</w:t>
      </w:r>
      <w:r w:rsidRPr="00257AEF">
        <w:rPr>
          <w:rFonts w:ascii="Calibri" w:hAnsi="Calibri" w:cs="Calibri"/>
          <w:sz w:val="22"/>
          <w:szCs w:val="22"/>
        </w:rPr>
        <w:t xml:space="preserve">ersistent struggles and underachievement can negatively affect self-esteem and confidence, leading </w:t>
      </w:r>
      <w:r>
        <w:rPr>
          <w:rFonts w:ascii="Calibri" w:hAnsi="Calibri" w:cs="Calibri"/>
          <w:sz w:val="22"/>
          <w:szCs w:val="22"/>
        </w:rPr>
        <w:t>children and young people</w:t>
      </w:r>
      <w:r w:rsidRPr="00257AEF">
        <w:rPr>
          <w:rFonts w:ascii="Calibri" w:hAnsi="Calibri" w:cs="Calibri"/>
          <w:sz w:val="22"/>
          <w:szCs w:val="22"/>
        </w:rPr>
        <w:t xml:space="preserve"> to feel as though they are not meeting expectations. Providing individuali</w:t>
      </w:r>
      <w:r>
        <w:rPr>
          <w:rFonts w:ascii="Calibri" w:hAnsi="Calibri" w:cs="Calibri"/>
          <w:sz w:val="22"/>
          <w:szCs w:val="22"/>
        </w:rPr>
        <w:t>s</w:t>
      </w:r>
      <w:r w:rsidRPr="00257AEF">
        <w:rPr>
          <w:rFonts w:ascii="Calibri" w:hAnsi="Calibri" w:cs="Calibri"/>
          <w:sz w:val="22"/>
          <w:szCs w:val="22"/>
        </w:rPr>
        <w:t xml:space="preserve">ed support and appropriate accommodations is essential to help </w:t>
      </w:r>
      <w:r>
        <w:rPr>
          <w:rFonts w:ascii="Calibri" w:hAnsi="Calibri" w:cs="Calibri"/>
          <w:sz w:val="22"/>
          <w:szCs w:val="22"/>
        </w:rPr>
        <w:t>children and young people realise</w:t>
      </w:r>
      <w:r w:rsidRPr="00257AEF">
        <w:rPr>
          <w:rFonts w:ascii="Calibri" w:hAnsi="Calibri" w:cs="Calibri"/>
          <w:sz w:val="22"/>
          <w:szCs w:val="22"/>
        </w:rPr>
        <w:t xml:space="preserve"> their strengths, reach their full potential, and experience meaningful success.</w:t>
      </w:r>
    </w:p>
    <w:p w14:paraId="470CF0B0" w14:textId="77777777" w:rsidR="004E04E1" w:rsidRPr="009E4B5D" w:rsidRDefault="004E04E1" w:rsidP="00F469F9">
      <w:pPr>
        <w:pStyle w:val="Heading5"/>
      </w:pPr>
      <w:r w:rsidRPr="009E4B5D">
        <w:t>Self Esteem</w:t>
      </w:r>
    </w:p>
    <w:p w14:paraId="567A61C2" w14:textId="77777777" w:rsidR="004E04E1" w:rsidRDefault="004E04E1" w:rsidP="00DB5053">
      <w:pPr>
        <w:pStyle w:val="NormalWeb"/>
        <w:rPr>
          <w:rFonts w:ascii="Calibri" w:hAnsi="Calibri" w:cs="Calibri"/>
          <w:sz w:val="22"/>
          <w:szCs w:val="22"/>
        </w:rPr>
      </w:pPr>
      <w:r w:rsidRPr="00800961">
        <w:rPr>
          <w:rFonts w:ascii="Calibri" w:hAnsi="Calibri" w:cs="Calibri"/>
          <w:sz w:val="22"/>
          <w:szCs w:val="22"/>
        </w:rPr>
        <w:t xml:space="preserve">Many </w:t>
      </w:r>
      <w:r>
        <w:rPr>
          <w:rFonts w:ascii="Calibri" w:hAnsi="Calibri" w:cs="Calibri"/>
          <w:sz w:val="22"/>
          <w:szCs w:val="22"/>
        </w:rPr>
        <w:t>young people</w:t>
      </w:r>
      <w:r w:rsidRPr="00800961">
        <w:rPr>
          <w:rFonts w:ascii="Calibri" w:hAnsi="Calibri" w:cs="Calibri"/>
          <w:sz w:val="22"/>
          <w:szCs w:val="22"/>
        </w:rPr>
        <w:t xml:space="preserve"> with ADHD experience low self-esteem, often stemming from academic difficulties, social challenges, and persistent feelings of inadequacy.</w:t>
      </w:r>
      <w:r>
        <w:rPr>
          <w:rFonts w:ascii="Calibri" w:hAnsi="Calibri" w:cs="Calibri"/>
          <w:sz w:val="22"/>
          <w:szCs w:val="22"/>
        </w:rPr>
        <w:t xml:space="preserve"> Furthermore, f</w:t>
      </w:r>
      <w:r w:rsidRPr="00800961">
        <w:rPr>
          <w:rFonts w:ascii="Calibri" w:hAnsi="Calibri" w:cs="Calibri"/>
          <w:sz w:val="22"/>
          <w:szCs w:val="22"/>
        </w:rPr>
        <w:t xml:space="preserve">requent setbacks and repeated criticism can further erode </w:t>
      </w:r>
      <w:r>
        <w:rPr>
          <w:rFonts w:ascii="Calibri" w:hAnsi="Calibri" w:cs="Calibri"/>
          <w:sz w:val="22"/>
          <w:szCs w:val="22"/>
        </w:rPr>
        <w:t xml:space="preserve">a </w:t>
      </w:r>
      <w:r w:rsidRPr="00800961">
        <w:rPr>
          <w:rFonts w:ascii="Calibri" w:hAnsi="Calibri" w:cs="Calibri"/>
          <w:sz w:val="22"/>
          <w:szCs w:val="22"/>
        </w:rPr>
        <w:t xml:space="preserve">sense of self-worth, making it harder to believe in abilities or stay motivated to pursue goals. </w:t>
      </w:r>
      <w:r>
        <w:rPr>
          <w:rFonts w:ascii="Calibri" w:hAnsi="Calibri" w:cs="Calibri"/>
          <w:sz w:val="22"/>
          <w:szCs w:val="22"/>
        </w:rPr>
        <w:t xml:space="preserve"> </w:t>
      </w:r>
    </w:p>
    <w:p w14:paraId="300536CE" w14:textId="1A4CD04C" w:rsidR="004E04E1" w:rsidRPr="00BA520A" w:rsidRDefault="004E04E1" w:rsidP="00DB5053">
      <w:pPr>
        <w:pStyle w:val="NormalWeb"/>
        <w:rPr>
          <w:rFonts w:ascii="Calibri" w:hAnsi="Calibri" w:cs="Calibri"/>
          <w:sz w:val="22"/>
          <w:szCs w:val="22"/>
        </w:rPr>
      </w:pPr>
      <w:r w:rsidRPr="00800961">
        <w:rPr>
          <w:rFonts w:ascii="Calibri" w:hAnsi="Calibri" w:cs="Calibri"/>
          <w:sz w:val="22"/>
          <w:szCs w:val="22"/>
        </w:rPr>
        <w:t>However, in all cases, with appropriate strategies and support, children and young people can thrive academically and socially</w:t>
      </w:r>
      <w:r w:rsidR="00581C7E">
        <w:rPr>
          <w:rFonts w:ascii="Calibri" w:hAnsi="Calibri" w:cs="Calibri"/>
          <w:sz w:val="22"/>
          <w:szCs w:val="22"/>
        </w:rPr>
        <w:t xml:space="preserve"> </w:t>
      </w:r>
      <w:r w:rsidRPr="00800961">
        <w:rPr>
          <w:rStyle w:val="EndnoteReference"/>
          <w:rFonts w:ascii="Calibri" w:hAnsi="Calibri" w:cs="Calibri"/>
          <w:sz w:val="22"/>
          <w:szCs w:val="22"/>
        </w:rPr>
        <w:endnoteReference w:id="83"/>
      </w:r>
      <w:r w:rsidRPr="00800961">
        <w:rPr>
          <w:rFonts w:ascii="Calibri" w:hAnsi="Calibri" w:cs="Calibri"/>
          <w:sz w:val="22"/>
          <w:szCs w:val="22"/>
        </w:rPr>
        <w:t>. Evidence suggests individuals with ADHD may be able to ‘hyper-focus’ on things that engage their interest, bring energy and fun to group settings, be creative and think outside the box</w:t>
      </w:r>
      <w:r w:rsidR="00581C7E">
        <w:rPr>
          <w:rFonts w:ascii="Calibri" w:hAnsi="Calibri" w:cs="Calibri"/>
          <w:sz w:val="22"/>
          <w:szCs w:val="22"/>
        </w:rPr>
        <w:t xml:space="preserve"> </w:t>
      </w:r>
      <w:r w:rsidRPr="00800961">
        <w:rPr>
          <w:rStyle w:val="EndnoteReference"/>
          <w:rFonts w:ascii="Calibri" w:hAnsi="Calibri" w:cs="Calibri"/>
          <w:sz w:val="22"/>
          <w:szCs w:val="22"/>
        </w:rPr>
        <w:endnoteReference w:id="84"/>
      </w:r>
      <w:r w:rsidRPr="00800961">
        <w:rPr>
          <w:rFonts w:ascii="Calibri" w:hAnsi="Calibri" w:cs="Calibri"/>
          <w:sz w:val="22"/>
          <w:szCs w:val="22"/>
        </w:rPr>
        <w:t>.</w:t>
      </w:r>
      <w:r w:rsidRPr="00800961">
        <w:rPr>
          <w:rFonts w:ascii="Calibri" w:hAnsi="Calibri" w:cs="Calibri"/>
          <w:sz w:val="22"/>
          <w:szCs w:val="22"/>
        </w:rPr>
        <w:tab/>
      </w:r>
    </w:p>
    <w:p w14:paraId="531442D1" w14:textId="77777777" w:rsidR="004E04E1" w:rsidRPr="004D664B" w:rsidRDefault="004E04E1" w:rsidP="00DB5053">
      <w:pPr>
        <w:pStyle w:val="Heading3"/>
        <w:rPr>
          <w:color w:val="006B70"/>
        </w:rPr>
      </w:pPr>
      <w:bookmarkStart w:id="168" w:name="_Toc205386908"/>
      <w:bookmarkStart w:id="169" w:name="_Toc205387978"/>
      <w:bookmarkStart w:id="170" w:name="_Toc205445989"/>
      <w:r w:rsidRPr="004D664B">
        <w:rPr>
          <w:color w:val="006B70"/>
        </w:rPr>
        <w:t>Outcomes</w:t>
      </w:r>
      <w:bookmarkEnd w:id="168"/>
      <w:bookmarkEnd w:id="169"/>
      <w:bookmarkEnd w:id="170"/>
    </w:p>
    <w:p w14:paraId="4B543ECA" w14:textId="1632DFA8" w:rsidR="004E04E1" w:rsidRDefault="004E04E1" w:rsidP="00DB5053">
      <w:r w:rsidRPr="00530587">
        <w:t>ADHD can have a lifetime impact, with a range of interdependencies with the health, wellbeing, social integration, and quality of life of individuals and families.</w:t>
      </w:r>
      <w:r>
        <w:t xml:space="preserve"> It is therefore associated with a variety of health outcomes, including mental health problems, physical health issues and reduced lifespan</w:t>
      </w:r>
      <w:bookmarkStart w:id="171" w:name="_Ref204721138"/>
      <w:r w:rsidR="00C96FD6">
        <w:t xml:space="preserve"> </w:t>
      </w:r>
      <w:r>
        <w:rPr>
          <w:rStyle w:val="EndnoteReference"/>
        </w:rPr>
        <w:endnoteReference w:id="85"/>
      </w:r>
      <w:bookmarkEnd w:id="171"/>
      <w:r>
        <w:t xml:space="preserve">. Whilst ADHD is not directly a cause of reduced life expectancy, the associated challenges and behaviours can increase the risk of accidents and health problems. Compared to those without the condition, men with ADHD have a life expectancy of 6.8 years shorter, whilst women with ADHD experience an </w:t>
      </w:r>
      <w:proofErr w:type="gramStart"/>
      <w:r>
        <w:t>8.6 year</w:t>
      </w:r>
      <w:proofErr w:type="gramEnd"/>
      <w:r>
        <w:t xml:space="preserve"> reduction</w:t>
      </w:r>
      <w:r w:rsidR="00C41BFC">
        <w:t xml:space="preserve"> </w:t>
      </w:r>
      <w:r>
        <w:rPr>
          <w:rStyle w:val="EndnoteReference"/>
        </w:rPr>
        <w:endnoteReference w:id="86"/>
      </w:r>
      <w:r>
        <w:t xml:space="preserve">. </w:t>
      </w:r>
    </w:p>
    <w:p w14:paraId="79F9B6AD" w14:textId="29F7E0EB" w:rsidR="004E04E1" w:rsidRDefault="004E04E1" w:rsidP="00DB5053">
      <w:r w:rsidRPr="00B76743">
        <w:rPr>
          <w:b/>
          <w:bCs/>
        </w:rPr>
        <w:t xml:space="preserve">Mental </w:t>
      </w:r>
      <w:r>
        <w:rPr>
          <w:b/>
          <w:bCs/>
        </w:rPr>
        <w:t>h</w:t>
      </w:r>
      <w:r w:rsidRPr="00B76743">
        <w:rPr>
          <w:b/>
          <w:bCs/>
        </w:rPr>
        <w:t>ealth</w:t>
      </w:r>
      <w:r>
        <w:t xml:space="preserve">: </w:t>
      </w:r>
      <w:r w:rsidRPr="00530587">
        <w:t>Individuals with ADHD are more likely to experience</w:t>
      </w:r>
      <w:r>
        <w:t xml:space="preserve"> a mental health problem. These include</w:t>
      </w:r>
      <w:r w:rsidRPr="00530587">
        <w:t xml:space="preserve"> anxiety, depression, </w:t>
      </w:r>
      <w:r>
        <w:t>sleep problems, conduct disorder and substance use</w:t>
      </w:r>
      <w:r w:rsidR="008D0186">
        <w:t xml:space="preserve"> </w:t>
      </w:r>
      <w:r>
        <w:rPr>
          <w:rStyle w:val="EndnoteReference"/>
        </w:rPr>
        <w:endnoteReference w:id="87"/>
      </w:r>
      <w:r>
        <w:t>. Research indicates those with ADHD are at an increased risk of substance use (alcohol and other substance use)</w:t>
      </w:r>
    </w:p>
    <w:p w14:paraId="7BE20F3E" w14:textId="5D2AF4A7" w:rsidR="004E04E1" w:rsidRDefault="004E04E1" w:rsidP="00DB5053">
      <w:r w:rsidRPr="00B76743">
        <w:rPr>
          <w:b/>
          <w:bCs/>
        </w:rPr>
        <w:t>Progression to adulthood:</w:t>
      </w:r>
      <w:r>
        <w:t xml:space="preserve"> </w:t>
      </w:r>
      <w:r w:rsidRPr="00523018">
        <w:t>NICE reviewed the diagnostic construct of ADHD across the lifespan and concluded that ADHD in adulthood</w:t>
      </w:r>
      <w:r w:rsidR="00AF1D5B">
        <w:t xml:space="preserve"> </w:t>
      </w:r>
      <w:r w:rsidRPr="00523018">
        <w:t>is often associated with significant impairment</w:t>
      </w:r>
      <w:r w:rsidR="002D0A5B">
        <w:rPr>
          <w:rStyle w:val="FootnoteReference"/>
        </w:rPr>
        <w:footnoteReference w:id="1"/>
      </w:r>
      <w:proofErr w:type="gramStart"/>
      <w:r w:rsidR="002D0A5B">
        <w:t>.</w:t>
      </w:r>
      <w:r w:rsidRPr="00523018">
        <w:t xml:space="preserve"> )</w:t>
      </w:r>
      <w:proofErr w:type="gramEnd"/>
      <w:r w:rsidRPr="00523018">
        <w:t>. </w:t>
      </w:r>
      <w:r>
        <w:t>Adults with ADHD tend to have fewer academic qualifications, as well as difficulties with organising time, prioritising tasks and meeting deadlines.</w:t>
      </w:r>
      <w:r w:rsidR="0005392D" w:rsidRPr="0005392D">
        <w:rPr>
          <w:vertAlign w:val="superscript"/>
        </w:rPr>
        <w:fldChar w:fldCharType="begin"/>
      </w:r>
      <w:r w:rsidR="0005392D" w:rsidRPr="0005392D">
        <w:rPr>
          <w:vertAlign w:val="superscript"/>
        </w:rPr>
        <w:instrText xml:space="preserve"> NOTEREF _Ref204721138 \h </w:instrText>
      </w:r>
      <w:r w:rsidR="0005392D">
        <w:rPr>
          <w:vertAlign w:val="superscript"/>
        </w:rPr>
        <w:instrText xml:space="preserve"> \* MERGEFORMAT </w:instrText>
      </w:r>
      <w:r w:rsidR="0005392D" w:rsidRPr="0005392D">
        <w:rPr>
          <w:vertAlign w:val="superscript"/>
        </w:rPr>
      </w:r>
      <w:r w:rsidR="0005392D" w:rsidRPr="0005392D">
        <w:rPr>
          <w:vertAlign w:val="superscript"/>
        </w:rPr>
        <w:fldChar w:fldCharType="separate"/>
      </w:r>
      <w:r w:rsidR="008722C4">
        <w:rPr>
          <w:vertAlign w:val="superscript"/>
        </w:rPr>
        <w:t>85</w:t>
      </w:r>
      <w:r w:rsidR="0005392D" w:rsidRPr="0005392D">
        <w:rPr>
          <w:vertAlign w:val="superscript"/>
        </w:rPr>
        <w:fldChar w:fldCharType="end"/>
      </w:r>
      <w:r>
        <w:t xml:space="preserve"> Additionally, it is associated with increased rates of criminal convictions, transport incidents, early mortality and suicidal behaviour. It is therefore important to ensure behaviours are appropriately understood in childhood and adolescence. Evidence </w:t>
      </w:r>
      <w:r>
        <w:lastRenderedPageBreak/>
        <w:t>demonstrates individuals living with ADHD, with appropriate support and interventions can live healthy lives.</w:t>
      </w:r>
    </w:p>
    <w:p w14:paraId="2A6FBC3B" w14:textId="77777777" w:rsidR="004E04E1" w:rsidRPr="004D664B" w:rsidRDefault="004E04E1" w:rsidP="00DB5053">
      <w:pPr>
        <w:pStyle w:val="Heading3"/>
        <w:rPr>
          <w:color w:val="006B70"/>
        </w:rPr>
      </w:pPr>
      <w:bookmarkStart w:id="172" w:name="_Toc205386909"/>
      <w:bookmarkStart w:id="173" w:name="_Toc205387979"/>
      <w:bookmarkStart w:id="174" w:name="_Toc205445990"/>
      <w:r w:rsidRPr="004D664B">
        <w:rPr>
          <w:color w:val="006B70"/>
        </w:rPr>
        <w:t>Transitions</w:t>
      </w:r>
      <w:bookmarkEnd w:id="172"/>
      <w:bookmarkEnd w:id="173"/>
      <w:bookmarkEnd w:id="174"/>
      <w:r w:rsidRPr="004D664B">
        <w:rPr>
          <w:color w:val="006B70"/>
        </w:rPr>
        <w:t xml:space="preserve"> </w:t>
      </w:r>
    </w:p>
    <w:p w14:paraId="734C8289" w14:textId="56EC2B65" w:rsidR="00F0556E" w:rsidRPr="008C054E" w:rsidRDefault="00F0556E" w:rsidP="00DB5053">
      <w:pPr>
        <w:rPr>
          <w:lang w:val="en-US"/>
        </w:rPr>
      </w:pPr>
      <w:r w:rsidRPr="008C054E">
        <w:rPr>
          <w:lang w:val="en-US"/>
        </w:rPr>
        <w:t xml:space="preserve">Transitioning </w:t>
      </w:r>
      <w:r w:rsidR="00D06D12" w:rsidRPr="008C054E">
        <w:rPr>
          <w:lang w:val="en-US"/>
        </w:rPr>
        <w:t>fr</w:t>
      </w:r>
      <w:r w:rsidR="008C054E">
        <w:rPr>
          <w:lang w:val="en-US"/>
        </w:rPr>
        <w:t>om</w:t>
      </w:r>
      <w:r w:rsidR="00D06D12" w:rsidRPr="008C054E">
        <w:rPr>
          <w:lang w:val="en-US"/>
        </w:rPr>
        <w:t xml:space="preserve"> child to adult ADHD services is critical for ensuring continued support for young people with AD</w:t>
      </w:r>
      <w:r w:rsidR="006308D5" w:rsidRPr="008C054E">
        <w:rPr>
          <w:lang w:val="en-US"/>
        </w:rPr>
        <w:t>HD and as they move into adulthood.</w:t>
      </w:r>
      <w:r w:rsidR="008C054E" w:rsidRPr="008C054E">
        <w:rPr>
          <w:lang w:val="en-US"/>
        </w:rPr>
        <w:t xml:space="preserve"> Effective transition requires early planning, collaborating between child and adult services, and tailored support to meet individual needs. In Tower Hamlets, this process is facilitated through: </w:t>
      </w:r>
    </w:p>
    <w:p w14:paraId="1B94DCE8" w14:textId="265275EE" w:rsidR="004E04E1" w:rsidRPr="008C054E" w:rsidRDefault="004E04E1" w:rsidP="00DB5053">
      <w:r w:rsidRPr="00C92172">
        <w:rPr>
          <w:b/>
          <w:bCs/>
          <w:lang w:val="en-US"/>
        </w:rPr>
        <w:t>Local Offer:</w:t>
      </w:r>
      <w:r w:rsidRPr="008C054E">
        <w:rPr>
          <w:lang w:val="en-US"/>
        </w:rPr>
        <w:t xml:space="preserve"> The Tower Hamlets Local Offer website provides information on services available for young people with </w:t>
      </w:r>
      <w:r w:rsidR="00592F42">
        <w:rPr>
          <w:lang w:val="en-US"/>
        </w:rPr>
        <w:t>SEND</w:t>
      </w:r>
      <w:r w:rsidRPr="008C054E">
        <w:rPr>
          <w:lang w:val="en-US"/>
        </w:rPr>
        <w:t>, to help navigate transitions at different life stages.</w:t>
      </w:r>
      <w:r w:rsidRPr="008C054E">
        <w:t> </w:t>
      </w:r>
    </w:p>
    <w:p w14:paraId="38EB6FF9" w14:textId="07350C25" w:rsidR="004E04E1" w:rsidRPr="008C054E" w:rsidRDefault="004E04E1" w:rsidP="00DB5053">
      <w:r w:rsidRPr="00C92172">
        <w:rPr>
          <w:b/>
          <w:bCs/>
          <w:lang w:val="en-US"/>
        </w:rPr>
        <w:t>Tower Hamlets Transition Team:</w:t>
      </w:r>
      <w:r w:rsidRPr="008C054E">
        <w:rPr>
          <w:lang w:val="en-US"/>
        </w:rPr>
        <w:t xml:space="preserve"> </w:t>
      </w:r>
      <w:r w:rsidRPr="008C054E">
        <w:t>From the age of 14, for those on an EHC</w:t>
      </w:r>
      <w:r w:rsidR="0051337C" w:rsidRPr="008C054E">
        <w:t>P</w:t>
      </w:r>
      <w:r w:rsidRPr="008C054E">
        <w:t xml:space="preserve">, the annual review will include conversations about preparing for adulthood and life after school. Guidance and support to achieve outcomes such as further education, paid employment, community inclusion and health and wellbeing is provided at this stage. </w:t>
      </w:r>
    </w:p>
    <w:p w14:paraId="3DDF865F" w14:textId="77777777" w:rsidR="004E04E1" w:rsidRPr="00D80545" w:rsidRDefault="004E04E1" w:rsidP="00DB5053">
      <w:pPr>
        <w:pStyle w:val="Heading3"/>
        <w:rPr>
          <w:color w:val="006B70"/>
        </w:rPr>
      </w:pPr>
      <w:bookmarkStart w:id="175" w:name="_Toc205386910"/>
      <w:bookmarkStart w:id="176" w:name="_Toc205387980"/>
      <w:bookmarkStart w:id="177" w:name="_Toc205445991"/>
      <w:r w:rsidRPr="00D80545">
        <w:rPr>
          <w:color w:val="006B70"/>
        </w:rPr>
        <w:t>What works (evidence-based practice)</w:t>
      </w:r>
      <w:bookmarkEnd w:id="175"/>
      <w:bookmarkEnd w:id="176"/>
      <w:bookmarkEnd w:id="177"/>
      <w:r w:rsidRPr="00D80545">
        <w:rPr>
          <w:color w:val="006B70"/>
        </w:rPr>
        <w:t xml:space="preserve"> </w:t>
      </w:r>
    </w:p>
    <w:p w14:paraId="4332CF71" w14:textId="77777777" w:rsidR="004E04E1" w:rsidRDefault="004E04E1" w:rsidP="00DB5053">
      <w:r>
        <w:t>Supporting a child or young person with ADHD typically requires a combination of medication, behavioural therapy and educational support, with a focus on tailoring interventions to individual needs. It also requires understanding, patience and a proactive approach to help children and young people to manage their symptoms and thrive. This includes creating a structured environment, encouraging healthy habits, providing emotional support and advocating for their needs at school</w:t>
      </w:r>
      <w:r>
        <w:rPr>
          <w:rStyle w:val="EndnoteReference"/>
        </w:rPr>
        <w:endnoteReference w:id="88"/>
      </w:r>
      <w:r>
        <w:t>. It is this holistic approach that can significantly improve focus, mood and overall well-being.</w:t>
      </w:r>
    </w:p>
    <w:p w14:paraId="0F4CEF3B" w14:textId="77777777" w:rsidR="004E04E1" w:rsidRDefault="004E04E1" w:rsidP="00DB5053">
      <w:r w:rsidRPr="002F0925">
        <w:rPr>
          <w:b/>
          <w:bCs/>
        </w:rPr>
        <w:t>Lifestyle:</w:t>
      </w:r>
      <w:r>
        <w:t xml:space="preserve"> Establishing a routine can help support children and young people, whilst also encourage a healthy lifestyle to include exercise, a balanced diet and sleep. Setting goals and expectations, breaking down instructions into single steps and positive rewards can help support the development of routines. Where young people are struggling with food and drink, utilising a food and drink diary can help identify preferential foods and be used within school and other settings.</w:t>
      </w:r>
    </w:p>
    <w:p w14:paraId="1582615C" w14:textId="64F09FE8" w:rsidR="004E04E1" w:rsidRDefault="004E04E1" w:rsidP="00DB5053">
      <w:r w:rsidRPr="002F0925">
        <w:rPr>
          <w:b/>
          <w:bCs/>
        </w:rPr>
        <w:t>Education:</w:t>
      </w:r>
      <w:r>
        <w:t xml:space="preserve"> Interventions for children and young people with ADHD focus on creating supportive learning environments and implementing strategies that address specific challenges related to inattention, hyperactivity and impulsivity. Modifying the learning environment continues to be reflected in the research. However, this is</w:t>
      </w:r>
      <w:r w:rsidR="00BA0FE9">
        <w:t>,</w:t>
      </w:r>
      <w:r>
        <w:t xml:space="preserve"> and should be</w:t>
      </w:r>
      <w:r w:rsidR="00BA0FE9">
        <w:t>,</w:t>
      </w:r>
      <w:r>
        <w:t xml:space="preserve"> tailored to the child or young person. This might include regular movement breaks, </w:t>
      </w:r>
      <w:proofErr w:type="gramStart"/>
      <w:r>
        <w:t>adapting</w:t>
      </w:r>
      <w:proofErr w:type="gramEnd"/>
      <w:r>
        <w:t xml:space="preserve"> assessments and helping develop self-regulation skills. These decisions should not be made in isolation of, but in collaboration with the child or young person. Involving the children in decision-making can help encourage the individual to participate in setting goals and choosing strategies that can increase their engagement and motivation</w:t>
      </w:r>
      <w:r>
        <w:rPr>
          <w:rStyle w:val="EndnoteReference"/>
        </w:rPr>
        <w:endnoteReference w:id="89"/>
      </w:r>
      <w:r>
        <w:t xml:space="preserve">. </w:t>
      </w:r>
    </w:p>
    <w:p w14:paraId="45DDBF5E" w14:textId="77777777" w:rsidR="004E04E1" w:rsidRPr="00D80545" w:rsidRDefault="004E04E1" w:rsidP="00DB5053">
      <w:pPr>
        <w:pStyle w:val="Heading3"/>
        <w:rPr>
          <w:color w:val="006B70"/>
        </w:rPr>
      </w:pPr>
      <w:bookmarkStart w:id="178" w:name="_Toc205386911"/>
      <w:bookmarkStart w:id="179" w:name="_Toc205387981"/>
      <w:bookmarkStart w:id="180" w:name="_Toc205445992"/>
      <w:r w:rsidRPr="00D80545">
        <w:rPr>
          <w:color w:val="006B70"/>
        </w:rPr>
        <w:t>Support services</w:t>
      </w:r>
      <w:bookmarkEnd w:id="178"/>
      <w:bookmarkEnd w:id="179"/>
      <w:bookmarkEnd w:id="180"/>
      <w:r w:rsidRPr="00D80545">
        <w:rPr>
          <w:color w:val="006B70"/>
        </w:rPr>
        <w:t xml:space="preserve"> </w:t>
      </w:r>
    </w:p>
    <w:p w14:paraId="670354C9" w14:textId="2EC4C372" w:rsidR="004E04E1" w:rsidRDefault="004E04E1" w:rsidP="00DB5053">
      <w:r>
        <w:rPr>
          <w:b/>
          <w:bCs/>
        </w:rPr>
        <w:t>Local Offer</w:t>
      </w:r>
      <w:r w:rsidR="0088050E">
        <w:rPr>
          <w:b/>
          <w:bCs/>
        </w:rPr>
        <w:t xml:space="preserve"> (universal offer)</w:t>
      </w:r>
      <w:r>
        <w:rPr>
          <w:b/>
          <w:bCs/>
        </w:rPr>
        <w:t xml:space="preserve">: </w:t>
      </w:r>
      <w:r w:rsidRPr="001D1D2F">
        <w:t>The SEND Information, Advice and Support Service (SEND IASS) can provide support and guidance for children and young people with SEND, including ADHD, and their families. </w:t>
      </w:r>
    </w:p>
    <w:p w14:paraId="7AB8B4C7" w14:textId="69828C0E" w:rsidR="00EE0BB8" w:rsidRDefault="004E04E1" w:rsidP="00DB5053">
      <w:r w:rsidRPr="00754552">
        <w:rPr>
          <w:b/>
          <w:bCs/>
        </w:rPr>
        <w:lastRenderedPageBreak/>
        <w:t>The Tower Hamlets ADHD service</w:t>
      </w:r>
      <w:r>
        <w:t>: A</w:t>
      </w:r>
      <w:r w:rsidRPr="00CC2043">
        <w:t xml:space="preserve"> specialist service for adults suspected or diagnosed with ADHD. </w:t>
      </w:r>
      <w:r>
        <w:t xml:space="preserve"> This covers those aged 18 upwards where </w:t>
      </w:r>
      <w:r w:rsidRPr="00CC2043">
        <w:t>assessments and treatment for ADHD</w:t>
      </w:r>
      <w:r>
        <w:t xml:space="preserve"> are offered. At the time this JSNA was published, there was a national shortage and disruption of ADHD medications, attributed to national and international supply and demand. </w:t>
      </w:r>
    </w:p>
    <w:p w14:paraId="244C859C" w14:textId="1F1609CA" w:rsidR="000051A8" w:rsidRPr="00C270AF" w:rsidRDefault="00977D0F" w:rsidP="00DB5053">
      <w:pPr>
        <w:rPr>
          <w:b/>
          <w:bCs/>
          <w:sz w:val="18"/>
          <w:szCs w:val="18"/>
        </w:rPr>
      </w:pPr>
      <w:r>
        <w:rPr>
          <w:b/>
          <w:bCs/>
          <w:noProof/>
        </w:rPr>
        <w:drawing>
          <wp:anchor distT="0" distB="0" distL="114300" distR="114300" simplePos="0" relativeHeight="251658243" behindDoc="0" locked="0" layoutInCell="1" allowOverlap="1" wp14:anchorId="63A14D95" wp14:editId="76F2D261">
            <wp:simplePos x="0" y="0"/>
            <wp:positionH relativeFrom="margin">
              <wp:posOffset>3858986</wp:posOffset>
            </wp:positionH>
            <wp:positionV relativeFrom="paragraph">
              <wp:posOffset>205468</wp:posOffset>
            </wp:positionV>
            <wp:extent cx="2033270" cy="898525"/>
            <wp:effectExtent l="0" t="0" r="0" b="0"/>
            <wp:wrapSquare wrapText="bothSides"/>
            <wp:docPr id="35148242"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48242" name="Picture 41">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33270" cy="898525"/>
                    </a:xfrm>
                    <a:prstGeom prst="rect">
                      <a:avLst/>
                    </a:prstGeom>
                    <a:noFill/>
                  </pic:spPr>
                </pic:pic>
              </a:graphicData>
            </a:graphic>
            <wp14:sizeRelH relativeFrom="page">
              <wp14:pctWidth>0</wp14:pctWidth>
            </wp14:sizeRelH>
            <wp14:sizeRelV relativeFrom="page">
              <wp14:pctHeight>0</wp14:pctHeight>
            </wp14:sizeRelV>
          </wp:anchor>
        </w:drawing>
      </w:r>
      <w:r w:rsidR="000051A8" w:rsidRPr="00C270AF">
        <w:rPr>
          <w:b/>
          <w:bCs/>
          <w:sz w:val="18"/>
          <w:szCs w:val="18"/>
        </w:rPr>
        <w:t xml:space="preserve">Figure </w:t>
      </w:r>
      <w:r w:rsidR="00CE76A1">
        <w:rPr>
          <w:b/>
          <w:bCs/>
          <w:sz w:val="18"/>
          <w:szCs w:val="18"/>
        </w:rPr>
        <w:t>6.</w:t>
      </w:r>
      <w:r w:rsidR="00CA6F70">
        <w:rPr>
          <w:b/>
          <w:bCs/>
          <w:sz w:val="18"/>
          <w:szCs w:val="18"/>
        </w:rPr>
        <w:t>3</w:t>
      </w:r>
      <w:r w:rsidR="000051A8" w:rsidRPr="00C270AF">
        <w:rPr>
          <w:b/>
          <w:bCs/>
          <w:sz w:val="18"/>
          <w:szCs w:val="18"/>
        </w:rPr>
        <w:t>: Docklands Outreach Logo</w:t>
      </w:r>
      <w:r w:rsidR="00403C20">
        <w:rPr>
          <w:rStyle w:val="EndnoteReference"/>
          <w:b/>
          <w:bCs/>
          <w:sz w:val="18"/>
          <w:szCs w:val="18"/>
        </w:rPr>
        <w:endnoteReference w:id="90"/>
      </w:r>
    </w:p>
    <w:p w14:paraId="7A142FD1" w14:textId="1B90DA5E" w:rsidR="00EE0BB8" w:rsidRDefault="004E04E1" w:rsidP="00DB5053">
      <w:r w:rsidRPr="005D2114">
        <w:rPr>
          <w:b/>
          <w:bCs/>
        </w:rPr>
        <w:t>Docklands Outreach:</w:t>
      </w:r>
      <w:r w:rsidRPr="001D1D2F">
        <w:t> Docklands Outreach is health and preventative support agency providing practical and therapeutic support to children (2-13 years old) and young (12-25 years old) living in Tower Hamlets, on a range of emotional and mental health difficulties.</w:t>
      </w:r>
      <w:r>
        <w:t xml:space="preserve"> </w:t>
      </w:r>
    </w:p>
    <w:p w14:paraId="5E126BE5" w14:textId="55DF7EE6" w:rsidR="004E04E1" w:rsidRPr="00DD096B" w:rsidRDefault="004E04E1" w:rsidP="00DB5053">
      <w:r>
        <w:t>Referrals for children and young people are accepted when neurodiversity is not a primary factor.</w:t>
      </w:r>
    </w:p>
    <w:p w14:paraId="03C20769" w14:textId="77777777" w:rsidR="004E04E1" w:rsidRPr="00D80545" w:rsidRDefault="004E04E1" w:rsidP="00DB5053">
      <w:pPr>
        <w:pStyle w:val="Heading3"/>
        <w:rPr>
          <w:color w:val="006B70"/>
        </w:rPr>
      </w:pPr>
      <w:r w:rsidRPr="00D80545">
        <w:rPr>
          <w:rFonts w:ascii="Times New Roman" w:hAnsi="Times New Roman" w:cs="Times New Roman"/>
          <w:color w:val="006B70"/>
        </w:rPr>
        <w:t xml:space="preserve"> </w:t>
      </w:r>
      <w:bookmarkStart w:id="181" w:name="_Toc205386912"/>
      <w:bookmarkStart w:id="182" w:name="_Toc205387982"/>
      <w:bookmarkStart w:id="183" w:name="_Toc205445993"/>
      <w:r w:rsidRPr="00D80545">
        <w:rPr>
          <w:color w:val="006B70"/>
        </w:rPr>
        <w:t>Gaps</w:t>
      </w:r>
      <w:bookmarkEnd w:id="181"/>
      <w:bookmarkEnd w:id="182"/>
      <w:bookmarkEnd w:id="183"/>
    </w:p>
    <w:p w14:paraId="45A30B1B" w14:textId="224229A9" w:rsidR="004E04E1" w:rsidRDefault="004E04E1" w:rsidP="00DB5053">
      <w:r>
        <w:t>NHS England commissioned a rapid review in the ADHD service provision within the NHS. This initial work identified a variety of challenges that are outlined below</w:t>
      </w:r>
      <w:r w:rsidR="007B755B">
        <w:t xml:space="preserve"> </w:t>
      </w:r>
      <w:r>
        <w:rPr>
          <w:rStyle w:val="EndnoteReference"/>
        </w:rPr>
        <w:endnoteReference w:id="91"/>
      </w:r>
      <w:r>
        <w:t xml:space="preserve">. </w:t>
      </w:r>
      <w:r w:rsidRPr="005F7235">
        <w:t>Evidence indicates that a holistic approach can improve health and wellbeing outcomes. In relation to ADHD, this highlights the importance of considering several contextual factors.</w:t>
      </w:r>
    </w:p>
    <w:p w14:paraId="1AEDDAFC" w14:textId="77777777" w:rsidR="004E04E1" w:rsidRPr="00CA4E04" w:rsidRDefault="004E04E1" w:rsidP="00BF63ED">
      <w:pPr>
        <w:pStyle w:val="ListParagraph"/>
        <w:numPr>
          <w:ilvl w:val="0"/>
          <w:numId w:val="17"/>
        </w:numPr>
      </w:pPr>
      <w:r w:rsidRPr="00CA4E04">
        <w:t>ADHD service provision and interrelated policies need a joined-up approach across health, care, education, and the justice system. Improving access, experience, and outcomes for people cannot be done by health focused work alone.</w:t>
      </w:r>
    </w:p>
    <w:p w14:paraId="31F6B6A9" w14:textId="54A479CF" w:rsidR="004E04E1" w:rsidRPr="00CA4E04" w:rsidRDefault="004E04E1" w:rsidP="00BF63ED">
      <w:pPr>
        <w:numPr>
          <w:ilvl w:val="0"/>
          <w:numId w:val="2"/>
        </w:numPr>
      </w:pPr>
      <w:r w:rsidRPr="00CA4E04">
        <w:t xml:space="preserve">The lack of good ADHD data sources means it is difficult to fully understand the size of the problem. There </w:t>
      </w:r>
      <w:r w:rsidR="00CB4AE7">
        <w:t>are limitations in existing</w:t>
      </w:r>
      <w:r w:rsidRPr="00CA4E04">
        <w:t xml:space="preserve"> evidence explaining what is driving recent increases in demand for ADHD services. The drivers are complex, spanning wider societal issues and education policy. There is limited international data and evidence to draw on.</w:t>
      </w:r>
    </w:p>
    <w:p w14:paraId="60CA4550" w14:textId="0DC73579" w:rsidR="004E04E1" w:rsidRPr="00CA4E04" w:rsidRDefault="004E04E1" w:rsidP="00BF63ED">
      <w:pPr>
        <w:numPr>
          <w:ilvl w:val="0"/>
          <w:numId w:val="2"/>
        </w:numPr>
      </w:pPr>
      <w:r w:rsidRPr="00CA4E04">
        <w:t>Services have not kept pace with demand and need</w:t>
      </w:r>
      <w:r w:rsidR="00545045" w:rsidRPr="00CA4E04">
        <w:t>;</w:t>
      </w:r>
      <w:r w:rsidRPr="00CA4E04">
        <w:t xml:space="preserve"> there has been a rapid growth of independent sector provision in the market for ADHD services. There is a need to work with systems and providers (including non-NHS providers) to better understand the different service models being used and the challenges being experienced at different points of the pathway.</w:t>
      </w:r>
    </w:p>
    <w:p w14:paraId="4AD1F8AF" w14:textId="77777777" w:rsidR="004E04E1" w:rsidRPr="00CA4E04" w:rsidRDefault="004E04E1" w:rsidP="00BF63ED">
      <w:pPr>
        <w:numPr>
          <w:ilvl w:val="0"/>
          <w:numId w:val="2"/>
        </w:numPr>
      </w:pPr>
      <w:r w:rsidRPr="00CA4E04">
        <w:t>Data suggests that some populations are at increased risk of experiencing inequalities in access, experience, and outcomes. At-risk cohorts include both victims and perpetrators of crime, those facing broader social and economic deprivation, and those from marginalised groups.</w:t>
      </w:r>
    </w:p>
    <w:p w14:paraId="743E3D9E" w14:textId="44E1CC9F" w:rsidR="004E04E1" w:rsidRPr="00FC4104" w:rsidRDefault="006411A9" w:rsidP="00DB5053">
      <w:r w:rsidRPr="006411A9">
        <w:rPr>
          <w:b/>
          <w:bCs/>
        </w:rPr>
        <w:t>Reduce the over-reliance on formal diagnosis as the primary gateway to support:</w:t>
      </w:r>
      <w:r>
        <w:t xml:space="preserve"> </w:t>
      </w:r>
      <w:r w:rsidR="004E04E1">
        <w:t xml:space="preserve">There is an overemphasis on a diagnosis acting </w:t>
      </w:r>
      <w:proofErr w:type="gramStart"/>
      <w:r w:rsidR="004E04E1">
        <w:t>as a means to</w:t>
      </w:r>
      <w:proofErr w:type="gramEnd"/>
      <w:r w:rsidR="004E04E1">
        <w:t xml:space="preserve"> promote understanding and management within ADHD. However, that wait times for assessment / diagnosis remain significantly high. As such, gaps remain in the provision of advice, guidance and information whilst waiting</w:t>
      </w:r>
      <w:r w:rsidR="0022483A">
        <w:t xml:space="preserve">. </w:t>
      </w:r>
    </w:p>
    <w:p w14:paraId="12CED3C2" w14:textId="64EA778C" w:rsidR="004E04E1" w:rsidRDefault="004E04E1" w:rsidP="00DB5053">
      <w:r w:rsidRPr="00C676C5">
        <w:rPr>
          <w:b/>
          <w:bCs/>
        </w:rPr>
        <w:t>Accessibility to information and advice:</w:t>
      </w:r>
      <w:r w:rsidR="00266772">
        <w:t xml:space="preserve"> Although ADHD is mentioned in various materials linked to the Local Offer, it is not clear how someone can access information, advice and guidance for ADHD.</w:t>
      </w:r>
      <w:r w:rsidR="00A5130F">
        <w:t xml:space="preserve"> </w:t>
      </w:r>
      <w:r>
        <w:t xml:space="preserve">Furthermore, understanding the diagnosis pathway for ADHD for children and young people remains </w:t>
      </w:r>
      <w:r>
        <w:lastRenderedPageBreak/>
        <w:t xml:space="preserve">challenging, and this information is not readily available when carrying out a search a parent might undertake. </w:t>
      </w:r>
    </w:p>
    <w:p w14:paraId="20F75F92" w14:textId="5A11FA7D" w:rsidR="00D12815" w:rsidRDefault="004D4EA5" w:rsidP="00DB5053">
      <w:r w:rsidRPr="00881F4D">
        <w:rPr>
          <w:b/>
          <w:bCs/>
        </w:rPr>
        <w:t xml:space="preserve">Overlapping of neurodiverse </w:t>
      </w:r>
      <w:r w:rsidR="00881F4D" w:rsidRPr="00881F4D">
        <w:rPr>
          <w:b/>
          <w:bCs/>
        </w:rPr>
        <w:t>symptoms:</w:t>
      </w:r>
      <w:r w:rsidR="00881F4D">
        <w:t xml:space="preserve"> </w:t>
      </w:r>
      <w:r w:rsidR="008F7329" w:rsidRPr="008F7329">
        <w:t>Many neurodiverse conditions share overlapping traits, yet children and young people are often assessed separately for individual conditions. A single-condition focus can result in duplicated professional efforts</w:t>
      </w:r>
      <w:r w:rsidR="008F7329">
        <w:t xml:space="preserve">, </w:t>
      </w:r>
      <w:r w:rsidR="008F7329" w:rsidRPr="008F7329">
        <w:t>for example, a nursery educational psychologist may be assessing a child for suspected ASD, while another practitioner is simultaneously exploring ADHD. This fragmented approach can cause confusion, delays, and increased emotional stress for parents and carers. A more integrated, holistic assessment model would improve efficiency, reduce duplication, and provide clearer pathways for families.</w:t>
      </w:r>
    </w:p>
    <w:p w14:paraId="2188E0D2" w14:textId="707954B7" w:rsidR="00981DF8" w:rsidRPr="00DD096B" w:rsidRDefault="00D7418F" w:rsidP="00DB5053">
      <w:r w:rsidRPr="00D7418F">
        <w:rPr>
          <w:b/>
          <w:bCs/>
        </w:rPr>
        <w:t>Education support whilst waiting a diagnosis</w:t>
      </w:r>
      <w:r w:rsidR="00981DF8" w:rsidRPr="00D7418F">
        <w:rPr>
          <w:b/>
        </w:rPr>
        <w:t>:</w:t>
      </w:r>
      <w:r w:rsidR="00981DF8">
        <w:t xml:space="preserve"> </w:t>
      </w:r>
      <w:r w:rsidR="00F52C4F" w:rsidRPr="00F52C4F">
        <w:t>In many education settings, access to targeted support is often dependent on a formal diagnosis. As a result, children and young people who are awaiting assessment may not receive the level or type of support they need during this critical period. This gap can negatively impact their learning, wellbeing, and behaviour, particularly for those with neurodevelopmental needs such as ADHD or autism.</w:t>
      </w:r>
    </w:p>
    <w:p w14:paraId="239E689C" w14:textId="77777777" w:rsidR="004E04E1" w:rsidRPr="00D80545" w:rsidRDefault="004E04E1" w:rsidP="00DB5053">
      <w:pPr>
        <w:pStyle w:val="Heading3"/>
        <w:rPr>
          <w:color w:val="006B70"/>
        </w:rPr>
      </w:pPr>
      <w:bookmarkStart w:id="184" w:name="_Toc205386913"/>
      <w:bookmarkStart w:id="185" w:name="_Toc205387983"/>
      <w:bookmarkStart w:id="186" w:name="_Toc205445994"/>
      <w:r w:rsidRPr="00D80545">
        <w:rPr>
          <w:color w:val="006B70"/>
        </w:rPr>
        <w:t>Recommendations</w:t>
      </w:r>
      <w:bookmarkEnd w:id="184"/>
      <w:bookmarkEnd w:id="185"/>
      <w:bookmarkEnd w:id="186"/>
      <w:r w:rsidRPr="00D80545">
        <w:rPr>
          <w:color w:val="006B70"/>
        </w:rPr>
        <w:t xml:space="preserve"> </w:t>
      </w:r>
    </w:p>
    <w:p w14:paraId="479497D8" w14:textId="09D53794" w:rsidR="0090322B" w:rsidRPr="0090322B" w:rsidRDefault="00EA36DF" w:rsidP="0090322B">
      <w:r>
        <w:t>Based on the analysis, the following recommendations are made:</w:t>
      </w:r>
    </w:p>
    <w:p w14:paraId="6FA14CB7" w14:textId="48D5C8D7" w:rsidR="00F709CB" w:rsidRDefault="00A4481C" w:rsidP="00BF63ED">
      <w:pPr>
        <w:pStyle w:val="ListParagraph"/>
        <w:numPr>
          <w:ilvl w:val="0"/>
          <w:numId w:val="17"/>
        </w:numPr>
      </w:pPr>
      <w:r w:rsidRPr="0090322B">
        <w:rPr>
          <w:b/>
          <w:bCs/>
        </w:rPr>
        <w:t>A holistic approach to identification</w:t>
      </w:r>
      <w:r w:rsidR="004E04E1">
        <w:t xml:space="preserve">: </w:t>
      </w:r>
      <w:r w:rsidR="003A2EE2" w:rsidRPr="003A2EE2">
        <w:t>Whil</w:t>
      </w:r>
      <w:r w:rsidR="003A2EE2">
        <w:t>st</w:t>
      </w:r>
      <w:r w:rsidR="003A2EE2" w:rsidRPr="003A2EE2">
        <w:t xml:space="preserve"> ADHD is often associated with learning disabilities or mental health disorders, it should be addressed within the broader framework of neurodevelopmental support provision</w:t>
      </w:r>
      <w:r w:rsidR="003A2EE2">
        <w:t xml:space="preserve">. </w:t>
      </w:r>
      <w:r w:rsidR="00847C59">
        <w:t xml:space="preserve">Given the overlapping of characteristics of ADHD, autism and other neurodiverse conditions, </w:t>
      </w:r>
      <w:r w:rsidR="00F709CB" w:rsidRPr="00F709CB">
        <w:t>a more integrated, holistic assessment model is needed</w:t>
      </w:r>
      <w:r w:rsidR="005001DB">
        <w:t xml:space="preserve">, </w:t>
      </w:r>
      <w:r w:rsidR="00F709CB" w:rsidRPr="00F709CB">
        <w:t>one that looks across neurodevelopmental needs rather than focusing on isolated diagnoses. Such a model would improve efficiency, reduce duplication, and provide clearer, more coordinated support pathways for families. All assessment and intervention should remain person-centred, recognising the unique profile of strengths and challenges each child presents, regardless of diagnostic label.</w:t>
      </w:r>
    </w:p>
    <w:p w14:paraId="77FF2F9D" w14:textId="48A0560A" w:rsidR="00A4481C" w:rsidRDefault="00941865" w:rsidP="00BF63ED">
      <w:pPr>
        <w:pStyle w:val="ListParagraph"/>
        <w:numPr>
          <w:ilvl w:val="0"/>
          <w:numId w:val="17"/>
        </w:numPr>
      </w:pPr>
      <w:r w:rsidRPr="0090322B">
        <w:rPr>
          <w:b/>
          <w:bCs/>
        </w:rPr>
        <w:t>Understanding the drivers of ADHD:</w:t>
      </w:r>
      <w:r>
        <w:t xml:space="preserve"> </w:t>
      </w:r>
      <w:r w:rsidR="00A4481C" w:rsidRPr="00A4481C">
        <w:t xml:space="preserve">It is important to undertake local research to explore the factors contributing to the rising demand for ADHD assessments and support. While this reflects a broader national trend, developing local insights can provide a deeper understanding of the unique challenges within the borough. This knowledge can </w:t>
      </w:r>
      <w:r w:rsidR="001B7F35">
        <w:t xml:space="preserve">then be used to </w:t>
      </w:r>
      <w:r w:rsidR="00A4481C" w:rsidRPr="00A4481C">
        <w:t>inform more targeted interventions, resource planning, and service design.</w:t>
      </w:r>
    </w:p>
    <w:p w14:paraId="4B35D09B" w14:textId="6650ECB0" w:rsidR="00EA36DF" w:rsidRDefault="004E04E1" w:rsidP="00BF63ED">
      <w:pPr>
        <w:pStyle w:val="ListParagraph"/>
        <w:numPr>
          <w:ilvl w:val="0"/>
          <w:numId w:val="17"/>
        </w:numPr>
        <w:spacing w:line="278" w:lineRule="auto"/>
        <w:jc w:val="left"/>
      </w:pPr>
      <w:r w:rsidRPr="0090322B">
        <w:rPr>
          <w:b/>
          <w:bCs/>
        </w:rPr>
        <w:t>Provision of resources for schools supporting children awaiting a formal diagnosis</w:t>
      </w:r>
      <w:r>
        <w:t xml:space="preserve">: </w:t>
      </w:r>
      <w:r w:rsidRPr="005D2114">
        <w:t>ADHD does not begin the day it is diagnosed, and although SEN support may be given through a school-managed budget, often economic resources are only accessible to schools and families from the point of diagnosis. Schools need additional resourcing to provide individuali</w:t>
      </w:r>
      <w:r>
        <w:t>se</w:t>
      </w:r>
      <w:r w:rsidRPr="005D2114">
        <w:t>d and easy-to-access support for the needs of children who are waiting for assessment or who may have impairments that do not meet diagnostic thresholds.</w:t>
      </w:r>
    </w:p>
    <w:p w14:paraId="35075B82" w14:textId="213030C2" w:rsidR="005C1D95" w:rsidRDefault="005C1D95" w:rsidP="00BF63ED">
      <w:pPr>
        <w:pStyle w:val="ListParagraph"/>
        <w:numPr>
          <w:ilvl w:val="0"/>
          <w:numId w:val="17"/>
        </w:numPr>
        <w:spacing w:line="278" w:lineRule="auto"/>
        <w:jc w:val="left"/>
      </w:pPr>
      <w:r w:rsidRPr="00EA36DF">
        <w:rPr>
          <w:b/>
        </w:rPr>
        <w:t>Improve clarity and visibility of information:</w:t>
      </w:r>
      <w:r>
        <w:t xml:space="preserve"> Review and update the Local Offer to include a </w:t>
      </w:r>
      <w:r w:rsidR="00C07017">
        <w:t>clearly</w:t>
      </w:r>
      <w:r>
        <w:t xml:space="preserve"> defined section on Neurodiversity and ADHD. This should outline how it presents, </w:t>
      </w:r>
      <w:r w:rsidR="00C07017">
        <w:t xml:space="preserve">the local pathway, available support before and after diagnosis, where to access information, advice and guidance. </w:t>
      </w:r>
    </w:p>
    <w:p w14:paraId="7BF5946C" w14:textId="5215EC10" w:rsidR="00ED6B0F" w:rsidRPr="00D80545" w:rsidRDefault="00ED6B0F" w:rsidP="00C07552">
      <w:pPr>
        <w:pStyle w:val="Heading3"/>
        <w:rPr>
          <w:color w:val="006B70"/>
        </w:rPr>
      </w:pPr>
      <w:bookmarkStart w:id="187" w:name="_Toc205386914"/>
      <w:bookmarkStart w:id="188" w:name="_Toc205387984"/>
      <w:bookmarkStart w:id="189" w:name="_Toc205445995"/>
      <w:r w:rsidRPr="00D80545">
        <w:rPr>
          <w:color w:val="006B70"/>
        </w:rPr>
        <w:lastRenderedPageBreak/>
        <w:t>Su</w:t>
      </w:r>
      <w:r w:rsidR="00F43F01" w:rsidRPr="00D80545">
        <w:rPr>
          <w:color w:val="006B70"/>
        </w:rPr>
        <w:t>mmary</w:t>
      </w:r>
      <w:bookmarkEnd w:id="187"/>
      <w:bookmarkEnd w:id="188"/>
      <w:bookmarkEnd w:id="189"/>
    </w:p>
    <w:p w14:paraId="7A2B97B2" w14:textId="275A912B" w:rsidR="00FA28EC" w:rsidRDefault="00FA28EC" w:rsidP="00FA28EC">
      <w:r w:rsidRPr="00895BB7">
        <w:t>ADHD is a complex, lifelong condition that affects attention, behaviour and emotional regulation from childhood into adulthood. While its causes are multifactorial, its impact can be seen across physical and mental health, education, and social outcomes. In Tower Hamlets, rates of ADHD are rising, with long waits for assessment, fragmented pathways, and gaps in school support for undiagnosed children. A more integrated, holistic model is needed</w:t>
      </w:r>
      <w:r w:rsidR="001C7748" w:rsidRPr="00895BB7">
        <w:t xml:space="preserve">, </w:t>
      </w:r>
      <w:r w:rsidRPr="00895BB7">
        <w:t xml:space="preserve">one that considers overlapping neurodiverse traits, provides equitable support at all stages, and empowers schools and families with timely information and resources. </w:t>
      </w:r>
      <w:r w:rsidR="005A4D2B" w:rsidRPr="00895BB7">
        <w:t xml:space="preserve">As such, the recommendations focus on </w:t>
      </w:r>
      <w:r w:rsidR="00895BB7" w:rsidRPr="00895BB7">
        <w:t xml:space="preserve">developing greater insights on ADHD within the local area, </w:t>
      </w:r>
      <w:r w:rsidR="005A4D2B" w:rsidRPr="00895BB7">
        <w:t>improving clarity, coordination, and access to ADHD-related support across health, education, and social care systems, both before and after diagnosis. They aim to encourage earlier intervention</w:t>
      </w:r>
      <w:r w:rsidR="00B77876" w:rsidRPr="00895BB7">
        <w:t xml:space="preserve"> </w:t>
      </w:r>
      <w:r w:rsidR="005A4D2B" w:rsidRPr="00895BB7">
        <w:t>and provide targeted help for children and young people awaiting assessment</w:t>
      </w:r>
      <w:r w:rsidR="00895BB7" w:rsidRPr="00895BB7">
        <w:t>.</w:t>
      </w:r>
    </w:p>
    <w:p w14:paraId="064AD255" w14:textId="77777777" w:rsidR="00DA6D64" w:rsidRDefault="00DA6D64">
      <w:pPr>
        <w:spacing w:before="0" w:after="160" w:line="278" w:lineRule="auto"/>
        <w:jc w:val="left"/>
        <w:rPr>
          <w:b/>
          <w:bCs/>
          <w:color w:val="00435D"/>
          <w:sz w:val="44"/>
          <w:szCs w:val="36"/>
        </w:rPr>
      </w:pPr>
      <w:bookmarkStart w:id="190" w:name="_Toc211414158"/>
      <w:r>
        <w:br w:type="page"/>
      </w:r>
    </w:p>
    <w:p w14:paraId="2E3E84A5" w14:textId="703A6458" w:rsidR="004E04E1" w:rsidRDefault="004E04E1" w:rsidP="006C60F3">
      <w:pPr>
        <w:pStyle w:val="Heading2"/>
      </w:pPr>
      <w:bookmarkStart w:id="191" w:name="_Toc211440057"/>
      <w:r w:rsidRPr="006F45EE">
        <w:lastRenderedPageBreak/>
        <w:t xml:space="preserve">Communication and Interaction: Speech Language and Communication Needs </w:t>
      </w:r>
      <w:r w:rsidR="00B4358F">
        <w:t>(SLCN)</w:t>
      </w:r>
      <w:bookmarkEnd w:id="190"/>
      <w:bookmarkEnd w:id="191"/>
    </w:p>
    <w:p w14:paraId="3449E1E8" w14:textId="77777777" w:rsidR="009670BF" w:rsidRDefault="009670BF" w:rsidP="009670BF">
      <w:r w:rsidRPr="009670BF">
        <w:t>Children and young people with speech, language and communication needs (SLCN) experience difficulties with communication. SLCN is an umbrella term that covers a range of challenges affecting one or more areas, including:</w:t>
      </w:r>
    </w:p>
    <w:p w14:paraId="7835D693" w14:textId="007CC04F" w:rsidR="00CE76A1" w:rsidRDefault="00B4358F" w:rsidP="00BF63ED">
      <w:pPr>
        <w:pStyle w:val="ListParagraph"/>
        <w:numPr>
          <w:ilvl w:val="0"/>
          <w:numId w:val="54"/>
        </w:numPr>
      </w:pPr>
      <w:r w:rsidRPr="009670BF">
        <w:rPr>
          <w:b/>
          <w:bCs/>
        </w:rPr>
        <w:t>R</w:t>
      </w:r>
      <w:r w:rsidR="003B0DE8" w:rsidRPr="009670BF">
        <w:rPr>
          <w:b/>
          <w:bCs/>
        </w:rPr>
        <w:t>eceptive language</w:t>
      </w:r>
      <w:r w:rsidRPr="009670BF">
        <w:rPr>
          <w:b/>
          <w:bCs/>
        </w:rPr>
        <w:t>:</w:t>
      </w:r>
      <w:r>
        <w:t xml:space="preserve"> Understanding what other say</w:t>
      </w:r>
    </w:p>
    <w:p w14:paraId="52D915C5" w14:textId="412DEA0C" w:rsidR="00B4358F" w:rsidRDefault="00B4358F" w:rsidP="00BF63ED">
      <w:pPr>
        <w:pStyle w:val="ListParagraph"/>
        <w:numPr>
          <w:ilvl w:val="0"/>
          <w:numId w:val="53"/>
        </w:numPr>
      </w:pPr>
      <w:r w:rsidRPr="009670BF">
        <w:rPr>
          <w:b/>
          <w:bCs/>
        </w:rPr>
        <w:t>Expressive language:</w:t>
      </w:r>
      <w:r>
        <w:t xml:space="preserve"> Selecting and joining words together in the correct order to convey meaning</w:t>
      </w:r>
    </w:p>
    <w:p w14:paraId="44806235" w14:textId="56795827" w:rsidR="00B4358F" w:rsidRDefault="00B4358F" w:rsidP="00BF63ED">
      <w:pPr>
        <w:pStyle w:val="ListParagraph"/>
        <w:numPr>
          <w:ilvl w:val="0"/>
          <w:numId w:val="53"/>
        </w:numPr>
      </w:pPr>
      <w:r w:rsidRPr="009670BF">
        <w:rPr>
          <w:b/>
          <w:bCs/>
        </w:rPr>
        <w:t>Social communication and pragmatics:</w:t>
      </w:r>
      <w:r>
        <w:t xml:space="preserve"> Interacting with others, including turn-taking and interpretating facial expressions and body language</w:t>
      </w:r>
    </w:p>
    <w:p w14:paraId="5E6FF322" w14:textId="6928BAC5" w:rsidR="00B4358F" w:rsidRDefault="00B4358F" w:rsidP="00BF63ED">
      <w:pPr>
        <w:pStyle w:val="ListParagraph"/>
        <w:numPr>
          <w:ilvl w:val="0"/>
          <w:numId w:val="53"/>
        </w:numPr>
      </w:pPr>
      <w:r w:rsidRPr="009670BF">
        <w:rPr>
          <w:b/>
          <w:bCs/>
        </w:rPr>
        <w:t>Speech:</w:t>
      </w:r>
      <w:r>
        <w:t xml:space="preserve"> Using speech sounds accurately and in the right places</w:t>
      </w:r>
    </w:p>
    <w:p w14:paraId="0B4B4813" w14:textId="6410BAA8" w:rsidR="00B4358F" w:rsidRDefault="00B4358F" w:rsidP="00BF63ED">
      <w:pPr>
        <w:pStyle w:val="ListParagraph"/>
        <w:numPr>
          <w:ilvl w:val="0"/>
          <w:numId w:val="53"/>
        </w:numPr>
      </w:pPr>
      <w:r w:rsidRPr="009670BF">
        <w:rPr>
          <w:b/>
          <w:bCs/>
        </w:rPr>
        <w:t>Fluency:</w:t>
      </w:r>
      <w:r>
        <w:t xml:space="preserve"> The flow and rhythm of speech</w:t>
      </w:r>
    </w:p>
    <w:p w14:paraId="5022347B" w14:textId="4D840A76" w:rsidR="00B4358F" w:rsidRPr="00CE76A1" w:rsidRDefault="00B4358F" w:rsidP="00BF63ED">
      <w:pPr>
        <w:pStyle w:val="ListParagraph"/>
        <w:numPr>
          <w:ilvl w:val="0"/>
          <w:numId w:val="53"/>
        </w:numPr>
      </w:pPr>
      <w:r w:rsidRPr="009670BF">
        <w:rPr>
          <w:b/>
          <w:bCs/>
        </w:rPr>
        <w:t>Voice:</w:t>
      </w:r>
      <w:r>
        <w:t xml:space="preserve"> Quality of voice</w:t>
      </w:r>
    </w:p>
    <w:p w14:paraId="2F738349" w14:textId="77777777" w:rsidR="004E04E1" w:rsidRPr="00D80545" w:rsidRDefault="004E04E1" w:rsidP="00816CFC">
      <w:pPr>
        <w:pStyle w:val="Heading3"/>
        <w:rPr>
          <w:color w:val="006B70"/>
        </w:rPr>
      </w:pPr>
      <w:bookmarkStart w:id="192" w:name="_Toc205386916"/>
      <w:bookmarkStart w:id="193" w:name="_Toc205387986"/>
      <w:bookmarkStart w:id="194" w:name="_Toc205445997"/>
      <w:r w:rsidRPr="00D80545">
        <w:rPr>
          <w:color w:val="006B70"/>
        </w:rPr>
        <w:t>Causal Factors</w:t>
      </w:r>
      <w:bookmarkEnd w:id="192"/>
      <w:bookmarkEnd w:id="193"/>
      <w:bookmarkEnd w:id="194"/>
      <w:r w:rsidRPr="00D80545">
        <w:rPr>
          <w:color w:val="006B70"/>
        </w:rPr>
        <w:t xml:space="preserve">  </w:t>
      </w:r>
    </w:p>
    <w:p w14:paraId="14C20F0E" w14:textId="64D59CA0" w:rsidR="00BC7396" w:rsidRPr="006F45EE" w:rsidRDefault="004E04E1" w:rsidP="003D7BFC">
      <w:r w:rsidRPr="006F45EE">
        <w:t>In children, SCLN can be caused by genetic and developmental conditions such as Down Syndrome</w:t>
      </w:r>
      <w:r w:rsidR="009C2400">
        <w:t xml:space="preserve"> </w:t>
      </w:r>
      <w:r w:rsidRPr="006F45EE">
        <w:t>and A</w:t>
      </w:r>
      <w:r w:rsidR="00D0283B">
        <w:t>SD</w:t>
      </w:r>
      <w:r>
        <w:t xml:space="preserve">. </w:t>
      </w:r>
      <w:r w:rsidR="00B425D4" w:rsidRPr="00B425D4">
        <w:t xml:space="preserve">SLCN can arise from socio-economic, genetic, environmental, and developmental factors. Children may have SLCN linked to conditions such as </w:t>
      </w:r>
      <w:r w:rsidR="00B425D4" w:rsidRPr="00293C95">
        <w:t>Down Syndrome or ASD</w:t>
      </w:r>
      <w:r w:rsidR="00B425D4" w:rsidRPr="00B425D4">
        <w:t>.</w:t>
      </w:r>
      <w:r w:rsidR="00B425D4">
        <w:t xml:space="preserve"> </w:t>
      </w:r>
      <w:r w:rsidRPr="006F45EE">
        <w:t>Developmental causes such as stammering and stuttering are also linked with SLCN and 40% of five-year-old children with all cleft types have speech difficulties</w:t>
      </w:r>
      <w:r w:rsidR="00643287">
        <w:t xml:space="preserve"> </w:t>
      </w:r>
      <w:r w:rsidRPr="006F45EE">
        <w:rPr>
          <w:vertAlign w:val="superscript"/>
        </w:rPr>
        <w:endnoteReference w:id="92"/>
      </w:r>
      <w:r w:rsidRPr="006F45EE">
        <w:t xml:space="preserve">.  </w:t>
      </w:r>
      <w:r w:rsidR="00BC7396" w:rsidRPr="00293C95">
        <w:t>However, many children experience SLCN without an identifiable underlying condition, representing a larger cohort of children with SLCN.</w:t>
      </w:r>
    </w:p>
    <w:p w14:paraId="407FFF77" w14:textId="58EA6CC0" w:rsidR="004E04E1" w:rsidRPr="006F45EE" w:rsidRDefault="00512AA0" w:rsidP="003D7BFC">
      <w:r w:rsidRPr="00512AA0">
        <w:t xml:space="preserve">SLCN is more commonly identified among children from </w:t>
      </w:r>
      <w:r w:rsidRPr="00293C95">
        <w:t>socially disadvantaged backgrounds</w:t>
      </w:r>
      <w:r w:rsidRPr="00512AA0">
        <w:t>. The odds of having SLCN are 2.3 times greater for pupils entitled to FSM and living in deprived neighbourhoods</w:t>
      </w:r>
      <w:r>
        <w:t xml:space="preserve"> </w:t>
      </w:r>
      <w:bookmarkStart w:id="195" w:name="_Ref205203818"/>
      <w:r w:rsidR="004E04E1" w:rsidRPr="006F45EE">
        <w:rPr>
          <w:vertAlign w:val="superscript"/>
        </w:rPr>
        <w:endnoteReference w:id="93"/>
      </w:r>
      <w:bookmarkEnd w:id="195"/>
      <w:r w:rsidR="004E04E1" w:rsidRPr="006F45EE">
        <w:t>.</w:t>
      </w:r>
    </w:p>
    <w:p w14:paraId="0978566B" w14:textId="29EE699D" w:rsidR="004E04E1" w:rsidRPr="003D7BFC" w:rsidRDefault="00236FF6" w:rsidP="003D7BFC">
      <w:r w:rsidRPr="00236FF6">
        <w:t xml:space="preserve">Environmental factors can influence language development. </w:t>
      </w:r>
      <w:r w:rsidRPr="00293C95">
        <w:t>Children learning English as an additional language may face challenges in acquiring language proficiency, but this is distinct from SLCN</w:t>
      </w:r>
      <w:r>
        <w:rPr>
          <w:b/>
          <w:bCs/>
        </w:rPr>
        <w:t xml:space="preserve"> </w:t>
      </w:r>
      <w:r w:rsidR="004E04E1" w:rsidRPr="006F45EE">
        <w:rPr>
          <w:vertAlign w:val="superscript"/>
        </w:rPr>
        <w:endnoteReference w:id="94"/>
      </w:r>
      <w:r w:rsidR="003E5047">
        <w:t xml:space="preserve"> </w:t>
      </w:r>
      <w:r w:rsidR="003E5047" w:rsidRPr="0011033B">
        <w:rPr>
          <w:rStyle w:val="EndnoteReference"/>
        </w:rPr>
        <w:endnoteReference w:id="95"/>
      </w:r>
      <w:r w:rsidR="00227E4B">
        <w:t xml:space="preserve"> </w:t>
      </w:r>
      <w:r w:rsidR="00227E4B" w:rsidRPr="0011033B">
        <w:rPr>
          <w:rStyle w:val="EndnoteReference"/>
        </w:rPr>
        <w:endnoteReference w:id="96"/>
      </w:r>
      <w:r w:rsidR="00227E4B" w:rsidRPr="0011033B">
        <w:t>.</w:t>
      </w:r>
      <w:r w:rsidR="004E04E1" w:rsidRPr="006F45EE">
        <w:t xml:space="preserve"> </w:t>
      </w:r>
    </w:p>
    <w:p w14:paraId="689806B5" w14:textId="3A568773" w:rsidR="004E04E1" w:rsidRPr="006F45EE" w:rsidRDefault="00C4264C" w:rsidP="00F469F9">
      <w:pPr>
        <w:pStyle w:val="Heading5"/>
      </w:pPr>
      <w:r>
        <w:t>Signs and symptoms</w:t>
      </w:r>
    </w:p>
    <w:p w14:paraId="77612414" w14:textId="48066552" w:rsidR="00512E97" w:rsidRPr="006F45EE" w:rsidRDefault="00512E97" w:rsidP="006F45EE">
      <w:pPr>
        <w:spacing w:before="0" w:after="160" w:line="278" w:lineRule="auto"/>
        <w:jc w:val="left"/>
      </w:pPr>
      <w:r w:rsidRPr="00512E97">
        <w:t>Children with SLCN may exhibit:</w:t>
      </w:r>
    </w:p>
    <w:p w14:paraId="3D6C2196" w14:textId="77777777" w:rsidR="00267831" w:rsidRPr="00267831" w:rsidRDefault="00267831" w:rsidP="00293C95">
      <w:pPr>
        <w:pStyle w:val="ListParagraph"/>
        <w:numPr>
          <w:ilvl w:val="0"/>
          <w:numId w:val="61"/>
        </w:numPr>
      </w:pPr>
      <w:r w:rsidRPr="00267831">
        <w:t>Challenges in producing speech sounds accurately.</w:t>
      </w:r>
    </w:p>
    <w:p w14:paraId="785152AD" w14:textId="720A65E4" w:rsidR="00267831" w:rsidRPr="00267831" w:rsidRDefault="00267831" w:rsidP="00293C95">
      <w:pPr>
        <w:pStyle w:val="ListParagraph"/>
        <w:numPr>
          <w:ilvl w:val="0"/>
          <w:numId w:val="61"/>
        </w:numPr>
      </w:pPr>
      <w:r w:rsidRPr="00267831">
        <w:t>Stammering or disruptions to the flow of speech.</w:t>
      </w:r>
    </w:p>
    <w:p w14:paraId="62DDB939" w14:textId="1221177A" w:rsidR="00267831" w:rsidRPr="00267831" w:rsidRDefault="00267831" w:rsidP="00293C95">
      <w:pPr>
        <w:pStyle w:val="ListParagraph"/>
        <w:numPr>
          <w:ilvl w:val="0"/>
          <w:numId w:val="61"/>
        </w:numPr>
      </w:pPr>
      <w:r w:rsidRPr="00267831">
        <w:t>Variations in voice quality.</w:t>
      </w:r>
    </w:p>
    <w:p w14:paraId="6F179BA4" w14:textId="51637252" w:rsidR="00267831" w:rsidRPr="00267831" w:rsidRDefault="00267831" w:rsidP="00293C95">
      <w:pPr>
        <w:pStyle w:val="ListParagraph"/>
        <w:numPr>
          <w:ilvl w:val="0"/>
          <w:numId w:val="61"/>
        </w:numPr>
      </w:pPr>
      <w:r w:rsidRPr="00267831">
        <w:t>Difficulties understanding language, such as interpreting metaphors or abstract concepts.</w:t>
      </w:r>
    </w:p>
    <w:p w14:paraId="77BADDE8" w14:textId="5CAEF827" w:rsidR="00267831" w:rsidRPr="00267831" w:rsidRDefault="00267831" w:rsidP="00293C95">
      <w:pPr>
        <w:pStyle w:val="ListParagraph"/>
        <w:numPr>
          <w:ilvl w:val="0"/>
          <w:numId w:val="61"/>
        </w:numPr>
      </w:pPr>
      <w:r w:rsidRPr="00267831">
        <w:t>Challenges using language, including word-finding difficulties or applying grammar forms.</w:t>
      </w:r>
    </w:p>
    <w:p w14:paraId="56E00CE2" w14:textId="23DA9C98" w:rsidR="00267831" w:rsidRPr="00267831" w:rsidRDefault="00267831" w:rsidP="00293C95">
      <w:pPr>
        <w:pStyle w:val="ListParagraph"/>
        <w:numPr>
          <w:ilvl w:val="0"/>
          <w:numId w:val="61"/>
        </w:numPr>
      </w:pPr>
      <w:r w:rsidRPr="00267831">
        <w:t>Difficulties with social communication, such as interpreting non-verbal cues or using language to clarify meaning.</w:t>
      </w:r>
    </w:p>
    <w:p w14:paraId="18C058A6" w14:textId="77777777" w:rsidR="00267831" w:rsidRDefault="00267831" w:rsidP="00267831">
      <w:pPr>
        <w:pStyle w:val="ListParagraph"/>
      </w:pPr>
      <w:r w:rsidRPr="00267831">
        <w:lastRenderedPageBreak/>
        <w:t>Challenges sequencing information for storytelling.</w:t>
      </w:r>
    </w:p>
    <w:p w14:paraId="54C879A1" w14:textId="0382790A" w:rsidR="00267831" w:rsidRPr="00267831" w:rsidRDefault="00267831" w:rsidP="00267831">
      <w:pPr>
        <w:pStyle w:val="ListParagraph"/>
      </w:pPr>
      <w:r w:rsidRPr="00267831">
        <w:t>Difficulties understanding and using words to describe emotions.</w:t>
      </w:r>
    </w:p>
    <w:p w14:paraId="0D8BD26F" w14:textId="77777777" w:rsidR="004E04E1" w:rsidRPr="00D80545" w:rsidRDefault="004E04E1" w:rsidP="00816CFC">
      <w:pPr>
        <w:pStyle w:val="Heading3"/>
        <w:rPr>
          <w:color w:val="006B70"/>
        </w:rPr>
      </w:pPr>
      <w:bookmarkStart w:id="196" w:name="_Toc211413963"/>
      <w:bookmarkStart w:id="197" w:name="_Toc211439822"/>
      <w:bookmarkStart w:id="198" w:name="_Toc211413964"/>
      <w:bookmarkStart w:id="199" w:name="_Toc211439823"/>
      <w:bookmarkStart w:id="200" w:name="_Toc211413965"/>
      <w:bookmarkStart w:id="201" w:name="_Toc211439824"/>
      <w:bookmarkStart w:id="202" w:name="_Toc211413966"/>
      <w:bookmarkStart w:id="203" w:name="_Toc211439825"/>
      <w:bookmarkStart w:id="204" w:name="_Toc211413967"/>
      <w:bookmarkStart w:id="205" w:name="_Toc211439826"/>
      <w:bookmarkStart w:id="206" w:name="_Toc211413968"/>
      <w:bookmarkStart w:id="207" w:name="_Toc211439827"/>
      <w:bookmarkStart w:id="208" w:name="_Toc211413969"/>
      <w:bookmarkStart w:id="209" w:name="_Toc211439828"/>
      <w:bookmarkStart w:id="210" w:name="_Toc205386917"/>
      <w:bookmarkStart w:id="211" w:name="_Toc205387987"/>
      <w:bookmarkStart w:id="212" w:name="_Toc205445998"/>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r w:rsidRPr="00D80545">
        <w:rPr>
          <w:color w:val="006B70"/>
        </w:rPr>
        <w:t>Local Picture</w:t>
      </w:r>
      <w:bookmarkEnd w:id="210"/>
      <w:bookmarkEnd w:id="211"/>
      <w:bookmarkEnd w:id="212"/>
      <w:r w:rsidRPr="00D80545">
        <w:rPr>
          <w:color w:val="006B70"/>
        </w:rPr>
        <w:t xml:space="preserve"> </w:t>
      </w:r>
    </w:p>
    <w:p w14:paraId="48149682" w14:textId="461D1616" w:rsidR="004E04E1" w:rsidRPr="006F45EE" w:rsidRDefault="00FA01FF" w:rsidP="00532F9F">
      <w:r w:rsidRPr="00FA01FF">
        <w:t>In 2024, 40.6% of children and young people with SEN within the school population had a primary need of speech, language, and communication. Tower Hamlets had the highest prevalence compared to its statistical neighbours (30.1% on average) and was the 7th highest in England (24%)</w:t>
      </w:r>
      <w:r w:rsidR="006A4F10" w:rsidRPr="006A4F10">
        <w:rPr>
          <w:vertAlign w:val="superscript"/>
        </w:rPr>
        <w:fldChar w:fldCharType="begin"/>
      </w:r>
      <w:r w:rsidR="006A4F10" w:rsidRPr="006A4F10">
        <w:rPr>
          <w:vertAlign w:val="superscript"/>
        </w:rPr>
        <w:instrText xml:space="preserve"> NOTEREF _Ref204583153 \h </w:instrText>
      </w:r>
      <w:r w:rsidR="006A4F10">
        <w:rPr>
          <w:vertAlign w:val="superscript"/>
        </w:rPr>
        <w:instrText xml:space="preserve"> \* MERGEFORMAT </w:instrText>
      </w:r>
      <w:r w:rsidR="006A4F10" w:rsidRPr="006A4F10">
        <w:rPr>
          <w:vertAlign w:val="superscript"/>
        </w:rPr>
      </w:r>
      <w:r w:rsidR="006A4F10" w:rsidRPr="006A4F10">
        <w:rPr>
          <w:vertAlign w:val="superscript"/>
        </w:rPr>
        <w:fldChar w:fldCharType="separate"/>
      </w:r>
      <w:r w:rsidR="008722C4">
        <w:rPr>
          <w:vertAlign w:val="superscript"/>
        </w:rPr>
        <w:t>4</w:t>
      </w:r>
      <w:r w:rsidR="006A4F10" w:rsidRPr="006A4F10">
        <w:rPr>
          <w:vertAlign w:val="superscript"/>
        </w:rPr>
        <w:fldChar w:fldCharType="end"/>
      </w:r>
      <w:r w:rsidR="004E04E1" w:rsidRPr="006F45EE">
        <w:t xml:space="preserve">.  </w:t>
      </w:r>
      <w:r w:rsidR="004616DE" w:rsidRPr="004616DE">
        <w:t>Among those receiving SEN support for SLCN, 76.8% were in primary schools, and 19.2% in secondary school settings</w:t>
      </w:r>
      <w:r w:rsidR="00F51E26" w:rsidRPr="00F51E26">
        <w:rPr>
          <w:vertAlign w:val="superscript"/>
        </w:rPr>
        <w:fldChar w:fldCharType="begin"/>
      </w:r>
      <w:r w:rsidR="00F51E26" w:rsidRPr="00F51E26">
        <w:rPr>
          <w:vertAlign w:val="superscript"/>
        </w:rPr>
        <w:instrText xml:space="preserve"> NOTEREF _Ref204587357 \h </w:instrText>
      </w:r>
      <w:r w:rsidR="00F51E26">
        <w:rPr>
          <w:vertAlign w:val="superscript"/>
        </w:rPr>
        <w:instrText xml:space="preserve"> \* MERGEFORMAT </w:instrText>
      </w:r>
      <w:r w:rsidR="00F51E26" w:rsidRPr="00F51E26">
        <w:rPr>
          <w:vertAlign w:val="superscript"/>
        </w:rPr>
      </w:r>
      <w:r w:rsidR="00F51E26" w:rsidRPr="00F51E26">
        <w:rPr>
          <w:vertAlign w:val="superscript"/>
        </w:rPr>
        <w:fldChar w:fldCharType="separate"/>
      </w:r>
      <w:r w:rsidR="008722C4">
        <w:rPr>
          <w:vertAlign w:val="superscript"/>
        </w:rPr>
        <w:t>3</w:t>
      </w:r>
      <w:r w:rsidR="00F51E26" w:rsidRPr="00F51E26">
        <w:rPr>
          <w:vertAlign w:val="superscript"/>
        </w:rPr>
        <w:fldChar w:fldCharType="end"/>
      </w:r>
      <w:r w:rsidR="006B5AC3" w:rsidRPr="00B7244E">
        <w:t>.</w:t>
      </w:r>
    </w:p>
    <w:p w14:paraId="1521694D" w14:textId="2FB266C8" w:rsidR="00A33120" w:rsidRPr="006F45EE" w:rsidRDefault="00A33120" w:rsidP="00532F9F">
      <w:r w:rsidRPr="00A33120">
        <w:t xml:space="preserve">Of children and young people with an EHCP for SLCN, 46.8% were from the Bangladeshi community. This represents an </w:t>
      </w:r>
      <w:r w:rsidRPr="00293C95">
        <w:t>overrepresentation</w:t>
      </w:r>
      <w:r w:rsidRPr="00A33120">
        <w:t xml:space="preserve"> compared to the overall school population, where Bangladeshi pupils make up a smaller proportion. Ethnicity was not recorded for 27.3% of these pupils, highlighting gaps in data, and a further 7.8% were White-British.</w:t>
      </w:r>
    </w:p>
    <w:p w14:paraId="78D81363" w14:textId="6B2970A3" w:rsidR="004E04E1" w:rsidRDefault="00170BA9" w:rsidP="00532F9F">
      <w:r w:rsidRPr="00170BA9">
        <w:t>EHCPs for SLCN needs most commonly start at the beginning of primary school, at ages 4, 5, and 6, with the largest proportion starting at age 4 (males 19.7%, females 18%). Overall, more males (74%) than females (26%) hold an EHCP for SLCN, reflecting widely recognised gender differences in prevalence</w:t>
      </w:r>
      <w:r>
        <w:t xml:space="preserve"> </w:t>
      </w:r>
      <w:r w:rsidR="00526F51">
        <w:rPr>
          <w:vertAlign w:val="superscript"/>
        </w:rPr>
        <w:fldChar w:fldCharType="begin"/>
      </w:r>
      <w:r w:rsidR="00526F51">
        <w:rPr>
          <w:vertAlign w:val="superscript"/>
        </w:rPr>
        <w:instrText xml:space="preserve"> NOTEREF  _Ref205203818 \f \h </w:instrText>
      </w:r>
      <w:r w:rsidR="00526F51">
        <w:rPr>
          <w:vertAlign w:val="superscript"/>
        </w:rPr>
      </w:r>
      <w:r w:rsidR="00526F51">
        <w:rPr>
          <w:vertAlign w:val="superscript"/>
        </w:rPr>
        <w:fldChar w:fldCharType="separate"/>
      </w:r>
      <w:r w:rsidR="008722C4" w:rsidRPr="008722C4">
        <w:rPr>
          <w:rStyle w:val="EndnoteReference"/>
        </w:rPr>
        <w:t>93</w:t>
      </w:r>
      <w:r w:rsidR="00526F51">
        <w:rPr>
          <w:vertAlign w:val="superscript"/>
        </w:rPr>
        <w:fldChar w:fldCharType="end"/>
      </w:r>
      <w:r w:rsidR="004E04E1" w:rsidRPr="005721AF">
        <w:t xml:space="preserve">. </w:t>
      </w:r>
      <w:r w:rsidR="001C67DD" w:rsidRPr="00293C95">
        <w:t>In terms of socio-economic context, 94% of children with an EHCP for SLCN were living in areas within the highest deprivation quintiles of the borough</w:t>
      </w:r>
      <w:r w:rsidR="00616646" w:rsidRPr="00293C95">
        <w:rPr>
          <w:b/>
          <w:bCs/>
        </w:rPr>
        <w:t xml:space="preserve"> </w:t>
      </w:r>
      <w:r w:rsidR="006A4F10" w:rsidRPr="005721AF">
        <w:rPr>
          <w:vertAlign w:val="superscript"/>
        </w:rPr>
        <w:fldChar w:fldCharType="begin"/>
      </w:r>
      <w:r w:rsidR="006A4F10" w:rsidRPr="005721AF">
        <w:rPr>
          <w:vertAlign w:val="superscript"/>
        </w:rPr>
        <w:instrText xml:space="preserve"> NOTEREF _Ref204587357 \h  \* MERGEFORMAT </w:instrText>
      </w:r>
      <w:r w:rsidR="006A4F10" w:rsidRPr="005721AF">
        <w:rPr>
          <w:vertAlign w:val="superscript"/>
        </w:rPr>
      </w:r>
      <w:r w:rsidR="006A4F10" w:rsidRPr="005721AF">
        <w:rPr>
          <w:vertAlign w:val="superscript"/>
        </w:rPr>
        <w:fldChar w:fldCharType="separate"/>
      </w:r>
      <w:r w:rsidR="008722C4">
        <w:rPr>
          <w:vertAlign w:val="superscript"/>
        </w:rPr>
        <w:t>3</w:t>
      </w:r>
      <w:r w:rsidR="006A4F10" w:rsidRPr="005721AF">
        <w:rPr>
          <w:vertAlign w:val="superscript"/>
        </w:rPr>
        <w:fldChar w:fldCharType="end"/>
      </w:r>
      <w:r w:rsidR="003415E9" w:rsidRPr="005721AF">
        <w:t>.</w:t>
      </w:r>
    </w:p>
    <w:p w14:paraId="4D8EA973" w14:textId="77777777" w:rsidR="00AF7A0D" w:rsidRDefault="00AF7A0D" w:rsidP="00532F9F">
      <w:pPr>
        <w:rPr>
          <w:b/>
          <w:bCs/>
        </w:rPr>
      </w:pPr>
    </w:p>
    <w:p w14:paraId="5E002144" w14:textId="77777777" w:rsidR="000905B0" w:rsidRDefault="000905B0" w:rsidP="00532F9F">
      <w:pPr>
        <w:rPr>
          <w:b/>
          <w:bCs/>
        </w:rPr>
      </w:pPr>
    </w:p>
    <w:p w14:paraId="01CA82C9" w14:textId="77777777" w:rsidR="005954A8" w:rsidRDefault="005954A8" w:rsidP="00532F9F">
      <w:pPr>
        <w:rPr>
          <w:b/>
          <w:bCs/>
        </w:rPr>
      </w:pPr>
    </w:p>
    <w:p w14:paraId="09DDB4DB" w14:textId="5D8E7EA1" w:rsidR="00CB4D4A" w:rsidDel="00616646" w:rsidRDefault="00B2706D">
      <w:pPr>
        <w:spacing w:before="0" w:after="160" w:line="278" w:lineRule="auto"/>
        <w:jc w:val="left"/>
        <w:rPr>
          <w:b/>
          <w:bCs/>
        </w:rPr>
      </w:pPr>
      <w:r>
        <w:rPr>
          <w:b/>
          <w:bCs/>
        </w:rPr>
        <w:br w:type="page"/>
      </w:r>
    </w:p>
    <w:p w14:paraId="76E8ED48" w14:textId="535A5869" w:rsidR="00591CD7" w:rsidRPr="005954A8" w:rsidRDefault="009E302C" w:rsidP="00532F9F">
      <w:pPr>
        <w:rPr>
          <w:b/>
          <w:bCs/>
          <w:sz w:val="16"/>
          <w:szCs w:val="16"/>
        </w:rPr>
      </w:pPr>
      <w:r w:rsidRPr="005954A8">
        <w:rPr>
          <w:b/>
          <w:bCs/>
          <w:sz w:val="16"/>
          <w:szCs w:val="16"/>
        </w:rPr>
        <w:lastRenderedPageBreak/>
        <w:t xml:space="preserve">Figure </w:t>
      </w:r>
      <w:r w:rsidR="00694534" w:rsidRPr="005954A8">
        <w:rPr>
          <w:b/>
          <w:bCs/>
          <w:sz w:val="16"/>
          <w:szCs w:val="16"/>
        </w:rPr>
        <w:t>7.1</w:t>
      </w:r>
      <w:r w:rsidRPr="005954A8">
        <w:rPr>
          <w:b/>
          <w:bCs/>
          <w:sz w:val="16"/>
          <w:szCs w:val="16"/>
        </w:rPr>
        <w:t xml:space="preserve">: Speech and language </w:t>
      </w:r>
      <w:r w:rsidR="00747737" w:rsidRPr="005954A8">
        <w:rPr>
          <w:b/>
          <w:bCs/>
          <w:sz w:val="16"/>
          <w:szCs w:val="16"/>
        </w:rPr>
        <w:t>therapy</w:t>
      </w:r>
      <w:r w:rsidRPr="005954A8">
        <w:rPr>
          <w:b/>
          <w:bCs/>
          <w:sz w:val="16"/>
          <w:szCs w:val="16"/>
        </w:rPr>
        <w:t xml:space="preserve"> outcomes for deaf children and young people from Tower Hamlets – an exploration of the demographics and outcome measures data from an ethnically, economically and linguistically diverse population. </w:t>
      </w:r>
    </w:p>
    <w:p w14:paraId="0F56C909" w14:textId="57C0D42D" w:rsidR="00387E4B" w:rsidRDefault="00C848A9" w:rsidP="00777F94">
      <w:pPr>
        <w:jc w:val="center"/>
      </w:pPr>
      <w:r>
        <w:rPr>
          <w:noProof/>
        </w:rPr>
        <w:object w:dxaOrig="11920" w:dyaOrig="16850" w14:anchorId="5FCD0429">
          <v:shape id="_x0000_i1026" type="#_x0000_t75" alt="A leaflet showing the offer of speech and language therapy for supporting deaf children. " style="width:6in;height:601.8pt" o:ole="">
            <v:imagedata r:id="rId27" o:title=""/>
          </v:shape>
          <o:OLEObject Type="Embed" ProgID="Acrobat.Document.DC" ShapeID="_x0000_i1026" DrawAspect="Content" ObjectID="_1838902628" r:id="rId28"/>
        </w:object>
      </w:r>
    </w:p>
    <w:p w14:paraId="226A66D6" w14:textId="3B040086" w:rsidR="006964CC" w:rsidRPr="005954A8" w:rsidRDefault="00E63EBF" w:rsidP="000905B0">
      <w:pPr>
        <w:jc w:val="right"/>
        <w:rPr>
          <w:b/>
          <w:bCs/>
          <w:sz w:val="16"/>
          <w:szCs w:val="16"/>
        </w:rPr>
      </w:pPr>
      <w:r w:rsidRPr="005954A8">
        <w:rPr>
          <w:b/>
          <w:bCs/>
          <w:sz w:val="16"/>
          <w:szCs w:val="16"/>
        </w:rPr>
        <w:t>Source:</w:t>
      </w:r>
      <w:r w:rsidR="008E73EB" w:rsidRPr="005954A8">
        <w:rPr>
          <w:b/>
          <w:bCs/>
          <w:sz w:val="16"/>
          <w:szCs w:val="16"/>
        </w:rPr>
        <w:t xml:space="preserve"> Newman, L., Chadwick, R., Roche, C., &amp; Jama, S. (2024). </w:t>
      </w:r>
      <w:r w:rsidR="008E73EB" w:rsidRPr="005954A8">
        <w:rPr>
          <w:b/>
          <w:bCs/>
          <w:i/>
          <w:iCs/>
          <w:sz w:val="16"/>
          <w:szCs w:val="16"/>
        </w:rPr>
        <w:t>Speech and Language Therapy outcomes for Deaf children and young people from Tower Hamlets</w:t>
      </w:r>
      <w:r w:rsidR="008E73EB" w:rsidRPr="005954A8">
        <w:rPr>
          <w:b/>
          <w:bCs/>
          <w:sz w:val="16"/>
          <w:szCs w:val="16"/>
        </w:rPr>
        <w:t>. Poster presented at the BATOD Conference.</w:t>
      </w:r>
    </w:p>
    <w:p w14:paraId="146CA977" w14:textId="77777777" w:rsidR="006964CC" w:rsidRPr="00D80545" w:rsidRDefault="006964CC" w:rsidP="00816CFC">
      <w:pPr>
        <w:pStyle w:val="Heading3"/>
        <w:rPr>
          <w:color w:val="006B70"/>
        </w:rPr>
      </w:pPr>
      <w:bookmarkStart w:id="213" w:name="_Toc205386918"/>
      <w:bookmarkStart w:id="214" w:name="_Toc205387988"/>
      <w:bookmarkStart w:id="215" w:name="_Toc205445999"/>
      <w:r w:rsidRPr="00D80545">
        <w:rPr>
          <w:color w:val="006B70"/>
        </w:rPr>
        <w:lastRenderedPageBreak/>
        <w:t>Diagnosis</w:t>
      </w:r>
      <w:bookmarkEnd w:id="213"/>
      <w:bookmarkEnd w:id="214"/>
      <w:bookmarkEnd w:id="215"/>
      <w:r w:rsidRPr="00D80545">
        <w:rPr>
          <w:color w:val="006B70"/>
        </w:rPr>
        <w:t xml:space="preserve"> </w:t>
      </w:r>
    </w:p>
    <w:p w14:paraId="4D1BB029" w14:textId="77777777" w:rsidR="009F05D7" w:rsidRPr="00293C95" w:rsidRDefault="009F05D7" w:rsidP="00293C95">
      <w:r w:rsidRPr="00293C95">
        <w:t>Identification of SLCN can be complex, particularly when children have co-occurring difficulties or other SEND needs, such as ASD or learning disabilities. Some children may also mask or compensate for their difficulties, which can result in delayed identification. Early recognition of SLCN is critical to ensure children receive timely and appropriate support, optimising health, educational, and social outcomes.</w:t>
      </w:r>
    </w:p>
    <w:p w14:paraId="3A41F148" w14:textId="77777777" w:rsidR="009F05D7" w:rsidRPr="00293C95" w:rsidRDefault="009F05D7" w:rsidP="00293C95">
      <w:r w:rsidRPr="00293C95">
        <w:t>For some children, SLCN is identified early in pre-school, while for others, difficulties may become more apparent after starting school. Signs and symptoms evolve with age and can overlap with other developmental challenges, requiring careful assessment. It is important to note that SLCN refers to difficulties with communication irrespective of the language a child speaks, so children learning English as an additional language should not automatically be considered as having SLCN.</w:t>
      </w:r>
    </w:p>
    <w:p w14:paraId="3B21201D" w14:textId="76D27A16" w:rsidR="006964CC" w:rsidRPr="006F45EE" w:rsidRDefault="009F05D7" w:rsidP="00532F9F">
      <w:r w:rsidRPr="009F05D7">
        <w:t>To aid identification, the NHS has developed age-appropriate ‘Identification of Needs’ checklists covering different domains of speech, language, and communication for Early Years, Primary, and Secondary stages</w:t>
      </w:r>
      <w:r w:rsidR="006964CC" w:rsidRPr="006F45EE">
        <w:rPr>
          <w:vertAlign w:val="superscript"/>
        </w:rPr>
        <w:endnoteReference w:id="97"/>
      </w:r>
      <w:r w:rsidR="006964CC" w:rsidRPr="006F45EE">
        <w:t>.  For example:</w:t>
      </w:r>
    </w:p>
    <w:p w14:paraId="00D9C9C3" w14:textId="77777777" w:rsidR="006964CC" w:rsidRPr="006F45EE" w:rsidRDefault="006964CC" w:rsidP="006F45EE">
      <w:pPr>
        <w:spacing w:before="0" w:after="160" w:line="278" w:lineRule="auto"/>
        <w:jc w:val="left"/>
        <w:rPr>
          <w:b/>
          <w:bCs/>
        </w:rPr>
      </w:pPr>
      <w:r w:rsidRPr="006F45EE">
        <w:rPr>
          <w:b/>
          <w:bCs/>
        </w:rPr>
        <w:t xml:space="preserve">Early Warning Signs in Pre-school areas of assessment: </w:t>
      </w:r>
    </w:p>
    <w:p w14:paraId="3E1DED6B" w14:textId="3B4A5E00" w:rsidR="006964CC" w:rsidRPr="006F45EE" w:rsidRDefault="006964CC" w:rsidP="00130490">
      <w:pPr>
        <w:pStyle w:val="ListParagraph"/>
        <w:ind w:right="121"/>
      </w:pPr>
      <w:r w:rsidRPr="006F45EE">
        <w:t>General signs (e.g. finds it difficult to listen/uses the wrong words when talking)</w:t>
      </w:r>
      <w:r>
        <w:t>.</w:t>
      </w:r>
    </w:p>
    <w:p w14:paraId="1D2A08D4" w14:textId="7C5AB2DE" w:rsidR="006964CC" w:rsidRPr="006F45EE" w:rsidRDefault="006964CC" w:rsidP="00130490">
      <w:pPr>
        <w:pStyle w:val="ListParagraph"/>
        <w:ind w:right="121"/>
      </w:pPr>
      <w:r w:rsidRPr="006F45EE">
        <w:t>Identifies receptive language difficulties (e.g. has poor attention/be the last to finish/be disruptive)</w:t>
      </w:r>
      <w:r>
        <w:t>.</w:t>
      </w:r>
    </w:p>
    <w:p w14:paraId="70A15B9E" w14:textId="0EDFD065" w:rsidR="006964CC" w:rsidRPr="006F45EE" w:rsidRDefault="006964CC" w:rsidP="00130490">
      <w:pPr>
        <w:pStyle w:val="ListParagraph"/>
        <w:ind w:right="121"/>
      </w:pPr>
      <w:r w:rsidRPr="006F45EE">
        <w:t xml:space="preserve">Identifies expressive language difficulties (e.g. use language typical of much younger child/have word finding difficulties/uses highly inventive words e.g. </w:t>
      </w:r>
      <w:proofErr w:type="spellStart"/>
      <w:r w:rsidRPr="006F45EE">
        <w:t>applepumpkin</w:t>
      </w:r>
      <w:proofErr w:type="spellEnd"/>
      <w:r w:rsidRPr="006F45EE">
        <w:t>=pineapple)</w:t>
      </w:r>
      <w:r>
        <w:t>.</w:t>
      </w:r>
    </w:p>
    <w:p w14:paraId="7944BBD9" w14:textId="77777777" w:rsidR="006964CC" w:rsidRPr="006F45EE" w:rsidRDefault="006964CC" w:rsidP="006F45EE">
      <w:pPr>
        <w:spacing w:before="0" w:after="160" w:line="278" w:lineRule="auto"/>
        <w:jc w:val="left"/>
        <w:rPr>
          <w:b/>
          <w:bCs/>
        </w:rPr>
      </w:pPr>
      <w:r w:rsidRPr="006F45EE">
        <w:rPr>
          <w:b/>
          <w:bCs/>
        </w:rPr>
        <w:t>Early Warning Signs in School-age areas of assessment:</w:t>
      </w:r>
    </w:p>
    <w:p w14:paraId="5CE772FC" w14:textId="2F04FF64" w:rsidR="006964CC" w:rsidRPr="006F45EE" w:rsidRDefault="006964CC" w:rsidP="005974A0">
      <w:pPr>
        <w:pStyle w:val="ListParagraph"/>
        <w:rPr>
          <w:b/>
          <w:bCs/>
        </w:rPr>
      </w:pPr>
      <w:r w:rsidRPr="006F45EE">
        <w:t>Speech (e.g. speech sounds are not clear/stammers)</w:t>
      </w:r>
      <w:r>
        <w:t>.</w:t>
      </w:r>
    </w:p>
    <w:p w14:paraId="363310D4" w14:textId="6DC66D8D" w:rsidR="006964CC" w:rsidRPr="006F45EE" w:rsidRDefault="006964CC" w:rsidP="005974A0">
      <w:pPr>
        <w:pStyle w:val="ListParagraph"/>
        <w:rPr>
          <w:b/>
          <w:bCs/>
        </w:rPr>
      </w:pPr>
      <w:r w:rsidRPr="006F45EE">
        <w:t>Expressive language deficits (e.g. uses language of a much younger child/had difficulty retelling a story or relating news/uses related but incorrect word e.g. shoe for a slipper)</w:t>
      </w:r>
      <w:r>
        <w:t>.</w:t>
      </w:r>
    </w:p>
    <w:p w14:paraId="60196257" w14:textId="7065AC56" w:rsidR="006964CC" w:rsidRPr="006F45EE" w:rsidRDefault="006964CC" w:rsidP="005974A0">
      <w:pPr>
        <w:pStyle w:val="ListParagraph"/>
        <w:rPr>
          <w:b/>
          <w:bCs/>
        </w:rPr>
      </w:pPr>
      <w:r w:rsidRPr="006F45EE">
        <w:t>Receptive language deficits (e.g. confused about routines/poor understanding of abstract concepts/appears to have difficulty managing behaviour)</w:t>
      </w:r>
      <w:r>
        <w:t>.</w:t>
      </w:r>
    </w:p>
    <w:p w14:paraId="48DE8ED4" w14:textId="079151A9" w:rsidR="006964CC" w:rsidRPr="006F45EE" w:rsidRDefault="006964CC" w:rsidP="005974A0">
      <w:pPr>
        <w:pStyle w:val="ListParagraph"/>
        <w:rPr>
          <w:b/>
          <w:bCs/>
        </w:rPr>
      </w:pPr>
      <w:r w:rsidRPr="006F45EE">
        <w:t>Social use of language (poor eye contact/difficult taking turns/tends to talk about the same things)</w:t>
      </w:r>
      <w:r>
        <w:t>.</w:t>
      </w:r>
    </w:p>
    <w:p w14:paraId="1D1A3216" w14:textId="77777777" w:rsidR="006964CC" w:rsidRPr="006F45EE" w:rsidRDefault="006964CC" w:rsidP="005974A0">
      <w:r w:rsidRPr="006F45EE">
        <w:t xml:space="preserve">The NHS has also developed ‘Identification of Needs’ checklists to be completed for specific scenarios in Early Years, Primary Age and Secondary Age, to help with the identification process. </w:t>
      </w:r>
    </w:p>
    <w:p w14:paraId="11002C05" w14:textId="77777777" w:rsidR="006964CC" w:rsidRPr="00D80545" w:rsidRDefault="006964CC" w:rsidP="00816CFC">
      <w:pPr>
        <w:pStyle w:val="Heading3"/>
        <w:rPr>
          <w:color w:val="006B70"/>
        </w:rPr>
      </w:pPr>
      <w:bookmarkStart w:id="216" w:name="_Toc205386919"/>
      <w:bookmarkStart w:id="217" w:name="_Toc205387989"/>
      <w:bookmarkStart w:id="218" w:name="_Toc205446000"/>
      <w:r w:rsidRPr="00D80545">
        <w:rPr>
          <w:color w:val="006B70"/>
        </w:rPr>
        <w:t>Pathway</w:t>
      </w:r>
      <w:bookmarkEnd w:id="216"/>
      <w:bookmarkEnd w:id="217"/>
      <w:bookmarkEnd w:id="218"/>
      <w:r w:rsidRPr="00D80545">
        <w:rPr>
          <w:color w:val="006B70"/>
        </w:rPr>
        <w:t xml:space="preserve"> </w:t>
      </w:r>
    </w:p>
    <w:p w14:paraId="4EA56DDE" w14:textId="03A2A4CB" w:rsidR="006964CC" w:rsidRPr="006F45EE" w:rsidRDefault="006964CC" w:rsidP="005974A0">
      <w:r w:rsidRPr="006F45EE">
        <w:t xml:space="preserve">The pathway for </w:t>
      </w:r>
      <w:r w:rsidR="00A611C1" w:rsidRPr="00A611C1">
        <w:t xml:space="preserve">identifying SLCN </w:t>
      </w:r>
      <w:r w:rsidRPr="006F45EE">
        <w:t>may be initiated by a variety of people depending on age, including parents</w:t>
      </w:r>
      <w:r w:rsidR="00F70181">
        <w:t>/carers</w:t>
      </w:r>
      <w:r w:rsidRPr="006F45EE">
        <w:t>, health visitors, GPs, community paediatricians, pre-school staff, school staff, specialist teachers or education</w:t>
      </w:r>
      <w:r w:rsidR="004551DB">
        <w:t>al</w:t>
      </w:r>
      <w:r w:rsidRPr="006F45EE">
        <w:t xml:space="preserve"> psychologists and is done via an initial assessment.  An assessment can be carried out by NHS services, or privately through independent speech and learning therapy providers.</w:t>
      </w:r>
    </w:p>
    <w:p w14:paraId="3B74C460" w14:textId="77777777" w:rsidR="006964CC" w:rsidRPr="00D80545" w:rsidRDefault="006964CC" w:rsidP="00816CFC">
      <w:pPr>
        <w:pStyle w:val="Heading3"/>
        <w:rPr>
          <w:color w:val="006B70"/>
        </w:rPr>
      </w:pPr>
      <w:bookmarkStart w:id="219" w:name="_Toc205386920"/>
      <w:bookmarkStart w:id="220" w:name="_Toc205387990"/>
      <w:bookmarkStart w:id="221" w:name="_Toc205446001"/>
      <w:r w:rsidRPr="00D80545">
        <w:rPr>
          <w:color w:val="006B70"/>
        </w:rPr>
        <w:lastRenderedPageBreak/>
        <w:t>Healthy Lifestyle</w:t>
      </w:r>
      <w:bookmarkEnd w:id="219"/>
      <w:bookmarkEnd w:id="220"/>
      <w:bookmarkEnd w:id="221"/>
      <w:r w:rsidRPr="00D80545">
        <w:rPr>
          <w:color w:val="006B70"/>
        </w:rPr>
        <w:t xml:space="preserve"> </w:t>
      </w:r>
    </w:p>
    <w:p w14:paraId="099E71D7" w14:textId="77777777" w:rsidR="006964CC" w:rsidRPr="006F45EE" w:rsidRDefault="006964CC" w:rsidP="005974A0">
      <w:pPr>
        <w:rPr>
          <w:b/>
          <w:bCs/>
        </w:rPr>
      </w:pPr>
      <w:r w:rsidRPr="006F45EE">
        <w:t xml:space="preserve">Many children and young people identified with SLCN face mental health and behavioural challenges which can influence their access to a healthy lifestyle.  </w:t>
      </w:r>
    </w:p>
    <w:p w14:paraId="1E820C37" w14:textId="28D2F262" w:rsidR="006964CC" w:rsidRPr="006F45EE" w:rsidRDefault="006964CC" w:rsidP="005974A0">
      <w:r w:rsidRPr="006F45EE">
        <w:rPr>
          <w:b/>
          <w:bCs/>
        </w:rPr>
        <w:t xml:space="preserve">Mental Health: </w:t>
      </w:r>
      <w:r w:rsidRPr="006F45EE">
        <w:t xml:space="preserve">The ability to develop and use language supports the development of psychological health, and social and emotional wellbeing. Since individuals with SLCN may communicate differently to their peers, this may lead to barriers in forming friendships and having conversations, which can then lead to a sense of exclusion or disconnection. </w:t>
      </w:r>
      <w:r w:rsidR="006A455B" w:rsidRPr="006A455B">
        <w:t>Fostering a sense of belonging is important, as</w:t>
      </w:r>
      <w:r w:rsidR="00146DDB">
        <w:t xml:space="preserve"> evidence </w:t>
      </w:r>
      <w:r w:rsidR="006A455B" w:rsidRPr="006A455B">
        <w:t>suggests that children with mental health conditions are more likely to have co-occurring speech, language and communication difficulties</w:t>
      </w:r>
      <w:r w:rsidR="006E47A1">
        <w:t xml:space="preserve"> </w:t>
      </w:r>
      <w:r w:rsidRPr="006F45EE">
        <w:rPr>
          <w:vertAlign w:val="superscript"/>
        </w:rPr>
        <w:endnoteReference w:id="98"/>
      </w:r>
      <w:r w:rsidRPr="006F45EE">
        <w:t>.</w:t>
      </w:r>
    </w:p>
    <w:p w14:paraId="0BF2A347" w14:textId="46BF6BA1" w:rsidR="00030AB1" w:rsidRDefault="006964CC" w:rsidP="005974A0">
      <w:r w:rsidRPr="006F45EE">
        <w:t>Poor mental health can adversely affect the overall health outcomes of the individual. People living with mental illness are twice as likely to report experiences of poor physical health and are around 5 times more likely to die prematurely than someone who does</w:t>
      </w:r>
      <w:r w:rsidR="00740DFD">
        <w:t xml:space="preserve"> </w:t>
      </w:r>
      <w:r w:rsidRPr="006F45EE">
        <w:t>n</w:t>
      </w:r>
      <w:r w:rsidR="00740DFD">
        <w:t>o</w:t>
      </w:r>
      <w:r w:rsidRPr="006F45EE">
        <w:t>t have a mental illness</w:t>
      </w:r>
      <w:r w:rsidR="00643287">
        <w:t xml:space="preserve"> </w:t>
      </w:r>
      <w:r w:rsidRPr="006F45EE">
        <w:rPr>
          <w:vertAlign w:val="superscript"/>
        </w:rPr>
        <w:endnoteReference w:id="99"/>
      </w:r>
      <w:r w:rsidRPr="006F45EE">
        <w:t xml:space="preserve">. </w:t>
      </w:r>
      <w:r w:rsidR="00030AB1" w:rsidRPr="00030AB1">
        <w:t>Some mental health interventions, particularly those relying heavily on verbal communication, may be less accessible to children with SLCN. Limited research has explored how mental health support is delivered and received by this population, though small studies suggest challenges may arise due to communication barriers and professional understanding of language needs.</w:t>
      </w:r>
    </w:p>
    <w:p w14:paraId="7AA21A36" w14:textId="42AD136C" w:rsidR="006964CC" w:rsidRPr="006F45EE" w:rsidRDefault="006964CC" w:rsidP="005974A0">
      <w:r w:rsidRPr="006F45EE">
        <w:t>Despite this, there is little evidence available on how mental health support is delivered to and received by children with SLCN.  A recent study revealed significant barriers accessing support, including a lack of professional knowledge about children’s language needs, with interventions considered neither accessible nor delivered in a manner that was appropriate due to a high reliance on language skills</w:t>
      </w:r>
      <w:r w:rsidR="00643287">
        <w:t xml:space="preserve"> </w:t>
      </w:r>
      <w:r w:rsidRPr="006F45EE">
        <w:rPr>
          <w:vertAlign w:val="superscript"/>
        </w:rPr>
        <w:endnoteReference w:id="100"/>
      </w:r>
      <w:r w:rsidRPr="006F45EE">
        <w:t xml:space="preserve">. </w:t>
      </w:r>
    </w:p>
    <w:p w14:paraId="37D493B6" w14:textId="252B1D01" w:rsidR="006964CC" w:rsidRPr="006F45EE" w:rsidRDefault="006964CC" w:rsidP="005974A0">
      <w:r w:rsidRPr="006F45EE">
        <w:rPr>
          <w:b/>
          <w:bCs/>
        </w:rPr>
        <w:t>Physical health, diet and nutrition</w:t>
      </w:r>
      <w:r w:rsidRPr="006F45EE">
        <w:t xml:space="preserve">: Children and young people with SLCN may not be able to effectively communicate their desires and needs e.g. whether they are hungry or whether they are sick. Moreover, delays in the identification and management of eating, drinking and swallowing difficulties (dysphagia) have an impact on nutrition and hydration status, breathing and medication adherence, all of which </w:t>
      </w:r>
      <w:r w:rsidR="00580C28">
        <w:t>may</w:t>
      </w:r>
      <w:r w:rsidR="00580C28" w:rsidRPr="006F45EE">
        <w:t xml:space="preserve"> </w:t>
      </w:r>
      <w:r w:rsidRPr="006F45EE">
        <w:t xml:space="preserve">result in an increased crisis management for dysphagia and in </w:t>
      </w:r>
      <w:r w:rsidR="00F7477B">
        <w:t>rare</w:t>
      </w:r>
      <w:r w:rsidR="00F7477B" w:rsidRPr="006F45EE">
        <w:t xml:space="preserve"> </w:t>
      </w:r>
      <w:r w:rsidRPr="006F45EE">
        <w:t>cases, death</w:t>
      </w:r>
      <w:bookmarkStart w:id="222" w:name="_Ref205213380"/>
      <w:r w:rsidR="00643287">
        <w:t xml:space="preserve"> </w:t>
      </w:r>
      <w:r w:rsidRPr="006F45EE">
        <w:rPr>
          <w:vertAlign w:val="superscript"/>
        </w:rPr>
        <w:endnoteReference w:id="101"/>
      </w:r>
      <w:bookmarkEnd w:id="222"/>
      <w:r w:rsidRPr="006F45EE">
        <w:t xml:space="preserve">. </w:t>
      </w:r>
    </w:p>
    <w:p w14:paraId="71337DF6" w14:textId="020472BA" w:rsidR="006964CC" w:rsidRPr="006F45EE" w:rsidRDefault="006964CC" w:rsidP="005974A0">
      <w:r w:rsidRPr="006F45EE">
        <w:rPr>
          <w:b/>
          <w:bCs/>
        </w:rPr>
        <w:t>Physical Activity</w:t>
      </w:r>
      <w:r w:rsidRPr="006F45EE">
        <w:t xml:space="preserve">: </w:t>
      </w:r>
      <w:r w:rsidR="000A2BC7" w:rsidRPr="000A2BC7">
        <w:t>Some evidence from small-scale studies suggests that children with SLCN may face challenges engaging in physical activity, potentially influenced by difficulties with communication and social interaction. However, findings are limited and may be affected by co-occurring conditions such as ADHD</w:t>
      </w:r>
      <w:bookmarkStart w:id="225" w:name="_Ref205213533"/>
      <w:r w:rsidRPr="006F45EE">
        <w:rPr>
          <w:vertAlign w:val="superscript"/>
        </w:rPr>
        <w:endnoteReference w:id="102"/>
      </w:r>
      <w:bookmarkEnd w:id="225"/>
      <w:r w:rsidRPr="006F45EE">
        <w:t>.</w:t>
      </w:r>
    </w:p>
    <w:p w14:paraId="0AB5C183" w14:textId="77777777" w:rsidR="006964CC" w:rsidRPr="00D80545" w:rsidRDefault="006964CC" w:rsidP="00816CFC">
      <w:pPr>
        <w:pStyle w:val="Heading3"/>
        <w:rPr>
          <w:color w:val="006B70"/>
        </w:rPr>
      </w:pPr>
      <w:bookmarkStart w:id="226" w:name="_Toc211413974"/>
      <w:bookmarkStart w:id="227" w:name="_Toc211439833"/>
      <w:bookmarkStart w:id="228" w:name="_Toc205386921"/>
      <w:bookmarkStart w:id="229" w:name="_Toc205387991"/>
      <w:bookmarkStart w:id="230" w:name="_Toc205446002"/>
      <w:bookmarkEnd w:id="226"/>
      <w:bookmarkEnd w:id="227"/>
      <w:r w:rsidRPr="00D80545">
        <w:rPr>
          <w:color w:val="006B70"/>
        </w:rPr>
        <w:t>School Life</w:t>
      </w:r>
      <w:bookmarkEnd w:id="228"/>
      <w:bookmarkEnd w:id="229"/>
      <w:bookmarkEnd w:id="230"/>
      <w:r w:rsidRPr="00D80545">
        <w:rPr>
          <w:color w:val="006B70"/>
        </w:rPr>
        <w:t xml:space="preserve"> </w:t>
      </w:r>
    </w:p>
    <w:p w14:paraId="79CD6DCB" w14:textId="77777777" w:rsidR="006964CC" w:rsidRPr="006F45EE" w:rsidRDefault="006964CC" w:rsidP="005974A0">
      <w:r w:rsidRPr="006F45EE">
        <w:t xml:space="preserve">Children whose speech, language and communication skills develop more slowly, may be less likely to be ‘school ready’ than their counterparts. They may experience difficulties with several aspects of school life including: </w:t>
      </w:r>
    </w:p>
    <w:p w14:paraId="6DDB56D9" w14:textId="1FE51BC7" w:rsidR="00AA2545" w:rsidRPr="006F45EE" w:rsidRDefault="006964CC" w:rsidP="005974A0">
      <w:r w:rsidRPr="006F45EE">
        <w:rPr>
          <w:b/>
          <w:bCs/>
        </w:rPr>
        <w:t>Making friends</w:t>
      </w:r>
      <w:r w:rsidRPr="006F45EE">
        <w:t xml:space="preserve">: </w:t>
      </w:r>
      <w:r w:rsidR="00AE5309" w:rsidRPr="00AE5309">
        <w:t>Children with SLCN may experience isolation due to difficulties forming and maintaining friendships. These challenges can be further compounded by co-occurring neurodevelopmental conditions, such as ASD, where social communication and emotional understanding may also be affected.</w:t>
      </w:r>
    </w:p>
    <w:p w14:paraId="6DA5CBC1" w14:textId="003B317A" w:rsidR="00F952C4" w:rsidRPr="00F952C4" w:rsidRDefault="006964CC" w:rsidP="005974A0">
      <w:r w:rsidRPr="006F45EE">
        <w:rPr>
          <w:b/>
          <w:bCs/>
        </w:rPr>
        <w:t xml:space="preserve">Understanding and following instructions: </w:t>
      </w:r>
      <w:r w:rsidR="00F952C4" w:rsidRPr="00293C95">
        <w:t xml:space="preserve">Following verbal instructions is a key component of classroom learning, yet children with SLCN may struggle to process and retain spoken information. This </w:t>
      </w:r>
      <w:r w:rsidR="00F952C4" w:rsidRPr="00293C95">
        <w:lastRenderedPageBreak/>
        <w:t>can affect their ability to understand lesson content, complete tasks, and participate fully in class activities.</w:t>
      </w:r>
    </w:p>
    <w:p w14:paraId="4C55C23F" w14:textId="79E5D41B" w:rsidR="006964CC" w:rsidRPr="006F45EE" w:rsidRDefault="006964CC" w:rsidP="005974A0">
      <w:r w:rsidRPr="006F45EE">
        <w:rPr>
          <w:b/>
          <w:bCs/>
        </w:rPr>
        <w:t>Participating in conversations/discussions</w:t>
      </w:r>
      <w:r w:rsidRPr="006F45EE">
        <w:t xml:space="preserve">: </w:t>
      </w:r>
      <w:r w:rsidR="004E1B72" w:rsidRPr="004E1B72">
        <w:t>Children with SLCN may find it challenging to express their thoughts and emotions, which can limit their participation in classroom discussions and group work</w:t>
      </w:r>
      <w:r w:rsidRPr="006F45EE">
        <w:t>.</w:t>
      </w:r>
    </w:p>
    <w:p w14:paraId="1109BB70" w14:textId="01071842" w:rsidR="006964CC" w:rsidRPr="006F45EE" w:rsidRDefault="006964CC" w:rsidP="005974A0">
      <w:r w:rsidRPr="006F45EE">
        <w:rPr>
          <w:b/>
          <w:bCs/>
        </w:rPr>
        <w:t>Limitations in access to support and resources</w:t>
      </w:r>
      <w:r w:rsidRPr="006F45EE">
        <w:t xml:space="preserve">: Long waiting lists for assessment services and inadequate training for educators can </w:t>
      </w:r>
      <w:r w:rsidRPr="006400B6">
        <w:t>also hinder educational progress</w:t>
      </w:r>
      <w:r w:rsidR="00A13A69" w:rsidRPr="006400B6">
        <w:t xml:space="preserve"> of pupils with SLCN</w:t>
      </w:r>
      <w:r w:rsidRPr="006400B6">
        <w:t xml:space="preserve">. Tower Hamlets has made progress in this area, </w:t>
      </w:r>
      <w:r w:rsidR="00A935DF" w:rsidRPr="006400B6">
        <w:t>for example, speech and language therapy waiting lists have reduced from 36 weeks in 2022 to 12 weeks in 2024</w:t>
      </w:r>
      <w:r w:rsidRPr="006400B6">
        <w:t>. Furthermore, the online app and toolkit ‘Verbo’ has also been rolled out to 56 primary schools in the borough</w:t>
      </w:r>
      <w:bookmarkStart w:id="231" w:name="_Ref205215701"/>
      <w:r w:rsidR="00643287" w:rsidRPr="006400B6">
        <w:t xml:space="preserve"> </w:t>
      </w:r>
      <w:r w:rsidRPr="006400B6">
        <w:rPr>
          <w:vertAlign w:val="superscript"/>
        </w:rPr>
        <w:endnoteReference w:id="103"/>
      </w:r>
      <w:bookmarkEnd w:id="231"/>
      <w:r w:rsidRPr="006400B6">
        <w:t>, providing resources to support the development of speech and language.</w:t>
      </w:r>
    </w:p>
    <w:p w14:paraId="0EDAF434" w14:textId="38FD4AD8" w:rsidR="006964CC" w:rsidRPr="006F45EE" w:rsidRDefault="006964CC" w:rsidP="005974A0">
      <w:r w:rsidRPr="006F45EE">
        <w:rPr>
          <w:b/>
          <w:bCs/>
        </w:rPr>
        <w:t>School environments</w:t>
      </w:r>
      <w:r w:rsidRPr="006F45EE">
        <w:t xml:space="preserve"> - School environments are viewed by many parents as pivotal to the experiences of the both the child with SLCN and their families.  </w:t>
      </w:r>
      <w:r w:rsidR="007B3EC4" w:rsidRPr="007B3EC4">
        <w:t>Evidence suggests that increased SEN funding alone does not necessarily lead to better language outcomes for pupils with SLCN. Factors such as staff expertise, whole-school communication culture, and the quality of targeted interventions play a more critical role in supporting progress</w:t>
      </w:r>
      <w:r w:rsidRPr="006F45EE">
        <w:rPr>
          <w:vertAlign w:val="superscript"/>
        </w:rPr>
        <w:endnoteReference w:id="104"/>
      </w:r>
      <w:r w:rsidR="00C46D5F">
        <w:t>.</w:t>
      </w:r>
      <w:r w:rsidRPr="006F45EE">
        <w:t xml:space="preserve"> Although most schools are described as being supportive and understanding by parents, deficits in support are still apparent, with some parents feeling that their school exacerbates their child’s mental health problems </w:t>
      </w:r>
      <w:r w:rsidRPr="006F45EE">
        <w:rPr>
          <w:vertAlign w:val="superscript"/>
        </w:rPr>
        <w:endnoteReference w:id="105"/>
      </w:r>
      <w:r w:rsidRPr="006F45EE">
        <w:t xml:space="preserve"> Where effective support or early intervention is not achieved, there can be greater impact on literacy, school attainment and emotional wellbeing as the young person ages.</w:t>
      </w:r>
    </w:p>
    <w:p w14:paraId="00D71E79" w14:textId="15CC402A" w:rsidR="006964CC" w:rsidRPr="006F45EE" w:rsidRDefault="006964CC" w:rsidP="005974A0">
      <w:r w:rsidRPr="006F45EE">
        <w:t xml:space="preserve">Children with a primary need of SLCN can attend mainstream schools but statistics have shown that the support they receive is not adequate.  </w:t>
      </w:r>
      <w:r w:rsidR="00A62189" w:rsidRPr="00A62189">
        <w:t>Research indicates that pupils with SLCN are at higher risk of persistent absence, potentially due to social and communication barriers that affect engagement and confidence at school</w:t>
      </w:r>
    </w:p>
    <w:p w14:paraId="57B8C88B" w14:textId="2201265B" w:rsidR="006964CC" w:rsidRPr="00D80545" w:rsidRDefault="006964CC" w:rsidP="00816CFC">
      <w:pPr>
        <w:pStyle w:val="Heading3"/>
        <w:rPr>
          <w:color w:val="006B70"/>
        </w:rPr>
      </w:pPr>
      <w:bookmarkStart w:id="232" w:name="_Toc205386922"/>
      <w:bookmarkStart w:id="233" w:name="_Toc205387992"/>
      <w:bookmarkStart w:id="234" w:name="_Toc205446003"/>
      <w:r w:rsidRPr="00D80545">
        <w:rPr>
          <w:color w:val="006B70"/>
        </w:rPr>
        <w:t>Outcomes</w:t>
      </w:r>
      <w:bookmarkEnd w:id="232"/>
      <w:bookmarkEnd w:id="233"/>
      <w:bookmarkEnd w:id="234"/>
    </w:p>
    <w:p w14:paraId="66F26C5D" w14:textId="57C657D5" w:rsidR="006964CC" w:rsidRPr="006F45EE" w:rsidRDefault="006964CC" w:rsidP="005974A0">
      <w:r w:rsidRPr="006F45EE">
        <w:t>Children and young people with SLCN are at risk of developing a range of social, emotional</w:t>
      </w:r>
      <w:r w:rsidR="00585BD6">
        <w:t xml:space="preserve"> and </w:t>
      </w:r>
      <w:r w:rsidRPr="006F45EE">
        <w:t>physical health and wellbeing outcomes.</w:t>
      </w:r>
    </w:p>
    <w:p w14:paraId="174CDAD3" w14:textId="46DF29E3" w:rsidR="00CD25B7" w:rsidRPr="006F45EE" w:rsidRDefault="006964CC" w:rsidP="005974A0">
      <w:r w:rsidRPr="006F45EE">
        <w:rPr>
          <w:b/>
          <w:bCs/>
        </w:rPr>
        <w:t xml:space="preserve">Social and Emotional wellbeing: </w:t>
      </w:r>
      <w:r w:rsidR="00026D4B" w:rsidRPr="00293C95">
        <w:t xml:space="preserve">Many children with </w:t>
      </w:r>
      <w:proofErr w:type="gramStart"/>
      <w:r w:rsidR="00026D4B" w:rsidRPr="00293C95">
        <w:t>SLCN</w:t>
      </w:r>
      <w:r w:rsidR="00CD25B7">
        <w:t xml:space="preserve">, </w:t>
      </w:r>
      <w:r w:rsidR="00026D4B" w:rsidRPr="00293C95">
        <w:t xml:space="preserve"> particularly</w:t>
      </w:r>
      <w:proofErr w:type="gramEnd"/>
      <w:r w:rsidR="00026D4B" w:rsidRPr="00293C95">
        <w:t xml:space="preserve"> those who also experience social or emotional difficulties</w:t>
      </w:r>
      <w:r w:rsidR="00CD25B7">
        <w:t xml:space="preserve">, </w:t>
      </w:r>
      <w:r w:rsidR="00026D4B" w:rsidRPr="00293C95">
        <w:t>may find it challenging to build and maintain friendships. Difficulties in understanding and expressing emotions can affect relationships and contribute to feelings of frustration or isolation. Research shows that children with language difficulties are at increased risk of developing mental health problems, with around 40% meeting criteria for a diagnosable condition; however, this relationship is complex and bidirectional rather than causal</w:t>
      </w:r>
      <w:r w:rsidR="00CD25B7" w:rsidRPr="00293C95">
        <w:t xml:space="preserve"> </w:t>
      </w:r>
      <w:r w:rsidR="00CD25B7" w:rsidRPr="00293C95">
        <w:rPr>
          <w:rStyle w:val="EndnoteReference"/>
        </w:rPr>
        <w:endnoteReference w:id="106"/>
      </w:r>
      <w:r w:rsidR="000E1E60" w:rsidRPr="00293C95">
        <w:t xml:space="preserve"> </w:t>
      </w:r>
      <w:r w:rsidR="00CC0D23">
        <w:rPr>
          <w:rStyle w:val="EndnoteReference"/>
        </w:rPr>
        <w:endnoteReference w:id="107"/>
      </w:r>
      <w:r w:rsidR="00C818F9">
        <w:t>.</w:t>
      </w:r>
    </w:p>
    <w:p w14:paraId="52973C77" w14:textId="507B6ADC" w:rsidR="006964CC" w:rsidRPr="006F45EE" w:rsidRDefault="006964CC" w:rsidP="005974A0">
      <w:r w:rsidRPr="006F45EE">
        <w:rPr>
          <w:b/>
          <w:bCs/>
        </w:rPr>
        <w:t xml:space="preserve">Physical Health: </w:t>
      </w:r>
      <w:r w:rsidRPr="006F45EE">
        <w:t>Delays in identification and management of dysphagia may have detrimental effects to nutrition and hydration status and it can also affect breathing and medication adherence (if there is a medicated condition)</w:t>
      </w:r>
      <w:r w:rsidR="006F778E">
        <w:t xml:space="preserve"> </w:t>
      </w:r>
      <w:r w:rsidR="00565C97">
        <w:rPr>
          <w:vertAlign w:val="superscript"/>
        </w:rPr>
        <w:fldChar w:fldCharType="begin"/>
      </w:r>
      <w:r w:rsidR="00565C97">
        <w:rPr>
          <w:vertAlign w:val="superscript"/>
        </w:rPr>
        <w:instrText xml:space="preserve"> NOTEREF  _Ref205213380 \f \h </w:instrText>
      </w:r>
      <w:r w:rsidR="00565C97">
        <w:rPr>
          <w:vertAlign w:val="superscript"/>
        </w:rPr>
      </w:r>
      <w:r w:rsidR="00565C97">
        <w:rPr>
          <w:vertAlign w:val="superscript"/>
        </w:rPr>
        <w:fldChar w:fldCharType="separate"/>
      </w:r>
      <w:r w:rsidR="008722C4" w:rsidRPr="008722C4">
        <w:rPr>
          <w:rStyle w:val="EndnoteReference"/>
        </w:rPr>
        <w:t>101</w:t>
      </w:r>
      <w:r w:rsidR="00565C97">
        <w:rPr>
          <w:vertAlign w:val="superscript"/>
        </w:rPr>
        <w:fldChar w:fldCharType="end"/>
      </w:r>
      <w:r w:rsidR="00AE049A">
        <w:t xml:space="preserve">. </w:t>
      </w:r>
      <w:r w:rsidR="00B17F9A">
        <w:t xml:space="preserve"> </w:t>
      </w:r>
    </w:p>
    <w:p w14:paraId="47FCAA6B" w14:textId="2FC1DED2" w:rsidR="006964CC" w:rsidRPr="006F45EE" w:rsidRDefault="006964CC" w:rsidP="005974A0">
      <w:r w:rsidRPr="006F45EE">
        <w:rPr>
          <w:b/>
          <w:bCs/>
        </w:rPr>
        <w:t>Communication</w:t>
      </w:r>
      <w:r w:rsidRPr="006F45EE">
        <w:t>: Individuals with SCLN often have difficulty communicating their emotions, desires or needs. This can result in behavioural difficulties, impacting day to day wellbeing, and influencing health in adulthood</w:t>
      </w:r>
      <w:bookmarkStart w:id="235" w:name="_Ref205215094"/>
      <w:r w:rsidR="006F778E">
        <w:t xml:space="preserve"> </w:t>
      </w:r>
      <w:r w:rsidRPr="006F45EE">
        <w:rPr>
          <w:vertAlign w:val="superscript"/>
        </w:rPr>
        <w:endnoteReference w:id="108"/>
      </w:r>
      <w:bookmarkEnd w:id="235"/>
      <w:r w:rsidRPr="006F45EE">
        <w:t>.</w:t>
      </w:r>
    </w:p>
    <w:p w14:paraId="214400BE" w14:textId="07AA67AE" w:rsidR="006964CC" w:rsidRPr="00D80545" w:rsidRDefault="006964CC" w:rsidP="00816CFC">
      <w:pPr>
        <w:pStyle w:val="Heading3"/>
        <w:rPr>
          <w:color w:val="006B70"/>
        </w:rPr>
      </w:pPr>
      <w:bookmarkStart w:id="236" w:name="_Toc211413977"/>
      <w:bookmarkStart w:id="237" w:name="_Toc211439836"/>
      <w:bookmarkStart w:id="238" w:name="_Toc205386923"/>
      <w:bookmarkStart w:id="239" w:name="_Toc205387993"/>
      <w:bookmarkStart w:id="240" w:name="_Toc205446004"/>
      <w:bookmarkEnd w:id="236"/>
      <w:bookmarkEnd w:id="237"/>
      <w:r w:rsidRPr="00D80545">
        <w:rPr>
          <w:color w:val="006B70"/>
        </w:rPr>
        <w:lastRenderedPageBreak/>
        <w:t>Transitions</w:t>
      </w:r>
      <w:bookmarkEnd w:id="238"/>
      <w:bookmarkEnd w:id="239"/>
      <w:bookmarkEnd w:id="240"/>
      <w:r w:rsidRPr="00D80545">
        <w:rPr>
          <w:color w:val="006B70"/>
        </w:rPr>
        <w:t xml:space="preserve"> </w:t>
      </w:r>
    </w:p>
    <w:p w14:paraId="48DD3B7C" w14:textId="77777777" w:rsidR="006964CC" w:rsidRPr="006F45EE" w:rsidRDefault="006964CC" w:rsidP="005974A0">
      <w:r w:rsidRPr="006F45EE">
        <w:rPr>
          <w:b/>
          <w:bCs/>
        </w:rPr>
        <w:t xml:space="preserve">Local Offer: </w:t>
      </w:r>
      <w:r w:rsidRPr="006F45EE">
        <w:t xml:space="preserve">The Tower Hamlets Local Offer website provides information on the provision for children and young people ages 0-19 with speech, language and communication concerns, including ongoing support for the parents and families for children and young people. </w:t>
      </w:r>
    </w:p>
    <w:p w14:paraId="6A3FE24E" w14:textId="77777777" w:rsidR="006964CC" w:rsidRPr="006F45EE" w:rsidRDefault="006964CC" w:rsidP="005974A0">
      <w:r w:rsidRPr="006F45EE">
        <w:rPr>
          <w:b/>
          <w:bCs/>
        </w:rPr>
        <w:t xml:space="preserve">Tower Hamlets Transition Team: </w:t>
      </w:r>
      <w:r w:rsidRPr="006F45EE">
        <w:t xml:space="preserve">This team provides advice and assistance to support children and their families during key points of transition. They support with a range of school issues including school admissions processes, managed moves, exclusion and bullying.  The Adult Team also assist with creating a transition plan which begins in year 9 (age 14) for those identified by a SENCO as needing ongoing support. To be eligible for care in adulthood, the child </w:t>
      </w:r>
      <w:proofErr w:type="gramStart"/>
      <w:r w:rsidRPr="006F45EE">
        <w:t>has to</w:t>
      </w:r>
      <w:proofErr w:type="gramEnd"/>
      <w:r w:rsidRPr="006F45EE">
        <w:t xml:space="preserve"> have a learning disability and ‘a critical or substantial risk to independence’ as defined by Fair Access to Care </w:t>
      </w:r>
      <w:r w:rsidRPr="006F45EE">
        <w:rPr>
          <w:vertAlign w:val="superscript"/>
        </w:rPr>
        <w:endnoteReference w:id="109"/>
      </w:r>
      <w:r w:rsidRPr="006F45EE">
        <w:t xml:space="preserve">.  </w:t>
      </w:r>
    </w:p>
    <w:p w14:paraId="2FD9B782" w14:textId="77777777" w:rsidR="006964CC" w:rsidRPr="006F45EE" w:rsidRDefault="006964CC" w:rsidP="005974A0">
      <w:r w:rsidRPr="006F45EE">
        <w:t>The team work with partnerships within the community providing support and advice on housing, employment, training and aspects of leisure.</w:t>
      </w:r>
    </w:p>
    <w:p w14:paraId="4E61C2A7" w14:textId="77777777" w:rsidR="006964CC" w:rsidRPr="006F45EE" w:rsidRDefault="006964CC" w:rsidP="005974A0">
      <w:r w:rsidRPr="006F45EE">
        <w:rPr>
          <w:b/>
          <w:bCs/>
        </w:rPr>
        <w:t>Healthcare transition</w:t>
      </w:r>
      <w:r w:rsidRPr="006F45EE">
        <w:t xml:space="preserve">: This transition is also overseen by the Tower Hamlets Transition Services.  A multidisciplinary team called the Community Learning Disability Service (CLDS) provides health services such as physiotherapists, occupational therapists, nurses, SLTs, psychologists and counsellors to those who require it.  The provision takes a person-centred approach </w:t>
      </w:r>
      <w:proofErr w:type="gramStart"/>
      <w:r w:rsidRPr="006F45EE">
        <w:t>in order to</w:t>
      </w:r>
      <w:proofErr w:type="gramEnd"/>
      <w:r w:rsidRPr="006F45EE">
        <w:t xml:space="preserve"> ensure the young person has the support required for a successful transition into adulthood.  </w:t>
      </w:r>
    </w:p>
    <w:p w14:paraId="17756500" w14:textId="77777777" w:rsidR="006964CC" w:rsidRPr="006F45EE" w:rsidRDefault="006964CC" w:rsidP="005974A0">
      <w:r w:rsidRPr="006F45EE">
        <w:rPr>
          <w:b/>
          <w:bCs/>
        </w:rPr>
        <w:t>Training and employment:</w:t>
      </w:r>
      <w:r w:rsidRPr="006F45EE">
        <w:t xml:space="preserve">  The Hub is a partnership that offers age 14-19 learning in Tower Hamlets.  It works in partnership with the transition team to offer a choice of a wide range of courses, which match the young person’s interests and needs.  Training and Employment opportunities are created with local partnerships e.g. Deaf Plus Employment provides employment support to people with hearing impairments in the form of seeking employment, completing applications and writing CVs as well as applying for Access to Work funds </w:t>
      </w:r>
      <w:r w:rsidRPr="006F45EE">
        <w:rPr>
          <w:vertAlign w:val="superscript"/>
        </w:rPr>
        <w:endnoteReference w:id="110"/>
      </w:r>
      <w:r w:rsidRPr="006F45EE">
        <w:t>.</w:t>
      </w:r>
    </w:p>
    <w:p w14:paraId="0DB06CCC" w14:textId="77777777" w:rsidR="006964CC" w:rsidRPr="00D80545" w:rsidRDefault="006964CC" w:rsidP="00F26588">
      <w:pPr>
        <w:pStyle w:val="Heading3"/>
        <w:rPr>
          <w:color w:val="006B70"/>
        </w:rPr>
      </w:pPr>
      <w:bookmarkStart w:id="241" w:name="_Toc205386924"/>
      <w:bookmarkStart w:id="242" w:name="_Toc205387994"/>
      <w:bookmarkStart w:id="243" w:name="_Toc205446005"/>
      <w:r w:rsidRPr="00D80545">
        <w:rPr>
          <w:color w:val="006B70"/>
        </w:rPr>
        <w:t>What works (evidence-based practice)</w:t>
      </w:r>
      <w:bookmarkEnd w:id="241"/>
      <w:bookmarkEnd w:id="242"/>
      <w:bookmarkEnd w:id="243"/>
      <w:r w:rsidRPr="00D80545">
        <w:rPr>
          <w:color w:val="006B70"/>
        </w:rPr>
        <w:t xml:space="preserve"> </w:t>
      </w:r>
    </w:p>
    <w:p w14:paraId="02C2E95C" w14:textId="5F1EC9DD" w:rsidR="005C5280" w:rsidRPr="003F0EB6" w:rsidRDefault="006964CC" w:rsidP="005974A0">
      <w:r w:rsidRPr="006F45EE">
        <w:t>There is little evidence available on how support for SLCN is received and the relative outcomes, indicating significant gaps in SLCN research. However, existing research indicates:</w:t>
      </w:r>
    </w:p>
    <w:p w14:paraId="1DECF012" w14:textId="4FCB3F4F" w:rsidR="00F051FA" w:rsidRPr="003F0EB6" w:rsidRDefault="006964CC" w:rsidP="00F051FA">
      <w:r w:rsidRPr="006F45EE">
        <w:rPr>
          <w:b/>
          <w:bCs/>
        </w:rPr>
        <w:t>Early Intervention for Speech and Language</w:t>
      </w:r>
      <w:r w:rsidRPr="006F45EE">
        <w:t xml:space="preserve">: </w:t>
      </w:r>
      <w:r w:rsidR="005C5280" w:rsidRPr="005C5280">
        <w:t>E</w:t>
      </w:r>
      <w:r w:rsidR="005C5280" w:rsidRPr="00982AB5">
        <w:t xml:space="preserve">arly intervention for Speech, Language and Communication Needs (SLCN) is consistently shown to improve long-term educational and social outcomes. Research highlights that supporting children’s language development during the </w:t>
      </w:r>
      <w:r w:rsidR="005C5280" w:rsidRPr="00293C95">
        <w:t>early years (ages 0–5)</w:t>
      </w:r>
      <w:r w:rsidR="00932EB6">
        <w:t xml:space="preserve"> </w:t>
      </w:r>
      <w:r w:rsidR="005C5280" w:rsidRPr="00982AB5">
        <w:t xml:space="preserve">can significantly reduce later difficulties in literacy, learning, and social interaction </w:t>
      </w:r>
      <w:r w:rsidR="0023549E" w:rsidRPr="00982AB5">
        <w:rPr>
          <w:vertAlign w:val="superscript"/>
        </w:rPr>
        <w:endnoteReference w:id="111"/>
      </w:r>
      <w:r w:rsidR="0023549E" w:rsidRPr="00982AB5">
        <w:t xml:space="preserve">. </w:t>
      </w:r>
      <w:r w:rsidR="00932EB6">
        <w:rPr>
          <w:b/>
          <w:bCs/>
        </w:rPr>
        <w:t xml:space="preserve"> </w:t>
      </w:r>
    </w:p>
    <w:p w14:paraId="770632E4" w14:textId="25C29185" w:rsidR="003F0EB6" w:rsidRPr="003F0EB6" w:rsidRDefault="003F0EB6" w:rsidP="003F0EB6">
      <w:r w:rsidRPr="00982AB5">
        <w:t xml:space="preserve">Early support is most effective when it is delivered </w:t>
      </w:r>
      <w:r w:rsidRPr="00293C95">
        <w:t>across three tiers</w:t>
      </w:r>
      <w:r w:rsidRPr="00982AB5">
        <w:t>:</w:t>
      </w:r>
    </w:p>
    <w:p w14:paraId="43DB5661" w14:textId="61DB24EF" w:rsidR="003F0EB6" w:rsidRPr="003F0EB6" w:rsidRDefault="003F0EB6" w:rsidP="003F0EB6">
      <w:pPr>
        <w:numPr>
          <w:ilvl w:val="0"/>
          <w:numId w:val="62"/>
        </w:numPr>
      </w:pPr>
      <w:r w:rsidRPr="003F0EB6">
        <w:rPr>
          <w:b/>
          <w:bCs/>
        </w:rPr>
        <w:t>Universal interventions</w:t>
      </w:r>
      <w:r w:rsidRPr="003F0EB6">
        <w:t xml:space="preserve"> promote language development for all children through high-quality early years provision </w:t>
      </w:r>
      <w:r w:rsidR="00E32092">
        <w:t>and involving parents and carers</w:t>
      </w:r>
      <w:r w:rsidRPr="003F0EB6">
        <w:t>. Examples include modelling back-and-forth communication</w:t>
      </w:r>
      <w:r w:rsidR="001B49FF">
        <w:t xml:space="preserve"> and </w:t>
      </w:r>
      <w:r w:rsidRPr="003F0EB6">
        <w:t>shared book reading</w:t>
      </w:r>
      <w:r w:rsidR="001B49FF">
        <w:t xml:space="preserve"> </w:t>
      </w:r>
      <w:r w:rsidRPr="003F0EB6">
        <w:t>which builds practitioner skill in supporting speech and language in early education settings</w:t>
      </w:r>
      <w:r w:rsidR="00374791" w:rsidRPr="006F45EE">
        <w:rPr>
          <w:vertAlign w:val="superscript"/>
        </w:rPr>
        <w:endnoteReference w:id="112"/>
      </w:r>
      <w:r w:rsidR="00E32092">
        <w:t xml:space="preserve"> </w:t>
      </w:r>
      <w:r w:rsidR="00E32092" w:rsidRPr="006F45EE">
        <w:rPr>
          <w:vertAlign w:val="superscript"/>
        </w:rPr>
        <w:endnoteReference w:id="113"/>
      </w:r>
      <w:r w:rsidR="00374791" w:rsidRPr="006F45EE">
        <w:t>.</w:t>
      </w:r>
    </w:p>
    <w:p w14:paraId="508DA353" w14:textId="001DDB2C" w:rsidR="003F0EB6" w:rsidRPr="003F0EB6" w:rsidRDefault="003F0EB6" w:rsidP="003F0EB6">
      <w:pPr>
        <w:numPr>
          <w:ilvl w:val="0"/>
          <w:numId w:val="62"/>
        </w:numPr>
      </w:pPr>
      <w:r w:rsidRPr="003F0EB6">
        <w:rPr>
          <w:b/>
          <w:bCs/>
        </w:rPr>
        <w:t>Targeted interventions</w:t>
      </w:r>
      <w:r w:rsidRPr="003F0EB6">
        <w:t xml:space="preserve"> are designed for children showing emerging language delay or mild SLCN. Structured group-based activities have demonstrated improvements in expressive and </w:t>
      </w:r>
      <w:r w:rsidRPr="003F0EB6">
        <w:lastRenderedPageBreak/>
        <w:t>receptive vocabulary, narrative skills and listening comprehension, particularly when implemented by trained teaching staff (Fricke et al., 2013; Law et al., 2019)</w:t>
      </w:r>
      <w:r w:rsidR="00A43217" w:rsidRPr="00A43217">
        <w:rPr>
          <w:vertAlign w:val="superscript"/>
        </w:rPr>
        <w:t xml:space="preserve"> </w:t>
      </w:r>
      <w:r w:rsidR="00A43217" w:rsidRPr="006F45EE">
        <w:rPr>
          <w:vertAlign w:val="superscript"/>
        </w:rPr>
        <w:endnoteReference w:id="114"/>
      </w:r>
      <w:r w:rsidR="00A43217">
        <w:rPr>
          <w:vertAlign w:val="superscript"/>
        </w:rPr>
        <w:t xml:space="preserve"> </w:t>
      </w:r>
      <w:r w:rsidR="00374791">
        <w:t xml:space="preserve"> </w:t>
      </w:r>
      <w:r w:rsidR="00374791" w:rsidRPr="006F45EE">
        <w:rPr>
          <w:vertAlign w:val="superscript"/>
        </w:rPr>
        <w:endnoteReference w:id="115"/>
      </w:r>
      <w:r w:rsidR="00E34B30">
        <w:t xml:space="preserve"> </w:t>
      </w:r>
      <w:r w:rsidR="00E34B30" w:rsidRPr="006F45EE">
        <w:rPr>
          <w:vertAlign w:val="superscript"/>
        </w:rPr>
        <w:endnoteReference w:id="116"/>
      </w:r>
      <w:r w:rsidR="007945D3">
        <w:t>.</w:t>
      </w:r>
    </w:p>
    <w:p w14:paraId="64BF8A0E" w14:textId="1BB4C5BB" w:rsidR="003F0EB6" w:rsidRPr="003F0EB6" w:rsidRDefault="003F0EB6" w:rsidP="003F0EB6">
      <w:pPr>
        <w:numPr>
          <w:ilvl w:val="0"/>
          <w:numId w:val="62"/>
        </w:numPr>
      </w:pPr>
      <w:r w:rsidRPr="003F0EB6">
        <w:rPr>
          <w:b/>
          <w:bCs/>
        </w:rPr>
        <w:t>Specialist interventions</w:t>
      </w:r>
      <w:r w:rsidRPr="003F0EB6">
        <w:t xml:space="preserve"> are provided by speech and language therapists for children with more persistent or complex needs, such as developmental language disorder (DLD) or speech sound disorders. These include individualised therapy plans and close collaboration between therapists, SENCOs and families to ensure strategies are embedded consistently across home and educational settings</w:t>
      </w:r>
      <w:r w:rsidR="007945D3" w:rsidRPr="006F45EE">
        <w:rPr>
          <w:vertAlign w:val="superscript"/>
        </w:rPr>
        <w:endnoteReference w:id="117"/>
      </w:r>
      <w:r w:rsidRPr="003F0EB6">
        <w:t>.</w:t>
      </w:r>
      <w:r w:rsidR="00E34B30">
        <w:t xml:space="preserve"> </w:t>
      </w:r>
    </w:p>
    <w:p w14:paraId="25366713" w14:textId="2C739C6C" w:rsidR="003F0EB6" w:rsidRPr="003F0EB6" w:rsidRDefault="00E32092" w:rsidP="003F0EB6">
      <w:r w:rsidRPr="00E32092">
        <w:t>D</w:t>
      </w:r>
      <w:r w:rsidR="003F0EB6" w:rsidRPr="00293C95">
        <w:t>elays in identification or intervention</w:t>
      </w:r>
      <w:r w:rsidR="003F0EB6" w:rsidRPr="003F0EB6">
        <w:t xml:space="preserve"> can widen developmental gaps, with long-term consequences for educational attainment, self-esteem, and employment outcomes</w:t>
      </w:r>
      <w:r w:rsidR="000E619F">
        <w:t xml:space="preserve"> </w:t>
      </w:r>
      <w:r w:rsidR="000E619F">
        <w:rPr>
          <w:rStyle w:val="EndnoteReference"/>
        </w:rPr>
        <w:endnoteReference w:id="118"/>
      </w:r>
      <w:r w:rsidR="003F0EB6" w:rsidRPr="003F0EB6">
        <w:t xml:space="preserve"> </w:t>
      </w:r>
      <w:r w:rsidR="001327F7">
        <w:rPr>
          <w:rStyle w:val="EndnoteReference"/>
        </w:rPr>
        <w:endnoteReference w:id="119"/>
      </w:r>
      <w:r w:rsidR="002A4BBA">
        <w:t>.</w:t>
      </w:r>
    </w:p>
    <w:p w14:paraId="0B57B333" w14:textId="0764F9AD" w:rsidR="006964CC" w:rsidRPr="006F45EE" w:rsidRDefault="006964CC" w:rsidP="005974A0">
      <w:r w:rsidRPr="006F45EE">
        <w:rPr>
          <w:b/>
          <w:bCs/>
        </w:rPr>
        <w:t>Physical Health</w:t>
      </w:r>
      <w:r w:rsidRPr="006F45EE">
        <w:t xml:space="preserve">: There is little evidence available in relation to what is an effective intervention for SLCN in improving health outcomes.  Certainly, improvements in language and communication would help children and young people with SCLN engage and communicate with others </w:t>
      </w:r>
      <w:proofErr w:type="gramStart"/>
      <w:r w:rsidRPr="006F45EE">
        <w:t>so as to</w:t>
      </w:r>
      <w:proofErr w:type="gramEnd"/>
      <w:r w:rsidRPr="006F45EE">
        <w:t xml:space="preserve"> experience the same level of daily physical activity as their peers </w:t>
      </w:r>
      <w:r w:rsidR="00523716">
        <w:rPr>
          <w:vertAlign w:val="superscript"/>
        </w:rPr>
        <w:fldChar w:fldCharType="begin"/>
      </w:r>
      <w:r w:rsidR="00523716">
        <w:rPr>
          <w:vertAlign w:val="superscript"/>
        </w:rPr>
        <w:instrText xml:space="preserve"> NOTEREF  _Ref205213533 \f \h </w:instrText>
      </w:r>
      <w:r w:rsidR="00523716">
        <w:rPr>
          <w:vertAlign w:val="superscript"/>
        </w:rPr>
      </w:r>
      <w:r w:rsidR="00523716">
        <w:rPr>
          <w:vertAlign w:val="superscript"/>
        </w:rPr>
        <w:fldChar w:fldCharType="separate"/>
      </w:r>
      <w:r w:rsidR="008722C4" w:rsidRPr="008722C4">
        <w:rPr>
          <w:rStyle w:val="EndnoteReference"/>
        </w:rPr>
        <w:t>102</w:t>
      </w:r>
      <w:r w:rsidR="00523716">
        <w:rPr>
          <w:vertAlign w:val="superscript"/>
        </w:rPr>
        <w:fldChar w:fldCharType="end"/>
      </w:r>
      <w:r w:rsidRPr="006F45EE">
        <w:t xml:space="preserve">.  Improved language and communication skills will also help to better manage and communicate daily health needs </w:t>
      </w:r>
      <w:r w:rsidR="003624A9">
        <w:rPr>
          <w:vertAlign w:val="superscript"/>
        </w:rPr>
        <w:fldChar w:fldCharType="begin"/>
      </w:r>
      <w:r w:rsidR="003624A9">
        <w:rPr>
          <w:vertAlign w:val="superscript"/>
        </w:rPr>
        <w:instrText xml:space="preserve"> NOTEREF  _Ref205215094 \f \h </w:instrText>
      </w:r>
      <w:r w:rsidR="003624A9">
        <w:rPr>
          <w:vertAlign w:val="superscript"/>
        </w:rPr>
      </w:r>
      <w:r w:rsidR="003624A9">
        <w:rPr>
          <w:vertAlign w:val="superscript"/>
        </w:rPr>
        <w:fldChar w:fldCharType="separate"/>
      </w:r>
      <w:r w:rsidR="008722C4" w:rsidRPr="008722C4">
        <w:rPr>
          <w:rStyle w:val="EndnoteReference"/>
        </w:rPr>
        <w:t>108</w:t>
      </w:r>
      <w:r w:rsidR="003624A9">
        <w:rPr>
          <w:vertAlign w:val="superscript"/>
        </w:rPr>
        <w:fldChar w:fldCharType="end"/>
      </w:r>
      <w:r w:rsidRPr="006F45EE">
        <w:t>. Moreover, establishing a healthy routine, combining a healthy diet with plenty of physical activity are more likely to support healthy behaviours moving forward. Modelling healthy lifestyles remains a significant aspect of learning for children with SLCN.</w:t>
      </w:r>
    </w:p>
    <w:p w14:paraId="3E825C15" w14:textId="77777777" w:rsidR="006964CC" w:rsidRPr="006F45EE" w:rsidRDefault="006964CC" w:rsidP="005974A0">
      <w:r w:rsidRPr="006F45EE">
        <w:rPr>
          <w:b/>
          <w:bCs/>
        </w:rPr>
        <w:t>Mental Health</w:t>
      </w:r>
      <w:r w:rsidRPr="006F45EE">
        <w:t>: There is a gap in the evidence base for best practice when working with children and young with SLCN.  The language and communication barriers often faced impact the effectiveness of more traditional talking therapies and the evidence for the use of appropriately modified talking therapies associated with SLCN is sparce.  However, existing evidence has shown combining the use of positive behavioural support systems, emotional regulation strategies and programmes, effective staff training and the involvement and support of the family were regarded as successful interventions for mental health issues. For example, for younger children, Play Therapy was considered a potentially useful psychological approach for this population in treating mental health difficulties as it supports healthy child/caregiver attachments without the reliance on verbal communication. However, for other children, teaching higher level language associated with comprehension and expression of emotions may also be a useful approach to developing emotion vocabulary and processing and comprehending emotions.</w:t>
      </w:r>
    </w:p>
    <w:p w14:paraId="2A136015" w14:textId="42A48B35" w:rsidR="006964CC" w:rsidRPr="006F45EE" w:rsidRDefault="006964CC" w:rsidP="005974A0">
      <w:r w:rsidRPr="006F45EE">
        <w:t xml:space="preserve">Ultimately, tackling problems early offers a better </w:t>
      </w:r>
      <w:r w:rsidR="0072701F" w:rsidRPr="006F45EE">
        <w:t>chan</w:t>
      </w:r>
      <w:r w:rsidR="0072701F">
        <w:t>c</w:t>
      </w:r>
      <w:r w:rsidR="0072701F" w:rsidRPr="006F45EE">
        <w:t xml:space="preserve">e </w:t>
      </w:r>
      <w:r w:rsidRPr="006F45EE">
        <w:t xml:space="preserve">of improvements. The CAHMS in Tower Hamlets provides support and interventions to children with a range of emotional and behavioural issues and suggest involvement and support from the family is very important to treatment outcomes.   </w:t>
      </w:r>
    </w:p>
    <w:p w14:paraId="4459BFEC" w14:textId="77777777" w:rsidR="006964CC" w:rsidRPr="00D80545" w:rsidRDefault="006964CC" w:rsidP="00293C95">
      <w:pPr>
        <w:pStyle w:val="Heading3"/>
        <w:rPr>
          <w:color w:val="006B70"/>
        </w:rPr>
      </w:pPr>
      <w:bookmarkStart w:id="244" w:name="_Toc205386925"/>
      <w:bookmarkStart w:id="245" w:name="_Toc205387995"/>
      <w:bookmarkStart w:id="246" w:name="_Toc205446006"/>
      <w:r w:rsidRPr="00D80545">
        <w:rPr>
          <w:color w:val="006B70"/>
        </w:rPr>
        <w:t>Support services</w:t>
      </w:r>
      <w:bookmarkEnd w:id="244"/>
      <w:bookmarkEnd w:id="245"/>
      <w:bookmarkEnd w:id="246"/>
      <w:r w:rsidRPr="00D80545">
        <w:rPr>
          <w:color w:val="006B70"/>
        </w:rPr>
        <w:t xml:space="preserve"> </w:t>
      </w:r>
    </w:p>
    <w:p w14:paraId="4224A6B6" w14:textId="77777777" w:rsidR="006964CC" w:rsidRPr="006F45EE" w:rsidRDefault="006964CC" w:rsidP="005974A0">
      <w:r w:rsidRPr="006F45EE">
        <w:t xml:space="preserve">In Tower Hamlets, in addition to the standard health provisions such as GP and health visitor services, children and young people with SLCN and their families have access to </w:t>
      </w:r>
      <w:r w:rsidRPr="006F45EE">
        <w:rPr>
          <w:vertAlign w:val="superscript"/>
        </w:rPr>
        <w:endnoteReference w:id="120"/>
      </w:r>
      <w:r w:rsidRPr="006F45EE">
        <w:t>:</w:t>
      </w:r>
    </w:p>
    <w:p w14:paraId="131C7620" w14:textId="0B22E5CC" w:rsidR="006964CC" w:rsidRDefault="006964CC" w:rsidP="005974A0">
      <w:r w:rsidRPr="006F45EE">
        <w:rPr>
          <w:b/>
          <w:bCs/>
        </w:rPr>
        <w:t>The Family Hubs</w:t>
      </w:r>
      <w:r w:rsidR="00977D0F">
        <w:rPr>
          <w:b/>
          <w:bCs/>
        </w:rPr>
        <w:t xml:space="preserve"> (universal services)</w:t>
      </w:r>
      <w:r w:rsidRPr="006F45EE">
        <w:t>: The</w:t>
      </w:r>
      <w:r w:rsidR="00D4326F">
        <w:t>se universal</w:t>
      </w:r>
      <w:r w:rsidR="00785952">
        <w:t xml:space="preserve"> Family</w:t>
      </w:r>
      <w:r w:rsidRPr="006F45EE">
        <w:t xml:space="preserve"> </w:t>
      </w:r>
      <w:r w:rsidR="00785952">
        <w:t>H</w:t>
      </w:r>
      <w:r w:rsidRPr="006F45EE">
        <w:t xml:space="preserve">ubs provide support in the form of </w:t>
      </w:r>
      <w:r w:rsidR="003A11E1">
        <w:t>group activities such as Stay and Play</w:t>
      </w:r>
      <w:r w:rsidRPr="006F45EE">
        <w:t>,</w:t>
      </w:r>
      <w:r w:rsidR="003A11E1">
        <w:t xml:space="preserve"> Family</w:t>
      </w:r>
      <w:r w:rsidRPr="006F45EE">
        <w:t xml:space="preserve"> workshops, community support sessions and extra help and one-to-one family support. An example is the Early Talk Boost initiative, which is a focused programme for 3-4 years olds in Tower Hamlets who need additional support with language skills</w:t>
      </w:r>
      <w:r w:rsidR="00C02187">
        <w:t xml:space="preserve"> (Figure 7.2)</w:t>
      </w:r>
      <w:r w:rsidRPr="006F45EE">
        <w:t>.</w:t>
      </w:r>
    </w:p>
    <w:p w14:paraId="5A54BA73" w14:textId="547C88A5" w:rsidR="006964CC" w:rsidRPr="00C270AF" w:rsidRDefault="006964CC" w:rsidP="005974A0">
      <w:pPr>
        <w:rPr>
          <w:b/>
          <w:bCs/>
          <w:sz w:val="18"/>
          <w:szCs w:val="18"/>
        </w:rPr>
      </w:pPr>
      <w:r w:rsidRPr="00C270AF">
        <w:rPr>
          <w:b/>
          <w:bCs/>
          <w:sz w:val="18"/>
          <w:szCs w:val="18"/>
        </w:rPr>
        <w:lastRenderedPageBreak/>
        <w:t xml:space="preserve">Figure </w:t>
      </w:r>
      <w:r w:rsidR="00106703">
        <w:rPr>
          <w:b/>
          <w:bCs/>
          <w:sz w:val="18"/>
          <w:szCs w:val="18"/>
        </w:rPr>
        <w:t>7.2</w:t>
      </w:r>
      <w:r w:rsidRPr="00C270AF">
        <w:rPr>
          <w:b/>
          <w:bCs/>
          <w:sz w:val="18"/>
          <w:szCs w:val="18"/>
        </w:rPr>
        <w:t>: Early Talk boost programme information</w:t>
      </w:r>
      <w:r w:rsidR="007671B0">
        <w:rPr>
          <w:rStyle w:val="EndnoteReference"/>
          <w:b/>
          <w:bCs/>
          <w:sz w:val="18"/>
          <w:szCs w:val="18"/>
        </w:rPr>
        <w:fldChar w:fldCharType="begin"/>
      </w:r>
      <w:r w:rsidR="007671B0">
        <w:rPr>
          <w:rStyle w:val="EndnoteReference"/>
          <w:b/>
          <w:bCs/>
          <w:sz w:val="18"/>
          <w:szCs w:val="18"/>
        </w:rPr>
        <w:instrText xml:space="preserve"> NOTEREF  _Ref205215302 \f \h </w:instrText>
      </w:r>
      <w:r w:rsidR="007671B0">
        <w:rPr>
          <w:rStyle w:val="EndnoteReference"/>
          <w:b/>
          <w:bCs/>
          <w:sz w:val="18"/>
          <w:szCs w:val="18"/>
        </w:rPr>
      </w:r>
      <w:r w:rsidR="007671B0">
        <w:rPr>
          <w:rStyle w:val="EndnoteReference"/>
          <w:b/>
          <w:bCs/>
          <w:sz w:val="18"/>
          <w:szCs w:val="18"/>
        </w:rPr>
        <w:fldChar w:fldCharType="separate"/>
      </w:r>
      <w:r w:rsidR="008722C4" w:rsidRPr="008722C4">
        <w:rPr>
          <w:rStyle w:val="EndnoteReference"/>
        </w:rPr>
        <w:t>64</w:t>
      </w:r>
      <w:r w:rsidR="007671B0">
        <w:rPr>
          <w:rStyle w:val="EndnoteReference"/>
          <w:b/>
          <w:bCs/>
          <w:sz w:val="18"/>
          <w:szCs w:val="18"/>
        </w:rPr>
        <w:fldChar w:fldCharType="end"/>
      </w:r>
    </w:p>
    <w:p w14:paraId="4CE619D6" w14:textId="6B28370A" w:rsidR="00ED4380" w:rsidRDefault="00ED4380" w:rsidP="00777F94">
      <w:pPr>
        <w:jc w:val="center"/>
      </w:pPr>
      <w:r>
        <w:rPr>
          <w:noProof/>
        </w:rPr>
        <w:drawing>
          <wp:inline distT="0" distB="0" distL="0" distR="0" wp14:anchorId="4AEE9919" wp14:editId="151E42DC">
            <wp:extent cx="5734685" cy="2946400"/>
            <wp:effectExtent l="0" t="0" r="0" b="6350"/>
            <wp:docPr id="2129297251" name="Picture 42" descr="Services for young people 0-18 aiming to empower young people; Anna Freud, Become care advice line, NHS 11 and Tower Hamlets Child and Adolescent Mental Health Servi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297251" name="Picture 42" descr="Services for young people 0-18 aiming to empower young people; Anna Freud, Become care advice line, NHS 11 and Tower Hamlets Child and Adolescent Mental Health Service&#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685" cy="2946400"/>
                    </a:xfrm>
                    <a:prstGeom prst="rect">
                      <a:avLst/>
                    </a:prstGeom>
                    <a:noFill/>
                    <a:ln>
                      <a:noFill/>
                    </a:ln>
                  </pic:spPr>
                </pic:pic>
              </a:graphicData>
            </a:graphic>
          </wp:inline>
        </w:drawing>
      </w:r>
    </w:p>
    <w:p w14:paraId="3D5B4FBC" w14:textId="03E3EB2B" w:rsidR="005954A8" w:rsidRPr="00C00C51" w:rsidRDefault="005954A8" w:rsidP="00C00C51">
      <w:pPr>
        <w:jc w:val="right"/>
        <w:rPr>
          <w:b/>
          <w:bCs/>
          <w:sz w:val="16"/>
          <w:szCs w:val="16"/>
        </w:rPr>
      </w:pPr>
      <w:r w:rsidRPr="00C00C51">
        <w:rPr>
          <w:b/>
          <w:bCs/>
          <w:sz w:val="16"/>
          <w:szCs w:val="16"/>
        </w:rPr>
        <w:t xml:space="preserve">Source: </w:t>
      </w:r>
      <w:r w:rsidR="00C00C51" w:rsidRPr="00C00C51">
        <w:rPr>
          <w:b/>
          <w:bCs/>
          <w:sz w:val="16"/>
          <w:szCs w:val="16"/>
        </w:rPr>
        <w:t>Tower Hamlets Family Hubs: Child Development and Early Years</w:t>
      </w:r>
    </w:p>
    <w:p w14:paraId="5EC7D738" w14:textId="77777777" w:rsidR="002713AE" w:rsidRPr="006F45EE" w:rsidRDefault="002713AE" w:rsidP="002713AE">
      <w:r w:rsidRPr="00CE735B">
        <w:rPr>
          <w:b/>
          <w:bCs/>
        </w:rPr>
        <w:t>Tower Hamlets Children’s SLT Service</w:t>
      </w:r>
      <w:r>
        <w:t xml:space="preserve">: </w:t>
      </w:r>
      <w:r w:rsidRPr="006F45EE">
        <w:t xml:space="preserve"> </w:t>
      </w:r>
      <w:r>
        <w:t>This service p</w:t>
      </w:r>
      <w:r w:rsidRPr="006F45EE">
        <w:t xml:space="preserve">rovides assessment and intervention for children and young people aged 0 – 19 years who present with a range of </w:t>
      </w:r>
      <w:r>
        <w:t>SLCN</w:t>
      </w:r>
      <w:r w:rsidRPr="006F45EE">
        <w:t xml:space="preserve">.  Services are provided in schools, community clinics and special schools and involve speech and language therapists working with children and young people and the adults who care or educate them.  It is a free service, and families can self-refer to the service however there is a waiting list </w:t>
      </w:r>
      <w:r w:rsidRPr="006F45EE">
        <w:rPr>
          <w:vertAlign w:val="superscript"/>
        </w:rPr>
        <w:endnoteReference w:id="121"/>
      </w:r>
      <w:r w:rsidRPr="006F45EE">
        <w:t xml:space="preserve">.  </w:t>
      </w:r>
    </w:p>
    <w:p w14:paraId="339866F8" w14:textId="48CC6519" w:rsidR="002713AE" w:rsidRPr="006F45EE" w:rsidRDefault="002713AE" w:rsidP="002713AE">
      <w:r w:rsidRPr="006F45EE">
        <w:t xml:space="preserve">The toolkit ‘Verbo’, created by NHS </w:t>
      </w:r>
      <w:r>
        <w:t>SLTs</w:t>
      </w:r>
      <w:r w:rsidRPr="006F45EE">
        <w:rPr>
          <w:vertAlign w:val="superscript"/>
        </w:rPr>
        <w:endnoteReference w:id="122"/>
      </w:r>
      <w:r w:rsidRPr="006F45EE">
        <w:t>, has also been rolled out to 56 primary schools within Tower Hamlets</w:t>
      </w:r>
      <w:r>
        <w:rPr>
          <w:vertAlign w:val="superscript"/>
        </w:rPr>
        <w:fldChar w:fldCharType="begin"/>
      </w:r>
      <w:r>
        <w:rPr>
          <w:vertAlign w:val="superscript"/>
        </w:rPr>
        <w:instrText xml:space="preserve"> NOTEREF  _Ref205215701 \f \h </w:instrText>
      </w:r>
      <w:r>
        <w:rPr>
          <w:vertAlign w:val="superscript"/>
        </w:rPr>
      </w:r>
      <w:r>
        <w:rPr>
          <w:vertAlign w:val="superscript"/>
        </w:rPr>
        <w:fldChar w:fldCharType="separate"/>
      </w:r>
      <w:r w:rsidR="008722C4" w:rsidRPr="008722C4">
        <w:rPr>
          <w:rStyle w:val="EndnoteReference"/>
        </w:rPr>
        <w:t>103</w:t>
      </w:r>
      <w:r>
        <w:rPr>
          <w:vertAlign w:val="superscript"/>
        </w:rPr>
        <w:fldChar w:fldCharType="end"/>
      </w:r>
      <w:r w:rsidRPr="006F45EE">
        <w:t xml:space="preserve">. It aims to support settings with or without </w:t>
      </w:r>
      <w:r>
        <w:t>SLT</w:t>
      </w:r>
      <w:r w:rsidRPr="006F45EE">
        <w:t>, aiming to complement the existing service. It has tools to upskill education staff including:</w:t>
      </w:r>
    </w:p>
    <w:p w14:paraId="78B319F2" w14:textId="77777777" w:rsidR="002713AE" w:rsidRPr="003C3049" w:rsidRDefault="002713AE" w:rsidP="002713AE">
      <w:pPr>
        <w:pStyle w:val="ListParagraph"/>
      </w:pPr>
      <w:r w:rsidRPr="003C3049">
        <w:t>Screening tools.</w:t>
      </w:r>
    </w:p>
    <w:p w14:paraId="09F761A9" w14:textId="77777777" w:rsidR="002713AE" w:rsidRPr="003C3049" w:rsidRDefault="002713AE" w:rsidP="002713AE">
      <w:pPr>
        <w:pStyle w:val="ListParagraph"/>
      </w:pPr>
      <w:r w:rsidRPr="003C3049">
        <w:t>Interventions with video modelling and resources.</w:t>
      </w:r>
    </w:p>
    <w:p w14:paraId="726A56E6" w14:textId="77777777" w:rsidR="002713AE" w:rsidRPr="003C3049" w:rsidRDefault="002713AE" w:rsidP="002713AE">
      <w:pPr>
        <w:pStyle w:val="ListParagraph"/>
      </w:pPr>
      <w:r w:rsidRPr="003C3049">
        <w:t>Target trackers.</w:t>
      </w:r>
    </w:p>
    <w:p w14:paraId="7494B2D5" w14:textId="77777777" w:rsidR="002713AE" w:rsidRPr="003C3049" w:rsidRDefault="002713AE" w:rsidP="002713AE">
      <w:pPr>
        <w:pStyle w:val="ListParagraph"/>
      </w:pPr>
      <w:r w:rsidRPr="003C3049">
        <w:t>Staff training.</w:t>
      </w:r>
    </w:p>
    <w:p w14:paraId="079D8A32" w14:textId="77777777" w:rsidR="002713AE" w:rsidRPr="003C3049" w:rsidRDefault="002713AE" w:rsidP="002713AE">
      <w:pPr>
        <w:pStyle w:val="ListParagraph"/>
      </w:pPr>
      <w:r w:rsidRPr="003C3049">
        <w:t>Robust impact measures and outcome reports.</w:t>
      </w:r>
    </w:p>
    <w:p w14:paraId="41CB5A89" w14:textId="77777777" w:rsidR="002713AE" w:rsidRDefault="002713AE" w:rsidP="002713AE">
      <w:pPr>
        <w:pStyle w:val="ListParagraph"/>
      </w:pPr>
      <w:r w:rsidRPr="003C3049">
        <w:t>Ability to share information with parents.</w:t>
      </w:r>
    </w:p>
    <w:p w14:paraId="45EC7394" w14:textId="77777777" w:rsidR="006964CC" w:rsidRDefault="006964CC" w:rsidP="003C3049">
      <w:r w:rsidRPr="006F45EE">
        <w:rPr>
          <w:b/>
          <w:bCs/>
        </w:rPr>
        <w:t>The Educational Psychology Services</w:t>
      </w:r>
      <w:r w:rsidRPr="006F45EE">
        <w:t>: This service provides consultations, psychological assessments, one-to-one and small group interventions and support for parents.</w:t>
      </w:r>
    </w:p>
    <w:p w14:paraId="44546994" w14:textId="6F48C3FF" w:rsidR="00841B03" w:rsidRDefault="00967801" w:rsidP="003C3049">
      <w:r w:rsidRPr="00293C95">
        <w:rPr>
          <w:b/>
          <w:bCs/>
        </w:rPr>
        <w:t xml:space="preserve">Tower Hamlet’s Language, </w:t>
      </w:r>
      <w:r w:rsidRPr="00293C95">
        <w:rPr>
          <w:b/>
          <w:bCs/>
          <w:iCs/>
        </w:rPr>
        <w:t>Literacy and Communication Team</w:t>
      </w:r>
      <w:r>
        <w:t>: Provides</w:t>
      </w:r>
      <w:r w:rsidRPr="006F45EE">
        <w:t xml:space="preserve"> courses aimed at SENCOs and class teachers interested in deepening their understanding of how language develops and </w:t>
      </w:r>
      <w:proofErr w:type="gramStart"/>
      <w:r w:rsidRPr="006F45EE">
        <w:t>learn</w:t>
      </w:r>
      <w:proofErr w:type="gramEnd"/>
      <w:r w:rsidRPr="006F45EE">
        <w:t xml:space="preserve"> more about language difficulties can impact learning.</w:t>
      </w:r>
    </w:p>
    <w:p w14:paraId="616E3CDF" w14:textId="3D22E93A" w:rsidR="006964CC" w:rsidRPr="00293C95" w:rsidRDefault="006964CC" w:rsidP="00E63EBF">
      <w:pPr>
        <w:spacing w:after="160" w:line="264" w:lineRule="auto"/>
        <w:ind w:left="720"/>
        <w:rPr>
          <w:b/>
          <w:bCs/>
          <w:sz w:val="18"/>
          <w:szCs w:val="18"/>
        </w:rPr>
      </w:pPr>
      <w:r w:rsidRPr="00FF3466">
        <w:rPr>
          <w:b/>
          <w:bCs/>
          <w:sz w:val="18"/>
          <w:szCs w:val="18"/>
        </w:rPr>
        <w:t xml:space="preserve">Figure </w:t>
      </w:r>
      <w:r w:rsidR="00106703" w:rsidRPr="00FF3466">
        <w:rPr>
          <w:b/>
          <w:bCs/>
          <w:sz w:val="18"/>
          <w:szCs w:val="18"/>
        </w:rPr>
        <w:t>7.3</w:t>
      </w:r>
      <w:r w:rsidRPr="00293C95">
        <w:rPr>
          <w:b/>
          <w:bCs/>
          <w:sz w:val="18"/>
          <w:szCs w:val="18"/>
        </w:rPr>
        <w:t>: Early social communication differences support provisions through the Speech and Language Therapy teams (under 5s)</w:t>
      </w:r>
      <w:r w:rsidRPr="00293C95">
        <w:rPr>
          <w:rStyle w:val="EndnoteReference"/>
          <w:b/>
          <w:bCs/>
          <w:sz w:val="18"/>
          <w:szCs w:val="18"/>
        </w:rPr>
        <w:endnoteReference w:id="123"/>
      </w:r>
      <w:r w:rsidRPr="00293C95">
        <w:rPr>
          <w:b/>
          <w:bCs/>
          <w:sz w:val="18"/>
          <w:szCs w:val="18"/>
        </w:rPr>
        <w:t>.</w:t>
      </w:r>
    </w:p>
    <w:p w14:paraId="1B03598B" w14:textId="77777777" w:rsidR="008B773B" w:rsidRDefault="008B773B" w:rsidP="00777F94">
      <w:pPr>
        <w:spacing w:after="160" w:line="264" w:lineRule="auto"/>
        <w:jc w:val="center"/>
      </w:pPr>
      <w:r>
        <w:rPr>
          <w:noProof/>
        </w:rPr>
        <w:lastRenderedPageBreak/>
        <w:drawing>
          <wp:inline distT="0" distB="0" distL="0" distR="0" wp14:anchorId="0707BF64" wp14:editId="47B3A20A">
            <wp:extent cx="3101009" cy="4237420"/>
            <wp:effectExtent l="0" t="0" r="4445" b="0"/>
            <wp:docPr id="2103374448" name="Picture 37" descr="A poster showing what the Early Language team at NHS Barts, offer for children 0-5 years old whom have difficulties with language, understanding and talking, pronunciation (saying speech sounds and words clearly) situational mutism (able to talk in some places but do not talk in other places). &#10;Also offer stay and play sessions and targeted 'talking' 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74448" name="Picture 37" descr="A poster showing what the Early Language team at NHS Barts, offer for children 0-5 years old whom have difficulties with language, understanding and talking, pronunciation (saying speech sounds and words clearly) situational mutism (able to talk in some places but do not talk in other places). &#10;Also offer stay and play sessions and targeted 'talking' groups.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14754" cy="4256203"/>
                    </a:xfrm>
                    <a:prstGeom prst="rect">
                      <a:avLst/>
                    </a:prstGeom>
                    <a:noFill/>
                    <a:ln>
                      <a:noFill/>
                    </a:ln>
                  </pic:spPr>
                </pic:pic>
              </a:graphicData>
            </a:graphic>
          </wp:inline>
        </w:drawing>
      </w:r>
    </w:p>
    <w:p w14:paraId="16B5062C" w14:textId="7DD4F742" w:rsidR="00E63EBF" w:rsidRPr="00C00C51" w:rsidRDefault="00E63EBF" w:rsidP="00E63EBF">
      <w:pPr>
        <w:jc w:val="right"/>
        <w:rPr>
          <w:b/>
          <w:bCs/>
          <w:sz w:val="16"/>
          <w:szCs w:val="16"/>
        </w:rPr>
      </w:pPr>
      <w:r w:rsidRPr="00C00C51">
        <w:rPr>
          <w:b/>
          <w:bCs/>
          <w:sz w:val="16"/>
          <w:szCs w:val="16"/>
        </w:rPr>
        <w:t>Source:</w:t>
      </w:r>
      <w:r w:rsidR="00676D1A" w:rsidRPr="00C00C51">
        <w:rPr>
          <w:b/>
          <w:bCs/>
          <w:sz w:val="16"/>
          <w:szCs w:val="16"/>
        </w:rPr>
        <w:t xml:space="preserve"> Tower Hamlets Local Offer Early Language: Speech and Language Therapy (Under 5s)</w:t>
      </w:r>
    </w:p>
    <w:p w14:paraId="62133A6B" w14:textId="77777777" w:rsidR="00E63EBF" w:rsidRDefault="00E63EBF" w:rsidP="00777F94">
      <w:pPr>
        <w:spacing w:after="160" w:line="264" w:lineRule="auto"/>
        <w:jc w:val="center"/>
      </w:pPr>
    </w:p>
    <w:p w14:paraId="2E3EE1D4" w14:textId="3E0BE577" w:rsidR="005D5216" w:rsidRDefault="001D643F">
      <w:r>
        <w:rPr>
          <w:b/>
          <w:bCs/>
        </w:rPr>
        <w:t xml:space="preserve">Tower Hamlets </w:t>
      </w:r>
      <w:r w:rsidRPr="006F45EE">
        <w:rPr>
          <w:b/>
          <w:bCs/>
        </w:rPr>
        <w:t>C</w:t>
      </w:r>
      <w:r>
        <w:rPr>
          <w:b/>
          <w:bCs/>
        </w:rPr>
        <w:t xml:space="preserve">ommunity </w:t>
      </w:r>
      <w:r w:rsidR="006964CC" w:rsidRPr="006F45EE">
        <w:rPr>
          <w:b/>
          <w:bCs/>
        </w:rPr>
        <w:t>L</w:t>
      </w:r>
      <w:r>
        <w:rPr>
          <w:b/>
          <w:bCs/>
        </w:rPr>
        <w:t xml:space="preserve">earning </w:t>
      </w:r>
      <w:r w:rsidR="00825F01" w:rsidRPr="006F45EE">
        <w:rPr>
          <w:b/>
          <w:bCs/>
        </w:rPr>
        <w:t>D</w:t>
      </w:r>
      <w:r w:rsidR="00825F01">
        <w:rPr>
          <w:b/>
          <w:bCs/>
        </w:rPr>
        <w:t>isabilities</w:t>
      </w:r>
      <w:r>
        <w:rPr>
          <w:b/>
          <w:bCs/>
        </w:rPr>
        <w:t xml:space="preserve"> </w:t>
      </w:r>
      <w:r w:rsidR="006964CC" w:rsidRPr="006F45EE">
        <w:rPr>
          <w:b/>
          <w:bCs/>
        </w:rPr>
        <w:t>S</w:t>
      </w:r>
      <w:r>
        <w:rPr>
          <w:b/>
          <w:bCs/>
        </w:rPr>
        <w:t>ervice</w:t>
      </w:r>
      <w:r w:rsidR="006964CC" w:rsidRPr="006F45EE">
        <w:rPr>
          <w:b/>
          <w:bCs/>
        </w:rPr>
        <w:t xml:space="preserve">: </w:t>
      </w:r>
      <w:r w:rsidR="006964CC" w:rsidRPr="006F45EE">
        <w:t>This multidisciplinary team provides health services such as physiotherapists, occupational therapists, nurses, SLTs, psychologists and counsellors, amongst many other services, to those with SLCN who require it.</w:t>
      </w:r>
    </w:p>
    <w:p w14:paraId="3BE3F2CA" w14:textId="78286BD4" w:rsidR="005D5216" w:rsidRDefault="005D5216" w:rsidP="00293C95">
      <w:pPr>
        <w:spacing w:after="160" w:line="264" w:lineRule="auto"/>
      </w:pPr>
      <w:r w:rsidRPr="002440B9">
        <w:rPr>
          <w:b/>
          <w:bCs/>
        </w:rPr>
        <w:t>Tower Project:</w:t>
      </w:r>
      <w:r w:rsidRPr="00033192">
        <w:t xml:space="preserve"> Support children and adults aged 0-25 with SEND to build skills and make friends, as well as offering support to gain employment.</w:t>
      </w:r>
      <w:r>
        <w:t xml:space="preserve"> </w:t>
      </w:r>
    </w:p>
    <w:p w14:paraId="510C5EA6" w14:textId="77777777" w:rsidR="005D5216" w:rsidRPr="006F45EE" w:rsidRDefault="005D5216" w:rsidP="003C3049"/>
    <w:p w14:paraId="3C0C642F" w14:textId="234DDE51" w:rsidR="00B231A4" w:rsidRDefault="00B231A4" w:rsidP="00293C95"/>
    <w:p w14:paraId="0450AD20" w14:textId="77777777" w:rsidR="004E04E1" w:rsidRPr="00EA1F42" w:rsidRDefault="004E04E1" w:rsidP="00F26588">
      <w:pPr>
        <w:pStyle w:val="Heading3"/>
        <w:rPr>
          <w:color w:val="006B70"/>
        </w:rPr>
      </w:pPr>
      <w:bookmarkStart w:id="247" w:name="_Toc211413981"/>
      <w:bookmarkStart w:id="248" w:name="_Toc211439840"/>
      <w:bookmarkStart w:id="249" w:name="_Toc205386926"/>
      <w:bookmarkStart w:id="250" w:name="_Toc205387996"/>
      <w:bookmarkStart w:id="251" w:name="_Toc205446007"/>
      <w:bookmarkEnd w:id="247"/>
      <w:bookmarkEnd w:id="248"/>
      <w:r w:rsidRPr="00EA1F42">
        <w:rPr>
          <w:color w:val="006B70"/>
        </w:rPr>
        <w:t>Gaps</w:t>
      </w:r>
      <w:bookmarkEnd w:id="249"/>
      <w:bookmarkEnd w:id="250"/>
      <w:bookmarkEnd w:id="251"/>
    </w:p>
    <w:p w14:paraId="260E64EA" w14:textId="639D1DC6" w:rsidR="004E04E1" w:rsidRPr="006F45EE" w:rsidRDefault="004E04E1" w:rsidP="006F45EE">
      <w:pPr>
        <w:spacing w:before="0" w:after="160" w:line="278" w:lineRule="auto"/>
        <w:jc w:val="left"/>
      </w:pPr>
      <w:r w:rsidRPr="006F45EE">
        <w:t>Tower Hamlets provides a comprehensive support programme for children and young people identified with SCLN, with lots of free available support from various sources</w:t>
      </w:r>
      <w:r w:rsidR="00220247">
        <w:t xml:space="preserve">, some of which are universal and some are </w:t>
      </w:r>
      <w:r w:rsidRPr="006F45EE">
        <w:t>dependent on an assessment of needs. There are many children and young people with SLCN who do</w:t>
      </w:r>
      <w:r w:rsidR="0049151D">
        <w:t xml:space="preserve"> </w:t>
      </w:r>
      <w:r w:rsidRPr="006F45EE">
        <w:t>n</w:t>
      </w:r>
      <w:r w:rsidR="0049151D">
        <w:t>o</w:t>
      </w:r>
      <w:r w:rsidRPr="006F45EE">
        <w:t xml:space="preserve">t have </w:t>
      </w:r>
      <w:r w:rsidR="00CE2883">
        <w:t>SEN Support</w:t>
      </w:r>
      <w:r w:rsidRPr="006F45EE">
        <w:t xml:space="preserve"> or </w:t>
      </w:r>
      <w:r w:rsidR="0031100F">
        <w:t>EHCP</w:t>
      </w:r>
      <w:r w:rsidRPr="006F45EE">
        <w:t xml:space="preserve"> and therefore may not be able to access many of the </w:t>
      </w:r>
      <w:r w:rsidR="00220247">
        <w:t xml:space="preserve">targeted </w:t>
      </w:r>
      <w:r w:rsidRPr="006F45EE">
        <w:t xml:space="preserve">support provisions. </w:t>
      </w:r>
    </w:p>
    <w:p w14:paraId="11423901" w14:textId="7BE3F13A" w:rsidR="004E04E1" w:rsidRPr="006F45EE" w:rsidRDefault="004E04E1" w:rsidP="006F45EE">
      <w:pPr>
        <w:spacing w:before="0" w:after="160" w:line="278" w:lineRule="auto"/>
        <w:jc w:val="left"/>
      </w:pPr>
      <w:r w:rsidRPr="006F45EE">
        <w:t>In terms of timely provision, whilst progress has been made in the borough, waiting lists are still an issue and the provision of SLTs is not enough to meet demands. It is acknowledged that existing initiatives are aimed at supporting those who may be waiting for assessments.</w:t>
      </w:r>
    </w:p>
    <w:p w14:paraId="3491A698" w14:textId="77777777" w:rsidR="004E04E1" w:rsidRPr="00EA1F42" w:rsidRDefault="004E04E1" w:rsidP="00F26588">
      <w:pPr>
        <w:pStyle w:val="Heading3"/>
        <w:rPr>
          <w:color w:val="006B70"/>
        </w:rPr>
      </w:pPr>
      <w:bookmarkStart w:id="252" w:name="_Toc205386927"/>
      <w:bookmarkStart w:id="253" w:name="_Toc205387997"/>
      <w:bookmarkStart w:id="254" w:name="_Toc205446008"/>
      <w:r w:rsidRPr="00EA1F42">
        <w:rPr>
          <w:color w:val="006B70"/>
        </w:rPr>
        <w:lastRenderedPageBreak/>
        <w:t>Recommendations</w:t>
      </w:r>
      <w:bookmarkEnd w:id="252"/>
      <w:bookmarkEnd w:id="253"/>
      <w:bookmarkEnd w:id="254"/>
      <w:r w:rsidRPr="00EA1F42">
        <w:rPr>
          <w:color w:val="006B70"/>
        </w:rPr>
        <w:t xml:space="preserve"> </w:t>
      </w:r>
    </w:p>
    <w:p w14:paraId="31F7F131" w14:textId="1D8C1630" w:rsidR="00BC3163" w:rsidRPr="00EA2F13" w:rsidRDefault="00EC5D39" w:rsidP="00EA2F13">
      <w:pPr>
        <w:spacing w:line="278" w:lineRule="auto"/>
        <w:jc w:val="left"/>
      </w:pPr>
      <w:r>
        <w:rPr>
          <w:b/>
          <w:bCs/>
        </w:rPr>
        <w:t xml:space="preserve">Improved provision </w:t>
      </w:r>
      <w:r w:rsidR="00EA364B">
        <w:rPr>
          <w:b/>
          <w:bCs/>
        </w:rPr>
        <w:t>of</w:t>
      </w:r>
      <w:r w:rsidR="00EA364B" w:rsidRPr="005D2114">
        <w:rPr>
          <w:b/>
          <w:bCs/>
        </w:rPr>
        <w:t xml:space="preserve"> resources for schools supporting children awaiting a</w:t>
      </w:r>
      <w:r w:rsidR="00726BCF">
        <w:rPr>
          <w:b/>
          <w:bCs/>
        </w:rPr>
        <w:t>n assessment of need</w:t>
      </w:r>
      <w:r w:rsidR="00EA364B">
        <w:t>: As is evident in previous chapters</w:t>
      </w:r>
      <w:r w:rsidR="005D68E4">
        <w:t>, support is not always provisio</w:t>
      </w:r>
      <w:r w:rsidR="00726BCF">
        <w:t xml:space="preserve">ned in a timely way for those on waiting lists. </w:t>
      </w:r>
      <w:r w:rsidR="005D68E4">
        <w:t xml:space="preserve">Whilst Tower Hamlets continue to increase efforts for support here, there remain gaps in the provision. </w:t>
      </w:r>
      <w:r w:rsidR="00EA2F13" w:rsidRPr="00EA2F13">
        <w:t xml:space="preserve">It is recommended that additional resources and targeted support be made available to schools to meet the needs of children who are awaiting an assessment. A shift toward a needs-based model, rather than one dependent solely on formal </w:t>
      </w:r>
      <w:r w:rsidR="00EA2F13">
        <w:t>assessment / diagnosis can reduce delays and contribute to improved outcomes.</w:t>
      </w:r>
    </w:p>
    <w:p w14:paraId="39D4324A" w14:textId="3804F1D3" w:rsidR="00900F1C" w:rsidRPr="00900F1C" w:rsidRDefault="00900F1C" w:rsidP="00900F1C">
      <w:pPr>
        <w:spacing w:before="0" w:after="160" w:line="278" w:lineRule="auto"/>
        <w:jc w:val="left"/>
      </w:pPr>
      <w:r w:rsidRPr="00900F1C">
        <w:t>The following recommendations are based on evidence-based research and reflect best practice approaches. While they do not necessarily indicate a gap in support provision within the borough, they highlight areas where best practice can inform and enhance current strategies</w:t>
      </w:r>
      <w:r w:rsidR="00C5754B">
        <w:t>.</w:t>
      </w:r>
    </w:p>
    <w:p w14:paraId="52B0D6C8" w14:textId="72E989B9" w:rsidR="004E04E1" w:rsidRPr="006F45EE" w:rsidRDefault="004E04E1" w:rsidP="00BF63ED">
      <w:pPr>
        <w:pStyle w:val="ListParagraph"/>
        <w:numPr>
          <w:ilvl w:val="0"/>
          <w:numId w:val="17"/>
        </w:numPr>
        <w:spacing w:before="0" w:after="160" w:line="278" w:lineRule="auto"/>
        <w:jc w:val="left"/>
      </w:pPr>
      <w:r w:rsidRPr="00C621C7">
        <w:rPr>
          <w:b/>
          <w:bCs/>
        </w:rPr>
        <w:t>Speech and Language</w:t>
      </w:r>
      <w:r w:rsidRPr="006F45EE">
        <w:t xml:space="preserve"> – Early support and intervention for speech and language acquisition is integral to the positive outcomes in many aspects of life.</w:t>
      </w:r>
      <w:r w:rsidR="00680999">
        <w:t xml:space="preserve"> Resources</w:t>
      </w:r>
      <w:r w:rsidRPr="006F45EE">
        <w:t xml:space="preserve"> </w:t>
      </w:r>
      <w:r w:rsidR="00680999">
        <w:t xml:space="preserve">and </w:t>
      </w:r>
      <w:r w:rsidRPr="006F45EE">
        <w:t>parental training available for families in English, should be adapted and translated into other languages making the resources and knowledge more accessible.</w:t>
      </w:r>
    </w:p>
    <w:p w14:paraId="652C8E05" w14:textId="77BEC444" w:rsidR="004E04E1" w:rsidRPr="006F45EE" w:rsidRDefault="004E04E1" w:rsidP="00BF63ED">
      <w:pPr>
        <w:pStyle w:val="ListParagraph"/>
        <w:numPr>
          <w:ilvl w:val="0"/>
          <w:numId w:val="17"/>
        </w:numPr>
        <w:spacing w:before="0" w:after="160" w:line="278" w:lineRule="auto"/>
        <w:jc w:val="left"/>
      </w:pPr>
      <w:r w:rsidRPr="00C621C7">
        <w:rPr>
          <w:b/>
          <w:bCs/>
        </w:rPr>
        <w:t xml:space="preserve">Mental Health </w:t>
      </w:r>
      <w:r w:rsidRPr="006F45EE">
        <w:t xml:space="preserve">- Increased knowledge about language disorders and access to </w:t>
      </w:r>
      <w:r w:rsidR="003956BD">
        <w:t>SLTs</w:t>
      </w:r>
      <w:r w:rsidRPr="006F45EE">
        <w:t xml:space="preserve"> and expertise is needed amongst professionals who work in children’s mental health.  It is recommended that there is more collaboration between SLTs and mental health therapists </w:t>
      </w:r>
      <w:proofErr w:type="gramStart"/>
      <w:r w:rsidRPr="006F45EE">
        <w:t>in order to</w:t>
      </w:r>
      <w:proofErr w:type="gramEnd"/>
      <w:r w:rsidRPr="006F45EE">
        <w:t xml:space="preserve"> combine interventions from both fields. More research is needed to understand</w:t>
      </w:r>
      <w:r w:rsidR="00B21504">
        <w:t xml:space="preserve"> the extend of the </w:t>
      </w:r>
      <w:r w:rsidR="008E61C7">
        <w:t>need</w:t>
      </w:r>
      <w:r w:rsidR="00B21504">
        <w:t xml:space="preserve"> and</w:t>
      </w:r>
      <w:r w:rsidRPr="006F45EE">
        <w:t xml:space="preserve"> how to successfully adapt services to make them accessible to children and young people with language needs, and to ensure that mental health problems are detected in children and young people with language difficulties.  </w:t>
      </w:r>
    </w:p>
    <w:p w14:paraId="79514E13" w14:textId="1A7FB928" w:rsidR="004E04E1" w:rsidRPr="006F45EE" w:rsidRDefault="004E04E1" w:rsidP="00BF63ED">
      <w:pPr>
        <w:pStyle w:val="ListParagraph"/>
        <w:numPr>
          <w:ilvl w:val="0"/>
          <w:numId w:val="17"/>
        </w:numPr>
        <w:spacing w:before="0" w:after="160" w:line="278" w:lineRule="auto"/>
        <w:jc w:val="left"/>
      </w:pPr>
      <w:r w:rsidRPr="00C621C7">
        <w:rPr>
          <w:b/>
          <w:bCs/>
        </w:rPr>
        <w:t xml:space="preserve">Schools and Education </w:t>
      </w:r>
      <w:r w:rsidRPr="006F45EE">
        <w:t xml:space="preserve">– Formal and regular training should be given to every classroom teacher and teaching assistant </w:t>
      </w:r>
      <w:proofErr w:type="gramStart"/>
      <w:r w:rsidRPr="006F45EE">
        <w:t>in order to</w:t>
      </w:r>
      <w:proofErr w:type="gramEnd"/>
      <w:r w:rsidRPr="006F45EE">
        <w:t xml:space="preserve"> both identify and support those with SCLN</w:t>
      </w:r>
      <w:r w:rsidR="00084B10">
        <w:t>. T</w:t>
      </w:r>
      <w:r w:rsidRPr="006F45EE">
        <w:t xml:space="preserve">his will also target those without an </w:t>
      </w:r>
      <w:proofErr w:type="gramStart"/>
      <w:r w:rsidRPr="006F45EE">
        <w:t>assessment</w:t>
      </w:r>
      <w:proofErr w:type="gramEnd"/>
      <w:r w:rsidRPr="006F45EE">
        <w:t xml:space="preserve"> but who still require extra support.  It’s recomme</w:t>
      </w:r>
      <w:r w:rsidR="00084B10">
        <w:t>n</w:t>
      </w:r>
      <w:r w:rsidRPr="006F45EE">
        <w:t>ded that Verbo continue to be rolled out to all primary schools within the borough with sufficient training to teaching staff on its use. Schools should also take a more active role in supporting children and young people with SLCN to make and sustain friendships</w:t>
      </w:r>
      <w:r w:rsidR="00A70759">
        <w:t xml:space="preserve"> </w:t>
      </w:r>
      <w:r w:rsidRPr="006F45EE">
        <w:rPr>
          <w:vertAlign w:val="superscript"/>
        </w:rPr>
        <w:endnoteReference w:id="124"/>
      </w:r>
      <w:r w:rsidRPr="006F45EE">
        <w:t>.</w:t>
      </w:r>
    </w:p>
    <w:p w14:paraId="047D9C35" w14:textId="77777777" w:rsidR="004E04E1" w:rsidRPr="006F45EE" w:rsidRDefault="004E04E1" w:rsidP="00BF63ED">
      <w:pPr>
        <w:pStyle w:val="ListParagraph"/>
        <w:numPr>
          <w:ilvl w:val="0"/>
          <w:numId w:val="17"/>
        </w:numPr>
        <w:spacing w:before="0" w:after="160" w:line="278" w:lineRule="auto"/>
        <w:jc w:val="left"/>
      </w:pPr>
      <w:r w:rsidRPr="00C621C7">
        <w:rPr>
          <w:b/>
          <w:bCs/>
        </w:rPr>
        <w:t xml:space="preserve">Auditory screening – </w:t>
      </w:r>
      <w:r w:rsidRPr="006F45EE">
        <w:t xml:space="preserve">More regular auditory screening should be offered to children in schools, GP practices and community centres </w:t>
      </w:r>
      <w:proofErr w:type="gramStart"/>
      <w:r w:rsidRPr="006F45EE">
        <w:t>so as to</w:t>
      </w:r>
      <w:proofErr w:type="gramEnd"/>
      <w:r w:rsidRPr="006F45EE">
        <w:t xml:space="preserve"> identify auditory deficits much earlier.  In Tower Hamlets, only 7% of cochlear implants were fitted under the recommended age of 12 months </w:t>
      </w:r>
      <w:r w:rsidRPr="006F45EE">
        <w:rPr>
          <w:vertAlign w:val="superscript"/>
        </w:rPr>
        <w:endnoteReference w:id="125"/>
      </w:r>
      <w:r w:rsidRPr="006F45EE">
        <w:t>.</w:t>
      </w:r>
    </w:p>
    <w:p w14:paraId="00D48F41" w14:textId="46683A03" w:rsidR="004E04E1" w:rsidRDefault="004E04E1" w:rsidP="00BF63ED">
      <w:pPr>
        <w:pStyle w:val="ListParagraph"/>
        <w:numPr>
          <w:ilvl w:val="0"/>
          <w:numId w:val="17"/>
        </w:numPr>
        <w:spacing w:before="0" w:after="160" w:line="278" w:lineRule="auto"/>
        <w:jc w:val="left"/>
      </w:pPr>
      <w:r w:rsidRPr="00C621C7">
        <w:rPr>
          <w:b/>
          <w:bCs/>
        </w:rPr>
        <w:t xml:space="preserve">Creating equity </w:t>
      </w:r>
      <w:r w:rsidRPr="006F45EE">
        <w:t xml:space="preserve">- Since SLCN is strongly related to </w:t>
      </w:r>
      <w:r w:rsidR="00A726BD">
        <w:t xml:space="preserve">socio-economic status </w:t>
      </w:r>
      <w:r w:rsidR="00295004">
        <w:t>(</w:t>
      </w:r>
      <w:r w:rsidRPr="006F45EE">
        <w:t>SES</w:t>
      </w:r>
      <w:r w:rsidR="00295004">
        <w:t>)</w:t>
      </w:r>
      <w:r w:rsidRPr="006F45EE">
        <w:t xml:space="preserve"> background, efforts should continue to be made around addressing the socially disadvantaged within the borough, so that all residents have the knowledge and access to the available healthcare resources.  Better advertisement of services in a range of languages could go some way to help the inequalities seen in the borough.</w:t>
      </w:r>
    </w:p>
    <w:p w14:paraId="6CB2225A" w14:textId="004CE9FF" w:rsidR="00F43F01" w:rsidRPr="00EA1F42" w:rsidRDefault="00F43F01" w:rsidP="00C07552">
      <w:pPr>
        <w:pStyle w:val="Heading3"/>
        <w:rPr>
          <w:color w:val="006B70"/>
        </w:rPr>
      </w:pPr>
      <w:bookmarkStart w:id="255" w:name="_Toc205386928"/>
      <w:bookmarkStart w:id="256" w:name="_Toc205387998"/>
      <w:bookmarkStart w:id="257" w:name="_Toc205446009"/>
      <w:r w:rsidRPr="00EA1F42">
        <w:rPr>
          <w:color w:val="006B70"/>
        </w:rPr>
        <w:lastRenderedPageBreak/>
        <w:t>Summary</w:t>
      </w:r>
      <w:bookmarkEnd w:id="255"/>
      <w:bookmarkEnd w:id="256"/>
      <w:bookmarkEnd w:id="257"/>
    </w:p>
    <w:p w14:paraId="08A626BB" w14:textId="1C32D8FE" w:rsidR="004F5D82" w:rsidRPr="004F5D82" w:rsidRDefault="004F5D82" w:rsidP="004F5D82">
      <w:r w:rsidRPr="004F5D82">
        <w:t>Tower Hamlets has a notably high prevalence of SLCN, particularly among primary-aged children and those from the Bangladeshi community. While progress has been made</w:t>
      </w:r>
      <w:r w:rsidR="00C50D5C">
        <w:t xml:space="preserve">, </w:t>
      </w:r>
      <w:r w:rsidRPr="004F5D82">
        <w:t>such as reducing waiting times for assessments and introducing tools like Verbo in schools</w:t>
      </w:r>
      <w:r w:rsidR="00C50D5C">
        <w:t xml:space="preserve">, </w:t>
      </w:r>
      <w:r w:rsidRPr="004F5D82">
        <w:t>access to support remains inconsistent, especially for those without formal diagnoses.</w:t>
      </w:r>
    </w:p>
    <w:p w14:paraId="69287F2A" w14:textId="77777777" w:rsidR="004F5D82" w:rsidRPr="004F5D82" w:rsidRDefault="004F5D82" w:rsidP="004F5D82">
      <w:r w:rsidRPr="004F5D82">
        <w:t>The impact of SLCN is far-reaching, affecting children’s ability to build friendships, engage in learning, express emotions, and maintain physical health. Difficulties with communication can also heighten the risk of mental health issues, safeguarding concerns, and long-term challenges to wellbeing. Key transition periods, such as moving through school stages or into adulthood, often intensify these difficulties.</w:t>
      </w:r>
    </w:p>
    <w:p w14:paraId="51A3670B" w14:textId="790B56E0" w:rsidR="000905B0" w:rsidRDefault="004F5D82" w:rsidP="004F5D82">
      <w:r w:rsidRPr="004F5D82">
        <w:t>Improving outcomes relies heavily on early identification and timely intervention. This includes equipping both parents and education staff with the training and tools needed to recognise and support children with SLCN effectively. Looking ahead, a shift towards a needs-based approach</w:t>
      </w:r>
      <w:r w:rsidR="0012271D">
        <w:t xml:space="preserve">, </w:t>
      </w:r>
      <w:r w:rsidRPr="004F5D82">
        <w:t xml:space="preserve">supported by stronger cross-agency collaboration, </w:t>
      </w:r>
      <w:r w:rsidR="0012271D">
        <w:t>enhanced</w:t>
      </w:r>
      <w:r w:rsidRPr="004F5D82">
        <w:t xml:space="preserve"> outreach (particularly for non-English-speaking families), and broader access to inclusive services</w:t>
      </w:r>
      <w:r w:rsidR="0012271D">
        <w:t xml:space="preserve">, </w:t>
      </w:r>
      <w:r w:rsidRPr="004F5D82">
        <w:t>will be essential in closing current gaps and securing better long-term outcomes for children and young people with SLCN.</w:t>
      </w:r>
    </w:p>
    <w:p w14:paraId="6D5BE273" w14:textId="1823F6F7" w:rsidR="004F5D82" w:rsidRPr="004F5D82" w:rsidRDefault="000905B0" w:rsidP="006C60F3">
      <w:pPr>
        <w:spacing w:before="0" w:after="160" w:line="278" w:lineRule="auto"/>
        <w:jc w:val="left"/>
      </w:pPr>
      <w:r>
        <w:br w:type="page"/>
      </w:r>
    </w:p>
    <w:p w14:paraId="19113915" w14:textId="3FA474F7" w:rsidR="004E04E1" w:rsidRPr="00E372E1" w:rsidRDefault="004E04E1" w:rsidP="00E372E1">
      <w:pPr>
        <w:pStyle w:val="Heading2"/>
      </w:pPr>
      <w:bookmarkStart w:id="258" w:name="_Toc211414159"/>
      <w:bookmarkStart w:id="259" w:name="_Toc211440058"/>
      <w:r w:rsidRPr="00E372E1">
        <w:lastRenderedPageBreak/>
        <w:t xml:space="preserve">Cognition and Learning: </w:t>
      </w:r>
      <w:r w:rsidR="003269C0">
        <w:t xml:space="preserve">Specific </w:t>
      </w:r>
      <w:r w:rsidR="001035A0">
        <w:t>Learning</w:t>
      </w:r>
      <w:r w:rsidR="003269C0">
        <w:t xml:space="preserve"> </w:t>
      </w:r>
      <w:r w:rsidRPr="00E372E1">
        <w:t>D</w:t>
      </w:r>
      <w:r w:rsidR="000C5D53">
        <w:t>ifficulty (</w:t>
      </w:r>
      <w:proofErr w:type="spellStart"/>
      <w:r w:rsidR="000C5D53">
        <w:t>S</w:t>
      </w:r>
      <w:r w:rsidR="009C1957">
        <w:t>p</w:t>
      </w:r>
      <w:r w:rsidR="000C5D53">
        <w:t>LD</w:t>
      </w:r>
      <w:proofErr w:type="spellEnd"/>
      <w:r w:rsidR="000C5D53">
        <w:t>)</w:t>
      </w:r>
      <w:bookmarkEnd w:id="258"/>
      <w:bookmarkEnd w:id="259"/>
    </w:p>
    <w:p w14:paraId="244542D0" w14:textId="4EE48E32" w:rsidR="00AD3DD3" w:rsidRDefault="004E04E1" w:rsidP="00CF7E57">
      <w:pPr>
        <w:rPr>
          <w:rFonts w:eastAsia="Trebuchet MS"/>
          <w:lang w:eastAsia="en-US"/>
        </w:rPr>
      </w:pPr>
      <w:r w:rsidRPr="00081EDF">
        <w:rPr>
          <w:rFonts w:eastAsia="Trebuchet MS"/>
          <w:lang w:eastAsia="en-US"/>
        </w:rPr>
        <w:t>Specific learning difficulties (</w:t>
      </w:r>
      <w:proofErr w:type="spellStart"/>
      <w:r w:rsidRPr="00081EDF">
        <w:rPr>
          <w:rFonts w:eastAsia="Trebuchet MS"/>
          <w:lang w:eastAsia="en-US"/>
        </w:rPr>
        <w:t>SpLD</w:t>
      </w:r>
      <w:proofErr w:type="spellEnd"/>
      <w:r w:rsidRPr="00081EDF">
        <w:rPr>
          <w:rFonts w:eastAsia="Trebuchet MS"/>
          <w:lang w:eastAsia="en-US"/>
        </w:rPr>
        <w:t>) are neurological conditions which affect how individuals process information but are independent of the individual’s intelligence.</w:t>
      </w:r>
      <w:r w:rsidR="00AD3DD3">
        <w:rPr>
          <w:rFonts w:eastAsia="Trebuchet MS"/>
          <w:lang w:eastAsia="en-US"/>
        </w:rPr>
        <w:t xml:space="preserve"> They include:</w:t>
      </w:r>
    </w:p>
    <w:p w14:paraId="18748CC0" w14:textId="01BE74CC" w:rsidR="00AD3DD3" w:rsidRDefault="00B979C9" w:rsidP="00AD3DD3">
      <w:pPr>
        <w:pStyle w:val="ListParagraph"/>
        <w:numPr>
          <w:ilvl w:val="0"/>
          <w:numId w:val="59"/>
        </w:numPr>
        <w:rPr>
          <w:rFonts w:eastAsia="Trebuchet MS"/>
          <w:lang w:eastAsia="en-US"/>
        </w:rPr>
      </w:pPr>
      <w:r w:rsidRPr="00AD3DD3">
        <w:rPr>
          <w:rFonts w:eastAsia="Trebuchet MS"/>
          <w:lang w:eastAsia="en-US"/>
        </w:rPr>
        <w:t>Dyslexia</w:t>
      </w:r>
      <w:r w:rsidR="00972D8C">
        <w:rPr>
          <w:rFonts w:eastAsia="Trebuchet MS"/>
          <w:lang w:eastAsia="en-US"/>
        </w:rPr>
        <w:t>, which</w:t>
      </w:r>
      <w:r w:rsidRPr="00AD3DD3">
        <w:rPr>
          <w:rFonts w:eastAsia="Trebuchet MS"/>
          <w:lang w:eastAsia="en-US"/>
        </w:rPr>
        <w:t xml:space="preserve"> impacts individuals’ ability to process information, which makes it difficult to develop reading and writing skills</w:t>
      </w:r>
      <w:r w:rsidR="00AD3DD3" w:rsidRPr="00081EDF">
        <w:rPr>
          <w:rFonts w:eastAsia="Trebuchet MS"/>
          <w:vertAlign w:val="superscript"/>
          <w:lang w:eastAsia="en-US"/>
        </w:rPr>
        <w:endnoteReference w:id="126"/>
      </w:r>
      <w:r w:rsidR="00AD3DD3">
        <w:rPr>
          <w:rFonts w:eastAsia="Trebuchet MS"/>
          <w:lang w:eastAsia="en-US"/>
        </w:rPr>
        <w:t>.</w:t>
      </w:r>
    </w:p>
    <w:p w14:paraId="4DDB339A" w14:textId="64AADB15" w:rsidR="00AD3DD3" w:rsidRPr="00293C95" w:rsidRDefault="00BD4E62" w:rsidP="00AD3DD3">
      <w:pPr>
        <w:pStyle w:val="ListParagraph"/>
        <w:numPr>
          <w:ilvl w:val="0"/>
          <w:numId w:val="59"/>
        </w:numPr>
        <w:rPr>
          <w:rFonts w:eastAsia="Trebuchet MS"/>
          <w:lang w:eastAsia="en-US"/>
        </w:rPr>
      </w:pPr>
      <w:r w:rsidRPr="00AD3DD3">
        <w:rPr>
          <w:rFonts w:eastAsia="Trebuchet MS"/>
          <w:lang w:eastAsia="en-US"/>
        </w:rPr>
        <w:t>Dyscalculia</w:t>
      </w:r>
      <w:r w:rsidR="00972D8C">
        <w:rPr>
          <w:rFonts w:eastAsia="Trebuchet MS"/>
          <w:lang w:eastAsia="en-US"/>
        </w:rPr>
        <w:t>, which</w:t>
      </w:r>
      <w:r w:rsidRPr="00AD3DD3">
        <w:rPr>
          <w:rFonts w:eastAsia="Trebuchet MS"/>
          <w:lang w:eastAsia="en-US"/>
        </w:rPr>
        <w:t xml:space="preserve"> affects how a person reads and understands numbers</w:t>
      </w:r>
      <w:r w:rsidR="00AD3DD3">
        <w:rPr>
          <w:rFonts w:eastAsia="Trebuchet MS"/>
          <w:lang w:eastAsia="en-US"/>
        </w:rPr>
        <w:t>.</w:t>
      </w:r>
      <w:r w:rsidR="00262B76">
        <w:rPr>
          <w:rFonts w:eastAsia="Trebuchet MS"/>
          <w:lang w:eastAsia="en-US"/>
        </w:rPr>
        <w:t xml:space="preserve"> This is a more pronounced and </w:t>
      </w:r>
      <w:r w:rsidR="001B75C7">
        <w:rPr>
          <w:rFonts w:eastAsia="Trebuchet MS"/>
          <w:lang w:eastAsia="en-US"/>
        </w:rPr>
        <w:t xml:space="preserve">long-lasting difficulty than </w:t>
      </w:r>
      <w:r w:rsidR="00187AF1">
        <w:rPr>
          <w:rFonts w:eastAsia="Trebuchet MS"/>
          <w:lang w:eastAsia="en-US"/>
        </w:rPr>
        <w:t>a difficulty with maths</w:t>
      </w:r>
      <w:r w:rsidR="008A2A36">
        <w:rPr>
          <w:rFonts w:eastAsia="Trebuchet MS"/>
          <w:lang w:eastAsia="en-US"/>
        </w:rPr>
        <w:t xml:space="preserve">, affecting how an individual understands </w:t>
      </w:r>
      <w:r w:rsidR="000E6C15">
        <w:rPr>
          <w:rFonts w:eastAsia="Trebuchet MS"/>
          <w:lang w:eastAsia="en-US"/>
        </w:rPr>
        <w:t>and estimates numbers and quantities.</w:t>
      </w:r>
      <w:r w:rsidR="00262B76" w:rsidRPr="00081EDF">
        <w:rPr>
          <w:rFonts w:eastAsia="Trebuchet MS"/>
          <w:vertAlign w:val="superscript"/>
          <w:lang w:eastAsia="en-US"/>
        </w:rPr>
        <w:endnoteReference w:id="127"/>
      </w:r>
    </w:p>
    <w:p w14:paraId="76F045CB" w14:textId="5122502A" w:rsidR="00AD3DD3" w:rsidRDefault="00AD3DD3" w:rsidP="00AD3DD3">
      <w:pPr>
        <w:pStyle w:val="ListParagraph"/>
        <w:numPr>
          <w:ilvl w:val="0"/>
          <w:numId w:val="59"/>
        </w:numPr>
        <w:rPr>
          <w:rFonts w:eastAsia="Trebuchet MS"/>
          <w:lang w:eastAsia="en-US"/>
        </w:rPr>
      </w:pPr>
      <w:r w:rsidRPr="00AD3DD3">
        <w:rPr>
          <w:rFonts w:eastAsia="Trebuchet MS"/>
          <w:lang w:eastAsia="en-US"/>
        </w:rPr>
        <w:t xml:space="preserve">Dyspraxia, also known as Developmental Coordination Disorder, </w:t>
      </w:r>
      <w:r w:rsidR="00972D8C">
        <w:rPr>
          <w:rFonts w:eastAsia="Trebuchet MS"/>
          <w:lang w:eastAsia="en-US"/>
        </w:rPr>
        <w:t xml:space="preserve">which </w:t>
      </w:r>
      <w:r w:rsidRPr="00AD3DD3">
        <w:rPr>
          <w:rFonts w:eastAsia="Trebuchet MS"/>
          <w:lang w:eastAsia="en-US"/>
        </w:rPr>
        <w:t>involves issues in co-ordination as well as in planning and carrying out movements</w:t>
      </w:r>
      <w:r w:rsidRPr="00081EDF">
        <w:rPr>
          <w:rFonts w:eastAsia="Trebuchet MS"/>
          <w:vertAlign w:val="superscript"/>
          <w:lang w:eastAsia="en-US"/>
        </w:rPr>
        <w:endnoteReference w:id="128"/>
      </w:r>
      <w:r>
        <w:rPr>
          <w:rFonts w:eastAsia="Trebuchet MS"/>
          <w:lang w:eastAsia="en-US"/>
        </w:rPr>
        <w:t>.</w:t>
      </w:r>
    </w:p>
    <w:p w14:paraId="39E7EDD9" w14:textId="7CC96E31" w:rsidR="004E04E1" w:rsidRPr="00CF7E57" w:rsidRDefault="00AD3DD3" w:rsidP="00293C95">
      <w:pPr>
        <w:pStyle w:val="ListParagraph"/>
        <w:numPr>
          <w:ilvl w:val="0"/>
          <w:numId w:val="59"/>
        </w:numPr>
        <w:rPr>
          <w:rFonts w:eastAsia="Trebuchet MS"/>
          <w:lang w:eastAsia="en-US"/>
        </w:rPr>
      </w:pPr>
      <w:r w:rsidRPr="00AD3DD3">
        <w:rPr>
          <w:rFonts w:eastAsia="Trebuchet MS"/>
          <w:lang w:eastAsia="en-US"/>
        </w:rPr>
        <w:t>Dysgraphia</w:t>
      </w:r>
      <w:r w:rsidR="00972D8C">
        <w:rPr>
          <w:rFonts w:eastAsia="Trebuchet MS"/>
          <w:lang w:eastAsia="en-US"/>
        </w:rPr>
        <w:t>,</w:t>
      </w:r>
      <w:r w:rsidRPr="00AD3DD3">
        <w:rPr>
          <w:rFonts w:eastAsia="Trebuchet MS"/>
          <w:lang w:eastAsia="en-US"/>
        </w:rPr>
        <w:t xml:space="preserve"> </w:t>
      </w:r>
      <w:r w:rsidR="00972D8C">
        <w:rPr>
          <w:rFonts w:eastAsia="Trebuchet MS"/>
          <w:lang w:eastAsia="en-US"/>
        </w:rPr>
        <w:t xml:space="preserve">which </w:t>
      </w:r>
      <w:r w:rsidRPr="00AD3DD3">
        <w:rPr>
          <w:rFonts w:eastAsia="Trebuchet MS"/>
          <w:lang w:eastAsia="en-US"/>
        </w:rPr>
        <w:t>is a difficulty in writing and/or spelling</w:t>
      </w:r>
      <w:r w:rsidRPr="00081EDF">
        <w:rPr>
          <w:rFonts w:eastAsia="Trebuchet MS"/>
          <w:vertAlign w:val="superscript"/>
          <w:lang w:eastAsia="en-US"/>
        </w:rPr>
        <w:endnoteReference w:id="129"/>
      </w:r>
      <w:r w:rsidRPr="00AD3DD3">
        <w:rPr>
          <w:rFonts w:eastAsia="Trebuchet MS"/>
        </w:rPr>
        <w:t>.</w:t>
      </w:r>
    </w:p>
    <w:p w14:paraId="119C6D42" w14:textId="77777777" w:rsidR="004E04E1" w:rsidRPr="00EA1F42" w:rsidRDefault="004E04E1" w:rsidP="000A4863">
      <w:pPr>
        <w:pStyle w:val="Heading3"/>
        <w:rPr>
          <w:color w:val="006B70"/>
        </w:rPr>
      </w:pPr>
      <w:bookmarkStart w:id="260" w:name="_Toc205386930"/>
      <w:bookmarkStart w:id="261" w:name="_Toc205388000"/>
      <w:bookmarkStart w:id="262" w:name="_Toc205446011"/>
      <w:r w:rsidRPr="00EA1F42">
        <w:rPr>
          <w:color w:val="006B70"/>
        </w:rPr>
        <w:t>Causal Factors</w:t>
      </w:r>
      <w:bookmarkEnd w:id="260"/>
      <w:bookmarkEnd w:id="261"/>
      <w:bookmarkEnd w:id="262"/>
    </w:p>
    <w:p w14:paraId="39184522" w14:textId="2BEC24AD" w:rsidR="004E04E1" w:rsidRPr="00081EDF" w:rsidRDefault="007A046B" w:rsidP="006203D0">
      <w:pPr>
        <w:rPr>
          <w:rFonts w:eastAsia="Trebuchet MS"/>
          <w:lang w:eastAsia="en-US"/>
        </w:rPr>
      </w:pPr>
      <w:r>
        <w:rPr>
          <w:rFonts w:eastAsia="Trebuchet MS"/>
          <w:lang w:eastAsia="en-US"/>
        </w:rPr>
        <w:t xml:space="preserve">Most </w:t>
      </w:r>
      <w:proofErr w:type="spellStart"/>
      <w:r>
        <w:rPr>
          <w:rFonts w:eastAsia="Trebuchet MS"/>
          <w:lang w:eastAsia="en-US"/>
        </w:rPr>
        <w:t>SpLD</w:t>
      </w:r>
      <w:proofErr w:type="spellEnd"/>
      <w:r>
        <w:rPr>
          <w:rFonts w:eastAsia="Trebuchet MS"/>
          <w:lang w:eastAsia="en-US"/>
        </w:rPr>
        <w:t xml:space="preserve"> are </w:t>
      </w:r>
      <w:r w:rsidR="000201AE">
        <w:rPr>
          <w:rFonts w:eastAsia="Trebuchet MS"/>
          <w:lang w:eastAsia="en-US"/>
        </w:rPr>
        <w:t>neurodevelopmental although they may also be</w:t>
      </w:r>
      <w:r w:rsidR="004E04E1" w:rsidRPr="00081EDF">
        <w:rPr>
          <w:rFonts w:eastAsia="Trebuchet MS"/>
          <w:lang w:eastAsia="en-US"/>
        </w:rPr>
        <w:t xml:space="preserve"> acquired through brain</w:t>
      </w:r>
      <w:r w:rsidR="00D12700">
        <w:rPr>
          <w:rFonts w:eastAsia="Trebuchet MS"/>
          <w:lang w:eastAsia="en-US"/>
        </w:rPr>
        <w:t xml:space="preserve"> injury</w:t>
      </w:r>
      <w:r w:rsidR="004E04E1" w:rsidRPr="00081EDF">
        <w:rPr>
          <w:rFonts w:eastAsia="Trebuchet MS"/>
          <w:lang w:eastAsia="en-US"/>
        </w:rPr>
        <w:t xml:space="preserve">. The exact causes of </w:t>
      </w:r>
      <w:r w:rsidR="00D12700">
        <w:rPr>
          <w:rFonts w:eastAsia="Trebuchet MS"/>
          <w:lang w:eastAsia="en-US"/>
        </w:rPr>
        <w:t>neuro</w:t>
      </w:r>
      <w:r w:rsidR="004E04E1" w:rsidRPr="00081EDF">
        <w:rPr>
          <w:rFonts w:eastAsia="Trebuchet MS"/>
          <w:lang w:eastAsia="en-US"/>
        </w:rPr>
        <w:t xml:space="preserve">developmental </w:t>
      </w:r>
      <w:proofErr w:type="spellStart"/>
      <w:r w:rsidR="004E04E1" w:rsidRPr="00081EDF">
        <w:rPr>
          <w:rFonts w:eastAsia="Trebuchet MS"/>
          <w:lang w:eastAsia="en-US"/>
        </w:rPr>
        <w:t>SpLD</w:t>
      </w:r>
      <w:proofErr w:type="spellEnd"/>
      <w:r w:rsidR="004E04E1" w:rsidRPr="00081EDF">
        <w:rPr>
          <w:rFonts w:eastAsia="Trebuchet MS"/>
          <w:lang w:eastAsia="en-US"/>
        </w:rPr>
        <w:t xml:space="preserve"> are widely unknown, although it is often hypothesised that there is a genetic predisposition for dyslexia</w:t>
      </w:r>
      <w:bookmarkStart w:id="263" w:name="_Ref196401681"/>
      <w:r w:rsidR="004E04E1" w:rsidRPr="00081EDF">
        <w:rPr>
          <w:rFonts w:eastAsia="Trebuchet MS"/>
          <w:vertAlign w:val="superscript"/>
          <w:lang w:eastAsia="en-US"/>
        </w:rPr>
        <w:endnoteReference w:id="130"/>
      </w:r>
      <w:bookmarkEnd w:id="263"/>
      <w:r w:rsidR="00CA6F83">
        <w:rPr>
          <w:rFonts w:eastAsia="Trebuchet MS"/>
          <w:lang w:eastAsia="en-US"/>
        </w:rPr>
        <w:t>,</w:t>
      </w:r>
      <w:r w:rsidR="004E04E1" w:rsidRPr="00081EDF">
        <w:rPr>
          <w:rFonts w:eastAsia="Trebuchet MS"/>
          <w:lang w:eastAsia="en-US"/>
        </w:rPr>
        <w:t xml:space="preserve"> dyspraxia</w:t>
      </w:r>
      <w:bookmarkStart w:id="264" w:name="_Ref196401524"/>
      <w:r w:rsidR="004E04E1" w:rsidRPr="00081EDF">
        <w:rPr>
          <w:rFonts w:eastAsia="Trebuchet MS"/>
          <w:vertAlign w:val="superscript"/>
          <w:lang w:eastAsia="en-US"/>
        </w:rPr>
        <w:endnoteReference w:id="131"/>
      </w:r>
      <w:bookmarkEnd w:id="264"/>
      <w:r w:rsidR="004E04E1" w:rsidRPr="00081EDF">
        <w:rPr>
          <w:rFonts w:eastAsia="Trebuchet MS"/>
          <w:lang w:eastAsia="en-US"/>
        </w:rPr>
        <w:t xml:space="preserve"> and dyscalculia</w:t>
      </w:r>
      <w:bookmarkStart w:id="265" w:name="_Ref196401562"/>
      <w:r w:rsidR="004E04E1" w:rsidRPr="00081EDF">
        <w:rPr>
          <w:rFonts w:eastAsia="Trebuchet MS"/>
          <w:vertAlign w:val="superscript"/>
          <w:lang w:eastAsia="en-US"/>
        </w:rPr>
        <w:endnoteReference w:id="132"/>
      </w:r>
      <w:bookmarkEnd w:id="265"/>
      <w:r w:rsidR="002E45ED" w:rsidRPr="00B7244E">
        <w:t>.</w:t>
      </w:r>
      <w:r w:rsidR="004E04E1" w:rsidRPr="00081EDF">
        <w:rPr>
          <w:rFonts w:eastAsia="Trebuchet MS"/>
          <w:lang w:eastAsia="en-US"/>
        </w:rPr>
        <w:t xml:space="preserve"> There are also physical differences in the brains of those with </w:t>
      </w:r>
      <w:proofErr w:type="spellStart"/>
      <w:r w:rsidR="004E04E1" w:rsidRPr="00081EDF">
        <w:rPr>
          <w:rFonts w:eastAsia="Trebuchet MS"/>
          <w:lang w:eastAsia="en-US"/>
        </w:rPr>
        <w:t>SpLD</w:t>
      </w:r>
      <w:proofErr w:type="spellEnd"/>
      <w:r w:rsidR="004E04E1" w:rsidRPr="00081EDF">
        <w:rPr>
          <w:rFonts w:eastAsia="Trebuchet MS"/>
          <w:lang w:eastAsia="en-US"/>
        </w:rPr>
        <w:t xml:space="preserve"> compared to those without, suggesting a neurological basis for these conditions.</w:t>
      </w:r>
      <w:r w:rsidR="004E04E1" w:rsidRPr="00081EDF">
        <w:rPr>
          <w:rFonts w:eastAsia="Trebuchet MS"/>
          <w:vertAlign w:val="superscript"/>
          <w:lang w:eastAsia="en-US"/>
        </w:rPr>
        <w:fldChar w:fldCharType="begin"/>
      </w:r>
      <w:r w:rsidR="004E04E1" w:rsidRPr="00081EDF">
        <w:rPr>
          <w:rFonts w:eastAsia="Trebuchet MS"/>
          <w:vertAlign w:val="superscript"/>
          <w:lang w:eastAsia="en-US"/>
        </w:rPr>
        <w:instrText xml:space="preserve"> NOTEREF  _Ref196401524 \f \h </w:instrText>
      </w:r>
      <w:r w:rsidR="004E04E1">
        <w:rPr>
          <w:rFonts w:eastAsia="Trebuchet MS"/>
          <w:vertAlign w:val="superscript"/>
          <w:lang w:eastAsia="en-US"/>
        </w:rPr>
        <w:instrText xml:space="preserve"> \* MERGEFORMAT </w:instrText>
      </w:r>
      <w:r w:rsidR="004E04E1" w:rsidRPr="00081EDF">
        <w:rPr>
          <w:rFonts w:eastAsia="Trebuchet MS"/>
          <w:vertAlign w:val="superscript"/>
          <w:lang w:eastAsia="en-US"/>
        </w:rPr>
      </w:r>
      <w:r w:rsidR="004E04E1" w:rsidRPr="00081EDF">
        <w:rPr>
          <w:rFonts w:eastAsia="Trebuchet MS"/>
          <w:vertAlign w:val="superscript"/>
          <w:lang w:eastAsia="en-US"/>
        </w:rPr>
        <w:fldChar w:fldCharType="separate"/>
      </w:r>
      <w:r w:rsidR="008722C4" w:rsidRPr="008722C4">
        <w:rPr>
          <w:rFonts w:eastAsia="Trebuchet MS"/>
          <w:lang w:eastAsia="en-US"/>
        </w:rPr>
        <w:t>131</w:t>
      </w:r>
      <w:r w:rsidR="004E04E1" w:rsidRPr="00081EDF">
        <w:rPr>
          <w:rFonts w:eastAsia="Trebuchet MS"/>
          <w:vertAlign w:val="superscript"/>
          <w:lang w:eastAsia="en-US"/>
        </w:rPr>
        <w:fldChar w:fldCharType="end"/>
      </w:r>
      <w:r w:rsidR="002E45ED">
        <w:rPr>
          <w:rFonts w:eastAsia="Trebuchet MS"/>
          <w:vertAlign w:val="superscript"/>
          <w:lang w:eastAsia="en-US"/>
        </w:rPr>
        <w:t>-</w:t>
      </w:r>
      <w:r w:rsidR="004E04E1" w:rsidRPr="00081EDF">
        <w:rPr>
          <w:rFonts w:eastAsia="Trebuchet MS"/>
          <w:vertAlign w:val="superscript"/>
          <w:lang w:eastAsia="en-US"/>
        </w:rPr>
        <w:fldChar w:fldCharType="begin"/>
      </w:r>
      <w:r w:rsidR="004E04E1" w:rsidRPr="00081EDF">
        <w:rPr>
          <w:rFonts w:eastAsia="Trebuchet MS"/>
          <w:vertAlign w:val="superscript"/>
          <w:lang w:eastAsia="en-US"/>
        </w:rPr>
        <w:instrText xml:space="preserve"> NOTEREF  _Ref196401562 \f \h </w:instrText>
      </w:r>
      <w:r w:rsidR="004E04E1">
        <w:rPr>
          <w:rFonts w:eastAsia="Trebuchet MS"/>
          <w:vertAlign w:val="superscript"/>
          <w:lang w:eastAsia="en-US"/>
        </w:rPr>
        <w:instrText xml:space="preserve"> \* MERGEFORMAT </w:instrText>
      </w:r>
      <w:r w:rsidR="004E04E1" w:rsidRPr="00081EDF">
        <w:rPr>
          <w:rFonts w:eastAsia="Trebuchet MS"/>
          <w:vertAlign w:val="superscript"/>
          <w:lang w:eastAsia="en-US"/>
        </w:rPr>
      </w:r>
      <w:r w:rsidR="004E04E1" w:rsidRPr="00081EDF">
        <w:rPr>
          <w:rFonts w:eastAsia="Trebuchet MS"/>
          <w:vertAlign w:val="superscript"/>
          <w:lang w:eastAsia="en-US"/>
        </w:rPr>
        <w:fldChar w:fldCharType="separate"/>
      </w:r>
      <w:r w:rsidR="008722C4" w:rsidRPr="008722C4">
        <w:rPr>
          <w:rFonts w:eastAsia="Trebuchet MS"/>
          <w:lang w:eastAsia="en-US"/>
        </w:rPr>
        <w:t>132</w:t>
      </w:r>
      <w:r w:rsidR="004E04E1" w:rsidRPr="00081EDF">
        <w:rPr>
          <w:rFonts w:eastAsia="Trebuchet MS"/>
          <w:vertAlign w:val="superscript"/>
          <w:lang w:eastAsia="en-US"/>
        </w:rPr>
        <w:fldChar w:fldCharType="end"/>
      </w:r>
      <w:r w:rsidR="002E45ED">
        <w:rPr>
          <w:rFonts w:eastAsia="Trebuchet MS"/>
          <w:lang w:eastAsia="en-US"/>
        </w:rPr>
        <w:t xml:space="preserve"> </w:t>
      </w:r>
      <w:proofErr w:type="spellStart"/>
      <w:r w:rsidR="004E04E1" w:rsidRPr="00081EDF">
        <w:rPr>
          <w:rFonts w:eastAsia="Trebuchet MS"/>
          <w:lang w:eastAsia="en-US"/>
        </w:rPr>
        <w:t>SpLD</w:t>
      </w:r>
      <w:proofErr w:type="spellEnd"/>
      <w:r w:rsidR="004E04E1" w:rsidRPr="00081EDF">
        <w:rPr>
          <w:rFonts w:eastAsia="Trebuchet MS"/>
          <w:lang w:eastAsia="en-US"/>
        </w:rPr>
        <w:t xml:space="preserve"> also frequently present in individuals with ADHD</w:t>
      </w:r>
      <w:r w:rsidR="004E04E1" w:rsidRPr="00081EDF">
        <w:rPr>
          <w:rFonts w:eastAsia="Trebuchet MS"/>
          <w:vertAlign w:val="superscript"/>
          <w:lang w:eastAsia="en-US"/>
        </w:rPr>
        <w:endnoteReference w:id="133"/>
      </w:r>
      <w:r w:rsidR="002E45ED" w:rsidRPr="00B7244E">
        <w:t>.</w:t>
      </w:r>
    </w:p>
    <w:p w14:paraId="540E65C6" w14:textId="73F9E762" w:rsidR="004E04E1" w:rsidRPr="00C621C7" w:rsidRDefault="004E04E1" w:rsidP="00C621C7">
      <w:pPr>
        <w:rPr>
          <w:rFonts w:eastAsia="Trebuchet MS"/>
          <w:lang w:eastAsia="en-US"/>
        </w:rPr>
      </w:pPr>
      <w:r w:rsidRPr="00C621C7">
        <w:rPr>
          <w:rFonts w:eastAsia="Trebuchet MS"/>
          <w:b/>
          <w:bCs/>
          <w:lang w:eastAsia="en-US"/>
        </w:rPr>
        <w:t>Dyslexia:</w:t>
      </w:r>
      <w:r w:rsidRPr="00C621C7">
        <w:rPr>
          <w:rFonts w:eastAsia="Trebuchet MS"/>
          <w:lang w:eastAsia="en-US"/>
        </w:rPr>
        <w:t xml:space="preserve"> It is estimated that up to 10% of the population in the UK have dyslexia</w:t>
      </w:r>
      <w:r w:rsidR="009A374D" w:rsidRPr="00C621C7">
        <w:rPr>
          <w:rFonts w:eastAsia="Trebuchet MS"/>
          <w:vertAlign w:val="superscript"/>
          <w:lang w:eastAsia="en-US"/>
        </w:rPr>
        <w:fldChar w:fldCharType="begin"/>
      </w:r>
      <w:r w:rsidR="009A374D" w:rsidRPr="00C621C7">
        <w:rPr>
          <w:rFonts w:eastAsia="Trebuchet MS"/>
          <w:vertAlign w:val="superscript"/>
          <w:lang w:eastAsia="en-US"/>
        </w:rPr>
        <w:instrText xml:space="preserve"> NOTEREF _Ref204721038 \h  \* MERGEFORMAT </w:instrText>
      </w:r>
      <w:r w:rsidR="009A374D" w:rsidRPr="00C621C7">
        <w:rPr>
          <w:rFonts w:eastAsia="Trebuchet MS"/>
          <w:vertAlign w:val="superscript"/>
          <w:lang w:eastAsia="en-US"/>
        </w:rPr>
      </w:r>
      <w:r w:rsidR="009A374D" w:rsidRPr="00C621C7">
        <w:rPr>
          <w:rFonts w:eastAsia="Trebuchet MS"/>
          <w:vertAlign w:val="superscript"/>
          <w:lang w:eastAsia="en-US"/>
        </w:rPr>
        <w:fldChar w:fldCharType="separate"/>
      </w:r>
      <w:r w:rsidR="008722C4">
        <w:rPr>
          <w:rFonts w:eastAsia="Trebuchet MS"/>
          <w:b/>
          <w:bCs/>
          <w:vertAlign w:val="superscript"/>
          <w:lang w:val="en-US" w:eastAsia="en-US"/>
        </w:rPr>
        <w:t>Error! Bookmark not defined.</w:t>
      </w:r>
      <w:r w:rsidR="009A374D" w:rsidRPr="00C621C7">
        <w:rPr>
          <w:rFonts w:eastAsia="Trebuchet MS"/>
          <w:vertAlign w:val="superscript"/>
          <w:lang w:eastAsia="en-US"/>
        </w:rPr>
        <w:fldChar w:fldCharType="end"/>
      </w:r>
      <w:r w:rsidR="002E45ED" w:rsidRPr="00B7244E">
        <w:t>.</w:t>
      </w:r>
      <w:r w:rsidRPr="00C621C7">
        <w:rPr>
          <w:rFonts w:eastAsia="Trebuchet MS"/>
          <w:lang w:eastAsia="en-US"/>
        </w:rPr>
        <w:t xml:space="preserve"> Dyslexia is more widely understood with extensive research in the area, for example, it is thought that dyslexia may be triggered by stress in those that already have a genetic risk</w:t>
      </w:r>
      <w:r w:rsidRPr="00C621C7">
        <w:rPr>
          <w:rFonts w:eastAsia="Trebuchet MS"/>
          <w:vertAlign w:val="superscript"/>
          <w:lang w:eastAsia="en-US"/>
        </w:rPr>
        <w:fldChar w:fldCharType="begin"/>
      </w:r>
      <w:r w:rsidRPr="00C621C7">
        <w:rPr>
          <w:rFonts w:eastAsia="Trebuchet MS"/>
          <w:vertAlign w:val="superscript"/>
          <w:lang w:eastAsia="en-US"/>
        </w:rPr>
        <w:instrText xml:space="preserve"> NOTEREF  _Ref196401681 \f \h  \* MERGEFORMAT </w:instrText>
      </w:r>
      <w:r w:rsidRPr="00C621C7">
        <w:rPr>
          <w:rFonts w:eastAsia="Trebuchet MS"/>
          <w:vertAlign w:val="superscript"/>
          <w:lang w:eastAsia="en-US"/>
        </w:rPr>
      </w:r>
      <w:r w:rsidRPr="00C621C7">
        <w:rPr>
          <w:rFonts w:eastAsia="Trebuchet MS"/>
          <w:vertAlign w:val="superscript"/>
          <w:lang w:eastAsia="en-US"/>
        </w:rPr>
        <w:fldChar w:fldCharType="separate"/>
      </w:r>
      <w:r w:rsidR="008722C4" w:rsidRPr="008722C4">
        <w:rPr>
          <w:rFonts w:eastAsia="Trebuchet MS"/>
          <w:lang w:eastAsia="en-US"/>
        </w:rPr>
        <w:t>130</w:t>
      </w:r>
      <w:r w:rsidRPr="00C621C7">
        <w:rPr>
          <w:rFonts w:eastAsia="Trebuchet MS"/>
          <w:vertAlign w:val="superscript"/>
          <w:lang w:eastAsia="en-US"/>
        </w:rPr>
        <w:fldChar w:fldCharType="end"/>
      </w:r>
      <w:r w:rsidR="002E45ED" w:rsidRPr="00B7244E">
        <w:t>.</w:t>
      </w:r>
      <w:r w:rsidRPr="00C621C7">
        <w:rPr>
          <w:rFonts w:eastAsia="Trebuchet MS"/>
          <w:lang w:eastAsia="en-US"/>
        </w:rPr>
        <w:t xml:space="preserve"> A gender difference is also observed in the diagnosis of dyslexia, with more males than females being labelled as dyslexic</w:t>
      </w:r>
      <w:r w:rsidRPr="00081EDF">
        <w:rPr>
          <w:rFonts w:eastAsia="Trebuchet MS"/>
          <w:vertAlign w:val="superscript"/>
          <w:lang w:eastAsia="en-US"/>
        </w:rPr>
        <w:endnoteReference w:id="134"/>
      </w:r>
      <w:r w:rsidR="002E45ED" w:rsidRPr="00B7244E">
        <w:t>.</w:t>
      </w:r>
      <w:r w:rsidRPr="00C621C7">
        <w:rPr>
          <w:rFonts w:eastAsia="Trebuchet MS"/>
          <w:lang w:eastAsia="en-US"/>
        </w:rPr>
        <w:t xml:space="preserve"> It is thought there may be a </w:t>
      </w:r>
      <w:r w:rsidR="00843171">
        <w:rPr>
          <w:rFonts w:eastAsia="Trebuchet MS"/>
          <w:lang w:eastAsia="en-US"/>
        </w:rPr>
        <w:t>neuro</w:t>
      </w:r>
      <w:r w:rsidRPr="00C621C7">
        <w:rPr>
          <w:rFonts w:eastAsia="Trebuchet MS"/>
          <w:lang w:eastAsia="en-US"/>
        </w:rPr>
        <w:t>biological basis to this, with differences in cognition and in how sensory information is processed</w:t>
      </w:r>
      <w:r w:rsidRPr="00081EDF">
        <w:rPr>
          <w:rFonts w:eastAsia="Trebuchet MS"/>
          <w:vertAlign w:val="superscript"/>
          <w:lang w:eastAsia="en-US"/>
        </w:rPr>
        <w:endnoteReference w:id="135"/>
      </w:r>
      <w:r w:rsidR="002E45ED" w:rsidRPr="00B7244E">
        <w:t>.</w:t>
      </w:r>
      <w:r w:rsidRPr="00C621C7">
        <w:rPr>
          <w:rFonts w:eastAsia="Trebuchet MS"/>
          <w:lang w:eastAsia="en-US"/>
        </w:rPr>
        <w:t xml:space="preserve"> </w:t>
      </w:r>
    </w:p>
    <w:p w14:paraId="467D9B1D" w14:textId="3E39D978" w:rsidR="004E04E1" w:rsidRPr="00C621C7" w:rsidRDefault="004E04E1" w:rsidP="00C621C7">
      <w:pPr>
        <w:rPr>
          <w:rFonts w:eastAsia="Trebuchet MS"/>
          <w:lang w:eastAsia="en-US"/>
        </w:rPr>
      </w:pPr>
      <w:r w:rsidRPr="00C621C7">
        <w:rPr>
          <w:rFonts w:eastAsia="Trebuchet MS"/>
          <w:lang w:eastAsia="en-US"/>
        </w:rPr>
        <w:t xml:space="preserve">Other environmental risk factors for dyslexia may also include </w:t>
      </w:r>
      <w:r w:rsidR="00295004">
        <w:rPr>
          <w:rFonts w:eastAsia="Trebuchet MS"/>
          <w:lang w:eastAsia="en-US"/>
        </w:rPr>
        <w:t>SES</w:t>
      </w:r>
      <w:r w:rsidRPr="00C621C7">
        <w:rPr>
          <w:rFonts w:eastAsia="Trebuchet MS"/>
          <w:lang w:eastAsia="en-US"/>
        </w:rPr>
        <w:t xml:space="preserve"> and attitudes towards reading in the home</w:t>
      </w:r>
      <w:r w:rsidRPr="00081EDF">
        <w:rPr>
          <w:rFonts w:eastAsia="Trebuchet MS"/>
          <w:vertAlign w:val="superscript"/>
          <w:lang w:eastAsia="en-US"/>
        </w:rPr>
        <w:endnoteReference w:id="136"/>
      </w:r>
      <w:r w:rsidR="002E45ED" w:rsidRPr="00B7244E">
        <w:t>.</w:t>
      </w:r>
      <w:r w:rsidRPr="00C621C7">
        <w:rPr>
          <w:rFonts w:eastAsia="Trebuchet MS"/>
          <w:lang w:eastAsia="en-US"/>
        </w:rPr>
        <w:t xml:space="preserve"> Children with SEND living in more deprived areas are less likely to receive a diagnosis of a </w:t>
      </w:r>
      <w:proofErr w:type="spellStart"/>
      <w:r w:rsidRPr="00C621C7">
        <w:rPr>
          <w:rFonts w:eastAsia="Trebuchet MS"/>
          <w:lang w:eastAsia="en-US"/>
        </w:rPr>
        <w:t>SpLD</w:t>
      </w:r>
      <w:proofErr w:type="spellEnd"/>
      <w:r w:rsidRPr="00C621C7">
        <w:rPr>
          <w:rFonts w:eastAsia="Trebuchet MS"/>
          <w:lang w:eastAsia="en-US"/>
        </w:rPr>
        <w:t xml:space="preserve"> than those living in more affluent areas. In fact, London School of Economics</w:t>
      </w:r>
      <w:bookmarkStart w:id="266" w:name="_Ref198110942"/>
      <w:r w:rsidRPr="00081EDF">
        <w:rPr>
          <w:rFonts w:eastAsia="Trebuchet MS"/>
          <w:vertAlign w:val="superscript"/>
          <w:lang w:eastAsia="en-US"/>
        </w:rPr>
        <w:endnoteReference w:id="137"/>
      </w:r>
      <w:bookmarkEnd w:id="266"/>
      <w:r w:rsidRPr="00C621C7">
        <w:rPr>
          <w:rFonts w:eastAsia="Trebuchet MS"/>
          <w:lang w:eastAsia="en-US"/>
        </w:rPr>
        <w:t xml:space="preserve"> found that only about 6% of children with SEND in the most deprived areas are recorded as have a </w:t>
      </w:r>
      <w:proofErr w:type="spellStart"/>
      <w:r w:rsidRPr="00C621C7">
        <w:rPr>
          <w:rFonts w:eastAsia="Trebuchet MS"/>
          <w:lang w:eastAsia="en-US"/>
        </w:rPr>
        <w:t>SpLD</w:t>
      </w:r>
      <w:proofErr w:type="spellEnd"/>
      <w:r w:rsidRPr="00C621C7">
        <w:rPr>
          <w:rFonts w:eastAsia="Trebuchet MS"/>
          <w:lang w:eastAsia="en-US"/>
        </w:rPr>
        <w:t xml:space="preserve"> compared to 15% of those in the least deprived areas. </w:t>
      </w:r>
    </w:p>
    <w:p w14:paraId="3005207C" w14:textId="79D74751" w:rsidR="004E04E1" w:rsidRPr="00C621C7" w:rsidRDefault="004E04E1" w:rsidP="00C621C7">
      <w:pPr>
        <w:rPr>
          <w:rFonts w:eastAsia="Trebuchet MS"/>
          <w:lang w:eastAsia="en-US"/>
        </w:rPr>
      </w:pPr>
      <w:r w:rsidRPr="00C621C7">
        <w:rPr>
          <w:rFonts w:eastAsia="Trebuchet MS"/>
          <w:b/>
          <w:bCs/>
          <w:lang w:eastAsia="en-US"/>
        </w:rPr>
        <w:t>Dyscalculia:</w:t>
      </w:r>
      <w:r w:rsidRPr="00C621C7">
        <w:rPr>
          <w:rFonts w:eastAsia="Trebuchet MS"/>
          <w:lang w:eastAsia="en-US"/>
        </w:rPr>
        <w:t xml:space="preserve"> It is estimated that approximately 6% of the population in the UK have dyscalculia</w:t>
      </w:r>
      <w:r w:rsidRPr="00081EDF">
        <w:rPr>
          <w:rFonts w:eastAsia="Trebuchet MS"/>
          <w:vertAlign w:val="superscript"/>
          <w:lang w:eastAsia="en-US"/>
        </w:rPr>
        <w:endnoteReference w:id="138"/>
      </w:r>
      <w:r w:rsidR="002E45ED" w:rsidRPr="00B7244E">
        <w:t>.</w:t>
      </w:r>
      <w:r w:rsidRPr="00C621C7">
        <w:rPr>
          <w:rFonts w:eastAsia="Trebuchet MS"/>
          <w:lang w:eastAsia="en-US"/>
        </w:rPr>
        <w:t xml:space="preserve"> Along with genetics, the risk of developing dyscalculia is linked to problems with memory and visual-spatial awareness (the skills needed to understand the space around you based on what you see), with alterations in the parts of the brain that control this</w:t>
      </w:r>
      <w:r w:rsidRPr="00081EDF">
        <w:rPr>
          <w:rFonts w:eastAsia="Trebuchet MS"/>
          <w:vertAlign w:val="superscript"/>
          <w:lang w:eastAsia="en-US"/>
        </w:rPr>
        <w:endnoteReference w:id="139"/>
      </w:r>
      <w:r w:rsidR="002E45ED" w:rsidRPr="00B7244E">
        <w:t>.</w:t>
      </w:r>
    </w:p>
    <w:p w14:paraId="7CD8E908" w14:textId="4E0B78A6" w:rsidR="004E04E1" w:rsidRPr="00C621C7" w:rsidRDefault="004E04E1" w:rsidP="00C621C7">
      <w:pPr>
        <w:rPr>
          <w:rFonts w:eastAsia="Trebuchet MS"/>
          <w:lang w:eastAsia="en-US"/>
        </w:rPr>
      </w:pPr>
      <w:r w:rsidRPr="00C621C7">
        <w:rPr>
          <w:rFonts w:eastAsia="Trebuchet MS"/>
          <w:b/>
          <w:bCs/>
          <w:lang w:eastAsia="en-US"/>
        </w:rPr>
        <w:t>Dyspraxia:</w:t>
      </w:r>
      <w:r w:rsidRPr="00C621C7">
        <w:rPr>
          <w:rFonts w:eastAsia="Trebuchet MS"/>
          <w:lang w:eastAsia="en-US"/>
        </w:rPr>
        <w:t xml:space="preserve"> The prevalence of dyspraxia is not yet clear, although it has been estimated that approximately 1.7% of 7</w:t>
      </w:r>
      <w:r w:rsidR="00F355CB" w:rsidRPr="00C621C7">
        <w:rPr>
          <w:rFonts w:eastAsia="Trebuchet MS"/>
          <w:lang w:eastAsia="en-US"/>
        </w:rPr>
        <w:t>-</w:t>
      </w:r>
      <w:r w:rsidRPr="00C621C7">
        <w:rPr>
          <w:rFonts w:eastAsia="Trebuchet MS"/>
          <w:lang w:eastAsia="en-US"/>
        </w:rPr>
        <w:t>year</w:t>
      </w:r>
      <w:r w:rsidR="00F355CB" w:rsidRPr="00C621C7">
        <w:rPr>
          <w:rFonts w:eastAsia="Trebuchet MS"/>
          <w:lang w:eastAsia="en-US"/>
        </w:rPr>
        <w:t>-</w:t>
      </w:r>
      <w:r w:rsidRPr="00C621C7">
        <w:rPr>
          <w:rFonts w:eastAsia="Trebuchet MS"/>
          <w:lang w:eastAsia="en-US"/>
        </w:rPr>
        <w:t>olds in the UK have dyspraxia</w:t>
      </w:r>
      <w:r w:rsidRPr="00081EDF">
        <w:rPr>
          <w:rFonts w:eastAsia="Trebuchet MS"/>
          <w:vertAlign w:val="superscript"/>
          <w:lang w:eastAsia="en-US"/>
        </w:rPr>
        <w:endnoteReference w:id="140"/>
      </w:r>
      <w:r w:rsidR="002E45ED" w:rsidRPr="00B7244E">
        <w:t>.</w:t>
      </w:r>
      <w:r w:rsidRPr="00C621C7">
        <w:rPr>
          <w:rFonts w:eastAsia="Trebuchet MS"/>
          <w:lang w:eastAsia="en-US"/>
        </w:rPr>
        <w:t xml:space="preserve"> The NHS outline several factors that can increase an individual’s risk of dyspraxia including premature birth, low birth weight, genetics (family history of dyspraxia) and consumption of alcohol and/or substance use during pregnancy</w:t>
      </w:r>
      <w:r w:rsidRPr="00081EDF">
        <w:rPr>
          <w:rFonts w:eastAsia="Trebuchet MS"/>
          <w:vertAlign w:val="superscript"/>
          <w:lang w:eastAsia="en-US"/>
        </w:rPr>
        <w:endnoteReference w:id="141"/>
      </w:r>
      <w:r w:rsidR="002E45ED" w:rsidRPr="00B7244E">
        <w:t>.</w:t>
      </w:r>
    </w:p>
    <w:p w14:paraId="08BB62FB" w14:textId="11AD8E1B" w:rsidR="004E04E1" w:rsidRPr="00C621C7" w:rsidRDefault="004E04E1" w:rsidP="00C621C7">
      <w:pPr>
        <w:spacing w:after="160" w:line="264" w:lineRule="auto"/>
        <w:rPr>
          <w:rFonts w:eastAsia="Trebuchet MS"/>
          <w:lang w:eastAsia="en-US"/>
        </w:rPr>
      </w:pPr>
      <w:r w:rsidRPr="00C621C7">
        <w:rPr>
          <w:rFonts w:eastAsia="Trebuchet MS"/>
          <w:b/>
          <w:bCs/>
          <w:lang w:eastAsia="en-US"/>
        </w:rPr>
        <w:lastRenderedPageBreak/>
        <w:t>Dysgraphia:</w:t>
      </w:r>
      <w:r w:rsidRPr="00C621C7">
        <w:rPr>
          <w:rFonts w:eastAsia="Trebuchet MS"/>
          <w:lang w:eastAsia="en-US"/>
        </w:rPr>
        <w:t xml:space="preserve"> Dysgraphia often goes underdiagnosed, or can be misdiagnosed, which can make it difficult to know the true prevalence, although it is estimated that anywhere between 10-30% of children can have difficulties with handwriting</w:t>
      </w:r>
      <w:r w:rsidRPr="00081EDF">
        <w:rPr>
          <w:rFonts w:eastAsia="Trebuchet MS"/>
          <w:vertAlign w:val="superscript"/>
          <w:lang w:eastAsia="en-US"/>
        </w:rPr>
        <w:endnoteReference w:id="142"/>
      </w:r>
      <w:r w:rsidR="002E45ED" w:rsidRPr="00B7244E">
        <w:t>.</w:t>
      </w:r>
      <w:r w:rsidRPr="00C621C7">
        <w:rPr>
          <w:rFonts w:eastAsia="Trebuchet MS"/>
          <w:lang w:eastAsia="en-US"/>
        </w:rPr>
        <w:t xml:space="preserve"> Dysgraphia is thought to be linked to impairments in cognitive functions such as memory and ability to understand how sounds of words link to spelling</w:t>
      </w:r>
      <w:r w:rsidRPr="00081EDF">
        <w:rPr>
          <w:rFonts w:eastAsia="Trebuchet MS"/>
          <w:vertAlign w:val="superscript"/>
          <w:lang w:eastAsia="en-US"/>
        </w:rPr>
        <w:endnoteReference w:id="143"/>
      </w:r>
      <w:r w:rsidR="002E45ED" w:rsidRPr="00B7244E">
        <w:t>.</w:t>
      </w:r>
    </w:p>
    <w:p w14:paraId="17D0DBC0" w14:textId="77777777" w:rsidR="004E04E1" w:rsidRPr="00EA1F42" w:rsidRDefault="004E04E1" w:rsidP="00CF7E57">
      <w:pPr>
        <w:pStyle w:val="Heading3"/>
        <w:rPr>
          <w:color w:val="006B70"/>
        </w:rPr>
      </w:pPr>
      <w:bookmarkStart w:id="267" w:name="_Toc205386931"/>
      <w:bookmarkStart w:id="268" w:name="_Toc205388001"/>
      <w:bookmarkStart w:id="269" w:name="_Toc205446012"/>
      <w:bookmarkStart w:id="270" w:name="OLE_LINK2"/>
      <w:bookmarkEnd w:id="154"/>
      <w:r w:rsidRPr="00EA1F42">
        <w:rPr>
          <w:color w:val="006B70"/>
        </w:rPr>
        <w:t>Local Picture</w:t>
      </w:r>
      <w:bookmarkEnd w:id="267"/>
      <w:bookmarkEnd w:id="268"/>
      <w:bookmarkEnd w:id="269"/>
    </w:p>
    <w:p w14:paraId="512F853F" w14:textId="4A316F49" w:rsidR="005B00AB" w:rsidRDefault="004E04E1" w:rsidP="005D2810">
      <w:pPr>
        <w:ind w:left="11" w:hanging="11"/>
        <w:rPr>
          <w:rFonts w:eastAsia="Trebuchet MS"/>
          <w:lang w:eastAsia="en-US"/>
        </w:rPr>
      </w:pPr>
      <w:proofErr w:type="spellStart"/>
      <w:r w:rsidRPr="00081EDF">
        <w:rPr>
          <w:rFonts w:eastAsia="Trebuchet MS"/>
          <w:lang w:eastAsia="en-US"/>
        </w:rPr>
        <w:t>SpLD</w:t>
      </w:r>
      <w:proofErr w:type="spellEnd"/>
      <w:r w:rsidRPr="00081EDF">
        <w:rPr>
          <w:rFonts w:eastAsia="Trebuchet MS"/>
          <w:lang w:eastAsia="en-US"/>
        </w:rPr>
        <w:t xml:space="preserve"> has been diagnosed in a small proportion of children and young people in Tower Hamlets</w:t>
      </w:r>
      <w:r w:rsidR="00423FF1">
        <w:rPr>
          <w:rFonts w:eastAsia="Trebuchet MS"/>
          <w:lang w:eastAsia="en-US"/>
        </w:rPr>
        <w:t xml:space="preserve">. Of 3109 children and young people with an EHCP, </w:t>
      </w:r>
      <w:r w:rsidR="005B00AB">
        <w:rPr>
          <w:rFonts w:eastAsia="Trebuchet MS"/>
          <w:lang w:eastAsia="en-US"/>
        </w:rPr>
        <w:t>122 (</w:t>
      </w:r>
      <w:r w:rsidR="00301E27">
        <w:rPr>
          <w:rFonts w:eastAsia="Trebuchet MS"/>
          <w:lang w:eastAsia="en-US"/>
        </w:rPr>
        <w:t>3.9%</w:t>
      </w:r>
      <w:r w:rsidR="005B00AB">
        <w:rPr>
          <w:rFonts w:eastAsia="Trebuchet MS"/>
          <w:lang w:eastAsia="en-US"/>
        </w:rPr>
        <w:t>)</w:t>
      </w:r>
      <w:r w:rsidR="00301E27">
        <w:rPr>
          <w:rFonts w:eastAsia="Trebuchet MS"/>
          <w:lang w:eastAsia="en-US"/>
        </w:rPr>
        <w:t xml:space="preserve"> had a</w:t>
      </w:r>
      <w:r w:rsidR="00615AC6">
        <w:rPr>
          <w:rFonts w:eastAsia="Trebuchet MS"/>
          <w:lang w:eastAsia="en-US"/>
        </w:rPr>
        <w:t xml:space="preserve">n </w:t>
      </w:r>
      <w:proofErr w:type="spellStart"/>
      <w:r w:rsidR="00615AC6">
        <w:rPr>
          <w:rFonts w:eastAsia="Trebuchet MS"/>
          <w:lang w:eastAsia="en-US"/>
        </w:rPr>
        <w:t>SpLD</w:t>
      </w:r>
      <w:proofErr w:type="spellEnd"/>
      <w:r w:rsidR="00615AC6">
        <w:rPr>
          <w:rFonts w:eastAsia="Trebuchet MS"/>
          <w:lang w:eastAsia="en-US"/>
        </w:rPr>
        <w:t xml:space="preserve">, with </w:t>
      </w:r>
      <w:r w:rsidR="001D6B1C">
        <w:rPr>
          <w:rFonts w:eastAsia="Trebuchet MS"/>
          <w:lang w:eastAsia="en-US"/>
        </w:rPr>
        <w:t xml:space="preserve">76 </w:t>
      </w:r>
      <w:r w:rsidR="00C30CAF">
        <w:rPr>
          <w:rFonts w:eastAsia="Trebuchet MS"/>
          <w:lang w:eastAsia="en-US"/>
        </w:rPr>
        <w:t>children and young people with an EHCP (</w:t>
      </w:r>
      <w:r w:rsidR="00D24855">
        <w:rPr>
          <w:rFonts w:eastAsia="Trebuchet MS"/>
          <w:lang w:eastAsia="en-US"/>
        </w:rPr>
        <w:t>2.4%</w:t>
      </w:r>
      <w:r w:rsidR="00C30CAF">
        <w:rPr>
          <w:rFonts w:eastAsia="Trebuchet MS"/>
          <w:lang w:eastAsia="en-US"/>
        </w:rPr>
        <w:t>) having this listed as their primary need.</w:t>
      </w:r>
    </w:p>
    <w:p w14:paraId="5A9215DD" w14:textId="5A1F1FBE" w:rsidR="00E750DF" w:rsidRPr="001402FE" w:rsidRDefault="004E04E1" w:rsidP="001402FE">
      <w:pPr>
        <w:ind w:left="11" w:hanging="11"/>
        <w:rPr>
          <w:rFonts w:eastAsia="Trebuchet MS"/>
          <w:lang w:eastAsia="en-US"/>
        </w:rPr>
      </w:pPr>
      <w:proofErr w:type="spellStart"/>
      <w:r w:rsidRPr="00081EDF">
        <w:rPr>
          <w:rFonts w:eastAsia="Trebuchet MS"/>
          <w:lang w:eastAsia="en-US"/>
        </w:rPr>
        <w:t>SpLDs</w:t>
      </w:r>
      <w:proofErr w:type="spellEnd"/>
      <w:r w:rsidRPr="00081EDF">
        <w:rPr>
          <w:rFonts w:eastAsia="Trebuchet MS"/>
          <w:lang w:eastAsia="en-US"/>
        </w:rPr>
        <w:t xml:space="preserve"> appear to be more prevalent among boys with nearly 2 in 3 (63%) of those with a primary need of </w:t>
      </w:r>
      <w:proofErr w:type="spellStart"/>
      <w:r w:rsidRPr="00081EDF">
        <w:rPr>
          <w:rFonts w:eastAsia="Trebuchet MS"/>
          <w:lang w:eastAsia="en-US"/>
        </w:rPr>
        <w:t>SpLD</w:t>
      </w:r>
      <w:proofErr w:type="spellEnd"/>
      <w:r w:rsidRPr="00081EDF">
        <w:rPr>
          <w:rFonts w:eastAsia="Trebuchet MS"/>
          <w:lang w:eastAsia="en-US"/>
        </w:rPr>
        <w:t xml:space="preserve"> in their EHC</w:t>
      </w:r>
      <w:r w:rsidR="00E750DF">
        <w:rPr>
          <w:rFonts w:eastAsia="Trebuchet MS"/>
          <w:lang w:eastAsia="en-US"/>
        </w:rPr>
        <w:t xml:space="preserve">P </w:t>
      </w:r>
      <w:r w:rsidRPr="00081EDF">
        <w:rPr>
          <w:rFonts w:eastAsia="Trebuchet MS"/>
          <w:lang w:eastAsia="en-US"/>
        </w:rPr>
        <w:t xml:space="preserve">identifying as male, and just over a third (37%) identifying as female. </w:t>
      </w:r>
    </w:p>
    <w:p w14:paraId="03B03618" w14:textId="07135C18" w:rsidR="00E72442" w:rsidRPr="00E750DF" w:rsidRDefault="00E72442" w:rsidP="00A15B89">
      <w:pPr>
        <w:ind w:left="11" w:hanging="11"/>
        <w:rPr>
          <w:rFonts w:eastAsia="Trebuchet MS"/>
          <w:b/>
          <w:bCs/>
          <w:sz w:val="18"/>
          <w:szCs w:val="18"/>
          <w:lang w:eastAsia="en-US"/>
        </w:rPr>
      </w:pPr>
      <w:r w:rsidRPr="001402FE">
        <w:rPr>
          <w:rFonts w:eastAsia="Trebuchet MS"/>
          <w:b/>
          <w:bCs/>
          <w:sz w:val="18"/>
          <w:szCs w:val="18"/>
          <w:lang w:eastAsia="en-US"/>
        </w:rPr>
        <w:t xml:space="preserve">Figure </w:t>
      </w:r>
      <w:r w:rsidR="00C00C51">
        <w:rPr>
          <w:rFonts w:eastAsia="Trebuchet MS"/>
          <w:b/>
          <w:bCs/>
          <w:sz w:val="18"/>
          <w:szCs w:val="18"/>
          <w:lang w:eastAsia="en-US"/>
        </w:rPr>
        <w:t>8,1</w:t>
      </w:r>
      <w:r w:rsidR="001402FE">
        <w:rPr>
          <w:rFonts w:eastAsia="Trebuchet MS"/>
          <w:b/>
          <w:bCs/>
          <w:sz w:val="18"/>
          <w:szCs w:val="18"/>
          <w:lang w:eastAsia="en-US"/>
        </w:rPr>
        <w:t xml:space="preserve">: </w:t>
      </w:r>
      <w:r w:rsidR="00C270AF" w:rsidRPr="001402FE">
        <w:rPr>
          <w:rFonts w:eastAsia="Trebuchet MS"/>
          <w:b/>
          <w:bCs/>
          <w:sz w:val="18"/>
          <w:szCs w:val="18"/>
          <w:lang w:eastAsia="en-US"/>
        </w:rPr>
        <w:t xml:space="preserve">The </w:t>
      </w:r>
      <w:proofErr w:type="spellStart"/>
      <w:r w:rsidR="00C270AF" w:rsidRPr="001402FE">
        <w:rPr>
          <w:rFonts w:eastAsia="Trebuchet MS"/>
          <w:b/>
          <w:bCs/>
          <w:sz w:val="18"/>
          <w:szCs w:val="18"/>
          <w:lang w:eastAsia="en-US"/>
        </w:rPr>
        <w:t>SpLD</w:t>
      </w:r>
      <w:proofErr w:type="spellEnd"/>
      <w:r w:rsidR="00C270AF" w:rsidRPr="001402FE">
        <w:rPr>
          <w:rFonts w:eastAsia="Trebuchet MS"/>
          <w:b/>
          <w:bCs/>
          <w:sz w:val="18"/>
          <w:szCs w:val="18"/>
          <w:lang w:eastAsia="en-US"/>
        </w:rPr>
        <w:t xml:space="preserve"> prevalence</w:t>
      </w:r>
      <w:r w:rsidR="00C270AF" w:rsidRPr="00E750DF">
        <w:rPr>
          <w:rFonts w:eastAsia="Trebuchet MS"/>
          <w:b/>
          <w:bCs/>
          <w:sz w:val="18"/>
          <w:szCs w:val="18"/>
          <w:lang w:eastAsia="en-US"/>
        </w:rPr>
        <w:t xml:space="preserve"> in male and female students </w:t>
      </w:r>
      <w:r w:rsidR="00E750DF" w:rsidRPr="00E750DF">
        <w:rPr>
          <w:rFonts w:eastAsia="Trebuchet MS"/>
          <w:b/>
          <w:bCs/>
          <w:sz w:val="18"/>
          <w:szCs w:val="18"/>
          <w:lang w:eastAsia="en-US"/>
        </w:rPr>
        <w:t>with an EHCP</w:t>
      </w:r>
    </w:p>
    <w:p w14:paraId="151A6B4F" w14:textId="63DAE1C5" w:rsidR="00B9363E" w:rsidRDefault="00B9363E" w:rsidP="00777F94">
      <w:pPr>
        <w:ind w:left="11" w:hanging="11"/>
        <w:jc w:val="center"/>
        <w:rPr>
          <w:rFonts w:eastAsia="Trebuchet MS"/>
          <w:lang w:eastAsia="en-US"/>
        </w:rPr>
      </w:pPr>
      <w:r>
        <w:rPr>
          <w:noProof/>
        </w:rPr>
        <w:drawing>
          <wp:inline distT="0" distB="0" distL="0" distR="0" wp14:anchorId="5F143A26" wp14:editId="41B78C25">
            <wp:extent cx="3718560" cy="2228426"/>
            <wp:effectExtent l="0" t="0" r="0" b="635"/>
            <wp:docPr id="1240195890" name="Chart 1">
              <a:extLst xmlns:a="http://schemas.openxmlformats.org/drawingml/2006/main">
                <a:ext uri="{FF2B5EF4-FFF2-40B4-BE49-F238E27FC236}">
                  <a16:creationId xmlns:a16="http://schemas.microsoft.com/office/drawing/2014/main" id="{9CD11CB3-2230-245F-51C8-2F35DE60FA2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bl>
      <w:tblPr>
        <w:tblStyle w:val="ListTable3-Accent1"/>
        <w:tblpPr w:leftFromText="180" w:rightFromText="180" w:vertAnchor="text" w:horzAnchor="margin" w:tblpY="1957"/>
        <w:tblW w:w="8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90"/>
        <w:gridCol w:w="1490"/>
        <w:gridCol w:w="1489"/>
        <w:gridCol w:w="1489"/>
        <w:gridCol w:w="1489"/>
        <w:gridCol w:w="1489"/>
      </w:tblGrid>
      <w:tr w:rsidR="00814C65" w:rsidRPr="00152087" w14:paraId="73320AE1" w14:textId="77777777" w:rsidTr="00293C95">
        <w:trPr>
          <w:cnfStyle w:val="100000000000" w:firstRow="1" w:lastRow="0" w:firstColumn="0" w:lastColumn="0" w:oddVBand="0" w:evenVBand="0" w:oddHBand="0" w:evenHBand="0" w:firstRowFirstColumn="0" w:firstRowLastColumn="0" w:lastRowFirstColumn="0" w:lastRowLastColumn="0"/>
          <w:trHeight w:val="699"/>
        </w:trPr>
        <w:tc>
          <w:tcPr>
            <w:cnfStyle w:val="001000000100" w:firstRow="0" w:lastRow="0" w:firstColumn="1" w:lastColumn="0" w:oddVBand="0" w:evenVBand="0" w:oddHBand="0" w:evenHBand="0" w:firstRowFirstColumn="1" w:firstRowLastColumn="0" w:lastRowFirstColumn="0" w:lastRowLastColumn="0"/>
            <w:tcW w:w="0" w:type="dxa"/>
            <w:tcBorders>
              <w:bottom w:val="none" w:sz="0" w:space="0" w:color="auto"/>
              <w:right w:val="none" w:sz="0" w:space="0" w:color="auto"/>
            </w:tcBorders>
          </w:tcPr>
          <w:p w14:paraId="3EB55511" w14:textId="77777777" w:rsidR="00814C65" w:rsidRPr="00567A68" w:rsidRDefault="00814C65" w:rsidP="00293C95">
            <w:pPr>
              <w:spacing w:after="0" w:line="240" w:lineRule="auto"/>
              <w:jc w:val="left"/>
              <w:rPr>
                <w:sz w:val="20"/>
                <w:szCs w:val="20"/>
              </w:rPr>
            </w:pPr>
          </w:p>
          <w:p w14:paraId="3D1E7654" w14:textId="77777777" w:rsidR="00814C65" w:rsidRPr="00567A68" w:rsidRDefault="00814C65" w:rsidP="00293C95">
            <w:pPr>
              <w:spacing w:after="0" w:line="240" w:lineRule="auto"/>
              <w:jc w:val="left"/>
              <w:rPr>
                <w:sz w:val="20"/>
                <w:szCs w:val="20"/>
              </w:rPr>
            </w:pPr>
          </w:p>
        </w:tc>
        <w:tc>
          <w:tcPr>
            <w:cnfStyle w:val="000010000000" w:firstRow="0" w:lastRow="0" w:firstColumn="0" w:lastColumn="0" w:oddVBand="1" w:evenVBand="0" w:oddHBand="0" w:evenHBand="0" w:firstRowFirstColumn="0" w:firstRowLastColumn="0" w:lastRowFirstColumn="0" w:lastRowLastColumn="0"/>
            <w:tcW w:w="0" w:type="dxa"/>
            <w:tcBorders>
              <w:left w:val="none" w:sz="0" w:space="0" w:color="auto"/>
              <w:right w:val="none" w:sz="0" w:space="0" w:color="auto"/>
            </w:tcBorders>
          </w:tcPr>
          <w:p w14:paraId="54AE443D" w14:textId="77777777" w:rsidR="00814C65" w:rsidRPr="00567A68" w:rsidRDefault="00814C65" w:rsidP="00293C95">
            <w:pPr>
              <w:spacing w:after="0" w:line="240" w:lineRule="auto"/>
              <w:jc w:val="center"/>
              <w:rPr>
                <w:color w:val="FFFFFF" w:themeColor="background1"/>
                <w:w w:val="110"/>
                <w:sz w:val="20"/>
                <w:szCs w:val="20"/>
              </w:rPr>
            </w:pPr>
            <w:r w:rsidRPr="00567A68">
              <w:rPr>
                <w:color w:val="FFFFFF" w:themeColor="background1"/>
                <w:w w:val="110"/>
                <w:sz w:val="20"/>
                <w:szCs w:val="20"/>
              </w:rPr>
              <w:t>White ethnic groups</w:t>
            </w:r>
          </w:p>
        </w:tc>
        <w:tc>
          <w:tcPr>
            <w:tcW w:w="0" w:type="dxa"/>
          </w:tcPr>
          <w:p w14:paraId="3C7CBC31" w14:textId="77777777" w:rsidR="00814C65" w:rsidRPr="00567A68" w:rsidRDefault="00814C65" w:rsidP="00293C95">
            <w:pPr>
              <w:spacing w:after="0" w:line="240" w:lineRule="auto"/>
              <w:ind w:left="18"/>
              <w:jc w:val="center"/>
              <w:cnfStyle w:val="100000000000" w:firstRow="1" w:lastRow="0" w:firstColumn="0" w:lastColumn="0" w:oddVBand="0" w:evenVBand="0" w:oddHBand="0" w:evenHBand="0" w:firstRowFirstColumn="0" w:firstRowLastColumn="0" w:lastRowFirstColumn="0" w:lastRowLastColumn="0"/>
              <w:rPr>
                <w:color w:val="FFFFFF" w:themeColor="background1"/>
                <w:w w:val="105"/>
                <w:sz w:val="20"/>
                <w:szCs w:val="20"/>
              </w:rPr>
            </w:pPr>
            <w:r w:rsidRPr="00567A68">
              <w:rPr>
                <w:color w:val="FFFFFF" w:themeColor="background1"/>
                <w:w w:val="105"/>
                <w:sz w:val="20"/>
                <w:szCs w:val="20"/>
              </w:rPr>
              <w:t>Asian ethnic groups</w:t>
            </w:r>
          </w:p>
        </w:tc>
        <w:tc>
          <w:tcPr>
            <w:cnfStyle w:val="000010000000" w:firstRow="0" w:lastRow="0" w:firstColumn="0" w:lastColumn="0" w:oddVBand="1" w:evenVBand="0" w:oddHBand="0" w:evenHBand="0" w:firstRowFirstColumn="0" w:firstRowLastColumn="0" w:lastRowFirstColumn="0" w:lastRowLastColumn="0"/>
            <w:tcW w:w="0" w:type="dxa"/>
            <w:tcBorders>
              <w:left w:val="none" w:sz="0" w:space="0" w:color="auto"/>
              <w:right w:val="none" w:sz="0" w:space="0" w:color="auto"/>
            </w:tcBorders>
          </w:tcPr>
          <w:p w14:paraId="184C6A16" w14:textId="77777777" w:rsidR="00814C65" w:rsidRPr="00567A68" w:rsidRDefault="00814C65" w:rsidP="00293C95">
            <w:pPr>
              <w:spacing w:after="0" w:line="240" w:lineRule="auto"/>
              <w:ind w:left="18"/>
              <w:jc w:val="center"/>
              <w:rPr>
                <w:color w:val="FFFFFF" w:themeColor="background1"/>
                <w:sz w:val="20"/>
                <w:szCs w:val="20"/>
              </w:rPr>
            </w:pPr>
            <w:r w:rsidRPr="00567A68">
              <w:rPr>
                <w:color w:val="FFFFFF" w:themeColor="background1"/>
                <w:w w:val="105"/>
                <w:sz w:val="20"/>
                <w:szCs w:val="20"/>
              </w:rPr>
              <w:t>Black ethnic groups</w:t>
            </w:r>
          </w:p>
        </w:tc>
        <w:tc>
          <w:tcPr>
            <w:tcW w:w="0" w:type="dxa"/>
          </w:tcPr>
          <w:p w14:paraId="468E9001" w14:textId="77777777" w:rsidR="00814C65" w:rsidRPr="00567A68" w:rsidRDefault="00814C65" w:rsidP="00293C95">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567A68">
              <w:rPr>
                <w:color w:val="FFFFFF" w:themeColor="background1"/>
                <w:w w:val="105"/>
                <w:sz w:val="20"/>
                <w:szCs w:val="20"/>
              </w:rPr>
              <w:t>Mixed ethnic groups</w:t>
            </w:r>
          </w:p>
        </w:tc>
        <w:tc>
          <w:tcPr>
            <w:cnfStyle w:val="000100001000" w:firstRow="0" w:lastRow="0" w:firstColumn="0" w:lastColumn="1" w:oddVBand="0" w:evenVBand="0" w:oddHBand="0" w:evenHBand="0" w:firstRowFirstColumn="0" w:firstRowLastColumn="1" w:lastRowFirstColumn="0" w:lastRowLastColumn="0"/>
            <w:tcW w:w="0" w:type="dxa"/>
            <w:tcBorders>
              <w:left w:val="none" w:sz="0" w:space="0" w:color="auto"/>
              <w:bottom w:val="none" w:sz="0" w:space="0" w:color="auto"/>
            </w:tcBorders>
          </w:tcPr>
          <w:p w14:paraId="6637512D" w14:textId="77777777" w:rsidR="00814C65" w:rsidRPr="00567A68" w:rsidRDefault="00814C65" w:rsidP="00293C95">
            <w:pPr>
              <w:spacing w:after="0" w:line="240" w:lineRule="auto"/>
              <w:jc w:val="center"/>
              <w:rPr>
                <w:color w:val="FFFFFF" w:themeColor="background1"/>
                <w:sz w:val="20"/>
                <w:szCs w:val="20"/>
              </w:rPr>
            </w:pPr>
            <w:r w:rsidRPr="00567A68">
              <w:rPr>
                <w:color w:val="FFFFFF" w:themeColor="background1"/>
                <w:sz w:val="20"/>
                <w:szCs w:val="20"/>
              </w:rPr>
              <w:t>Other ethnic groups</w:t>
            </w:r>
          </w:p>
        </w:tc>
      </w:tr>
      <w:tr w:rsidR="00814C65" w:rsidRPr="00152087" w14:paraId="1BBAF512" w14:textId="77777777" w:rsidTr="00293C95">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right w:val="none" w:sz="0" w:space="0" w:color="auto"/>
            </w:tcBorders>
          </w:tcPr>
          <w:p w14:paraId="61D84A47" w14:textId="77777777" w:rsidR="00814C65" w:rsidRPr="00567A68" w:rsidRDefault="00814C65" w:rsidP="00293C95">
            <w:pPr>
              <w:spacing w:line="240" w:lineRule="auto"/>
              <w:ind w:right="86"/>
              <w:jc w:val="left"/>
              <w:rPr>
                <w:sz w:val="20"/>
                <w:szCs w:val="20"/>
              </w:rPr>
            </w:pPr>
            <w:r w:rsidRPr="00567A68">
              <w:rPr>
                <w:w w:val="105"/>
                <w:sz w:val="20"/>
                <w:szCs w:val="20"/>
              </w:rPr>
              <w:t>Total</w:t>
            </w:r>
            <w:r w:rsidRPr="00567A68">
              <w:rPr>
                <w:spacing w:val="-14"/>
                <w:w w:val="105"/>
                <w:sz w:val="20"/>
                <w:szCs w:val="20"/>
              </w:rPr>
              <w:t xml:space="preserve"> </w:t>
            </w:r>
            <w:r w:rsidRPr="00567A68">
              <w:rPr>
                <w:w w:val="105"/>
                <w:sz w:val="20"/>
                <w:szCs w:val="20"/>
              </w:rPr>
              <w:t>%</w:t>
            </w:r>
            <w:r w:rsidRPr="00567A68">
              <w:rPr>
                <w:spacing w:val="-14"/>
                <w:w w:val="105"/>
                <w:sz w:val="20"/>
                <w:szCs w:val="20"/>
              </w:rPr>
              <w:t xml:space="preserve"> </w:t>
            </w:r>
            <w:r w:rsidRPr="00567A68">
              <w:rPr>
                <w:w w:val="105"/>
                <w:sz w:val="20"/>
                <w:szCs w:val="20"/>
              </w:rPr>
              <w:t>of</w:t>
            </w:r>
            <w:r w:rsidRPr="00567A68">
              <w:rPr>
                <w:spacing w:val="-13"/>
                <w:w w:val="105"/>
                <w:sz w:val="20"/>
                <w:szCs w:val="20"/>
              </w:rPr>
              <w:t xml:space="preserve"> </w:t>
            </w:r>
            <w:r w:rsidRPr="00567A68">
              <w:rPr>
                <w:w w:val="105"/>
                <w:sz w:val="20"/>
                <w:szCs w:val="20"/>
              </w:rPr>
              <w:t>all</w:t>
            </w:r>
            <w:r w:rsidRPr="00567A68">
              <w:rPr>
                <w:spacing w:val="-13"/>
                <w:w w:val="105"/>
                <w:sz w:val="20"/>
                <w:szCs w:val="20"/>
              </w:rPr>
              <w:t xml:space="preserve"> </w:t>
            </w:r>
            <w:r w:rsidRPr="00567A68">
              <w:rPr>
                <w:w w:val="105"/>
                <w:sz w:val="20"/>
                <w:szCs w:val="20"/>
              </w:rPr>
              <w:t>pupils</w:t>
            </w:r>
            <w:r w:rsidRPr="00567A68">
              <w:rPr>
                <w:spacing w:val="-13"/>
                <w:w w:val="105"/>
                <w:sz w:val="20"/>
                <w:szCs w:val="20"/>
              </w:rPr>
              <w:t xml:space="preserve"> </w:t>
            </w:r>
            <w:r w:rsidRPr="00567A68">
              <w:rPr>
                <w:w w:val="105"/>
                <w:sz w:val="20"/>
                <w:szCs w:val="20"/>
              </w:rPr>
              <w:t>in ethnic</w:t>
            </w:r>
            <w:r w:rsidRPr="00567A68">
              <w:rPr>
                <w:spacing w:val="-15"/>
                <w:w w:val="105"/>
                <w:sz w:val="20"/>
                <w:szCs w:val="20"/>
              </w:rPr>
              <w:t xml:space="preserve"> </w:t>
            </w:r>
            <w:r w:rsidRPr="00567A68">
              <w:rPr>
                <w:w w:val="105"/>
                <w:sz w:val="20"/>
                <w:szCs w:val="20"/>
              </w:rPr>
              <w:t>group</w:t>
            </w:r>
          </w:p>
        </w:tc>
        <w:tc>
          <w:tcPr>
            <w:cnfStyle w:val="000010000000" w:firstRow="0" w:lastRow="0" w:firstColumn="0" w:lastColumn="0" w:oddVBand="1" w:evenVBand="0" w:oddHBand="0" w:evenHBand="0" w:firstRowFirstColumn="0" w:firstRowLastColumn="0" w:lastRowFirstColumn="0" w:lastRowLastColumn="0"/>
            <w:tcW w:w="0" w:type="dxa"/>
            <w:tcBorders>
              <w:top w:val="none" w:sz="0" w:space="0" w:color="auto"/>
              <w:left w:val="none" w:sz="0" w:space="0" w:color="auto"/>
              <w:bottom w:val="none" w:sz="0" w:space="0" w:color="auto"/>
              <w:right w:val="none" w:sz="0" w:space="0" w:color="auto"/>
            </w:tcBorders>
          </w:tcPr>
          <w:p w14:paraId="41A67F67" w14:textId="77777777" w:rsidR="00814C65" w:rsidRPr="00567A68" w:rsidRDefault="00814C65" w:rsidP="00293C95">
            <w:pPr>
              <w:spacing w:line="240" w:lineRule="auto"/>
              <w:jc w:val="center"/>
              <w:rPr>
                <w:sz w:val="20"/>
                <w:szCs w:val="20"/>
              </w:rPr>
            </w:pPr>
            <w:r w:rsidRPr="00567A68">
              <w:rPr>
                <w:sz w:val="20"/>
                <w:szCs w:val="20"/>
              </w:rPr>
              <w:t>12.1%</w:t>
            </w:r>
          </w:p>
        </w:tc>
        <w:tc>
          <w:tcPr>
            <w:tcW w:w="0" w:type="dxa"/>
            <w:tcBorders>
              <w:top w:val="none" w:sz="0" w:space="0" w:color="auto"/>
              <w:bottom w:val="none" w:sz="0" w:space="0" w:color="auto"/>
            </w:tcBorders>
          </w:tcPr>
          <w:p w14:paraId="2B7264B1" w14:textId="77777777" w:rsidR="00814C65" w:rsidRPr="00567A68" w:rsidRDefault="00814C65" w:rsidP="00293C95">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67A68">
              <w:rPr>
                <w:sz w:val="20"/>
                <w:szCs w:val="20"/>
              </w:rPr>
              <w:t>66.6%</w:t>
            </w:r>
          </w:p>
        </w:tc>
        <w:tc>
          <w:tcPr>
            <w:cnfStyle w:val="000010000000" w:firstRow="0" w:lastRow="0" w:firstColumn="0" w:lastColumn="0" w:oddVBand="1" w:evenVBand="0" w:oddHBand="0" w:evenHBand="0" w:firstRowFirstColumn="0" w:firstRowLastColumn="0" w:lastRowFirstColumn="0" w:lastRowLastColumn="0"/>
            <w:tcW w:w="0" w:type="dxa"/>
            <w:tcBorders>
              <w:top w:val="none" w:sz="0" w:space="0" w:color="auto"/>
              <w:left w:val="none" w:sz="0" w:space="0" w:color="auto"/>
              <w:bottom w:val="none" w:sz="0" w:space="0" w:color="auto"/>
              <w:right w:val="none" w:sz="0" w:space="0" w:color="auto"/>
            </w:tcBorders>
          </w:tcPr>
          <w:p w14:paraId="5E8D9EB5" w14:textId="77777777" w:rsidR="00814C65" w:rsidRPr="00567A68" w:rsidRDefault="00814C65" w:rsidP="00293C95">
            <w:pPr>
              <w:spacing w:line="240" w:lineRule="auto"/>
              <w:jc w:val="center"/>
              <w:rPr>
                <w:sz w:val="20"/>
                <w:szCs w:val="20"/>
              </w:rPr>
            </w:pPr>
            <w:r w:rsidRPr="00567A68">
              <w:rPr>
                <w:sz w:val="20"/>
                <w:szCs w:val="20"/>
              </w:rPr>
              <w:t>9%</w:t>
            </w:r>
          </w:p>
        </w:tc>
        <w:tc>
          <w:tcPr>
            <w:tcW w:w="0" w:type="dxa"/>
            <w:tcBorders>
              <w:top w:val="none" w:sz="0" w:space="0" w:color="auto"/>
              <w:bottom w:val="none" w:sz="0" w:space="0" w:color="auto"/>
            </w:tcBorders>
          </w:tcPr>
          <w:p w14:paraId="7A0E7FBC" w14:textId="77777777" w:rsidR="00814C65" w:rsidRPr="00567A68" w:rsidRDefault="00814C65" w:rsidP="00293C95">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67A68">
              <w:rPr>
                <w:sz w:val="20"/>
                <w:szCs w:val="20"/>
              </w:rPr>
              <w:t>8.3%</w:t>
            </w:r>
          </w:p>
        </w:tc>
        <w:tc>
          <w:tcPr>
            <w:cnfStyle w:val="000100000000" w:firstRow="0" w:lastRow="0" w:firstColumn="0" w:lastColumn="1" w:oddVBand="0" w:evenVBand="0" w:oddHBand="0" w:evenHBand="0" w:firstRowFirstColumn="0" w:firstRowLastColumn="0" w:lastRowFirstColumn="0" w:lastRowLastColumn="0"/>
            <w:tcW w:w="0" w:type="dxa"/>
            <w:tcBorders>
              <w:top w:val="none" w:sz="0" w:space="0" w:color="auto"/>
              <w:left w:val="none" w:sz="0" w:space="0" w:color="auto"/>
              <w:bottom w:val="none" w:sz="0" w:space="0" w:color="auto"/>
            </w:tcBorders>
          </w:tcPr>
          <w:p w14:paraId="1947446A" w14:textId="77777777" w:rsidR="00814C65" w:rsidRPr="00567A68" w:rsidRDefault="00814C65" w:rsidP="00293C95">
            <w:pPr>
              <w:spacing w:line="240" w:lineRule="auto"/>
              <w:jc w:val="center"/>
              <w:rPr>
                <w:b w:val="0"/>
                <w:sz w:val="20"/>
                <w:szCs w:val="20"/>
              </w:rPr>
            </w:pPr>
            <w:r w:rsidRPr="00567A68">
              <w:rPr>
                <w:sz w:val="20"/>
                <w:szCs w:val="20"/>
              </w:rPr>
              <w:t>3%</w:t>
            </w:r>
          </w:p>
        </w:tc>
      </w:tr>
      <w:tr w:rsidR="00814C65" w:rsidRPr="00152087" w14:paraId="0549DF5D" w14:textId="77777777" w:rsidTr="00293C95">
        <w:trPr>
          <w:cnfStyle w:val="010000000000" w:firstRow="0" w:lastRow="1" w:firstColumn="0" w:lastColumn="0" w:oddVBand="0" w:evenVBand="0" w:oddHBand="0" w:evenHBand="0" w:firstRowFirstColumn="0" w:firstRowLastColumn="0" w:lastRowFirstColumn="0" w:lastRowLastColumn="0"/>
          <w:trHeight w:val="392"/>
        </w:trPr>
        <w:tc>
          <w:tcPr>
            <w:cnfStyle w:val="001000000001" w:firstRow="0" w:lastRow="0" w:firstColumn="1" w:lastColumn="0" w:oddVBand="0" w:evenVBand="0" w:oddHBand="0" w:evenHBand="0" w:firstRowFirstColumn="0" w:firstRowLastColumn="0" w:lastRowFirstColumn="1" w:lastRowLastColumn="0"/>
            <w:tcW w:w="0" w:type="dxa"/>
            <w:tcBorders>
              <w:top w:val="none" w:sz="0" w:space="0" w:color="auto"/>
              <w:right w:val="none" w:sz="0" w:space="0" w:color="auto"/>
            </w:tcBorders>
          </w:tcPr>
          <w:p w14:paraId="6451206D" w14:textId="77777777" w:rsidR="00814C65" w:rsidRPr="00567A68" w:rsidRDefault="00814C65" w:rsidP="00293C95">
            <w:pPr>
              <w:spacing w:line="240" w:lineRule="auto"/>
              <w:ind w:right="86"/>
              <w:jc w:val="left"/>
              <w:rPr>
                <w:sz w:val="20"/>
                <w:szCs w:val="20"/>
              </w:rPr>
            </w:pPr>
            <w:r w:rsidRPr="00567A68">
              <w:rPr>
                <w:w w:val="105"/>
                <w:sz w:val="20"/>
                <w:szCs w:val="20"/>
              </w:rPr>
              <w:t>% of pupils in ethnic group</w:t>
            </w:r>
            <w:r w:rsidRPr="00567A68">
              <w:rPr>
                <w:spacing w:val="-13"/>
                <w:w w:val="105"/>
                <w:sz w:val="20"/>
                <w:szCs w:val="20"/>
              </w:rPr>
              <w:t xml:space="preserve"> </w:t>
            </w:r>
            <w:r w:rsidRPr="00567A68">
              <w:rPr>
                <w:w w:val="105"/>
                <w:sz w:val="20"/>
                <w:szCs w:val="20"/>
              </w:rPr>
              <w:t>with</w:t>
            </w:r>
            <w:r w:rsidRPr="00567A68">
              <w:rPr>
                <w:spacing w:val="-13"/>
                <w:w w:val="105"/>
                <w:sz w:val="20"/>
                <w:szCs w:val="20"/>
              </w:rPr>
              <w:t xml:space="preserve"> </w:t>
            </w:r>
            <w:r w:rsidRPr="00567A68">
              <w:rPr>
                <w:w w:val="105"/>
                <w:sz w:val="20"/>
                <w:szCs w:val="20"/>
              </w:rPr>
              <w:t>EHCP</w:t>
            </w:r>
            <w:r w:rsidRPr="00567A68">
              <w:rPr>
                <w:spacing w:val="-14"/>
                <w:w w:val="105"/>
                <w:sz w:val="20"/>
                <w:szCs w:val="20"/>
              </w:rPr>
              <w:t xml:space="preserve"> </w:t>
            </w:r>
            <w:r w:rsidRPr="00567A68">
              <w:rPr>
                <w:w w:val="105"/>
                <w:sz w:val="20"/>
                <w:szCs w:val="20"/>
              </w:rPr>
              <w:t>for</w:t>
            </w:r>
            <w:r w:rsidRPr="00567A68">
              <w:rPr>
                <w:spacing w:val="-15"/>
                <w:w w:val="105"/>
                <w:sz w:val="20"/>
                <w:szCs w:val="20"/>
              </w:rPr>
              <w:t xml:space="preserve"> </w:t>
            </w:r>
            <w:proofErr w:type="spellStart"/>
            <w:r w:rsidRPr="00567A68">
              <w:rPr>
                <w:spacing w:val="-15"/>
                <w:w w:val="105"/>
                <w:sz w:val="20"/>
                <w:szCs w:val="20"/>
              </w:rPr>
              <w:t>SpLD</w:t>
            </w:r>
            <w:proofErr w:type="spellEnd"/>
          </w:p>
        </w:tc>
        <w:tc>
          <w:tcPr>
            <w:cnfStyle w:val="000010000000" w:firstRow="0" w:lastRow="0" w:firstColumn="0" w:lastColumn="0" w:oddVBand="1" w:evenVBand="0" w:oddHBand="0" w:evenHBand="0" w:firstRowFirstColumn="0" w:firstRowLastColumn="0" w:lastRowFirstColumn="0" w:lastRowLastColumn="0"/>
            <w:tcW w:w="0" w:type="dxa"/>
            <w:tcBorders>
              <w:top w:val="none" w:sz="0" w:space="0" w:color="auto"/>
              <w:left w:val="none" w:sz="0" w:space="0" w:color="auto"/>
              <w:right w:val="none" w:sz="0" w:space="0" w:color="auto"/>
            </w:tcBorders>
          </w:tcPr>
          <w:p w14:paraId="1755D4FC" w14:textId="77777777" w:rsidR="00814C65" w:rsidRPr="00A70E63" w:rsidRDefault="00814C65" w:rsidP="00293C95">
            <w:pPr>
              <w:spacing w:line="240" w:lineRule="auto"/>
              <w:jc w:val="center"/>
              <w:rPr>
                <w:b w:val="0"/>
                <w:bCs w:val="0"/>
                <w:sz w:val="20"/>
                <w:szCs w:val="20"/>
              </w:rPr>
            </w:pPr>
            <w:r w:rsidRPr="00A70E63">
              <w:rPr>
                <w:sz w:val="20"/>
                <w:szCs w:val="20"/>
              </w:rPr>
              <w:t>30.2%</w:t>
            </w:r>
          </w:p>
        </w:tc>
        <w:tc>
          <w:tcPr>
            <w:tcW w:w="0" w:type="dxa"/>
            <w:tcBorders>
              <w:top w:val="none" w:sz="0" w:space="0" w:color="auto"/>
            </w:tcBorders>
          </w:tcPr>
          <w:p w14:paraId="52D883CA" w14:textId="77777777" w:rsidR="00814C65" w:rsidRPr="00A70E63" w:rsidRDefault="00814C65" w:rsidP="00293C95">
            <w:pPr>
              <w:spacing w:line="240" w:lineRule="auto"/>
              <w:jc w:val="center"/>
              <w:cnfStyle w:val="010000000000" w:firstRow="0" w:lastRow="1" w:firstColumn="0" w:lastColumn="0" w:oddVBand="0" w:evenVBand="0" w:oddHBand="0" w:evenHBand="0" w:firstRowFirstColumn="0" w:firstRowLastColumn="0" w:lastRowFirstColumn="0" w:lastRowLastColumn="0"/>
              <w:rPr>
                <w:b w:val="0"/>
                <w:bCs w:val="0"/>
                <w:sz w:val="20"/>
                <w:szCs w:val="20"/>
              </w:rPr>
            </w:pPr>
            <w:r w:rsidRPr="00A70E63">
              <w:rPr>
                <w:sz w:val="20"/>
                <w:szCs w:val="20"/>
              </w:rPr>
              <w:t>28.8%</w:t>
            </w:r>
          </w:p>
        </w:tc>
        <w:tc>
          <w:tcPr>
            <w:cnfStyle w:val="000010000000" w:firstRow="0" w:lastRow="0" w:firstColumn="0" w:lastColumn="0" w:oddVBand="1" w:evenVBand="0" w:oddHBand="0" w:evenHBand="0" w:firstRowFirstColumn="0" w:firstRowLastColumn="0" w:lastRowFirstColumn="0" w:lastRowLastColumn="0"/>
            <w:tcW w:w="0" w:type="dxa"/>
            <w:tcBorders>
              <w:top w:val="none" w:sz="0" w:space="0" w:color="auto"/>
              <w:left w:val="none" w:sz="0" w:space="0" w:color="auto"/>
              <w:right w:val="none" w:sz="0" w:space="0" w:color="auto"/>
            </w:tcBorders>
          </w:tcPr>
          <w:p w14:paraId="5744B7B8" w14:textId="77777777" w:rsidR="00814C65" w:rsidRPr="00A70E63" w:rsidRDefault="00814C65" w:rsidP="00293C95">
            <w:pPr>
              <w:spacing w:line="240" w:lineRule="auto"/>
              <w:jc w:val="center"/>
              <w:rPr>
                <w:b w:val="0"/>
                <w:bCs w:val="0"/>
                <w:sz w:val="20"/>
                <w:szCs w:val="20"/>
              </w:rPr>
            </w:pPr>
            <w:r w:rsidRPr="00A70E63">
              <w:rPr>
                <w:sz w:val="20"/>
                <w:szCs w:val="20"/>
              </w:rPr>
              <w:t>6.8%</w:t>
            </w:r>
          </w:p>
        </w:tc>
        <w:tc>
          <w:tcPr>
            <w:tcW w:w="0" w:type="dxa"/>
            <w:tcBorders>
              <w:top w:val="none" w:sz="0" w:space="0" w:color="auto"/>
            </w:tcBorders>
          </w:tcPr>
          <w:p w14:paraId="0248F7CC" w14:textId="77777777" w:rsidR="00814C65" w:rsidRPr="00A70E63" w:rsidRDefault="00814C65" w:rsidP="00293C95">
            <w:pPr>
              <w:spacing w:line="240" w:lineRule="auto"/>
              <w:jc w:val="center"/>
              <w:cnfStyle w:val="010000000000" w:firstRow="0" w:lastRow="1" w:firstColumn="0" w:lastColumn="0" w:oddVBand="0" w:evenVBand="0" w:oddHBand="0" w:evenHBand="0" w:firstRowFirstColumn="0" w:firstRowLastColumn="0" w:lastRowFirstColumn="0" w:lastRowLastColumn="0"/>
              <w:rPr>
                <w:b w:val="0"/>
                <w:bCs w:val="0"/>
                <w:sz w:val="20"/>
                <w:szCs w:val="20"/>
              </w:rPr>
            </w:pPr>
            <w:r w:rsidRPr="00A70E63">
              <w:rPr>
                <w:sz w:val="20"/>
                <w:szCs w:val="20"/>
              </w:rPr>
              <w:t>8.2%</w:t>
            </w:r>
          </w:p>
        </w:tc>
        <w:tc>
          <w:tcPr>
            <w:cnfStyle w:val="000100000010" w:firstRow="0" w:lastRow="0" w:firstColumn="0" w:lastColumn="1" w:oddVBand="0" w:evenVBand="0" w:oddHBand="0" w:evenHBand="0" w:firstRowFirstColumn="0" w:firstRowLastColumn="0" w:lastRowFirstColumn="0" w:lastRowLastColumn="1"/>
            <w:tcW w:w="0" w:type="dxa"/>
            <w:tcBorders>
              <w:top w:val="none" w:sz="0" w:space="0" w:color="auto"/>
              <w:left w:val="none" w:sz="0" w:space="0" w:color="auto"/>
            </w:tcBorders>
          </w:tcPr>
          <w:p w14:paraId="4456FA71" w14:textId="77777777" w:rsidR="00814C65" w:rsidRPr="00A70E63" w:rsidRDefault="00814C65" w:rsidP="00293C95">
            <w:pPr>
              <w:spacing w:line="240" w:lineRule="auto"/>
              <w:jc w:val="center"/>
              <w:rPr>
                <w:b w:val="0"/>
                <w:bCs w:val="0"/>
                <w:sz w:val="20"/>
                <w:szCs w:val="20"/>
              </w:rPr>
            </w:pPr>
            <w:r w:rsidRPr="00A70E63">
              <w:rPr>
                <w:sz w:val="20"/>
                <w:szCs w:val="20"/>
              </w:rPr>
              <w:t>None</w:t>
            </w:r>
          </w:p>
        </w:tc>
      </w:tr>
    </w:tbl>
    <w:p w14:paraId="27AADCCD" w14:textId="62795002" w:rsidR="00E63EBF" w:rsidRPr="001402FE" w:rsidRDefault="001402FE" w:rsidP="001402FE">
      <w:pPr>
        <w:spacing w:before="0" w:line="240" w:lineRule="auto"/>
        <w:jc w:val="right"/>
        <w:rPr>
          <w:rFonts w:eastAsia="Trebuchet MS"/>
          <w:b/>
          <w:sz w:val="18"/>
          <w:szCs w:val="18"/>
        </w:rPr>
      </w:pPr>
      <w:r w:rsidRPr="00973B12">
        <w:rPr>
          <w:b/>
          <w:bCs/>
          <w:sz w:val="18"/>
          <w:szCs w:val="18"/>
        </w:rPr>
        <w:t>Source: January 2024 School Census [LBTH Data, March 2024]</w:t>
      </w:r>
    </w:p>
    <w:p w14:paraId="721656D5" w14:textId="77777777" w:rsidR="00814C65" w:rsidRPr="001402FE" w:rsidRDefault="00814C65" w:rsidP="001402FE">
      <w:pPr>
        <w:spacing w:before="0" w:line="240" w:lineRule="auto"/>
        <w:jc w:val="right"/>
        <w:rPr>
          <w:rFonts w:eastAsia="Trebuchet MS"/>
          <w:b/>
          <w:sz w:val="18"/>
          <w:szCs w:val="18"/>
        </w:rPr>
      </w:pPr>
    </w:p>
    <w:p w14:paraId="03302936" w14:textId="7F8C3424" w:rsidR="006974CF" w:rsidRDefault="006974CF" w:rsidP="006974CF">
      <w:pPr>
        <w:rPr>
          <w:rFonts w:eastAsia="Trebuchet MS"/>
          <w:lang w:eastAsia="en-US"/>
        </w:rPr>
      </w:pPr>
      <w:r>
        <w:rPr>
          <w:rFonts w:eastAsia="Trebuchet MS"/>
          <w:lang w:eastAsia="en-US"/>
        </w:rPr>
        <w:t xml:space="preserve">Among pupils with a primary need of </w:t>
      </w:r>
      <w:proofErr w:type="spellStart"/>
      <w:r>
        <w:rPr>
          <w:rFonts w:eastAsia="Trebuchet MS"/>
          <w:lang w:eastAsia="en-US"/>
        </w:rPr>
        <w:t>SpLD</w:t>
      </w:r>
      <w:proofErr w:type="spellEnd"/>
      <w:r>
        <w:rPr>
          <w:rFonts w:eastAsia="Trebuchet MS"/>
          <w:lang w:eastAsia="en-US"/>
        </w:rPr>
        <w:t xml:space="preserve"> in an EHCP, white ethnic groups are overrepresented, whilst Asian ethnic groups are vastly underrepresented, as outlined in the table below (Table 8.1).</w:t>
      </w:r>
    </w:p>
    <w:p w14:paraId="5F0C082F" w14:textId="55FD99D5" w:rsidR="0085122D" w:rsidRPr="00293C95" w:rsidRDefault="0085122D" w:rsidP="00293C95">
      <w:pPr>
        <w:ind w:left="11" w:hanging="11"/>
        <w:rPr>
          <w:rFonts w:eastAsia="Trebuchet MS"/>
          <w:b/>
          <w:bCs/>
          <w:sz w:val="18"/>
          <w:szCs w:val="18"/>
          <w:lang w:eastAsia="en-US"/>
        </w:rPr>
      </w:pPr>
      <w:r w:rsidRPr="00293C95">
        <w:rPr>
          <w:rFonts w:eastAsia="Trebuchet MS"/>
          <w:b/>
          <w:bCs/>
          <w:sz w:val="18"/>
          <w:szCs w:val="18"/>
          <w:lang w:eastAsia="en-US"/>
        </w:rPr>
        <w:t xml:space="preserve">Table 8.1: </w:t>
      </w:r>
      <w:r w:rsidR="00F50A56" w:rsidRPr="00293C95">
        <w:rPr>
          <w:rFonts w:eastAsia="Trebuchet MS"/>
          <w:b/>
          <w:bCs/>
          <w:sz w:val="18"/>
          <w:szCs w:val="18"/>
          <w:lang w:eastAsia="en-US"/>
        </w:rPr>
        <w:t xml:space="preserve">Pupils with EHCP for </w:t>
      </w:r>
      <w:proofErr w:type="spellStart"/>
      <w:r w:rsidR="00F50A56" w:rsidRPr="00293C95">
        <w:rPr>
          <w:rFonts w:eastAsia="Trebuchet MS"/>
          <w:b/>
          <w:bCs/>
          <w:sz w:val="18"/>
          <w:szCs w:val="18"/>
          <w:lang w:eastAsia="en-US"/>
        </w:rPr>
        <w:t>SpLD</w:t>
      </w:r>
      <w:proofErr w:type="spellEnd"/>
      <w:r w:rsidR="007E6F95" w:rsidRPr="00293C95">
        <w:rPr>
          <w:rFonts w:eastAsia="Trebuchet MS"/>
          <w:b/>
          <w:bCs/>
          <w:sz w:val="18"/>
          <w:szCs w:val="18"/>
          <w:lang w:eastAsia="en-US"/>
        </w:rPr>
        <w:t xml:space="preserve"> by ethnic group</w:t>
      </w:r>
    </w:p>
    <w:p w14:paraId="18E0D54A" w14:textId="762C9711" w:rsidR="004E04E1" w:rsidRPr="00A15B89" w:rsidRDefault="004E04E1" w:rsidP="00A15B89">
      <w:pPr>
        <w:spacing w:after="160" w:line="264" w:lineRule="auto"/>
        <w:ind w:left="11" w:hanging="11"/>
        <w:rPr>
          <w:rFonts w:eastAsia="Trebuchet MS"/>
          <w:lang w:eastAsia="en-US"/>
        </w:rPr>
      </w:pPr>
      <w:r w:rsidRPr="00081EDF">
        <w:rPr>
          <w:rFonts w:eastAsia="Trebuchet MS"/>
          <w:lang w:eastAsia="en-US"/>
        </w:rPr>
        <w:t xml:space="preserve">As outlined in Chapter </w:t>
      </w:r>
      <w:r w:rsidR="001402FE">
        <w:rPr>
          <w:rFonts w:eastAsia="Trebuchet MS"/>
          <w:lang w:eastAsia="en-US"/>
        </w:rPr>
        <w:t>3</w:t>
      </w:r>
      <w:r w:rsidRPr="00081EDF">
        <w:rPr>
          <w:rFonts w:eastAsia="Trebuchet MS"/>
          <w:lang w:eastAsia="en-US"/>
        </w:rPr>
        <w:t xml:space="preserve">, deprivation in Tower Hamlets is high. Given that diagnosis rates of </w:t>
      </w:r>
      <w:proofErr w:type="spellStart"/>
      <w:r w:rsidRPr="00081EDF">
        <w:rPr>
          <w:rFonts w:eastAsia="Trebuchet MS"/>
          <w:lang w:eastAsia="en-US"/>
        </w:rPr>
        <w:t>SpLD</w:t>
      </w:r>
      <w:proofErr w:type="spellEnd"/>
      <w:r w:rsidRPr="00081EDF">
        <w:rPr>
          <w:rFonts w:eastAsia="Trebuchet MS"/>
          <w:lang w:eastAsia="en-US"/>
        </w:rPr>
        <w:t xml:space="preserve"> tend to be lower in more deprived areas,</w:t>
      </w:r>
      <w:r w:rsidRPr="00081EDF">
        <w:rPr>
          <w:rFonts w:eastAsia="Trebuchet MS"/>
          <w:vertAlign w:val="superscript"/>
          <w:lang w:eastAsia="en-US"/>
        </w:rPr>
        <w:fldChar w:fldCharType="begin"/>
      </w:r>
      <w:r w:rsidRPr="00081EDF">
        <w:rPr>
          <w:rFonts w:eastAsia="Trebuchet MS"/>
          <w:vertAlign w:val="superscript"/>
          <w:lang w:eastAsia="en-US"/>
        </w:rPr>
        <w:instrText xml:space="preserve"> NOTEREF  _Ref198110942 \f \h </w:instrText>
      </w:r>
      <w:r>
        <w:rPr>
          <w:rFonts w:eastAsia="Trebuchet MS"/>
          <w:vertAlign w:val="superscript"/>
          <w:lang w:eastAsia="en-US"/>
        </w:rPr>
        <w:instrText xml:space="preserve"> \* MERGEFORMAT </w:instrText>
      </w:r>
      <w:r w:rsidRPr="00081EDF">
        <w:rPr>
          <w:rFonts w:eastAsia="Trebuchet MS"/>
          <w:vertAlign w:val="superscript"/>
          <w:lang w:eastAsia="en-US"/>
        </w:rPr>
      </w:r>
      <w:r w:rsidRPr="00081EDF">
        <w:rPr>
          <w:rFonts w:eastAsia="Trebuchet MS"/>
          <w:vertAlign w:val="superscript"/>
          <w:lang w:eastAsia="en-US"/>
        </w:rPr>
        <w:fldChar w:fldCharType="separate"/>
      </w:r>
      <w:r w:rsidR="008722C4" w:rsidRPr="008722C4">
        <w:rPr>
          <w:rFonts w:eastAsia="Trebuchet MS"/>
          <w:lang w:eastAsia="en-US"/>
        </w:rPr>
        <w:t>137</w:t>
      </w:r>
      <w:r w:rsidRPr="00081EDF">
        <w:rPr>
          <w:rFonts w:eastAsia="Trebuchet MS"/>
          <w:vertAlign w:val="superscript"/>
          <w:lang w:eastAsia="en-US"/>
        </w:rPr>
        <w:fldChar w:fldCharType="end"/>
      </w:r>
      <w:r w:rsidRPr="00081EDF">
        <w:rPr>
          <w:rFonts w:eastAsia="Trebuchet MS"/>
          <w:lang w:eastAsia="en-US"/>
        </w:rPr>
        <w:t xml:space="preserve"> it may be that the low rate in Tower Hamlets reflects low diagnosis rather than low occurrence of </w:t>
      </w:r>
      <w:proofErr w:type="spellStart"/>
      <w:r w:rsidRPr="00081EDF">
        <w:rPr>
          <w:rFonts w:eastAsia="Trebuchet MS"/>
          <w:lang w:eastAsia="en-US"/>
        </w:rPr>
        <w:t>SpLD</w:t>
      </w:r>
      <w:proofErr w:type="spellEnd"/>
      <w:r w:rsidRPr="00081EDF">
        <w:rPr>
          <w:rFonts w:eastAsia="Trebuchet MS"/>
          <w:lang w:eastAsia="en-US"/>
        </w:rPr>
        <w:t>.</w:t>
      </w:r>
    </w:p>
    <w:p w14:paraId="046346F0" w14:textId="77777777" w:rsidR="004E04E1" w:rsidRPr="00EA1F42" w:rsidRDefault="004E04E1" w:rsidP="00070CAF">
      <w:pPr>
        <w:pStyle w:val="Heading3"/>
        <w:rPr>
          <w:color w:val="006B70"/>
        </w:rPr>
      </w:pPr>
      <w:bookmarkStart w:id="271" w:name="_Toc205386932"/>
      <w:bookmarkStart w:id="272" w:name="_Toc205388002"/>
      <w:bookmarkStart w:id="273" w:name="_Toc205446013"/>
      <w:r w:rsidRPr="00EA1F42">
        <w:rPr>
          <w:color w:val="006B70"/>
        </w:rPr>
        <w:lastRenderedPageBreak/>
        <w:t>Diagnosis</w:t>
      </w:r>
      <w:bookmarkEnd w:id="271"/>
      <w:bookmarkEnd w:id="272"/>
      <w:bookmarkEnd w:id="273"/>
    </w:p>
    <w:p w14:paraId="2990BBE0" w14:textId="1CEB66E2" w:rsidR="004E04E1" w:rsidRPr="00081EDF" w:rsidRDefault="004E04E1" w:rsidP="00A15B89">
      <w:pPr>
        <w:ind w:left="11" w:hanging="11"/>
        <w:rPr>
          <w:rFonts w:eastAsia="Trebuchet MS"/>
        </w:rPr>
      </w:pPr>
      <w:proofErr w:type="spellStart"/>
      <w:r w:rsidRPr="00081EDF">
        <w:rPr>
          <w:rFonts w:eastAsia="Trebuchet MS"/>
        </w:rPr>
        <w:t>SpLD</w:t>
      </w:r>
      <w:proofErr w:type="spellEnd"/>
      <w:r w:rsidRPr="00081EDF">
        <w:rPr>
          <w:rFonts w:eastAsia="Trebuchet MS"/>
        </w:rPr>
        <w:t xml:space="preserve"> are common, with most classrooms likely having 2 or 3 children with an </w:t>
      </w:r>
      <w:proofErr w:type="spellStart"/>
      <w:r w:rsidRPr="00081EDF">
        <w:rPr>
          <w:rFonts w:eastAsia="Trebuchet MS"/>
        </w:rPr>
        <w:t>SpLD</w:t>
      </w:r>
      <w:proofErr w:type="spellEnd"/>
      <w:r w:rsidRPr="00081EDF">
        <w:rPr>
          <w:rFonts w:eastAsia="Trebuchet MS"/>
        </w:rPr>
        <w:t xml:space="preserve">, although it can be difficult to identify because, unlike other SEND needs, there is not a distinct separation between those who would be considered ‘typical’ learners and those who have an </w:t>
      </w:r>
      <w:proofErr w:type="spellStart"/>
      <w:r w:rsidRPr="00081EDF">
        <w:rPr>
          <w:rFonts w:eastAsia="Trebuchet MS"/>
        </w:rPr>
        <w:t>SpLD</w:t>
      </w:r>
      <w:proofErr w:type="spellEnd"/>
      <w:r w:rsidRPr="00081EDF">
        <w:rPr>
          <w:rFonts w:eastAsia="Trebuchet MS"/>
        </w:rPr>
        <w:t>.</w:t>
      </w:r>
      <w:r w:rsidRPr="00081EDF">
        <w:rPr>
          <w:rFonts w:eastAsia="Trebuchet MS"/>
          <w:vertAlign w:val="superscript"/>
        </w:rPr>
        <w:endnoteReference w:id="144"/>
      </w:r>
      <w:r w:rsidRPr="00081EDF">
        <w:rPr>
          <w:rFonts w:eastAsia="Trebuchet MS"/>
        </w:rPr>
        <w:t xml:space="preserve"> Children with </w:t>
      </w:r>
      <w:proofErr w:type="spellStart"/>
      <w:r w:rsidRPr="00081EDF">
        <w:rPr>
          <w:rFonts w:eastAsia="Trebuchet MS"/>
        </w:rPr>
        <w:t>SpLD</w:t>
      </w:r>
      <w:proofErr w:type="spellEnd"/>
      <w:r w:rsidRPr="00081EDF">
        <w:rPr>
          <w:rFonts w:eastAsia="Trebuchet MS"/>
        </w:rPr>
        <w:t xml:space="preserve"> do not necessarily need a diagnosis to receive support, although some may find it helpful to better identify what interventions would be most appropriate. As </w:t>
      </w:r>
      <w:proofErr w:type="spellStart"/>
      <w:r w:rsidRPr="00081EDF">
        <w:rPr>
          <w:rFonts w:eastAsia="Trebuchet MS"/>
        </w:rPr>
        <w:t>SpLD</w:t>
      </w:r>
      <w:proofErr w:type="spellEnd"/>
      <w:r w:rsidRPr="00081EDF">
        <w:rPr>
          <w:rFonts w:eastAsia="Trebuchet MS"/>
        </w:rPr>
        <w:t xml:space="preserve"> are a series of conditions, the process of diagnosis and criteria varies slightly.</w:t>
      </w:r>
    </w:p>
    <w:p w14:paraId="5C753078" w14:textId="3DA9F0FA" w:rsidR="004E04E1" w:rsidRPr="00C621C7" w:rsidRDefault="004E04E1" w:rsidP="00BF63ED">
      <w:pPr>
        <w:pStyle w:val="ListParagraph"/>
        <w:numPr>
          <w:ilvl w:val="0"/>
          <w:numId w:val="17"/>
        </w:numPr>
        <w:rPr>
          <w:rFonts w:eastAsia="Trebuchet MS"/>
        </w:rPr>
      </w:pPr>
      <w:r w:rsidRPr="00C621C7">
        <w:rPr>
          <w:rFonts w:eastAsia="Trebuchet MS"/>
          <w:b/>
          <w:bCs/>
          <w:lang w:eastAsia="en-US"/>
        </w:rPr>
        <w:t>Dyslexia and Dyscalculia:</w:t>
      </w:r>
      <w:r w:rsidRPr="00C621C7">
        <w:rPr>
          <w:rFonts w:eastAsia="Trebuchet MS"/>
          <w:lang w:eastAsia="en-US"/>
        </w:rPr>
        <w:t xml:space="preserve"> Dyslexia and dyscalculia are diagnosed through a series of tests by </w:t>
      </w:r>
      <w:r w:rsidRPr="00C621C7">
        <w:rPr>
          <w:rFonts w:eastAsia="Trebuchet MS"/>
        </w:rPr>
        <w:t>educational psychologists or specialist teachers. In this assessment, the assessor may gather background information from individuals and gain an understanding of their literacy and/or mathematics skills. This information will be used to decide if there is a diagnosis of a specific learning difficulty and/or if any reasonable adjustments are needed.</w:t>
      </w:r>
    </w:p>
    <w:p w14:paraId="74A98D45" w14:textId="467BA5BF" w:rsidR="004E04E1" w:rsidRPr="00C621C7" w:rsidRDefault="004E04E1" w:rsidP="00BF63ED">
      <w:pPr>
        <w:pStyle w:val="ListParagraph"/>
        <w:numPr>
          <w:ilvl w:val="0"/>
          <w:numId w:val="17"/>
        </w:numPr>
        <w:rPr>
          <w:rFonts w:eastAsia="Trebuchet MS"/>
          <w:b/>
          <w:bCs/>
          <w:lang w:eastAsia="en-US"/>
        </w:rPr>
      </w:pPr>
      <w:r w:rsidRPr="00C621C7">
        <w:rPr>
          <w:rFonts w:eastAsia="Trebuchet MS"/>
          <w:b/>
          <w:bCs/>
          <w:lang w:eastAsia="en-US"/>
        </w:rPr>
        <w:t xml:space="preserve">Dysgraphia: </w:t>
      </w:r>
      <w:r w:rsidRPr="00C621C7">
        <w:rPr>
          <w:rFonts w:eastAsia="Trebuchet MS"/>
          <w:lang w:eastAsia="en-US"/>
        </w:rPr>
        <w:t>Dysgraphia can be diagnosed by an educational psychologist, who may explore the child’s history and academic performance as well as running a series of tests to understand their writing, spelling and overall cognitive abilities.</w:t>
      </w:r>
    </w:p>
    <w:p w14:paraId="61EB41DD" w14:textId="0DF3C54D" w:rsidR="004E04E1" w:rsidRPr="00C621C7" w:rsidRDefault="004E04E1" w:rsidP="00BF63ED">
      <w:pPr>
        <w:pStyle w:val="ListParagraph"/>
        <w:numPr>
          <w:ilvl w:val="0"/>
          <w:numId w:val="17"/>
        </w:numPr>
        <w:rPr>
          <w:rFonts w:eastAsia="Trebuchet MS"/>
          <w:lang w:eastAsia="en-US"/>
        </w:rPr>
      </w:pPr>
      <w:r w:rsidRPr="00C621C7">
        <w:rPr>
          <w:rFonts w:eastAsia="Trebuchet MS"/>
          <w:b/>
          <w:bCs/>
          <w:lang w:eastAsia="en-US"/>
        </w:rPr>
        <w:t>Dyspraxia:</w:t>
      </w:r>
      <w:r w:rsidRPr="00C621C7">
        <w:rPr>
          <w:rFonts w:eastAsia="Trebuchet MS"/>
          <w:lang w:eastAsia="en-US"/>
        </w:rPr>
        <w:t xml:space="preserve"> Dyspraxia can be diagnosed by a paediatrician although other healthcare professionals (e.g., Occupational Therapists and Psychologists) may be involved in this. </w:t>
      </w:r>
      <w:proofErr w:type="gramStart"/>
      <w:r w:rsidRPr="00C621C7">
        <w:rPr>
          <w:rFonts w:eastAsia="Trebuchet MS"/>
          <w:lang w:eastAsia="en-US"/>
        </w:rPr>
        <w:t>In order for</w:t>
      </w:r>
      <w:proofErr w:type="gramEnd"/>
      <w:r w:rsidRPr="00C621C7">
        <w:rPr>
          <w:rFonts w:eastAsia="Trebuchet MS"/>
          <w:lang w:eastAsia="en-US"/>
        </w:rPr>
        <w:t xml:space="preserve"> a child to be diagnosed with dyspraxia, they need to have motor skills significantly below what they would be expected to be, and this should be having a considerable impact on their daily activities and school performance.</w:t>
      </w:r>
    </w:p>
    <w:p w14:paraId="613E70A5" w14:textId="240AF992" w:rsidR="004E04E1" w:rsidRPr="00A15B89" w:rsidRDefault="004E04E1" w:rsidP="00A15B89">
      <w:pPr>
        <w:spacing w:after="160" w:line="264" w:lineRule="auto"/>
        <w:ind w:left="11" w:hanging="11"/>
        <w:rPr>
          <w:rFonts w:eastAsia="Trebuchet MS"/>
          <w:lang w:eastAsia="en-US"/>
        </w:rPr>
      </w:pPr>
      <w:r w:rsidRPr="00081EDF">
        <w:rPr>
          <w:rFonts w:eastAsia="Trebuchet MS"/>
          <w:lang w:eastAsia="en-US"/>
        </w:rPr>
        <w:t>In Tower Hamlets, the Educational Psychology Service can provide psychological assessments for children and young people, which can help to understand whether the learning difficulties stem from a specific learning disability. Additionally, the Helen Arkell Dyslexia Charity can provide dyslexia assessments at a cost (although there are bursaries available for this).</w:t>
      </w:r>
    </w:p>
    <w:p w14:paraId="33744667" w14:textId="77777777" w:rsidR="004E04E1" w:rsidRPr="00EA1F42" w:rsidRDefault="004E04E1" w:rsidP="00070CAF">
      <w:pPr>
        <w:pStyle w:val="Heading3"/>
        <w:rPr>
          <w:color w:val="006B70"/>
        </w:rPr>
      </w:pPr>
      <w:bookmarkStart w:id="274" w:name="_Toc205386933"/>
      <w:bookmarkStart w:id="275" w:name="_Toc205388003"/>
      <w:bookmarkStart w:id="276" w:name="_Toc205446014"/>
      <w:r w:rsidRPr="00EA1F42">
        <w:rPr>
          <w:color w:val="006B70"/>
        </w:rPr>
        <w:t>Pathway</w:t>
      </w:r>
      <w:bookmarkEnd w:id="274"/>
      <w:bookmarkEnd w:id="275"/>
      <w:bookmarkEnd w:id="276"/>
    </w:p>
    <w:p w14:paraId="2000E715" w14:textId="32B537C2" w:rsidR="004E04E1" w:rsidRPr="00A15B89" w:rsidRDefault="004E04E1" w:rsidP="00A15B89">
      <w:pPr>
        <w:ind w:left="11" w:hanging="11"/>
        <w:rPr>
          <w:rFonts w:eastAsia="Trebuchet MS"/>
        </w:rPr>
      </w:pPr>
      <w:r w:rsidRPr="00081EDF">
        <w:rPr>
          <w:rFonts w:eastAsia="Trebuchet MS"/>
        </w:rPr>
        <w:t xml:space="preserve">To reach an assessment for diagnosis and support for </w:t>
      </w:r>
      <w:proofErr w:type="spellStart"/>
      <w:r w:rsidRPr="00081EDF">
        <w:rPr>
          <w:rFonts w:eastAsia="Trebuchet MS"/>
        </w:rPr>
        <w:t>SpLD</w:t>
      </w:r>
      <w:proofErr w:type="spellEnd"/>
      <w:r w:rsidRPr="00081EDF">
        <w:rPr>
          <w:rFonts w:eastAsia="Trebuchet MS"/>
        </w:rPr>
        <w:t>, parents can speak to their child’s school or GP, who may provide a referral to another professional such as an educational psychologist or specialist teacher.</w:t>
      </w:r>
    </w:p>
    <w:p w14:paraId="6E828EE4" w14:textId="58A0B7B3" w:rsidR="004E04E1" w:rsidRPr="00081EDF" w:rsidRDefault="004E04E1" w:rsidP="00A15B89">
      <w:pPr>
        <w:spacing w:after="160" w:line="264" w:lineRule="auto"/>
        <w:ind w:left="11" w:hanging="11"/>
        <w:rPr>
          <w:rFonts w:eastAsia="Trebuchet MS" w:cs="Trebuchet MS"/>
          <w:color w:val="auto"/>
          <w:kern w:val="0"/>
          <w:szCs w:val="22"/>
          <w14:ligatures w14:val="none"/>
        </w:rPr>
      </w:pPr>
      <w:r w:rsidRPr="00081EDF">
        <w:rPr>
          <w:rFonts w:eastAsia="Trebuchet MS" w:cs="Trebuchet MS"/>
          <w:color w:val="auto"/>
          <w:kern w:val="0"/>
          <w:szCs w:val="22"/>
          <w14:ligatures w14:val="none"/>
        </w:rPr>
        <w:t>The SENCO at the school can work with the teachers, parents and the child to develop a plan to best support the child. Other professionals may also be involved in supporting the child, such as an Occupational Therapist and Educational Psychologist.</w:t>
      </w:r>
    </w:p>
    <w:p w14:paraId="13FE6C43" w14:textId="77777777" w:rsidR="004E04E1" w:rsidRPr="00EA1F42" w:rsidRDefault="004E04E1" w:rsidP="00070CAF">
      <w:pPr>
        <w:pStyle w:val="Heading3"/>
        <w:rPr>
          <w:color w:val="006B70"/>
        </w:rPr>
      </w:pPr>
      <w:bookmarkStart w:id="277" w:name="_Toc205386934"/>
      <w:bookmarkStart w:id="278" w:name="_Toc205388004"/>
      <w:bookmarkStart w:id="279" w:name="_Toc205446015"/>
      <w:r w:rsidRPr="00EA1F42">
        <w:rPr>
          <w:color w:val="006B70"/>
        </w:rPr>
        <w:t>Healthy Lifestyle</w:t>
      </w:r>
      <w:bookmarkEnd w:id="277"/>
      <w:bookmarkEnd w:id="278"/>
      <w:bookmarkEnd w:id="279"/>
    </w:p>
    <w:p w14:paraId="6EDBFA05" w14:textId="1A2F7C6A" w:rsidR="004E04E1" w:rsidRPr="00081EDF" w:rsidRDefault="004E04E1" w:rsidP="00A15B89">
      <w:pPr>
        <w:ind w:left="11" w:hanging="11"/>
        <w:rPr>
          <w:rFonts w:eastAsia="Trebuchet MS"/>
          <w:lang w:eastAsia="en-US"/>
        </w:rPr>
      </w:pPr>
      <w:r w:rsidRPr="00081EDF">
        <w:rPr>
          <w:rFonts w:eastAsia="Trebuchet MS"/>
          <w:lang w:eastAsia="en-US"/>
        </w:rPr>
        <w:t xml:space="preserve">To date, there has been a little research examining the health behaviours of individuals with </w:t>
      </w:r>
      <w:proofErr w:type="spellStart"/>
      <w:r w:rsidRPr="00081EDF">
        <w:rPr>
          <w:rFonts w:eastAsia="Trebuchet MS"/>
          <w:lang w:eastAsia="en-US"/>
        </w:rPr>
        <w:t>SpLD</w:t>
      </w:r>
      <w:proofErr w:type="spellEnd"/>
      <w:r w:rsidRPr="00081EDF">
        <w:rPr>
          <w:rFonts w:eastAsia="Trebuchet MS"/>
          <w:lang w:eastAsia="en-US"/>
        </w:rPr>
        <w:t xml:space="preserve"> which makes it difficult to understand </w:t>
      </w:r>
      <w:r w:rsidR="004D10BF">
        <w:rPr>
          <w:rFonts w:eastAsia="Trebuchet MS"/>
          <w:lang w:eastAsia="en-US"/>
        </w:rPr>
        <w:t xml:space="preserve">the physical health impact of </w:t>
      </w:r>
      <w:proofErr w:type="spellStart"/>
      <w:proofErr w:type="gramStart"/>
      <w:r w:rsidRPr="00081EDF">
        <w:rPr>
          <w:rFonts w:eastAsia="Trebuchet MS"/>
          <w:lang w:eastAsia="en-US"/>
        </w:rPr>
        <w:t>SpLD</w:t>
      </w:r>
      <w:proofErr w:type="spellEnd"/>
      <w:r w:rsidR="004D10BF">
        <w:rPr>
          <w:rFonts w:eastAsia="Trebuchet MS"/>
          <w:lang w:eastAsia="en-US"/>
        </w:rPr>
        <w:t>.</w:t>
      </w:r>
      <w:r w:rsidRPr="00081EDF">
        <w:rPr>
          <w:rFonts w:eastAsia="Trebuchet MS"/>
          <w:lang w:eastAsia="en-US"/>
        </w:rPr>
        <w:t>.</w:t>
      </w:r>
      <w:proofErr w:type="gramEnd"/>
    </w:p>
    <w:p w14:paraId="6D0FF299" w14:textId="2CA10179" w:rsidR="004E04E1" w:rsidRPr="00081EDF" w:rsidRDefault="004E04E1" w:rsidP="00A15B89">
      <w:pPr>
        <w:ind w:left="11" w:hanging="11"/>
        <w:rPr>
          <w:rFonts w:eastAsia="Trebuchet MS"/>
          <w:lang w:eastAsia="en-US"/>
        </w:rPr>
      </w:pPr>
      <w:r w:rsidRPr="00081EDF">
        <w:rPr>
          <w:rFonts w:eastAsia="Trebuchet MS"/>
          <w:lang w:eastAsia="en-US"/>
        </w:rPr>
        <w:t xml:space="preserve">Some research has explored the relationship between health literacy, which is the ability to understand and use information about health, and </w:t>
      </w:r>
      <w:proofErr w:type="spellStart"/>
      <w:r w:rsidRPr="00081EDF">
        <w:rPr>
          <w:rFonts w:eastAsia="Trebuchet MS"/>
          <w:lang w:eastAsia="en-US"/>
        </w:rPr>
        <w:t>SpLD</w:t>
      </w:r>
      <w:proofErr w:type="spellEnd"/>
      <w:r w:rsidRPr="00081EDF">
        <w:rPr>
          <w:rFonts w:eastAsia="Trebuchet MS"/>
          <w:lang w:eastAsia="en-US"/>
        </w:rPr>
        <w:t xml:space="preserve">. It appears that those with </w:t>
      </w:r>
      <w:proofErr w:type="spellStart"/>
      <w:r w:rsidRPr="00081EDF">
        <w:rPr>
          <w:rFonts w:eastAsia="Trebuchet MS"/>
          <w:lang w:eastAsia="en-US"/>
        </w:rPr>
        <w:t>SpLD</w:t>
      </w:r>
      <w:proofErr w:type="spellEnd"/>
      <w:r w:rsidRPr="00081EDF">
        <w:rPr>
          <w:rFonts w:eastAsia="Trebuchet MS"/>
          <w:lang w:eastAsia="en-US"/>
        </w:rPr>
        <w:t xml:space="preserve"> have a similar level of health literacy as those without</w:t>
      </w:r>
      <w:r w:rsidRPr="00081EDF">
        <w:rPr>
          <w:rFonts w:eastAsia="Trebuchet MS"/>
          <w:vertAlign w:val="superscript"/>
          <w:lang w:eastAsia="en-US"/>
        </w:rPr>
        <w:endnoteReference w:id="145"/>
      </w:r>
      <w:r w:rsidR="002E45ED">
        <w:rPr>
          <w:rFonts w:eastAsia="Trebuchet MS"/>
          <w:lang w:eastAsia="en-US"/>
        </w:rPr>
        <w:t xml:space="preserve">, </w:t>
      </w:r>
      <w:r w:rsidRPr="00081EDF">
        <w:rPr>
          <w:rFonts w:eastAsia="Trebuchet MS"/>
          <w:lang w:eastAsia="en-US"/>
        </w:rPr>
        <w:t>indicating that there is no difference in how they can understand and use health information.</w:t>
      </w:r>
    </w:p>
    <w:p w14:paraId="58C75C1A" w14:textId="77777777" w:rsidR="004E04E1" w:rsidRPr="00915A9F" w:rsidRDefault="004E04E1" w:rsidP="00CF7E57">
      <w:pPr>
        <w:pStyle w:val="Heading3"/>
        <w:rPr>
          <w:color w:val="006B70"/>
        </w:rPr>
      </w:pPr>
      <w:bookmarkStart w:id="280" w:name="_Toc211413991"/>
      <w:bookmarkStart w:id="281" w:name="_Toc211439850"/>
      <w:bookmarkStart w:id="282" w:name="_Toc205386935"/>
      <w:bookmarkStart w:id="283" w:name="_Toc205388005"/>
      <w:bookmarkStart w:id="284" w:name="_Toc205446016"/>
      <w:bookmarkEnd w:id="280"/>
      <w:bookmarkEnd w:id="281"/>
      <w:r w:rsidRPr="00915A9F">
        <w:rPr>
          <w:color w:val="006B70"/>
        </w:rPr>
        <w:lastRenderedPageBreak/>
        <w:t>School Life</w:t>
      </w:r>
      <w:bookmarkEnd w:id="282"/>
      <w:bookmarkEnd w:id="283"/>
      <w:bookmarkEnd w:id="284"/>
    </w:p>
    <w:p w14:paraId="76EB7F4E" w14:textId="1AA644D4" w:rsidR="004E04E1" w:rsidRPr="00081EDF" w:rsidRDefault="004E04E1" w:rsidP="00A15B89">
      <w:pPr>
        <w:ind w:left="11" w:hanging="11"/>
        <w:rPr>
          <w:rFonts w:eastAsia="Trebuchet MS"/>
        </w:rPr>
      </w:pPr>
      <w:r w:rsidRPr="00081EDF">
        <w:rPr>
          <w:rFonts w:eastAsia="Trebuchet MS"/>
        </w:rPr>
        <w:t xml:space="preserve">The way that </w:t>
      </w:r>
      <w:proofErr w:type="spellStart"/>
      <w:r w:rsidRPr="00081EDF">
        <w:rPr>
          <w:rFonts w:eastAsia="Trebuchet MS"/>
        </w:rPr>
        <w:t>SpLD</w:t>
      </w:r>
      <w:proofErr w:type="spellEnd"/>
      <w:r w:rsidRPr="00081EDF">
        <w:rPr>
          <w:rFonts w:eastAsia="Trebuchet MS"/>
        </w:rPr>
        <w:t xml:space="preserve"> affects children and young people can vary greatly, with many having mild difficulties, or struggling in one or two areas, and others having more severe challenges, or experiencing comorbidity of two or more types of </w:t>
      </w:r>
      <w:proofErr w:type="spellStart"/>
      <w:r w:rsidRPr="00081EDF">
        <w:rPr>
          <w:rFonts w:eastAsia="Trebuchet MS"/>
        </w:rPr>
        <w:t>SpLD</w:t>
      </w:r>
      <w:proofErr w:type="spellEnd"/>
      <w:r w:rsidRPr="00081EDF">
        <w:rPr>
          <w:rFonts w:eastAsia="Trebuchet MS"/>
        </w:rPr>
        <w:t xml:space="preserve">. As a result, the school life for children and young people with </w:t>
      </w:r>
      <w:proofErr w:type="spellStart"/>
      <w:r w:rsidRPr="00081EDF">
        <w:rPr>
          <w:rFonts w:eastAsia="Trebuchet MS"/>
        </w:rPr>
        <w:t>SpLD</w:t>
      </w:r>
      <w:proofErr w:type="spellEnd"/>
      <w:r w:rsidRPr="00081EDF">
        <w:rPr>
          <w:rFonts w:eastAsia="Trebuchet MS"/>
        </w:rPr>
        <w:t xml:space="preserve"> can also vary. The following section outlines some of the literature around school life for children and young people with </w:t>
      </w:r>
      <w:proofErr w:type="spellStart"/>
      <w:r w:rsidRPr="00081EDF">
        <w:rPr>
          <w:rFonts w:eastAsia="Trebuchet MS"/>
        </w:rPr>
        <w:t>SpLD</w:t>
      </w:r>
      <w:proofErr w:type="spellEnd"/>
      <w:r w:rsidRPr="00081EDF">
        <w:rPr>
          <w:rFonts w:eastAsia="Trebuchet MS"/>
        </w:rPr>
        <w:t>, although it is important to note that experiences are likely to differ from child to child.</w:t>
      </w:r>
    </w:p>
    <w:p w14:paraId="329C7AD1" w14:textId="0DFEADEE" w:rsidR="004E04E1" w:rsidRPr="00C621C7" w:rsidRDefault="004E04E1" w:rsidP="00BF63ED">
      <w:pPr>
        <w:pStyle w:val="ListParagraph"/>
        <w:numPr>
          <w:ilvl w:val="0"/>
          <w:numId w:val="17"/>
        </w:numPr>
        <w:rPr>
          <w:rFonts w:eastAsia="Trebuchet MS"/>
          <w:lang w:eastAsia="en-US"/>
        </w:rPr>
      </w:pPr>
      <w:r w:rsidRPr="00C621C7">
        <w:rPr>
          <w:rFonts w:eastAsia="Trebuchet MS"/>
          <w:b/>
          <w:bCs/>
          <w:lang w:eastAsia="en-US"/>
        </w:rPr>
        <w:t>School attainment:</w:t>
      </w:r>
      <w:r w:rsidRPr="00C621C7">
        <w:rPr>
          <w:rFonts w:eastAsia="Trebuchet MS"/>
          <w:lang w:eastAsia="en-US"/>
        </w:rPr>
        <w:t xml:space="preserve"> Even though </w:t>
      </w:r>
      <w:proofErr w:type="spellStart"/>
      <w:r w:rsidRPr="00C621C7">
        <w:rPr>
          <w:rFonts w:eastAsia="Trebuchet MS"/>
          <w:lang w:eastAsia="en-US"/>
        </w:rPr>
        <w:t>SpLD</w:t>
      </w:r>
      <w:proofErr w:type="spellEnd"/>
      <w:r w:rsidRPr="00C621C7">
        <w:rPr>
          <w:rFonts w:eastAsia="Trebuchet MS"/>
          <w:lang w:eastAsia="en-US"/>
        </w:rPr>
        <w:t xml:space="preserve"> is not thought to impact on intelligence, children and young people with </w:t>
      </w:r>
      <w:proofErr w:type="spellStart"/>
      <w:r w:rsidRPr="00C621C7">
        <w:rPr>
          <w:rFonts w:eastAsia="Trebuchet MS"/>
          <w:lang w:eastAsia="en-US"/>
        </w:rPr>
        <w:t>SpLD</w:t>
      </w:r>
      <w:proofErr w:type="spellEnd"/>
      <w:r w:rsidRPr="00C621C7">
        <w:rPr>
          <w:rFonts w:eastAsia="Trebuchet MS"/>
          <w:lang w:eastAsia="en-US"/>
        </w:rPr>
        <w:t xml:space="preserve">, particularly when there is a comorbidity of ADHD, tend to have lower academic achievement than those without </w:t>
      </w:r>
      <w:proofErr w:type="spellStart"/>
      <w:r w:rsidRPr="00C621C7">
        <w:rPr>
          <w:rFonts w:eastAsia="Trebuchet MS"/>
          <w:lang w:eastAsia="en-US"/>
        </w:rPr>
        <w:t>SpLD</w:t>
      </w:r>
      <w:proofErr w:type="spellEnd"/>
      <w:r w:rsidRPr="00081EDF">
        <w:rPr>
          <w:rFonts w:eastAsia="Trebuchet MS"/>
          <w:vertAlign w:val="superscript"/>
          <w:lang w:eastAsia="en-US"/>
        </w:rPr>
        <w:endnoteReference w:id="146"/>
      </w:r>
      <w:r w:rsidR="002E45ED" w:rsidRPr="00C621C7">
        <w:rPr>
          <w:rFonts w:eastAsia="Trebuchet MS"/>
          <w:lang w:eastAsia="en-US"/>
        </w:rPr>
        <w:t xml:space="preserve">. </w:t>
      </w:r>
      <w:r w:rsidRPr="00C621C7">
        <w:rPr>
          <w:rFonts w:eastAsia="Trebuchet MS"/>
          <w:lang w:eastAsia="en-US"/>
        </w:rPr>
        <w:t>This poor school attainment can lower self-esteem among children with dyslexia, with factors such as grouping classes by ability-level and having negative experiences with teachers also influencing this</w:t>
      </w:r>
      <w:r w:rsidRPr="00081EDF">
        <w:rPr>
          <w:rFonts w:eastAsia="Trebuchet MS"/>
          <w:vertAlign w:val="superscript"/>
          <w:lang w:eastAsia="en-US"/>
        </w:rPr>
        <w:endnoteReference w:id="147"/>
      </w:r>
      <w:r w:rsidR="002E45ED" w:rsidRPr="00B7244E">
        <w:t>.</w:t>
      </w:r>
    </w:p>
    <w:p w14:paraId="3E1B86F7" w14:textId="3D98D9DF" w:rsidR="004E04E1" w:rsidRPr="00C621C7" w:rsidRDefault="004E04E1" w:rsidP="00BF63ED">
      <w:pPr>
        <w:pStyle w:val="ListParagraph"/>
        <w:numPr>
          <w:ilvl w:val="0"/>
          <w:numId w:val="17"/>
        </w:numPr>
        <w:spacing w:after="160" w:line="264" w:lineRule="auto"/>
        <w:rPr>
          <w:rFonts w:eastAsia="Trebuchet MS"/>
          <w:lang w:eastAsia="en-US"/>
        </w:rPr>
      </w:pPr>
      <w:r w:rsidRPr="00C621C7">
        <w:rPr>
          <w:rFonts w:eastAsia="Trebuchet MS"/>
          <w:b/>
          <w:bCs/>
          <w:lang w:eastAsia="en-US"/>
        </w:rPr>
        <w:t>Motivation:</w:t>
      </w:r>
      <w:r w:rsidRPr="00C621C7">
        <w:rPr>
          <w:rFonts w:eastAsia="Trebuchet MS"/>
          <w:lang w:eastAsia="en-US"/>
        </w:rPr>
        <w:t xml:space="preserve"> Students with </w:t>
      </w:r>
      <w:proofErr w:type="spellStart"/>
      <w:r w:rsidRPr="00C621C7">
        <w:rPr>
          <w:rFonts w:eastAsia="Trebuchet MS"/>
          <w:lang w:eastAsia="en-US"/>
        </w:rPr>
        <w:t>SpLD</w:t>
      </w:r>
      <w:proofErr w:type="spellEnd"/>
      <w:r w:rsidRPr="00C621C7">
        <w:rPr>
          <w:rFonts w:eastAsia="Trebuchet MS"/>
          <w:lang w:eastAsia="en-US"/>
        </w:rPr>
        <w:t xml:space="preserve"> have been found to be less motivated in their studies than those without </w:t>
      </w:r>
      <w:proofErr w:type="spellStart"/>
      <w:r w:rsidRPr="00C621C7">
        <w:rPr>
          <w:rFonts w:eastAsia="Trebuchet MS"/>
          <w:lang w:eastAsia="en-US"/>
        </w:rPr>
        <w:t>SpLD</w:t>
      </w:r>
      <w:proofErr w:type="spellEnd"/>
      <w:r w:rsidRPr="00C621C7">
        <w:rPr>
          <w:rFonts w:eastAsia="Trebuchet MS"/>
          <w:lang w:eastAsia="en-US"/>
        </w:rPr>
        <w:t>, which is thought to be linked to feelings of anxiety and/or depression</w:t>
      </w:r>
      <w:r w:rsidRPr="00081EDF">
        <w:rPr>
          <w:rFonts w:eastAsia="Trebuchet MS"/>
          <w:vertAlign w:val="superscript"/>
          <w:lang w:eastAsia="en-US"/>
        </w:rPr>
        <w:endnoteReference w:id="148"/>
      </w:r>
      <w:r w:rsidR="002E45ED" w:rsidRPr="00B7244E">
        <w:t>.</w:t>
      </w:r>
    </w:p>
    <w:p w14:paraId="7284129D" w14:textId="61C5CFF6" w:rsidR="004E04E1" w:rsidRPr="00C621C7" w:rsidRDefault="004E04E1" w:rsidP="00BF63ED">
      <w:pPr>
        <w:pStyle w:val="ListParagraph"/>
        <w:numPr>
          <w:ilvl w:val="0"/>
          <w:numId w:val="17"/>
        </w:numPr>
        <w:rPr>
          <w:rFonts w:eastAsia="Trebuchet MS"/>
          <w:lang w:eastAsia="en-US"/>
        </w:rPr>
      </w:pPr>
      <w:r w:rsidRPr="00C621C7">
        <w:rPr>
          <w:rFonts w:eastAsia="Trebuchet MS"/>
          <w:b/>
          <w:bCs/>
          <w:lang w:eastAsia="en-US"/>
        </w:rPr>
        <w:t>Reasonable adjustments:</w:t>
      </w:r>
      <w:r w:rsidRPr="00C621C7">
        <w:rPr>
          <w:rFonts w:eastAsia="Trebuchet MS"/>
          <w:lang w:eastAsia="en-US"/>
        </w:rPr>
        <w:t xml:space="preserve"> Most children and young people with </w:t>
      </w:r>
      <w:proofErr w:type="spellStart"/>
      <w:r w:rsidRPr="00C621C7">
        <w:rPr>
          <w:rFonts w:eastAsia="Trebuchet MS"/>
          <w:lang w:eastAsia="en-US"/>
        </w:rPr>
        <w:t>SpLD</w:t>
      </w:r>
      <w:proofErr w:type="spellEnd"/>
      <w:r w:rsidRPr="00C621C7">
        <w:rPr>
          <w:rFonts w:eastAsia="Trebuchet MS"/>
          <w:lang w:eastAsia="en-US"/>
        </w:rPr>
        <w:t xml:space="preserve"> attend mainstream schools although, as they are recognised as disabilities under the Equality Act 2010 these children are entitled to ask for reasonable adjustments to support their learning. These adjustments could include extra time for tests, providing alternative methods for recording information outside of writing and giving access to assistive technology (e.g., a computer) during lessons.</w:t>
      </w:r>
    </w:p>
    <w:p w14:paraId="3AE2D42F" w14:textId="7409A059" w:rsidR="004E04E1" w:rsidRPr="00C621C7" w:rsidRDefault="004E04E1" w:rsidP="00BF63ED">
      <w:pPr>
        <w:pStyle w:val="ListParagraph"/>
        <w:numPr>
          <w:ilvl w:val="0"/>
          <w:numId w:val="17"/>
        </w:numPr>
        <w:rPr>
          <w:rFonts w:eastAsia="Trebuchet MS"/>
        </w:rPr>
      </w:pPr>
      <w:r w:rsidRPr="00C621C7">
        <w:rPr>
          <w:rFonts w:eastAsia="Trebuchet MS"/>
          <w:b/>
          <w:bCs/>
        </w:rPr>
        <w:t>Hidden in plain sight:</w:t>
      </w:r>
      <w:r w:rsidRPr="00C621C7">
        <w:rPr>
          <w:rFonts w:eastAsia="Trebuchet MS"/>
        </w:rPr>
        <w:t xml:space="preserve"> Many </w:t>
      </w:r>
      <w:proofErr w:type="spellStart"/>
      <w:r w:rsidRPr="00C621C7">
        <w:rPr>
          <w:rFonts w:eastAsia="Trebuchet MS"/>
        </w:rPr>
        <w:t>SpLD</w:t>
      </w:r>
      <w:proofErr w:type="spellEnd"/>
      <w:r w:rsidRPr="00C621C7">
        <w:rPr>
          <w:rFonts w:eastAsia="Trebuchet MS"/>
        </w:rPr>
        <w:t xml:space="preserve"> go undiagnosed. Children and young people with </w:t>
      </w:r>
      <w:proofErr w:type="spellStart"/>
      <w:r w:rsidRPr="00C621C7">
        <w:rPr>
          <w:rFonts w:eastAsia="Trebuchet MS"/>
        </w:rPr>
        <w:t>SpLD</w:t>
      </w:r>
      <w:proofErr w:type="spellEnd"/>
      <w:r w:rsidRPr="00C621C7">
        <w:rPr>
          <w:rFonts w:eastAsia="Trebuchet MS"/>
        </w:rPr>
        <w:t xml:space="preserve"> may be behind in school, but not necessarily enough to be recognised as needing support. For example, children with dyslexia may be considered ‘slow learners’ but are expected to catch up eventually leading to a lack of support being provided</w:t>
      </w:r>
      <w:r w:rsidRPr="00081EDF">
        <w:rPr>
          <w:rFonts w:eastAsia="Trebuchet MS"/>
          <w:vertAlign w:val="superscript"/>
        </w:rPr>
        <w:endnoteReference w:id="149"/>
      </w:r>
      <w:r w:rsidR="002E45ED" w:rsidRPr="00B7244E">
        <w:t>.</w:t>
      </w:r>
    </w:p>
    <w:p w14:paraId="41CA629B" w14:textId="7341F638" w:rsidR="004E04E1" w:rsidRPr="00A15B89" w:rsidRDefault="004E04E1" w:rsidP="00A15B89">
      <w:pPr>
        <w:spacing w:after="160" w:line="264" w:lineRule="auto"/>
        <w:ind w:left="11" w:hanging="11"/>
        <w:rPr>
          <w:rFonts w:eastAsia="Trebuchet MS"/>
          <w:lang w:eastAsia="en-US"/>
        </w:rPr>
      </w:pPr>
      <w:r w:rsidRPr="00081EDF">
        <w:rPr>
          <w:rFonts w:eastAsia="Trebuchet MS"/>
          <w:lang w:eastAsia="en-US"/>
        </w:rPr>
        <w:t xml:space="preserve">Despite the difficulties often faced by people with </w:t>
      </w:r>
      <w:proofErr w:type="spellStart"/>
      <w:r w:rsidRPr="00081EDF">
        <w:rPr>
          <w:rFonts w:eastAsia="Trebuchet MS"/>
          <w:lang w:eastAsia="en-US"/>
        </w:rPr>
        <w:t>SpLD</w:t>
      </w:r>
      <w:proofErr w:type="spellEnd"/>
      <w:r w:rsidRPr="00081EDF">
        <w:rPr>
          <w:rFonts w:eastAsia="Trebuchet MS"/>
          <w:lang w:eastAsia="en-US"/>
        </w:rPr>
        <w:t xml:space="preserve"> at school, many go on to higher education, with 5.6% of higher education students in the UK in 2018/19 declaring that they have </w:t>
      </w:r>
      <w:proofErr w:type="spellStart"/>
      <w:r w:rsidRPr="00081EDF">
        <w:rPr>
          <w:rFonts w:eastAsia="Trebuchet MS"/>
          <w:lang w:eastAsia="en-US"/>
        </w:rPr>
        <w:t>SpLD</w:t>
      </w:r>
      <w:proofErr w:type="spellEnd"/>
      <w:r w:rsidRPr="00081EDF">
        <w:rPr>
          <w:rFonts w:eastAsia="Trebuchet MS"/>
          <w:lang w:eastAsia="en-US"/>
        </w:rPr>
        <w:t>/ADHD, equating to 26,705 people, which has increased since 2007/08</w:t>
      </w:r>
      <w:r w:rsidRPr="00081EDF">
        <w:rPr>
          <w:rFonts w:eastAsia="Trebuchet MS"/>
          <w:vertAlign w:val="superscript"/>
          <w:lang w:eastAsia="en-US"/>
        </w:rPr>
        <w:endnoteReference w:id="150"/>
      </w:r>
      <w:r w:rsidR="002E45ED" w:rsidRPr="00B7244E">
        <w:t>.</w:t>
      </w:r>
    </w:p>
    <w:p w14:paraId="019AA2AA" w14:textId="77777777" w:rsidR="004E04E1" w:rsidRPr="00915A9F" w:rsidRDefault="004E04E1" w:rsidP="003119EB">
      <w:pPr>
        <w:pStyle w:val="Heading3"/>
        <w:rPr>
          <w:color w:val="006B70"/>
        </w:rPr>
      </w:pPr>
      <w:bookmarkStart w:id="285" w:name="_Toc205386936"/>
      <w:bookmarkStart w:id="286" w:name="_Toc205388006"/>
      <w:bookmarkStart w:id="287" w:name="_Toc205446017"/>
      <w:r w:rsidRPr="00915A9F">
        <w:rPr>
          <w:color w:val="006B70"/>
        </w:rPr>
        <w:t>Outcomes</w:t>
      </w:r>
      <w:bookmarkEnd w:id="285"/>
      <w:bookmarkEnd w:id="286"/>
      <w:bookmarkEnd w:id="287"/>
    </w:p>
    <w:p w14:paraId="6A6F13F2" w14:textId="663F35E4" w:rsidR="004E04E1" w:rsidRPr="00081EDF" w:rsidRDefault="004E04E1" w:rsidP="00A15B89">
      <w:pPr>
        <w:ind w:left="11" w:hanging="11"/>
        <w:rPr>
          <w:rFonts w:eastAsia="Trebuchet MS"/>
        </w:rPr>
      </w:pPr>
      <w:r w:rsidRPr="00081EDF">
        <w:rPr>
          <w:rFonts w:eastAsia="Trebuchet MS"/>
        </w:rPr>
        <w:t xml:space="preserve">Overall, it appears that many children with </w:t>
      </w:r>
      <w:proofErr w:type="spellStart"/>
      <w:r w:rsidRPr="00081EDF">
        <w:rPr>
          <w:rFonts w:eastAsia="Trebuchet MS"/>
        </w:rPr>
        <w:t>SpLD</w:t>
      </w:r>
      <w:proofErr w:type="spellEnd"/>
      <w:r w:rsidRPr="00081EDF">
        <w:rPr>
          <w:rFonts w:eastAsia="Trebuchet MS"/>
        </w:rPr>
        <w:t xml:space="preserve"> can expect to live a healthy life, although they may experience poorer psychological and/or social outcomes.</w:t>
      </w:r>
    </w:p>
    <w:p w14:paraId="0822C3F1" w14:textId="5AB42031" w:rsidR="004E04E1" w:rsidRPr="00081EDF" w:rsidRDefault="004E04E1" w:rsidP="00A15B89">
      <w:pPr>
        <w:ind w:left="11" w:hanging="11"/>
        <w:rPr>
          <w:rFonts w:eastAsia="Trebuchet MS"/>
          <w:lang w:eastAsia="en-US"/>
        </w:rPr>
      </w:pPr>
      <w:r w:rsidRPr="00081EDF">
        <w:rPr>
          <w:rFonts w:eastAsia="Trebuchet MS"/>
          <w:b/>
          <w:bCs/>
          <w:lang w:eastAsia="en-US"/>
        </w:rPr>
        <w:t>Mental health:</w:t>
      </w:r>
      <w:r w:rsidRPr="00081EDF">
        <w:rPr>
          <w:rFonts w:eastAsia="Trebuchet MS"/>
          <w:lang w:eastAsia="en-US"/>
        </w:rPr>
        <w:t xml:space="preserve"> Research examining the link between </w:t>
      </w:r>
      <w:proofErr w:type="spellStart"/>
      <w:r w:rsidRPr="00081EDF">
        <w:rPr>
          <w:rFonts w:eastAsia="Trebuchet MS"/>
          <w:lang w:eastAsia="en-US"/>
        </w:rPr>
        <w:t>SpLDs</w:t>
      </w:r>
      <w:proofErr w:type="spellEnd"/>
      <w:r w:rsidRPr="00081EDF">
        <w:rPr>
          <w:rFonts w:eastAsia="Trebuchet MS"/>
          <w:lang w:eastAsia="en-US"/>
        </w:rPr>
        <w:t xml:space="preserve"> and psychological wellbeing has produced mixed findings, with some studies suggesting that those with </w:t>
      </w:r>
      <w:proofErr w:type="spellStart"/>
      <w:r w:rsidRPr="00081EDF">
        <w:rPr>
          <w:rFonts w:eastAsia="Trebuchet MS"/>
          <w:lang w:eastAsia="en-US"/>
        </w:rPr>
        <w:t>SpLD</w:t>
      </w:r>
      <w:proofErr w:type="spellEnd"/>
      <w:r w:rsidRPr="00081EDF">
        <w:rPr>
          <w:rFonts w:eastAsia="Trebuchet MS"/>
          <w:lang w:eastAsia="en-US"/>
        </w:rPr>
        <w:t xml:space="preserve"> experience worse mental health outcomes such as anxiety and depression and others finding their outcomes are </w:t>
      </w:r>
      <w:proofErr w:type="gramStart"/>
      <w:r w:rsidRPr="00081EDF">
        <w:rPr>
          <w:rFonts w:eastAsia="Trebuchet MS"/>
          <w:lang w:eastAsia="en-US"/>
        </w:rPr>
        <w:t>similar to</w:t>
      </w:r>
      <w:proofErr w:type="gramEnd"/>
      <w:r w:rsidRPr="00081EDF">
        <w:rPr>
          <w:rFonts w:eastAsia="Trebuchet MS"/>
          <w:lang w:eastAsia="en-US"/>
        </w:rPr>
        <w:t xml:space="preserve"> those without </w:t>
      </w:r>
      <w:proofErr w:type="spellStart"/>
      <w:r w:rsidRPr="00081EDF">
        <w:rPr>
          <w:rFonts w:eastAsia="Trebuchet MS"/>
          <w:lang w:eastAsia="en-US"/>
        </w:rPr>
        <w:t>SpLD</w:t>
      </w:r>
      <w:proofErr w:type="spellEnd"/>
      <w:r w:rsidRPr="00081EDF">
        <w:rPr>
          <w:rFonts w:eastAsia="Trebuchet MS"/>
          <w:vertAlign w:val="superscript"/>
          <w:lang w:eastAsia="en-US"/>
        </w:rPr>
        <w:endnoteReference w:id="151"/>
      </w:r>
      <w:r w:rsidR="002E45ED" w:rsidRPr="00B7244E">
        <w:t>.</w:t>
      </w:r>
    </w:p>
    <w:p w14:paraId="45DB1D29" w14:textId="5E3DD35F" w:rsidR="004E04E1" w:rsidRPr="00A15B89" w:rsidRDefault="004E04E1" w:rsidP="00A15B89">
      <w:pPr>
        <w:spacing w:after="160" w:line="264" w:lineRule="auto"/>
        <w:ind w:left="11" w:hanging="11"/>
        <w:rPr>
          <w:rFonts w:eastAsia="Trebuchet MS"/>
          <w:lang w:eastAsia="en-US"/>
        </w:rPr>
      </w:pPr>
      <w:r w:rsidRPr="00081EDF">
        <w:rPr>
          <w:rFonts w:eastAsia="Trebuchet MS"/>
          <w:b/>
          <w:bCs/>
          <w:lang w:eastAsia="en-US"/>
        </w:rPr>
        <w:t>Social outcomes:</w:t>
      </w:r>
      <w:r w:rsidRPr="00081EDF">
        <w:rPr>
          <w:rFonts w:eastAsia="Trebuchet MS"/>
          <w:lang w:eastAsia="en-US"/>
        </w:rPr>
        <w:t xml:space="preserve"> There is some evidence to suggest that people with dyslexia are overrepresented in the criminal justice system as well as among the homeless population, which might be linked to the lower levels of educational attainment seen in this group</w:t>
      </w:r>
      <w:r w:rsidR="00B66947">
        <w:rPr>
          <w:rFonts w:eastAsia="Trebuchet MS"/>
          <w:vertAlign w:val="superscript"/>
          <w:lang w:eastAsia="en-US"/>
        </w:rPr>
        <w:fldChar w:fldCharType="begin"/>
      </w:r>
      <w:r w:rsidR="00B66947">
        <w:rPr>
          <w:rFonts w:eastAsia="Trebuchet MS"/>
          <w:vertAlign w:val="superscript"/>
          <w:lang w:eastAsia="en-US"/>
        </w:rPr>
        <w:instrText xml:space="preserve"> NOTEREF  _Ref205285565 \f \h </w:instrText>
      </w:r>
      <w:r w:rsidR="00B66947">
        <w:rPr>
          <w:rFonts w:eastAsia="Trebuchet MS"/>
          <w:vertAlign w:val="superscript"/>
          <w:lang w:eastAsia="en-US"/>
        </w:rPr>
      </w:r>
      <w:r w:rsidR="00B66947">
        <w:rPr>
          <w:rFonts w:eastAsia="Trebuchet MS"/>
          <w:vertAlign w:val="superscript"/>
          <w:lang w:eastAsia="en-US"/>
        </w:rPr>
        <w:fldChar w:fldCharType="separate"/>
      </w:r>
      <w:r w:rsidR="008722C4">
        <w:rPr>
          <w:rFonts w:eastAsia="Trebuchet MS"/>
          <w:b/>
          <w:bCs/>
          <w:vertAlign w:val="superscript"/>
          <w:lang w:val="en-US" w:eastAsia="en-US"/>
        </w:rPr>
        <w:t>Error! Bookmark not defined.</w:t>
      </w:r>
      <w:r w:rsidR="00B66947">
        <w:rPr>
          <w:rFonts w:eastAsia="Trebuchet MS"/>
          <w:vertAlign w:val="superscript"/>
          <w:lang w:eastAsia="en-US"/>
        </w:rPr>
        <w:fldChar w:fldCharType="end"/>
      </w:r>
      <w:r w:rsidR="00362EF2">
        <w:t>.</w:t>
      </w:r>
    </w:p>
    <w:p w14:paraId="01FA99B8" w14:textId="77777777" w:rsidR="004E04E1" w:rsidRPr="00915A9F" w:rsidRDefault="004E04E1" w:rsidP="003119EB">
      <w:pPr>
        <w:pStyle w:val="Heading3"/>
        <w:rPr>
          <w:color w:val="006B70"/>
        </w:rPr>
      </w:pPr>
      <w:bookmarkStart w:id="288" w:name="_Toc205386937"/>
      <w:bookmarkStart w:id="289" w:name="_Toc205388007"/>
      <w:bookmarkStart w:id="290" w:name="_Toc205446018"/>
      <w:r w:rsidRPr="00915A9F">
        <w:rPr>
          <w:color w:val="006B70"/>
        </w:rPr>
        <w:lastRenderedPageBreak/>
        <w:t>Transitions</w:t>
      </w:r>
      <w:bookmarkEnd w:id="288"/>
      <w:bookmarkEnd w:id="289"/>
      <w:bookmarkEnd w:id="290"/>
    </w:p>
    <w:p w14:paraId="18CF4C4A" w14:textId="63AE6888" w:rsidR="00396A54" w:rsidRPr="00396A54" w:rsidRDefault="00396A54" w:rsidP="00F43F01">
      <w:pPr>
        <w:rPr>
          <w:rFonts w:eastAsia="Trebuchet MS"/>
          <w:lang w:eastAsia="en-US"/>
        </w:rPr>
      </w:pPr>
      <w:proofErr w:type="gramStart"/>
      <w:r w:rsidRPr="00396A54">
        <w:rPr>
          <w:rFonts w:eastAsia="Trebuchet MS"/>
          <w:lang w:eastAsia="en-US"/>
        </w:rPr>
        <w:t>A number of</w:t>
      </w:r>
      <w:proofErr w:type="gramEnd"/>
      <w:r w:rsidRPr="00396A54">
        <w:rPr>
          <w:rFonts w:eastAsia="Trebuchet MS"/>
          <w:lang w:eastAsia="en-US"/>
        </w:rPr>
        <w:t xml:space="preserve"> provisions are in place to support the transition of children and young people with </w:t>
      </w:r>
      <w:proofErr w:type="spellStart"/>
      <w:r w:rsidRPr="00396A54">
        <w:rPr>
          <w:rFonts w:eastAsia="Trebuchet MS"/>
          <w:lang w:eastAsia="en-US"/>
        </w:rPr>
        <w:t>SpLD</w:t>
      </w:r>
      <w:proofErr w:type="spellEnd"/>
      <w:r w:rsidRPr="00396A54">
        <w:rPr>
          <w:rFonts w:eastAsia="Trebuchet MS"/>
          <w:lang w:eastAsia="en-US"/>
        </w:rPr>
        <w:t>. These are facilitated through:</w:t>
      </w:r>
    </w:p>
    <w:p w14:paraId="2D06313F" w14:textId="5CDC57AE" w:rsidR="004E04E1" w:rsidRPr="00396A54" w:rsidRDefault="004E04E1" w:rsidP="00F43F01">
      <w:pPr>
        <w:rPr>
          <w:rFonts w:eastAsia="Trebuchet MS"/>
          <w:lang w:val="en-US" w:eastAsia="en-US"/>
        </w:rPr>
      </w:pPr>
      <w:r w:rsidRPr="00396A54">
        <w:rPr>
          <w:rFonts w:eastAsia="Trebuchet MS"/>
          <w:b/>
          <w:bCs/>
          <w:lang w:eastAsia="en-US"/>
        </w:rPr>
        <w:t xml:space="preserve">Local Offer: </w:t>
      </w:r>
      <w:r w:rsidRPr="00396A54">
        <w:rPr>
          <w:rFonts w:eastAsia="Trebuchet MS"/>
          <w:lang w:val="en-US" w:eastAsia="en-US"/>
        </w:rPr>
        <w:t>The Tower Hamlets Local Offer website provides information on services available for young people with SEND, to help navigate transitions at different life stages.</w:t>
      </w:r>
    </w:p>
    <w:p w14:paraId="364ABF1B" w14:textId="6F01BA2B" w:rsidR="00F43F01" w:rsidRPr="00970D70" w:rsidRDefault="004E04E1" w:rsidP="00970D70">
      <w:pPr>
        <w:rPr>
          <w:rFonts w:eastAsia="Trebuchet MS"/>
          <w:lang w:eastAsia="en-US"/>
        </w:rPr>
      </w:pPr>
      <w:r w:rsidRPr="00396A54">
        <w:rPr>
          <w:rFonts w:eastAsia="Trebuchet MS"/>
          <w:b/>
          <w:bCs/>
          <w:lang w:eastAsia="en-US"/>
        </w:rPr>
        <w:t>Tower Hamlets Community Learning Disabilities Service:</w:t>
      </w:r>
      <w:r w:rsidRPr="00396A54">
        <w:rPr>
          <w:rFonts w:eastAsia="Trebuchet MS"/>
          <w:lang w:eastAsia="en-US"/>
        </w:rPr>
        <w:t xml:space="preserve"> may be able to provide support for those transitioning from child to adult services although do not work with adults with </w:t>
      </w:r>
      <w:proofErr w:type="spellStart"/>
      <w:r w:rsidRPr="00396A54">
        <w:rPr>
          <w:rFonts w:eastAsia="Trebuchet MS"/>
          <w:lang w:eastAsia="en-US"/>
        </w:rPr>
        <w:t>SpLD</w:t>
      </w:r>
      <w:proofErr w:type="spellEnd"/>
      <w:r w:rsidRPr="00396A54">
        <w:rPr>
          <w:rFonts w:eastAsia="Trebuchet MS"/>
          <w:lang w:eastAsia="en-US"/>
        </w:rPr>
        <w:t xml:space="preserve"> only.</w:t>
      </w:r>
    </w:p>
    <w:p w14:paraId="3C48F2D1" w14:textId="77777777" w:rsidR="004E04E1" w:rsidRPr="00915A9F" w:rsidRDefault="004E04E1" w:rsidP="00CF7E57">
      <w:pPr>
        <w:pStyle w:val="Heading3"/>
        <w:rPr>
          <w:color w:val="006B70"/>
        </w:rPr>
      </w:pPr>
      <w:bookmarkStart w:id="291" w:name="_Toc205386938"/>
      <w:bookmarkStart w:id="292" w:name="_Toc205388008"/>
      <w:bookmarkStart w:id="293" w:name="_Toc205446019"/>
      <w:r w:rsidRPr="00915A9F">
        <w:rPr>
          <w:color w:val="006B70"/>
        </w:rPr>
        <w:t>What works</w:t>
      </w:r>
      <w:bookmarkEnd w:id="291"/>
      <w:bookmarkEnd w:id="292"/>
      <w:bookmarkEnd w:id="293"/>
      <w:r w:rsidRPr="00915A9F">
        <w:rPr>
          <w:color w:val="006B70"/>
        </w:rPr>
        <w:t xml:space="preserve"> </w:t>
      </w:r>
    </w:p>
    <w:p w14:paraId="45AD5BB4" w14:textId="0C0CAF08" w:rsidR="004E04E1" w:rsidRPr="00081EDF" w:rsidRDefault="004E04E1" w:rsidP="00A15B89">
      <w:pPr>
        <w:ind w:left="11" w:hanging="11"/>
        <w:rPr>
          <w:rFonts w:eastAsia="Trebuchet MS"/>
          <w:lang w:eastAsia="en-US"/>
        </w:rPr>
      </w:pPr>
      <w:r w:rsidRPr="00081EDF">
        <w:rPr>
          <w:rFonts w:eastAsia="Trebuchet MS"/>
          <w:b/>
          <w:bCs/>
          <w:lang w:eastAsia="en-US"/>
        </w:rPr>
        <w:t>Engaging the senses:</w:t>
      </w:r>
      <w:r w:rsidRPr="00081EDF">
        <w:rPr>
          <w:rFonts w:eastAsia="Trebuchet MS"/>
          <w:lang w:eastAsia="en-US"/>
        </w:rPr>
        <w:t xml:space="preserve"> It has been suggested that teaching approaches for children and young people with specific learning difficulties could draw from a neurodiversity perspective such as multi-sensory techniques which aim to engage more than one sense at a time during learning, although more research is needed to ascertain the effectiveness of this.</w:t>
      </w:r>
      <w:r w:rsidRPr="00081EDF">
        <w:rPr>
          <w:rFonts w:eastAsia="Trebuchet MS"/>
          <w:vertAlign w:val="superscript"/>
          <w:lang w:eastAsia="en-US"/>
        </w:rPr>
        <w:endnoteReference w:id="152"/>
      </w:r>
      <w:r w:rsidRPr="00081EDF">
        <w:rPr>
          <w:rFonts w:eastAsia="Trebuchet MS"/>
          <w:lang w:eastAsia="en-US"/>
        </w:rPr>
        <w:t xml:space="preserve"> In particular, music-based interventions seem to support the development and building of literacy skills in children and young people with dyslexia</w:t>
      </w:r>
      <w:r w:rsidRPr="00081EDF">
        <w:rPr>
          <w:rFonts w:eastAsia="Trebuchet MS"/>
          <w:vertAlign w:val="superscript"/>
          <w:lang w:eastAsia="en-US"/>
        </w:rPr>
        <w:endnoteReference w:id="153"/>
      </w:r>
      <w:r w:rsidR="002E45ED" w:rsidRPr="00B7244E">
        <w:t>.</w:t>
      </w:r>
    </w:p>
    <w:p w14:paraId="790AF904" w14:textId="056B491C" w:rsidR="004E04E1" w:rsidRPr="00081EDF" w:rsidRDefault="004E04E1" w:rsidP="00A15B89">
      <w:pPr>
        <w:ind w:left="11" w:hanging="11"/>
        <w:rPr>
          <w:rFonts w:eastAsia="Trebuchet MS"/>
          <w:lang w:eastAsia="en-US"/>
        </w:rPr>
      </w:pPr>
      <w:r w:rsidRPr="00081EDF">
        <w:rPr>
          <w:rFonts w:eastAsia="Trebuchet MS"/>
          <w:b/>
          <w:bCs/>
          <w:lang w:eastAsia="en-US"/>
        </w:rPr>
        <w:t xml:space="preserve">Digital interventions: </w:t>
      </w:r>
      <w:r w:rsidRPr="00081EDF">
        <w:rPr>
          <w:rFonts w:eastAsia="Trebuchet MS"/>
          <w:lang w:eastAsia="en-US"/>
        </w:rPr>
        <w:t>digital interventions (including tutorial-based and video game based) can improve mathematic performance in children who experience mathematical difficulties, such as those with dyscalculia</w:t>
      </w:r>
      <w:r w:rsidRPr="00081EDF">
        <w:rPr>
          <w:rFonts w:eastAsia="Trebuchet MS"/>
          <w:vertAlign w:val="superscript"/>
          <w:lang w:eastAsia="en-US"/>
        </w:rPr>
        <w:endnoteReference w:id="154"/>
      </w:r>
      <w:r w:rsidR="002E45ED" w:rsidRPr="00B7244E">
        <w:t>.</w:t>
      </w:r>
      <w:r w:rsidRPr="00081EDF">
        <w:rPr>
          <w:rFonts w:eastAsia="Trebuchet MS"/>
          <w:lang w:eastAsia="en-US"/>
        </w:rPr>
        <w:t xml:space="preserve"> There is also some evidence to suggest that digital interventions (such as audiobooks and video games) can support the development of reading skills among children with dyslexia</w:t>
      </w:r>
      <w:r w:rsidRPr="00081EDF">
        <w:rPr>
          <w:rFonts w:eastAsia="Trebuchet MS"/>
          <w:vertAlign w:val="superscript"/>
          <w:lang w:eastAsia="en-US"/>
        </w:rPr>
        <w:endnoteReference w:id="155"/>
      </w:r>
      <w:r w:rsidR="002E45ED" w:rsidRPr="00B7244E">
        <w:t>.</w:t>
      </w:r>
      <w:r w:rsidR="005855E0">
        <w:t xml:space="preserve"> Furthermore, text-to-speech </w:t>
      </w:r>
      <w:r w:rsidR="009F41EF">
        <w:t>applications appear to reduce mind-wandering</w:t>
      </w:r>
      <w:r w:rsidR="008F6ED6">
        <w:t xml:space="preserve"> and increase reading comprehension in both </w:t>
      </w:r>
      <w:r w:rsidR="00251599">
        <w:t xml:space="preserve">children with and without dyslexia, suggesting that this approach </w:t>
      </w:r>
      <w:r w:rsidR="00EE6AB8">
        <w:t xml:space="preserve">may benefit </w:t>
      </w:r>
      <w:r w:rsidR="002B21D5">
        <w:t>most pupils, not just those with dyslexia</w:t>
      </w:r>
      <w:r w:rsidR="00083F56">
        <w:rPr>
          <w:rStyle w:val="EndnoteReference"/>
        </w:rPr>
        <w:endnoteReference w:id="156"/>
      </w:r>
      <w:r w:rsidR="0043517D">
        <w:t>, although it should be noted that the sample size in this study was sm</w:t>
      </w:r>
      <w:r w:rsidR="0093102C">
        <w:t>all and the findings may therefore not be generalisable</w:t>
      </w:r>
      <w:r w:rsidR="002B21D5">
        <w:t>.</w:t>
      </w:r>
    </w:p>
    <w:p w14:paraId="5C002EA4" w14:textId="5A678AEE" w:rsidR="004E04E1" w:rsidRPr="00081EDF" w:rsidRDefault="004E04E1" w:rsidP="00A15B89">
      <w:pPr>
        <w:ind w:left="11" w:hanging="11"/>
        <w:rPr>
          <w:rFonts w:eastAsia="Trebuchet MS"/>
          <w:lang w:eastAsia="en-US"/>
        </w:rPr>
      </w:pPr>
      <w:r w:rsidRPr="00081EDF">
        <w:rPr>
          <w:rFonts w:eastAsia="Trebuchet MS"/>
          <w:b/>
          <w:bCs/>
          <w:lang w:eastAsia="en-US"/>
        </w:rPr>
        <w:t xml:space="preserve">Occupational therapy: </w:t>
      </w:r>
      <w:r w:rsidRPr="00081EDF">
        <w:rPr>
          <w:rFonts w:eastAsia="Trebuchet MS"/>
          <w:lang w:eastAsia="en-US"/>
        </w:rPr>
        <w:t xml:space="preserve">occupational therapists may be able to support children with </w:t>
      </w:r>
      <w:proofErr w:type="spellStart"/>
      <w:r w:rsidRPr="00081EDF">
        <w:rPr>
          <w:rFonts w:eastAsia="Trebuchet MS"/>
          <w:lang w:eastAsia="en-US"/>
        </w:rPr>
        <w:t>SpLD</w:t>
      </w:r>
      <w:proofErr w:type="spellEnd"/>
      <w:r w:rsidRPr="00081EDF">
        <w:rPr>
          <w:rFonts w:eastAsia="Trebuchet MS"/>
          <w:lang w:eastAsia="en-US"/>
        </w:rPr>
        <w:t xml:space="preserve"> with literacy skills and fine motor skills, </w:t>
      </w:r>
      <w:proofErr w:type="gramStart"/>
      <w:r w:rsidRPr="00081EDF">
        <w:rPr>
          <w:rFonts w:eastAsia="Trebuchet MS"/>
          <w:lang w:eastAsia="en-US"/>
        </w:rPr>
        <w:t>in particular in</w:t>
      </w:r>
      <w:proofErr w:type="gramEnd"/>
      <w:r w:rsidRPr="00081EDF">
        <w:rPr>
          <w:rFonts w:eastAsia="Trebuchet MS"/>
          <w:lang w:eastAsia="en-US"/>
        </w:rPr>
        <w:t xml:space="preserve"> improving their handwriting and spelling</w:t>
      </w:r>
      <w:r w:rsidRPr="00081EDF">
        <w:rPr>
          <w:rFonts w:eastAsia="Trebuchet MS"/>
          <w:vertAlign w:val="superscript"/>
          <w:lang w:eastAsia="en-US"/>
        </w:rPr>
        <w:endnoteReference w:id="157"/>
      </w:r>
      <w:r w:rsidR="002E45ED" w:rsidRPr="00B7244E">
        <w:t>.</w:t>
      </w:r>
    </w:p>
    <w:p w14:paraId="39C08638" w14:textId="075976B8" w:rsidR="004E04E1" w:rsidRPr="00A15B89" w:rsidRDefault="004E04E1" w:rsidP="00A15B89">
      <w:pPr>
        <w:spacing w:after="160" w:line="264" w:lineRule="auto"/>
        <w:ind w:left="11" w:hanging="11"/>
        <w:rPr>
          <w:rFonts w:eastAsia="Trebuchet MS"/>
          <w:lang w:eastAsia="en-US"/>
        </w:rPr>
      </w:pPr>
      <w:r w:rsidRPr="00081EDF">
        <w:rPr>
          <w:rFonts w:eastAsia="Trebuchet MS"/>
          <w:b/>
          <w:bCs/>
          <w:lang w:eastAsia="en-US"/>
        </w:rPr>
        <w:t>Teachers’ support:</w:t>
      </w:r>
      <w:r w:rsidR="00970D70">
        <w:rPr>
          <w:rFonts w:eastAsia="Trebuchet MS"/>
          <w:lang w:eastAsia="en-US"/>
        </w:rPr>
        <w:t xml:space="preserve"> </w:t>
      </w:r>
      <w:r w:rsidRPr="00081EDF">
        <w:rPr>
          <w:rFonts w:eastAsia="Trebuchet MS"/>
          <w:lang w:eastAsia="en-US"/>
        </w:rPr>
        <w:t xml:space="preserve">teachers can support the learning of children with </w:t>
      </w:r>
      <w:proofErr w:type="spellStart"/>
      <w:r w:rsidRPr="00081EDF">
        <w:rPr>
          <w:rFonts w:eastAsia="Trebuchet MS"/>
          <w:lang w:eastAsia="en-US"/>
        </w:rPr>
        <w:t>SpLD</w:t>
      </w:r>
      <w:proofErr w:type="spellEnd"/>
      <w:r w:rsidRPr="00081EDF">
        <w:rPr>
          <w:rFonts w:eastAsia="Trebuchet MS"/>
          <w:lang w:eastAsia="en-US"/>
        </w:rPr>
        <w:t xml:space="preserve"> by providing clear instruction, being willing to give guidance with the ability to individualise and adapt teaching to each pupil, as needed</w:t>
      </w:r>
      <w:r w:rsidRPr="00081EDF">
        <w:rPr>
          <w:rFonts w:eastAsia="Trebuchet MS"/>
          <w:vertAlign w:val="superscript"/>
          <w:lang w:eastAsia="en-US"/>
        </w:rPr>
        <w:endnoteReference w:id="158"/>
      </w:r>
      <w:r w:rsidR="002E45ED" w:rsidRPr="00B7244E">
        <w:t>.</w:t>
      </w:r>
    </w:p>
    <w:p w14:paraId="0E19789F" w14:textId="77777777" w:rsidR="004E04E1" w:rsidRPr="00915A9F" w:rsidRDefault="004E04E1" w:rsidP="00293C95">
      <w:pPr>
        <w:pStyle w:val="Heading3"/>
        <w:rPr>
          <w:color w:val="006B70"/>
        </w:rPr>
      </w:pPr>
      <w:bookmarkStart w:id="294" w:name="_Toc205386939"/>
      <w:bookmarkStart w:id="295" w:name="_Toc205388009"/>
      <w:bookmarkStart w:id="296" w:name="_Toc205446020"/>
      <w:r w:rsidRPr="00915A9F">
        <w:rPr>
          <w:color w:val="006B70"/>
        </w:rPr>
        <w:t>Support Services</w:t>
      </w:r>
      <w:bookmarkEnd w:id="294"/>
      <w:bookmarkEnd w:id="295"/>
      <w:bookmarkEnd w:id="296"/>
    </w:p>
    <w:p w14:paraId="02351AAC" w14:textId="77777777" w:rsidR="004E04E1" w:rsidRPr="00081EDF" w:rsidRDefault="004E04E1" w:rsidP="003119EB">
      <w:pPr>
        <w:rPr>
          <w:rFonts w:eastAsia="Trebuchet MS"/>
        </w:rPr>
      </w:pPr>
      <w:r w:rsidRPr="00081EDF">
        <w:rPr>
          <w:rFonts w:eastAsia="Trebuchet MS"/>
        </w:rPr>
        <w:t xml:space="preserve">There are several services that can provide support for children with learning disabilities in Tower Hamlets that can also support children with specific learning difficulties. These are outlined on </w:t>
      </w:r>
      <w:r w:rsidRPr="00081EDF">
        <w:rPr>
          <w:rFonts w:eastAsia="Trebuchet MS"/>
          <w:lang w:val="en-US" w:eastAsia="en-US"/>
        </w:rPr>
        <w:t xml:space="preserve">the Tower Hamlets Local Offer website. </w:t>
      </w:r>
      <w:r w:rsidRPr="00081EDF">
        <w:rPr>
          <w:rFonts w:eastAsia="Trebuchet MS"/>
        </w:rPr>
        <w:t>These include:</w:t>
      </w:r>
    </w:p>
    <w:p w14:paraId="4A4CE0B8" w14:textId="77777777" w:rsidR="004E04E1" w:rsidRPr="00033192" w:rsidRDefault="004E04E1" w:rsidP="00BF63ED">
      <w:pPr>
        <w:pStyle w:val="ListParagraph"/>
        <w:numPr>
          <w:ilvl w:val="0"/>
          <w:numId w:val="4"/>
        </w:numPr>
      </w:pPr>
      <w:r w:rsidRPr="002440B9">
        <w:rPr>
          <w:b/>
          <w:bCs/>
        </w:rPr>
        <w:t>Children’s Occupational Therapy Team</w:t>
      </w:r>
      <w:r w:rsidRPr="00033192">
        <w:t>: Provide occupational therapy to young people aged 0-19 years with a developmental disability or medical condition, supporting them to improve their ability to perform everyday tasks.</w:t>
      </w:r>
    </w:p>
    <w:p w14:paraId="0255E172" w14:textId="77777777" w:rsidR="004E04E1" w:rsidRPr="00033192" w:rsidRDefault="004E04E1" w:rsidP="00BF63ED">
      <w:pPr>
        <w:pStyle w:val="ListParagraph"/>
        <w:numPr>
          <w:ilvl w:val="0"/>
          <w:numId w:val="4"/>
        </w:numPr>
      </w:pPr>
      <w:r w:rsidRPr="002440B9">
        <w:rPr>
          <w:b/>
          <w:bCs/>
        </w:rPr>
        <w:t>Educational Psychology Service:</w:t>
      </w:r>
      <w:r w:rsidRPr="00033192">
        <w:t xml:space="preserve"> Support children and young people through providing consultations, assessments and psychological interventions, can be accessed through educational settings in Tower Hamlets.</w:t>
      </w:r>
    </w:p>
    <w:p w14:paraId="33B67A6D" w14:textId="01295DA9" w:rsidR="004E04E1" w:rsidRPr="00033192" w:rsidRDefault="004E04E1" w:rsidP="00BF63ED">
      <w:pPr>
        <w:numPr>
          <w:ilvl w:val="0"/>
          <w:numId w:val="2"/>
        </w:numPr>
      </w:pPr>
      <w:r w:rsidRPr="002440B9">
        <w:rPr>
          <w:b/>
          <w:bCs/>
        </w:rPr>
        <w:lastRenderedPageBreak/>
        <w:t>Family Information Service</w:t>
      </w:r>
      <w:r w:rsidR="00613B77">
        <w:rPr>
          <w:b/>
          <w:bCs/>
        </w:rPr>
        <w:t xml:space="preserve"> (universal service)</w:t>
      </w:r>
      <w:r w:rsidRPr="002440B9">
        <w:rPr>
          <w:b/>
          <w:bCs/>
        </w:rPr>
        <w:t>:</w:t>
      </w:r>
      <w:r w:rsidRPr="00033192">
        <w:t xml:space="preserve"> </w:t>
      </w:r>
      <w:r w:rsidR="00613B77">
        <w:t>P</w:t>
      </w:r>
      <w:r w:rsidRPr="00033192">
        <w:t>rovide</w:t>
      </w:r>
      <w:r w:rsidR="00613B77">
        <w:t>s</w:t>
      </w:r>
      <w:r w:rsidRPr="00033192">
        <w:t xml:space="preserve"> free information and advice as well as links to a range of services that can support young people and their families, including those with </w:t>
      </w:r>
      <w:proofErr w:type="spellStart"/>
      <w:r w:rsidRPr="00033192">
        <w:t>SpLD</w:t>
      </w:r>
      <w:proofErr w:type="spellEnd"/>
      <w:r w:rsidRPr="00033192">
        <w:t>.</w:t>
      </w:r>
    </w:p>
    <w:p w14:paraId="7A838149" w14:textId="5CE40E60" w:rsidR="004E04E1" w:rsidRPr="00033192" w:rsidRDefault="004E04E1" w:rsidP="00BF63ED">
      <w:pPr>
        <w:numPr>
          <w:ilvl w:val="0"/>
          <w:numId w:val="2"/>
        </w:numPr>
      </w:pPr>
      <w:r w:rsidRPr="002440B9">
        <w:rPr>
          <w:b/>
          <w:bCs/>
        </w:rPr>
        <w:t>Special Educational</w:t>
      </w:r>
      <w:r w:rsidRPr="00033192">
        <w:t xml:space="preserve"> </w:t>
      </w:r>
      <w:r w:rsidRPr="002440B9">
        <w:rPr>
          <w:b/>
          <w:bCs/>
        </w:rPr>
        <w:t>Needs (SEND) Section:</w:t>
      </w:r>
      <w:r w:rsidRPr="00033192">
        <w:t xml:space="preserve"> Manage and issue Educational Healthcare Plans</w:t>
      </w:r>
      <w:r w:rsidR="0060786D">
        <w:t xml:space="preserve"> </w:t>
      </w:r>
      <w:r w:rsidR="0060786D" w:rsidRPr="0060786D">
        <w:t>that specify the special needs for each child and the type of education that is needed to meet their needs</w:t>
      </w:r>
      <w:r>
        <w:t>.</w:t>
      </w:r>
    </w:p>
    <w:p w14:paraId="76DAE6F3" w14:textId="70E907FF" w:rsidR="003079E8" w:rsidRPr="00033192" w:rsidRDefault="004E04E1" w:rsidP="00BF63ED">
      <w:pPr>
        <w:numPr>
          <w:ilvl w:val="0"/>
          <w:numId w:val="2"/>
        </w:numPr>
      </w:pPr>
      <w:r w:rsidRPr="002440B9">
        <w:rPr>
          <w:b/>
          <w:bCs/>
        </w:rPr>
        <w:t>Tower Hamlets School Health and Wellbeing 0-19 Service</w:t>
      </w:r>
      <w:r w:rsidR="00613B77">
        <w:rPr>
          <w:b/>
          <w:bCs/>
        </w:rPr>
        <w:t xml:space="preserve"> (universal service)</w:t>
      </w:r>
      <w:r w:rsidRPr="002440B9">
        <w:rPr>
          <w:b/>
          <w:bCs/>
        </w:rPr>
        <w:t>:</w:t>
      </w:r>
      <w:r w:rsidRPr="00033192">
        <w:t xml:space="preserve"> </w:t>
      </w:r>
      <w:r w:rsidR="00613B77">
        <w:t>P</w:t>
      </w:r>
      <w:r w:rsidRPr="00033192">
        <w:t>rovides support for children aged 0-19</w:t>
      </w:r>
      <w:r w:rsidR="0030508F">
        <w:t xml:space="preserve">, including those with </w:t>
      </w:r>
      <w:r w:rsidRPr="00033192">
        <w:t>additional needs.</w:t>
      </w:r>
      <w:r w:rsidR="003079E8">
        <w:t xml:space="preserve"> See figure </w:t>
      </w:r>
      <w:r w:rsidR="00CE76A1">
        <w:t>8.2</w:t>
      </w:r>
      <w:r w:rsidR="006674BE">
        <w:t xml:space="preserve"> for example services available.</w:t>
      </w:r>
    </w:p>
    <w:p w14:paraId="1F097EB0" w14:textId="36E4AE05" w:rsidR="004E04E1" w:rsidRDefault="004E04E1" w:rsidP="00BF63ED">
      <w:pPr>
        <w:numPr>
          <w:ilvl w:val="0"/>
          <w:numId w:val="2"/>
        </w:numPr>
        <w:spacing w:after="160" w:line="264" w:lineRule="auto"/>
      </w:pPr>
      <w:r w:rsidRPr="002440B9">
        <w:rPr>
          <w:b/>
          <w:bCs/>
        </w:rPr>
        <w:t>Tower Project:</w:t>
      </w:r>
      <w:r w:rsidRPr="00033192">
        <w:t xml:space="preserve"> Support children and adults aged 0-25 with SEND to build skills and make friends, as well as offering support to gain employment.</w:t>
      </w:r>
      <w:r w:rsidR="00CE76A1">
        <w:t xml:space="preserve"> </w:t>
      </w:r>
    </w:p>
    <w:p w14:paraId="65A22718" w14:textId="63F2CC36" w:rsidR="006964CC" w:rsidRDefault="006964CC" w:rsidP="00BF63ED">
      <w:pPr>
        <w:numPr>
          <w:ilvl w:val="0"/>
          <w:numId w:val="2"/>
        </w:numPr>
        <w:spacing w:after="160" w:line="264" w:lineRule="auto"/>
      </w:pPr>
      <w:r w:rsidRPr="00CE76A1">
        <w:rPr>
          <w:b/>
          <w:bCs/>
        </w:rPr>
        <w:t>Helen Arkell Dyslexia</w:t>
      </w:r>
      <w:r>
        <w:rPr>
          <w:b/>
          <w:bCs/>
        </w:rPr>
        <w:t xml:space="preserve"> Charity:</w:t>
      </w:r>
      <w:r>
        <w:t xml:space="preserve"> </w:t>
      </w:r>
      <w:r w:rsidRPr="003D4AEE">
        <w:t>Providing</w:t>
      </w:r>
      <w:r>
        <w:t xml:space="preserve"> </w:t>
      </w:r>
      <w:r w:rsidRPr="003D4AEE">
        <w:t>learning and skills support for all ages</w:t>
      </w:r>
      <w:r>
        <w:t xml:space="preserve"> for a fee.</w:t>
      </w:r>
    </w:p>
    <w:p w14:paraId="78EDEE12" w14:textId="5BCA2624" w:rsidR="006964CC" w:rsidRPr="00E750DF" w:rsidRDefault="006964CC" w:rsidP="003079E8">
      <w:pPr>
        <w:spacing w:after="160" w:line="264" w:lineRule="auto"/>
        <w:rPr>
          <w:b/>
          <w:bCs/>
          <w:sz w:val="18"/>
          <w:szCs w:val="18"/>
        </w:rPr>
      </w:pPr>
      <w:r w:rsidRPr="001402FE">
        <w:rPr>
          <w:b/>
          <w:bCs/>
          <w:sz w:val="18"/>
          <w:szCs w:val="18"/>
        </w:rPr>
        <w:t>Figur</w:t>
      </w:r>
      <w:r w:rsidRPr="001402FE">
        <w:rPr>
          <w:b/>
          <w:sz w:val="18"/>
          <w:szCs w:val="18"/>
        </w:rPr>
        <w:t xml:space="preserve">e </w:t>
      </w:r>
      <w:r w:rsidR="00C00C51">
        <w:rPr>
          <w:b/>
          <w:sz w:val="18"/>
          <w:szCs w:val="18"/>
        </w:rPr>
        <w:t>8.2</w:t>
      </w:r>
      <w:r w:rsidR="001402FE">
        <w:rPr>
          <w:b/>
          <w:bCs/>
          <w:sz w:val="18"/>
          <w:szCs w:val="18"/>
        </w:rPr>
        <w:t>:</w:t>
      </w:r>
      <w:r w:rsidRPr="001402FE">
        <w:rPr>
          <w:b/>
          <w:bCs/>
          <w:sz w:val="18"/>
          <w:szCs w:val="18"/>
        </w:rPr>
        <w:t xml:space="preserve"> Example</w:t>
      </w:r>
      <w:r w:rsidRPr="00E750DF">
        <w:rPr>
          <w:b/>
          <w:bCs/>
          <w:sz w:val="18"/>
          <w:szCs w:val="18"/>
        </w:rPr>
        <w:t xml:space="preserve"> services available for those aged 0-18 years</w:t>
      </w:r>
      <w:bookmarkStart w:id="297" w:name="_Ref205279918"/>
      <w:r w:rsidRPr="00E750DF">
        <w:rPr>
          <w:rStyle w:val="EndnoteReference"/>
          <w:b/>
          <w:bCs/>
          <w:sz w:val="18"/>
          <w:szCs w:val="18"/>
        </w:rPr>
        <w:endnoteReference w:id="159"/>
      </w:r>
      <w:bookmarkEnd w:id="297"/>
      <w:r w:rsidRPr="00E750DF">
        <w:rPr>
          <w:b/>
          <w:bCs/>
          <w:sz w:val="18"/>
          <w:szCs w:val="18"/>
        </w:rPr>
        <w:t>.</w:t>
      </w:r>
    </w:p>
    <w:p w14:paraId="29618AD3" w14:textId="001D8A50" w:rsidR="003079E8" w:rsidRDefault="003079E8" w:rsidP="00777F94">
      <w:pPr>
        <w:spacing w:after="160" w:line="264" w:lineRule="auto"/>
        <w:jc w:val="center"/>
      </w:pPr>
      <w:r>
        <w:rPr>
          <w:noProof/>
        </w:rPr>
        <w:drawing>
          <wp:inline distT="0" distB="0" distL="0" distR="0" wp14:anchorId="2D15582A" wp14:editId="6A94171B">
            <wp:extent cx="5722620" cy="3011170"/>
            <wp:effectExtent l="0" t="0" r="0" b="0"/>
            <wp:docPr id="667795171" name="Picture 45" descr="Sevices for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795171" name="Picture 45" descr="Sevices for you"/>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2620" cy="3011170"/>
                    </a:xfrm>
                    <a:prstGeom prst="rect">
                      <a:avLst/>
                    </a:prstGeom>
                    <a:noFill/>
                    <a:ln>
                      <a:noFill/>
                    </a:ln>
                  </pic:spPr>
                </pic:pic>
              </a:graphicData>
            </a:graphic>
          </wp:inline>
        </w:drawing>
      </w:r>
    </w:p>
    <w:p w14:paraId="0662BB5C" w14:textId="7A8F533A" w:rsidR="00E63EBF" w:rsidRPr="002435BB" w:rsidRDefault="00E63EBF" w:rsidP="00E63EBF">
      <w:pPr>
        <w:spacing w:after="160" w:line="264" w:lineRule="auto"/>
        <w:jc w:val="right"/>
        <w:rPr>
          <w:sz w:val="16"/>
          <w:szCs w:val="16"/>
        </w:rPr>
      </w:pPr>
      <w:r w:rsidRPr="002435BB">
        <w:rPr>
          <w:sz w:val="16"/>
          <w:szCs w:val="16"/>
        </w:rPr>
        <w:t>Source:</w:t>
      </w:r>
      <w:r w:rsidR="008F5675" w:rsidRPr="002435BB">
        <w:rPr>
          <w:sz w:val="16"/>
          <w:szCs w:val="16"/>
        </w:rPr>
        <w:t xml:space="preserve"> Tower Hamlets Family Hubs </w:t>
      </w:r>
      <w:r w:rsidR="002435BB" w:rsidRPr="002435BB">
        <w:rPr>
          <w:sz w:val="16"/>
          <w:szCs w:val="16"/>
        </w:rPr>
        <w:t>Health &amp; Wellness Support Services</w:t>
      </w:r>
    </w:p>
    <w:p w14:paraId="5E1F3F85" w14:textId="77777777" w:rsidR="004E04E1" w:rsidRPr="00915A9F" w:rsidRDefault="004E04E1" w:rsidP="00293C95">
      <w:pPr>
        <w:pStyle w:val="Heading3"/>
        <w:rPr>
          <w:color w:val="006B70"/>
        </w:rPr>
      </w:pPr>
      <w:bookmarkStart w:id="298" w:name="_Toc211413997"/>
      <w:bookmarkStart w:id="299" w:name="_Toc211439856"/>
      <w:bookmarkStart w:id="300" w:name="_Toc211413998"/>
      <w:bookmarkStart w:id="301" w:name="_Toc211439857"/>
      <w:bookmarkStart w:id="302" w:name="_Toc211413999"/>
      <w:bookmarkStart w:id="303" w:name="_Toc211439858"/>
      <w:bookmarkStart w:id="304" w:name="_Toc211414000"/>
      <w:bookmarkStart w:id="305" w:name="_Toc211439859"/>
      <w:bookmarkStart w:id="306" w:name="_Toc205386940"/>
      <w:bookmarkStart w:id="307" w:name="_Toc205388010"/>
      <w:bookmarkStart w:id="308" w:name="_Toc205446021"/>
      <w:bookmarkEnd w:id="298"/>
      <w:bookmarkEnd w:id="299"/>
      <w:bookmarkEnd w:id="300"/>
      <w:bookmarkEnd w:id="301"/>
      <w:bookmarkEnd w:id="302"/>
      <w:bookmarkEnd w:id="303"/>
      <w:bookmarkEnd w:id="304"/>
      <w:bookmarkEnd w:id="305"/>
      <w:r w:rsidRPr="00915A9F">
        <w:rPr>
          <w:color w:val="006B70"/>
        </w:rPr>
        <w:t>Gaps</w:t>
      </w:r>
      <w:bookmarkEnd w:id="306"/>
      <w:bookmarkEnd w:id="307"/>
      <w:bookmarkEnd w:id="308"/>
    </w:p>
    <w:p w14:paraId="4E0CFFD0" w14:textId="1257B31D" w:rsidR="004E04E1" w:rsidRPr="00081EDF" w:rsidRDefault="004E04E1" w:rsidP="00777152">
      <w:pPr>
        <w:rPr>
          <w:rFonts w:eastAsia="Trebuchet MS"/>
        </w:rPr>
      </w:pPr>
      <w:r w:rsidRPr="00081EDF">
        <w:rPr>
          <w:rFonts w:eastAsia="Trebuchet MS"/>
        </w:rPr>
        <w:t xml:space="preserve">Identification </w:t>
      </w:r>
      <w:r w:rsidR="00696EB8">
        <w:rPr>
          <w:rFonts w:eastAsia="Trebuchet MS"/>
        </w:rPr>
        <w:t>and diagnosis</w:t>
      </w:r>
      <w:r w:rsidRPr="00081EDF">
        <w:rPr>
          <w:rFonts w:eastAsia="Trebuchet MS"/>
        </w:rPr>
        <w:t xml:space="preserve"> of </w:t>
      </w:r>
      <w:proofErr w:type="spellStart"/>
      <w:r w:rsidRPr="00081EDF">
        <w:rPr>
          <w:rFonts w:eastAsia="Trebuchet MS"/>
        </w:rPr>
        <w:t>SpLD</w:t>
      </w:r>
      <w:proofErr w:type="spellEnd"/>
      <w:r w:rsidRPr="00081EDF">
        <w:rPr>
          <w:rFonts w:eastAsia="Trebuchet MS"/>
        </w:rPr>
        <w:t xml:space="preserve"> appears to be low in Tower Hamlets, at least among those with EHC</w:t>
      </w:r>
      <w:r w:rsidR="0051337C">
        <w:rPr>
          <w:rFonts w:eastAsia="Trebuchet MS"/>
        </w:rPr>
        <w:t>Ps</w:t>
      </w:r>
      <w:r w:rsidRPr="00081EDF">
        <w:rPr>
          <w:rFonts w:eastAsia="Trebuchet MS"/>
        </w:rPr>
        <w:t xml:space="preserve">, indicating there may be children and young people not receiving the appropriate support. </w:t>
      </w:r>
    </w:p>
    <w:p w14:paraId="257FFB62" w14:textId="7FFBA4C3" w:rsidR="004E04E1" w:rsidRPr="00777152" w:rsidRDefault="004E04E1" w:rsidP="00777152">
      <w:pPr>
        <w:rPr>
          <w:rFonts w:eastAsia="Trebuchet MS"/>
        </w:rPr>
      </w:pPr>
      <w:r w:rsidRPr="00081EDF">
        <w:rPr>
          <w:rFonts w:eastAsia="Trebuchet MS"/>
        </w:rPr>
        <w:t xml:space="preserve">Whilst there is a wide range of services of support available within the borough, it is unclear how easy and accessible they are to access and </w:t>
      </w:r>
      <w:r w:rsidR="00C1743E">
        <w:rPr>
          <w:rFonts w:eastAsia="Trebuchet MS"/>
        </w:rPr>
        <w:t>to</w:t>
      </w:r>
      <w:r w:rsidRPr="00081EDF">
        <w:rPr>
          <w:rFonts w:eastAsia="Trebuchet MS"/>
        </w:rPr>
        <w:t xml:space="preserve"> therefore assess how effective the support provision is.</w:t>
      </w:r>
    </w:p>
    <w:p w14:paraId="39DBA928" w14:textId="77777777" w:rsidR="004E04E1" w:rsidRPr="00BB28A3" w:rsidRDefault="004E04E1" w:rsidP="00293C95">
      <w:pPr>
        <w:pStyle w:val="Heading3"/>
        <w:rPr>
          <w:color w:val="006B70"/>
        </w:rPr>
      </w:pPr>
      <w:bookmarkStart w:id="309" w:name="_Toc205386941"/>
      <w:bookmarkStart w:id="310" w:name="_Toc205388011"/>
      <w:bookmarkStart w:id="311" w:name="_Toc205446022"/>
      <w:r w:rsidRPr="00BB28A3">
        <w:rPr>
          <w:color w:val="006B70"/>
        </w:rPr>
        <w:t>Recommendations</w:t>
      </w:r>
      <w:bookmarkEnd w:id="309"/>
      <w:bookmarkEnd w:id="310"/>
      <w:bookmarkEnd w:id="311"/>
    </w:p>
    <w:p w14:paraId="6BB668E6" w14:textId="194271B0" w:rsidR="004E04E1" w:rsidRPr="00081EDF" w:rsidRDefault="004E04E1" w:rsidP="00777152">
      <w:pPr>
        <w:rPr>
          <w:rFonts w:eastAsia="Trebuchet MS"/>
        </w:rPr>
      </w:pPr>
      <w:r w:rsidRPr="00081EDF">
        <w:rPr>
          <w:rFonts w:eastAsia="Trebuchet MS"/>
          <w:b/>
          <w:bCs/>
        </w:rPr>
        <w:t xml:space="preserve">Identification of </w:t>
      </w:r>
      <w:proofErr w:type="spellStart"/>
      <w:r w:rsidRPr="00081EDF">
        <w:rPr>
          <w:rFonts w:eastAsia="Trebuchet MS"/>
          <w:b/>
          <w:bCs/>
        </w:rPr>
        <w:t>SpLD</w:t>
      </w:r>
      <w:proofErr w:type="spellEnd"/>
      <w:r w:rsidRPr="00081EDF">
        <w:rPr>
          <w:rFonts w:eastAsia="Trebuchet MS"/>
          <w:b/>
          <w:bCs/>
        </w:rPr>
        <w:t>:</w:t>
      </w:r>
      <w:r w:rsidRPr="00081EDF">
        <w:rPr>
          <w:rFonts w:eastAsia="Trebuchet MS"/>
        </w:rPr>
        <w:t xml:space="preserve"> Due to the frequent underdiagnosis of </w:t>
      </w:r>
      <w:proofErr w:type="spellStart"/>
      <w:r w:rsidRPr="00081EDF">
        <w:rPr>
          <w:rFonts w:eastAsia="Trebuchet MS"/>
        </w:rPr>
        <w:t>SpLD</w:t>
      </w:r>
      <w:proofErr w:type="spellEnd"/>
      <w:r w:rsidRPr="00081EDF">
        <w:rPr>
          <w:rFonts w:eastAsia="Trebuchet MS"/>
        </w:rPr>
        <w:t xml:space="preserve">, a focus on identification to ensure that the appropriate support for learning is received is necessary. It is important that teachers and other school staff feel confident to spot signs that a child’s learning may be atypical (for example, </w:t>
      </w:r>
      <w:r w:rsidRPr="00081EDF">
        <w:rPr>
          <w:rFonts w:eastAsia="Trebuchet MS"/>
        </w:rPr>
        <w:lastRenderedPageBreak/>
        <w:t>difficulties with reading and writing) so that appropriate provisions can be put in place to support the need. A pathway to diagnosis may also be required to help facilitate this.</w:t>
      </w:r>
    </w:p>
    <w:p w14:paraId="5A5FBAAD" w14:textId="70B5FE18" w:rsidR="004E04E1" w:rsidRDefault="004E04E1" w:rsidP="009066B2">
      <w:pPr>
        <w:shd w:val="clear" w:color="auto" w:fill="FFFFFF" w:themeFill="background1"/>
        <w:rPr>
          <w:rFonts w:eastAsia="Trebuchet MS"/>
        </w:rPr>
      </w:pPr>
      <w:r w:rsidRPr="009066B2">
        <w:rPr>
          <w:rFonts w:eastAsia="Trebuchet MS"/>
          <w:b/>
          <w:bCs/>
        </w:rPr>
        <w:t>Effective support:</w:t>
      </w:r>
      <w:r w:rsidRPr="009066B2">
        <w:rPr>
          <w:rFonts w:eastAsia="Trebuchet MS"/>
        </w:rPr>
        <w:t xml:space="preserve"> </w:t>
      </w:r>
      <w:r w:rsidR="00CF72F0" w:rsidRPr="009066B2">
        <w:rPr>
          <w:rFonts w:eastAsia="Trebuchet MS"/>
        </w:rPr>
        <w:t>Where not already implemented, pr</w:t>
      </w:r>
      <w:r w:rsidRPr="009066B2">
        <w:rPr>
          <w:rFonts w:eastAsia="Trebuchet MS"/>
        </w:rPr>
        <w:t xml:space="preserve">ovision of evidence-based support within school settings remain critical, such as using multi-sensory techniques and music-based interventions, as well as remaining adaptable to the needs of the child or young person. Furthermore, opportunities to provide access to digital interventions for reading and writing skills as well as mathematics, should be assessed to ensure that children both with and without a diagnosis of </w:t>
      </w:r>
      <w:proofErr w:type="spellStart"/>
      <w:r w:rsidRPr="009066B2">
        <w:rPr>
          <w:rFonts w:eastAsia="Trebuchet MS"/>
        </w:rPr>
        <w:t>SpLD</w:t>
      </w:r>
      <w:proofErr w:type="spellEnd"/>
      <w:r w:rsidRPr="009066B2">
        <w:rPr>
          <w:rFonts w:eastAsia="Trebuchet MS"/>
        </w:rPr>
        <w:t xml:space="preserve"> are able to receive support for reading, writing, spelling and mathematical difficulties.</w:t>
      </w:r>
    </w:p>
    <w:p w14:paraId="11096691" w14:textId="73ECB822" w:rsidR="00E32FAC" w:rsidRDefault="00E32FAC" w:rsidP="00777152">
      <w:pPr>
        <w:rPr>
          <w:rFonts w:eastAsia="Trebuchet MS"/>
        </w:rPr>
      </w:pPr>
      <w:r w:rsidRPr="005757F4">
        <w:rPr>
          <w:rFonts w:eastAsia="Trebuchet MS"/>
          <w:b/>
          <w:bCs/>
        </w:rPr>
        <w:t>Assessment of resources:</w:t>
      </w:r>
      <w:r>
        <w:rPr>
          <w:rFonts w:eastAsia="Trebuchet MS"/>
        </w:rPr>
        <w:t xml:space="preserve"> </w:t>
      </w:r>
      <w:r w:rsidR="005757F4" w:rsidRPr="005757F4">
        <w:rPr>
          <w:rFonts w:eastAsia="Trebuchet MS"/>
        </w:rPr>
        <w:t xml:space="preserve">Consider undertaking a review of existing </w:t>
      </w:r>
      <w:r w:rsidR="004D4186">
        <w:rPr>
          <w:rFonts w:eastAsia="Trebuchet MS"/>
        </w:rPr>
        <w:t xml:space="preserve">resources for </w:t>
      </w:r>
      <w:proofErr w:type="spellStart"/>
      <w:r w:rsidR="004D4186">
        <w:rPr>
          <w:rFonts w:eastAsia="Trebuchet MS"/>
        </w:rPr>
        <w:t>SpLD</w:t>
      </w:r>
      <w:proofErr w:type="spellEnd"/>
      <w:r w:rsidR="005757F4" w:rsidRPr="005757F4">
        <w:rPr>
          <w:rFonts w:eastAsia="Trebuchet MS"/>
        </w:rPr>
        <w:t xml:space="preserve">, in collaboration with parents, carers, and professionals, to evaluate the accessibility and effectiveness of </w:t>
      </w:r>
      <w:r w:rsidR="005757F4">
        <w:rPr>
          <w:rFonts w:eastAsia="Trebuchet MS"/>
        </w:rPr>
        <w:t>the current available</w:t>
      </w:r>
      <w:r w:rsidR="005757F4" w:rsidRPr="005757F4">
        <w:rPr>
          <w:rFonts w:eastAsia="Trebuchet MS"/>
        </w:rPr>
        <w:t xml:space="preserve"> </w:t>
      </w:r>
      <w:r w:rsidR="005757F4">
        <w:rPr>
          <w:rFonts w:eastAsia="Trebuchet MS"/>
        </w:rPr>
        <w:t>information</w:t>
      </w:r>
      <w:r w:rsidR="005757F4" w:rsidRPr="005757F4">
        <w:rPr>
          <w:rFonts w:eastAsia="Trebuchet MS"/>
        </w:rPr>
        <w:t>. This will support a more targeted approach to addressing any gaps in knowledge, understanding, or information.</w:t>
      </w:r>
    </w:p>
    <w:p w14:paraId="63DF0566" w14:textId="5E4312B5" w:rsidR="00F43F01" w:rsidRPr="00BB28A3" w:rsidRDefault="00F43F01" w:rsidP="00F43F01">
      <w:pPr>
        <w:pStyle w:val="Heading3"/>
        <w:rPr>
          <w:rFonts w:eastAsia="Trebuchet MS"/>
          <w:color w:val="006B70"/>
        </w:rPr>
      </w:pPr>
      <w:bookmarkStart w:id="312" w:name="_Toc205386942"/>
      <w:bookmarkStart w:id="313" w:name="_Toc205388012"/>
      <w:bookmarkStart w:id="314" w:name="_Toc205446023"/>
      <w:r w:rsidRPr="00BB28A3">
        <w:rPr>
          <w:rFonts w:eastAsia="Trebuchet MS"/>
          <w:color w:val="006B70"/>
        </w:rPr>
        <w:t>Summary</w:t>
      </w:r>
      <w:bookmarkEnd w:id="312"/>
      <w:bookmarkEnd w:id="313"/>
      <w:bookmarkEnd w:id="314"/>
    </w:p>
    <w:p w14:paraId="2A2B4A4B" w14:textId="4FD4F184" w:rsidR="003329A8" w:rsidRPr="003329A8" w:rsidRDefault="003329A8" w:rsidP="00E535A3">
      <w:pPr>
        <w:rPr>
          <w:rFonts w:eastAsia="Trebuchet MS"/>
          <w:lang w:eastAsia="en-US"/>
        </w:rPr>
      </w:pPr>
      <w:r w:rsidRPr="00081EDF">
        <w:rPr>
          <w:rFonts w:eastAsia="Trebuchet MS"/>
          <w:lang w:eastAsia="en-US"/>
        </w:rPr>
        <w:t>Specific learning difficulties (</w:t>
      </w:r>
      <w:proofErr w:type="spellStart"/>
      <w:r w:rsidRPr="00081EDF">
        <w:rPr>
          <w:rFonts w:eastAsia="Trebuchet MS"/>
          <w:lang w:eastAsia="en-US"/>
        </w:rPr>
        <w:t>SpLD</w:t>
      </w:r>
      <w:proofErr w:type="spellEnd"/>
      <w:r w:rsidRPr="00081EDF">
        <w:rPr>
          <w:rFonts w:eastAsia="Trebuchet MS"/>
          <w:lang w:eastAsia="en-US"/>
        </w:rPr>
        <w:t>)</w:t>
      </w:r>
      <w:r w:rsidRPr="003329A8">
        <w:rPr>
          <w:rFonts w:eastAsia="Trebuchet MS"/>
          <w:lang w:eastAsia="en-US"/>
        </w:rPr>
        <w:t xml:space="preserve"> </w:t>
      </w:r>
      <w:r w:rsidRPr="00081EDF">
        <w:rPr>
          <w:rFonts w:eastAsia="Trebuchet MS"/>
          <w:lang w:eastAsia="en-US"/>
        </w:rPr>
        <w:t>are neurological conditions which affect how individuals process information but are independent of the individual’s intelligence.</w:t>
      </w:r>
      <w:r>
        <w:rPr>
          <w:rFonts w:eastAsia="Trebuchet MS"/>
          <w:lang w:eastAsia="en-US"/>
        </w:rPr>
        <w:t xml:space="preserve"> They include</w:t>
      </w:r>
      <w:r w:rsidR="00152400">
        <w:rPr>
          <w:rFonts w:eastAsia="Trebuchet MS"/>
          <w:lang w:eastAsia="en-US"/>
        </w:rPr>
        <w:t xml:space="preserve"> d</w:t>
      </w:r>
      <w:r w:rsidRPr="00152400">
        <w:rPr>
          <w:rFonts w:eastAsia="Trebuchet MS"/>
          <w:lang w:eastAsia="en-US"/>
        </w:rPr>
        <w:t>yslexia</w:t>
      </w:r>
      <w:r w:rsidR="00152400">
        <w:rPr>
          <w:rFonts w:eastAsia="Trebuchet MS"/>
          <w:lang w:eastAsia="en-US"/>
        </w:rPr>
        <w:t>, d</w:t>
      </w:r>
      <w:r w:rsidRPr="00152400">
        <w:rPr>
          <w:rFonts w:eastAsia="Trebuchet MS"/>
          <w:lang w:eastAsia="en-US"/>
        </w:rPr>
        <w:t>yspraxia</w:t>
      </w:r>
      <w:r w:rsidR="00E535A3">
        <w:rPr>
          <w:rFonts w:eastAsia="Trebuchet MS"/>
          <w:lang w:eastAsia="en-US"/>
        </w:rPr>
        <w:t>, d</w:t>
      </w:r>
      <w:r w:rsidRPr="00152400">
        <w:rPr>
          <w:rFonts w:eastAsia="Trebuchet MS"/>
          <w:lang w:eastAsia="en-US"/>
        </w:rPr>
        <w:t>yscalculia</w:t>
      </w:r>
      <w:r w:rsidR="00E535A3">
        <w:rPr>
          <w:rFonts w:eastAsia="Trebuchet MS"/>
          <w:lang w:eastAsia="en-US"/>
        </w:rPr>
        <w:t xml:space="preserve"> and d</w:t>
      </w:r>
      <w:r w:rsidRPr="00E535A3">
        <w:rPr>
          <w:rFonts w:eastAsia="Trebuchet MS"/>
          <w:lang w:eastAsia="en-US"/>
        </w:rPr>
        <w:t>ysgraphia</w:t>
      </w:r>
      <w:r w:rsidR="00E535A3">
        <w:rPr>
          <w:rFonts w:eastAsia="Trebuchet MS"/>
          <w:lang w:eastAsia="en-US"/>
        </w:rPr>
        <w:t>.</w:t>
      </w:r>
    </w:p>
    <w:p w14:paraId="07E84415" w14:textId="19CC3422" w:rsidR="00976E60" w:rsidRPr="00976E60" w:rsidRDefault="003329A8" w:rsidP="00976E60">
      <w:pPr>
        <w:rPr>
          <w:rFonts w:eastAsia="Trebuchet MS"/>
        </w:rPr>
      </w:pPr>
      <w:r>
        <w:rPr>
          <w:rFonts w:eastAsia="Trebuchet MS"/>
        </w:rPr>
        <w:t xml:space="preserve">In Tower Hamlets, identification and diagnosis of </w:t>
      </w:r>
      <w:proofErr w:type="spellStart"/>
      <w:r>
        <w:rPr>
          <w:rFonts w:eastAsia="Trebuchet MS"/>
        </w:rPr>
        <w:t>SpLD</w:t>
      </w:r>
      <w:proofErr w:type="spellEnd"/>
      <w:r>
        <w:rPr>
          <w:rFonts w:eastAsia="Trebuchet MS"/>
        </w:rPr>
        <w:t xml:space="preserve"> appears to be low</w:t>
      </w:r>
      <w:r w:rsidR="00FB40F2">
        <w:rPr>
          <w:rFonts w:eastAsia="Trebuchet MS"/>
        </w:rPr>
        <w:t xml:space="preserve">, which may </w:t>
      </w:r>
      <w:r w:rsidR="002474EB">
        <w:rPr>
          <w:rFonts w:eastAsia="Trebuchet MS"/>
        </w:rPr>
        <w:t>indicate</w:t>
      </w:r>
      <w:r w:rsidR="00FB40F2">
        <w:rPr>
          <w:rFonts w:eastAsia="Trebuchet MS"/>
        </w:rPr>
        <w:t xml:space="preserve"> a gap in children receiving support</w:t>
      </w:r>
      <w:r w:rsidR="002474EB">
        <w:rPr>
          <w:rFonts w:eastAsia="Trebuchet MS"/>
        </w:rPr>
        <w:t xml:space="preserve">. However, a formal </w:t>
      </w:r>
      <w:r w:rsidR="002673D7">
        <w:rPr>
          <w:rFonts w:eastAsia="Trebuchet MS"/>
        </w:rPr>
        <w:t>diagnosis is not</w:t>
      </w:r>
      <w:r w:rsidR="003A23F0">
        <w:rPr>
          <w:rFonts w:eastAsia="Trebuchet MS"/>
        </w:rPr>
        <w:t xml:space="preserve"> necessarily</w:t>
      </w:r>
      <w:r w:rsidR="002673D7">
        <w:rPr>
          <w:rFonts w:eastAsia="Trebuchet MS"/>
        </w:rPr>
        <w:t xml:space="preserve"> needed </w:t>
      </w:r>
      <w:r w:rsidR="002474EB">
        <w:rPr>
          <w:rFonts w:eastAsia="Trebuchet MS"/>
        </w:rPr>
        <w:t>for</w:t>
      </w:r>
      <w:r w:rsidR="002673D7">
        <w:rPr>
          <w:rFonts w:eastAsia="Trebuchet MS"/>
        </w:rPr>
        <w:t xml:space="preserve"> children to </w:t>
      </w:r>
      <w:r w:rsidR="002474EB">
        <w:rPr>
          <w:rFonts w:eastAsia="Trebuchet MS"/>
        </w:rPr>
        <w:t>access</w:t>
      </w:r>
      <w:r w:rsidR="002673D7">
        <w:rPr>
          <w:rFonts w:eastAsia="Trebuchet MS"/>
        </w:rPr>
        <w:t xml:space="preserve"> support</w:t>
      </w:r>
      <w:r w:rsidR="002474EB">
        <w:rPr>
          <w:rFonts w:eastAsia="Trebuchet MS"/>
        </w:rPr>
        <w:t>,</w:t>
      </w:r>
      <w:r w:rsidR="009B0D82">
        <w:rPr>
          <w:rFonts w:eastAsia="Trebuchet MS"/>
        </w:rPr>
        <w:t xml:space="preserve"> including reasonable adjustments</w:t>
      </w:r>
      <w:r w:rsidR="00970D70">
        <w:rPr>
          <w:rFonts w:eastAsia="Trebuchet MS"/>
        </w:rPr>
        <w:t xml:space="preserve"> and Tower Hamlets </w:t>
      </w:r>
      <w:r w:rsidR="002474EB">
        <w:rPr>
          <w:rFonts w:eastAsia="Trebuchet MS"/>
        </w:rPr>
        <w:t>provides</w:t>
      </w:r>
      <w:r w:rsidR="00970D70">
        <w:rPr>
          <w:rFonts w:eastAsia="Trebuchet MS"/>
        </w:rPr>
        <w:t xml:space="preserve"> a wide range of resources and support provisions</w:t>
      </w:r>
      <w:r w:rsidR="0064669B">
        <w:rPr>
          <w:rFonts w:eastAsia="Trebuchet MS"/>
        </w:rPr>
        <w:t xml:space="preserve"> in the borough.</w:t>
      </w:r>
    </w:p>
    <w:p w14:paraId="69F9D53C" w14:textId="2E273FD8" w:rsidR="000905B0" w:rsidRDefault="00F54796" w:rsidP="00976E60">
      <w:r w:rsidRPr="00BD38EC">
        <w:t xml:space="preserve">The recommendations </w:t>
      </w:r>
      <w:r w:rsidR="0064669B">
        <w:t>outlined</w:t>
      </w:r>
      <w:r>
        <w:t xml:space="preserve"> in this chapter </w:t>
      </w:r>
      <w:r w:rsidRPr="00BD38EC">
        <w:t xml:space="preserve">focus on </w:t>
      </w:r>
      <w:r w:rsidR="00056271">
        <w:t xml:space="preserve">increasing teachers’ confidence to spot signs of </w:t>
      </w:r>
      <w:proofErr w:type="spellStart"/>
      <w:r w:rsidR="001F6C61">
        <w:t>SpLD</w:t>
      </w:r>
      <w:proofErr w:type="spellEnd"/>
      <w:r w:rsidR="001F6C61">
        <w:t xml:space="preserve"> for earlier identification, </w:t>
      </w:r>
      <w:r w:rsidR="00934AF4">
        <w:t xml:space="preserve">adapting approaches in schools to </w:t>
      </w:r>
      <w:r w:rsidR="008E3F51">
        <w:t xml:space="preserve">support </w:t>
      </w:r>
      <w:r w:rsidR="00415BB1">
        <w:t xml:space="preserve">the </w:t>
      </w:r>
      <w:r w:rsidR="008E3F51">
        <w:t>learning of all children</w:t>
      </w:r>
      <w:r w:rsidR="00DB6FDC">
        <w:t xml:space="preserve">, including those with </w:t>
      </w:r>
      <w:proofErr w:type="spellStart"/>
      <w:r w:rsidR="00DB6FDC">
        <w:t>SpLD</w:t>
      </w:r>
      <w:proofErr w:type="spellEnd"/>
      <w:r w:rsidR="00415BB1">
        <w:t xml:space="preserve">, </w:t>
      </w:r>
      <w:r w:rsidR="00DB6FDC">
        <w:t xml:space="preserve">and </w:t>
      </w:r>
      <w:r w:rsidR="00B42B99">
        <w:t xml:space="preserve">assessing current resources to ensure adequate information on </w:t>
      </w:r>
      <w:proofErr w:type="spellStart"/>
      <w:r w:rsidR="00B42B99">
        <w:t>SpLD</w:t>
      </w:r>
      <w:proofErr w:type="spellEnd"/>
      <w:r w:rsidR="00B42B99">
        <w:t xml:space="preserve"> is available.</w:t>
      </w:r>
    </w:p>
    <w:p w14:paraId="5A56EC91" w14:textId="77777777" w:rsidR="000905B0" w:rsidRDefault="000905B0">
      <w:pPr>
        <w:spacing w:before="0" w:after="160" w:line="278" w:lineRule="auto"/>
        <w:jc w:val="left"/>
      </w:pPr>
      <w:r>
        <w:br w:type="page"/>
      </w:r>
    </w:p>
    <w:p w14:paraId="5F350366" w14:textId="370E2429" w:rsidR="004E04E1" w:rsidRPr="004F1C21" w:rsidRDefault="004E04E1" w:rsidP="000F7DE7">
      <w:pPr>
        <w:pStyle w:val="Heading2"/>
        <w:rPr>
          <w:rFonts w:eastAsia="Trebuchet MS"/>
        </w:rPr>
      </w:pPr>
      <w:bookmarkStart w:id="315" w:name="_Toc211414004"/>
      <w:bookmarkStart w:id="316" w:name="_Toc211414160"/>
      <w:bookmarkStart w:id="317" w:name="_Toc211439863"/>
      <w:bookmarkStart w:id="318" w:name="_Toc211440059"/>
      <w:bookmarkStart w:id="319" w:name="_Toc211414161"/>
      <w:bookmarkStart w:id="320" w:name="_Toc211440060"/>
      <w:bookmarkEnd w:id="315"/>
      <w:bookmarkEnd w:id="316"/>
      <w:bookmarkEnd w:id="317"/>
      <w:bookmarkEnd w:id="318"/>
      <w:r w:rsidRPr="004F1C21">
        <w:rPr>
          <w:rFonts w:eastAsia="Trebuchet MS"/>
        </w:rPr>
        <w:lastRenderedPageBreak/>
        <w:t>Social, Emotional and Mental Health</w:t>
      </w:r>
      <w:bookmarkEnd w:id="319"/>
      <w:bookmarkEnd w:id="320"/>
      <w:r w:rsidRPr="004F1C21">
        <w:rPr>
          <w:rFonts w:eastAsia="Trebuchet MS"/>
        </w:rPr>
        <w:t xml:space="preserve"> </w:t>
      </w:r>
    </w:p>
    <w:p w14:paraId="3A2F2462" w14:textId="5A7D417E" w:rsidR="005672CF" w:rsidRPr="00293C95" w:rsidRDefault="004E04E1" w:rsidP="004C1C66">
      <w:pPr>
        <w:rPr>
          <w:rFonts w:eastAsia="Trebuchet MS"/>
        </w:rPr>
      </w:pPr>
      <w:r w:rsidRPr="008372B5">
        <w:rPr>
          <w:rFonts w:eastAsia="Trebuchet MS"/>
        </w:rPr>
        <w:t xml:space="preserve">Social, emotional, and mental health (SEMH) needs often overlap with other SEND needs, such as SLCN, ASD, and ADHD. Although SEMH is a recognised SEND </w:t>
      </w:r>
      <w:proofErr w:type="gramStart"/>
      <w:r w:rsidRPr="008372B5">
        <w:rPr>
          <w:rFonts w:eastAsia="Trebuchet MS"/>
        </w:rPr>
        <w:t>category in its own right, this</w:t>
      </w:r>
      <w:proofErr w:type="gramEnd"/>
      <w:r w:rsidRPr="008372B5">
        <w:rPr>
          <w:rFonts w:eastAsia="Trebuchet MS"/>
        </w:rPr>
        <w:t xml:space="preserve"> chapter focuses on children with SEMH needs alongside another SEND diagnosis, rather than those whose sole need is SEMH</w:t>
      </w:r>
      <w:r w:rsidR="00EB4AA3">
        <w:rPr>
          <w:rFonts w:eastAsia="Trebuchet MS"/>
        </w:rPr>
        <w:t xml:space="preserve"> as t</w:t>
      </w:r>
      <w:r w:rsidR="00356858">
        <w:rPr>
          <w:rFonts w:eastAsia="Trebuchet MS"/>
        </w:rPr>
        <w:t>here is a</w:t>
      </w:r>
      <w:r w:rsidR="007E2A6A">
        <w:rPr>
          <w:rFonts w:eastAsia="Trebuchet MS"/>
        </w:rPr>
        <w:t xml:space="preserve"> separate, dedicated Mental Health JSNA underway.</w:t>
      </w:r>
    </w:p>
    <w:p w14:paraId="44D09AC4" w14:textId="720975A1" w:rsidR="004E04E1" w:rsidRPr="00BB28A3" w:rsidRDefault="004E04E1" w:rsidP="000F7DE7">
      <w:pPr>
        <w:pStyle w:val="Heading3"/>
        <w:rPr>
          <w:rFonts w:eastAsia="Trebuchet MS"/>
          <w:color w:val="006B70"/>
        </w:rPr>
      </w:pPr>
      <w:bookmarkStart w:id="321" w:name="_Toc205386944"/>
      <w:bookmarkStart w:id="322" w:name="_Toc205388014"/>
      <w:bookmarkStart w:id="323" w:name="_Toc205446025"/>
      <w:r w:rsidRPr="00BB28A3">
        <w:rPr>
          <w:rFonts w:eastAsia="Trebuchet MS"/>
          <w:color w:val="006B70"/>
        </w:rPr>
        <w:t>Causal Factors</w:t>
      </w:r>
      <w:bookmarkEnd w:id="321"/>
      <w:bookmarkEnd w:id="322"/>
      <w:bookmarkEnd w:id="323"/>
    </w:p>
    <w:p w14:paraId="2849D8DF" w14:textId="12466A99" w:rsidR="004E04E1" w:rsidRPr="004F1C21" w:rsidRDefault="004E04E1" w:rsidP="00F41638">
      <w:pPr>
        <w:ind w:left="11" w:hanging="11"/>
        <w:rPr>
          <w:rFonts w:eastAsia="Trebuchet MS"/>
        </w:rPr>
      </w:pPr>
      <w:r w:rsidRPr="00CB3B90">
        <w:rPr>
          <w:rFonts w:eastAsia="Trebuchet MS"/>
        </w:rPr>
        <w:t>There is currently limited evidence exploring the link between SEND and SEMH needs.</w:t>
      </w:r>
      <w:r>
        <w:rPr>
          <w:rFonts w:eastAsia="Trebuchet MS"/>
        </w:rPr>
        <w:t xml:space="preserve"> </w:t>
      </w:r>
      <w:r w:rsidRPr="00AC552C">
        <w:rPr>
          <w:rFonts w:eastAsia="Trebuchet MS"/>
        </w:rPr>
        <w:t>Identifying SEMH difficulties in children with SEND can be challenging due to the overlapping behaviours associated with conditions such as ASD and severe learning disabilities</w:t>
      </w:r>
      <w:r w:rsidRPr="004F1C21">
        <w:rPr>
          <w:rFonts w:eastAsia="Trebuchet MS"/>
          <w:vertAlign w:val="superscript"/>
        </w:rPr>
        <w:endnoteReference w:id="160"/>
      </w:r>
      <w:r w:rsidRPr="00AC552C">
        <w:rPr>
          <w:rFonts w:eastAsia="Trebuchet MS"/>
        </w:rPr>
        <w:t>.</w:t>
      </w:r>
      <w:r>
        <w:rPr>
          <w:rFonts w:eastAsia="Trebuchet MS"/>
        </w:rPr>
        <w:t xml:space="preserve"> However</w:t>
      </w:r>
      <w:r w:rsidRPr="00A34AAB">
        <w:rPr>
          <w:rFonts w:eastAsia="Trebuchet MS"/>
        </w:rPr>
        <w:t xml:space="preserve">, research suggests that children with SEND tend to experience poorer overall wellbeing compared to their peers without SEND. They are more likely to feel lonely, more likely to report </w:t>
      </w:r>
      <w:r w:rsidR="0036634A">
        <w:rPr>
          <w:rFonts w:eastAsia="Trebuchet MS"/>
        </w:rPr>
        <w:t xml:space="preserve">not </w:t>
      </w:r>
      <w:r w:rsidRPr="00A34AAB">
        <w:rPr>
          <w:rFonts w:eastAsia="Trebuchet MS"/>
        </w:rPr>
        <w:t xml:space="preserve">knowing how to look after their mental health, and more likely to </w:t>
      </w:r>
      <w:r>
        <w:rPr>
          <w:rFonts w:eastAsia="Trebuchet MS"/>
        </w:rPr>
        <w:t>feel</w:t>
      </w:r>
      <w:r w:rsidRPr="00A34AAB">
        <w:rPr>
          <w:rFonts w:eastAsia="Trebuchet MS"/>
        </w:rPr>
        <w:t xml:space="preserve"> they lack someone to talk to when feeling worried or stressed</w:t>
      </w:r>
      <w:r w:rsidRPr="004F1C21">
        <w:rPr>
          <w:rFonts w:eastAsia="Trebuchet MS"/>
          <w:vertAlign w:val="superscript"/>
        </w:rPr>
        <w:endnoteReference w:id="161"/>
      </w:r>
      <w:r w:rsidRPr="00A34AAB">
        <w:rPr>
          <w:rFonts w:eastAsia="Trebuchet MS"/>
        </w:rPr>
        <w:t xml:space="preserve">. During the COVID-19 pandemic, </w:t>
      </w:r>
      <w:r w:rsidR="00F85418">
        <w:rPr>
          <w:rFonts w:eastAsia="Trebuchet MS"/>
        </w:rPr>
        <w:t xml:space="preserve">some </w:t>
      </w:r>
      <w:r w:rsidRPr="00A34AAB">
        <w:rPr>
          <w:rFonts w:eastAsia="Trebuchet MS"/>
        </w:rPr>
        <w:t>mothers reported a worsening of SEMH challenges in their children with SEND, who struggled with re-engaging socially and experienced disruptions to the support services they relied on</w:t>
      </w:r>
      <w:r w:rsidRPr="004F1C21">
        <w:rPr>
          <w:rFonts w:eastAsia="Trebuchet MS"/>
          <w:vertAlign w:val="superscript"/>
        </w:rPr>
        <w:endnoteReference w:id="162"/>
      </w:r>
      <w:r w:rsidRPr="00A34AAB">
        <w:rPr>
          <w:rFonts w:eastAsia="Trebuchet MS"/>
        </w:rPr>
        <w:t>.</w:t>
      </w:r>
    </w:p>
    <w:p w14:paraId="002993E5" w14:textId="4414AE29" w:rsidR="004E04E1" w:rsidRPr="004F1C21" w:rsidRDefault="004E04E1" w:rsidP="00282C9E">
      <w:pPr>
        <w:spacing w:after="160" w:line="264" w:lineRule="auto"/>
        <w:ind w:left="11" w:hanging="11"/>
        <w:rPr>
          <w:rFonts w:eastAsia="Trebuchet MS"/>
        </w:rPr>
      </w:pPr>
      <w:r>
        <w:rPr>
          <w:rFonts w:eastAsia="Trebuchet MS"/>
        </w:rPr>
        <w:t>An analysis of specific SEND needs has revealed that:</w:t>
      </w:r>
    </w:p>
    <w:p w14:paraId="561B5DF4" w14:textId="23B9CF55" w:rsidR="004E04E1" w:rsidRPr="004F1C21" w:rsidRDefault="004E04E1" w:rsidP="00BF63ED">
      <w:pPr>
        <w:pStyle w:val="ListParagraph"/>
        <w:numPr>
          <w:ilvl w:val="0"/>
          <w:numId w:val="3"/>
        </w:numPr>
        <w:ind w:left="720"/>
        <w:rPr>
          <w:rFonts w:eastAsia="Trebuchet MS"/>
          <w:b/>
          <w:bCs/>
        </w:rPr>
      </w:pPr>
      <w:r w:rsidRPr="004F1C21">
        <w:rPr>
          <w:rFonts w:eastAsia="Trebuchet MS"/>
          <w:b/>
          <w:bCs/>
        </w:rPr>
        <w:t xml:space="preserve">ASD: </w:t>
      </w:r>
      <w:r w:rsidRPr="004F1C21">
        <w:rPr>
          <w:rFonts w:eastAsia="Trebuchet MS"/>
        </w:rPr>
        <w:t>people</w:t>
      </w:r>
      <w:r w:rsidR="0027082C">
        <w:rPr>
          <w:rFonts w:eastAsia="Trebuchet MS"/>
        </w:rPr>
        <w:t xml:space="preserve"> with ASD</w:t>
      </w:r>
      <w:r w:rsidRPr="004F1C21">
        <w:rPr>
          <w:rFonts w:eastAsia="Trebuchet MS"/>
        </w:rPr>
        <w:t xml:space="preserve"> </w:t>
      </w:r>
      <w:r>
        <w:rPr>
          <w:rFonts w:eastAsia="Trebuchet MS"/>
        </w:rPr>
        <w:t>tend</w:t>
      </w:r>
      <w:r w:rsidRPr="004F1C21">
        <w:rPr>
          <w:rFonts w:eastAsia="Trebuchet MS"/>
        </w:rPr>
        <w:t xml:space="preserve"> to </w:t>
      </w:r>
      <w:r>
        <w:rPr>
          <w:rFonts w:eastAsia="Trebuchet MS"/>
        </w:rPr>
        <w:t>experience</w:t>
      </w:r>
      <w:r w:rsidRPr="004F1C21">
        <w:rPr>
          <w:rFonts w:eastAsia="Trebuchet MS"/>
        </w:rPr>
        <w:t xml:space="preserve"> a higher prevalence of mental health conditions </w:t>
      </w:r>
      <w:r>
        <w:rPr>
          <w:rFonts w:eastAsia="Trebuchet MS"/>
        </w:rPr>
        <w:t>compared to</w:t>
      </w:r>
      <w:r w:rsidRPr="004F1C21">
        <w:rPr>
          <w:rFonts w:eastAsia="Trebuchet MS"/>
        </w:rPr>
        <w:t xml:space="preserve"> neurotypical people</w:t>
      </w:r>
      <w:r>
        <w:rPr>
          <w:rFonts w:eastAsia="Trebuchet MS"/>
        </w:rPr>
        <w:t>. These conditions include</w:t>
      </w:r>
      <w:r w:rsidRPr="004F1C21">
        <w:rPr>
          <w:rFonts w:eastAsia="Trebuchet MS"/>
        </w:rPr>
        <w:t xml:space="preserve"> anxiety, depression, obsessive compulsive disorder, bipolar and schizophrenia</w:t>
      </w:r>
      <w:r w:rsidRPr="004F1C21">
        <w:rPr>
          <w:rFonts w:eastAsia="Trebuchet MS"/>
          <w:vertAlign w:val="superscript"/>
        </w:rPr>
        <w:endnoteReference w:id="163"/>
      </w:r>
      <w:r>
        <w:rPr>
          <w:rFonts w:eastAsia="Trebuchet MS"/>
        </w:rPr>
        <w:t>.</w:t>
      </w:r>
      <w:r w:rsidRPr="004F1C21">
        <w:rPr>
          <w:rFonts w:eastAsia="Trebuchet MS"/>
        </w:rPr>
        <w:t xml:space="preserve"> </w:t>
      </w:r>
      <w:r>
        <w:rPr>
          <w:rFonts w:eastAsia="Trebuchet MS"/>
        </w:rPr>
        <w:t>Notably,</w:t>
      </w:r>
      <w:r w:rsidRPr="004F1C21">
        <w:rPr>
          <w:rFonts w:eastAsia="Trebuchet MS"/>
        </w:rPr>
        <w:t xml:space="preserve"> women</w:t>
      </w:r>
      <w:r>
        <w:rPr>
          <w:rFonts w:eastAsia="Trebuchet MS"/>
        </w:rPr>
        <w:t xml:space="preserve">, </w:t>
      </w:r>
      <w:r w:rsidRPr="004F1C21">
        <w:rPr>
          <w:rFonts w:eastAsia="Trebuchet MS"/>
        </w:rPr>
        <w:t xml:space="preserve">non-binary or transgender people </w:t>
      </w:r>
      <w:r w:rsidR="00B737F7">
        <w:rPr>
          <w:rFonts w:eastAsia="Trebuchet MS"/>
        </w:rPr>
        <w:t xml:space="preserve">who have ASD </w:t>
      </w:r>
      <w:r>
        <w:rPr>
          <w:rFonts w:eastAsia="Trebuchet MS"/>
        </w:rPr>
        <w:t xml:space="preserve">often report higher levels of anxiety than </w:t>
      </w:r>
      <w:r w:rsidRPr="004F1C21">
        <w:rPr>
          <w:rFonts w:eastAsia="Trebuchet MS"/>
        </w:rPr>
        <w:t>men with autism</w:t>
      </w:r>
      <w:r>
        <w:rPr>
          <w:rFonts w:eastAsia="Trebuchet MS"/>
        </w:rPr>
        <w:t xml:space="preserve">. This disparity may be linked to the additional challenges they face </w:t>
      </w:r>
      <w:r w:rsidRPr="004F1C21">
        <w:rPr>
          <w:rFonts w:eastAsia="Trebuchet MS"/>
        </w:rPr>
        <w:t>within a patriarchal and heteronormative society</w:t>
      </w:r>
      <w:r w:rsidRPr="004F1C21">
        <w:rPr>
          <w:rFonts w:eastAsia="Trebuchet MS"/>
          <w:vertAlign w:val="superscript"/>
        </w:rPr>
        <w:endnoteReference w:id="164"/>
      </w:r>
      <w:r>
        <w:rPr>
          <w:rFonts w:eastAsia="Trebuchet MS"/>
        </w:rPr>
        <w:t>.</w:t>
      </w:r>
    </w:p>
    <w:p w14:paraId="72F04875" w14:textId="6FB966A4" w:rsidR="004E04E1" w:rsidRPr="004F1C21" w:rsidRDefault="004E04E1" w:rsidP="00BF63ED">
      <w:pPr>
        <w:pStyle w:val="ListParagraph"/>
        <w:numPr>
          <w:ilvl w:val="0"/>
          <w:numId w:val="3"/>
        </w:numPr>
        <w:ind w:left="720"/>
        <w:rPr>
          <w:rFonts w:eastAsia="Trebuchet MS"/>
          <w:b/>
          <w:bCs/>
        </w:rPr>
      </w:pPr>
      <w:r w:rsidRPr="004F1C21">
        <w:rPr>
          <w:rFonts w:eastAsia="Trebuchet MS"/>
          <w:b/>
          <w:bCs/>
        </w:rPr>
        <w:t xml:space="preserve">ADHD: </w:t>
      </w:r>
      <w:r w:rsidRPr="004F1C21">
        <w:rPr>
          <w:rFonts w:eastAsia="Trebuchet MS"/>
        </w:rPr>
        <w:t xml:space="preserve">according to NHS Digital data, 1 in 3 adults with a common mental health condition </w:t>
      </w:r>
      <w:r>
        <w:rPr>
          <w:rFonts w:eastAsia="Trebuchet MS"/>
        </w:rPr>
        <w:t xml:space="preserve">also </w:t>
      </w:r>
      <w:r w:rsidR="00EB2136">
        <w:rPr>
          <w:rFonts w:eastAsia="Trebuchet MS"/>
        </w:rPr>
        <w:t xml:space="preserve">screened positive for </w:t>
      </w:r>
      <w:r w:rsidRPr="004F1C21">
        <w:rPr>
          <w:rFonts w:eastAsia="Trebuchet MS"/>
        </w:rPr>
        <w:t>ADHD</w:t>
      </w:r>
      <w:r w:rsidRPr="004F1C21">
        <w:rPr>
          <w:rFonts w:eastAsia="Trebuchet MS"/>
          <w:vertAlign w:val="superscript"/>
        </w:rPr>
        <w:endnoteReference w:id="165"/>
      </w:r>
      <w:r>
        <w:rPr>
          <w:rFonts w:eastAsia="Trebuchet MS"/>
        </w:rPr>
        <w:t>.</w:t>
      </w:r>
      <w:r w:rsidRPr="004F1C21">
        <w:rPr>
          <w:rFonts w:eastAsia="Trebuchet MS"/>
        </w:rPr>
        <w:t xml:space="preserve"> Poor family resilience (a family’s abilities to adapt to challenges and stress</w:t>
      </w:r>
      <w:r w:rsidR="00A03674" w:rsidRPr="004F1C21">
        <w:rPr>
          <w:rFonts w:eastAsia="Trebuchet MS"/>
        </w:rPr>
        <w:t>)</w:t>
      </w:r>
      <w:r w:rsidRPr="004F1C21">
        <w:rPr>
          <w:rFonts w:eastAsia="Trebuchet MS"/>
        </w:rPr>
        <w:t xml:space="preserve"> has been linked </w:t>
      </w:r>
      <w:r>
        <w:rPr>
          <w:rFonts w:eastAsia="Trebuchet MS"/>
        </w:rPr>
        <w:t xml:space="preserve">with </w:t>
      </w:r>
      <w:r w:rsidRPr="004F1C21">
        <w:rPr>
          <w:rFonts w:eastAsia="Trebuchet MS"/>
        </w:rPr>
        <w:t>an increase</w:t>
      </w:r>
      <w:r>
        <w:rPr>
          <w:rFonts w:eastAsia="Trebuchet MS"/>
        </w:rPr>
        <w:t>d</w:t>
      </w:r>
      <w:r w:rsidRPr="004F1C21">
        <w:rPr>
          <w:rFonts w:eastAsia="Trebuchet MS"/>
        </w:rPr>
        <w:t xml:space="preserve"> risk of mental health conditions among children with ADHD</w:t>
      </w:r>
      <w:r w:rsidRPr="004F1C21">
        <w:rPr>
          <w:rFonts w:eastAsia="Trebuchet MS"/>
          <w:vertAlign w:val="superscript"/>
        </w:rPr>
        <w:endnoteReference w:id="166"/>
      </w:r>
      <w:r>
        <w:rPr>
          <w:rFonts w:eastAsia="Trebuchet MS"/>
        </w:rPr>
        <w:t>.</w:t>
      </w:r>
    </w:p>
    <w:p w14:paraId="35D007A0" w14:textId="1A6D962C" w:rsidR="004E04E1" w:rsidRPr="006C113D" w:rsidRDefault="004E04E1" w:rsidP="00BF63ED">
      <w:pPr>
        <w:pStyle w:val="ListParagraph"/>
        <w:numPr>
          <w:ilvl w:val="0"/>
          <w:numId w:val="3"/>
        </w:numPr>
        <w:ind w:left="720"/>
        <w:rPr>
          <w:rFonts w:eastAsia="Trebuchet MS"/>
        </w:rPr>
      </w:pPr>
      <w:r w:rsidRPr="004F1C21">
        <w:rPr>
          <w:rFonts w:eastAsia="Trebuchet MS"/>
          <w:b/>
          <w:bCs/>
        </w:rPr>
        <w:t xml:space="preserve">SLCN: </w:t>
      </w:r>
      <w:r w:rsidRPr="004F1C21">
        <w:rPr>
          <w:rFonts w:eastAsia="Trebuchet MS"/>
        </w:rPr>
        <w:t xml:space="preserve">children and young people with SLCN needs, such as Developmental Language Disorder, </w:t>
      </w:r>
      <w:r>
        <w:rPr>
          <w:rFonts w:eastAsia="Trebuchet MS"/>
        </w:rPr>
        <w:t xml:space="preserve">appear to be at a greater risk </w:t>
      </w:r>
      <w:r w:rsidRPr="004F1C21">
        <w:rPr>
          <w:rFonts w:eastAsia="Trebuchet MS"/>
        </w:rPr>
        <w:t>seem to</w:t>
      </w:r>
      <w:r>
        <w:rPr>
          <w:rFonts w:eastAsia="Trebuchet MS"/>
        </w:rPr>
        <w:t xml:space="preserve"> </w:t>
      </w:r>
      <w:r w:rsidRPr="004F1C21">
        <w:rPr>
          <w:rFonts w:eastAsia="Trebuchet MS"/>
        </w:rPr>
        <w:t>of developing mental health problems</w:t>
      </w:r>
      <w:r w:rsidRPr="004F1C21">
        <w:rPr>
          <w:rFonts w:eastAsia="Trebuchet MS"/>
          <w:vertAlign w:val="superscript"/>
        </w:rPr>
        <w:endnoteReference w:id="167"/>
      </w:r>
      <w:r w:rsidR="002E45ED">
        <w:rPr>
          <w:rFonts w:eastAsia="Trebuchet MS"/>
        </w:rPr>
        <w:t>.</w:t>
      </w:r>
      <w:r>
        <w:rPr>
          <w:rFonts w:eastAsia="Trebuchet MS"/>
        </w:rPr>
        <w:t xml:space="preserve"> </w:t>
      </w:r>
      <w:r w:rsidRPr="00B17940">
        <w:rPr>
          <w:rFonts w:eastAsia="Trebuchet MS"/>
        </w:rPr>
        <w:t>Contributing factors may include frustration related to communication challenges, a lack of understanding and support from others, and academic struggles within the school environment</w:t>
      </w:r>
      <w:r w:rsidRPr="004F1C21">
        <w:rPr>
          <w:rFonts w:eastAsia="Trebuchet MS"/>
          <w:vertAlign w:val="superscript"/>
        </w:rPr>
        <w:endnoteReference w:id="168"/>
      </w:r>
      <w:r w:rsidRPr="00B17940">
        <w:rPr>
          <w:rFonts w:eastAsia="Trebuchet MS"/>
        </w:rPr>
        <w:t>.</w:t>
      </w:r>
    </w:p>
    <w:p w14:paraId="477B2E81" w14:textId="138CF89D" w:rsidR="004E04E1" w:rsidRPr="00CB03B4" w:rsidRDefault="004E04E1" w:rsidP="00BF63ED">
      <w:pPr>
        <w:pStyle w:val="ListParagraph"/>
        <w:numPr>
          <w:ilvl w:val="0"/>
          <w:numId w:val="3"/>
        </w:numPr>
        <w:ind w:left="720"/>
        <w:rPr>
          <w:rFonts w:eastAsia="Trebuchet MS"/>
          <w:b/>
          <w:bCs/>
        </w:rPr>
      </w:pPr>
      <w:proofErr w:type="spellStart"/>
      <w:r w:rsidRPr="004F1C21">
        <w:rPr>
          <w:rFonts w:eastAsia="Trebuchet MS"/>
          <w:b/>
          <w:bCs/>
        </w:rPr>
        <w:t>SpLD</w:t>
      </w:r>
      <w:proofErr w:type="spellEnd"/>
      <w:r w:rsidRPr="004F1C21">
        <w:rPr>
          <w:rFonts w:eastAsia="Trebuchet MS"/>
          <w:b/>
          <w:bCs/>
        </w:rPr>
        <w:t>:</w:t>
      </w:r>
      <w:r w:rsidRPr="004F1C21">
        <w:rPr>
          <w:rFonts w:eastAsia="Trebuchet MS"/>
          <w:lang w:val="en-US"/>
        </w:rPr>
        <w:t xml:space="preserve"> </w:t>
      </w:r>
      <w:r>
        <w:rPr>
          <w:rFonts w:eastAsia="Trebuchet MS"/>
          <w:lang w:val="en-US"/>
        </w:rPr>
        <w:t xml:space="preserve">Research on the relationship between </w:t>
      </w:r>
      <w:proofErr w:type="spellStart"/>
      <w:r>
        <w:rPr>
          <w:rFonts w:eastAsia="Trebuchet MS"/>
          <w:lang w:val="en-US"/>
        </w:rPr>
        <w:t>SpLD</w:t>
      </w:r>
      <w:proofErr w:type="spellEnd"/>
      <w:r>
        <w:rPr>
          <w:rFonts w:eastAsia="Trebuchet MS"/>
          <w:lang w:val="en-US"/>
        </w:rPr>
        <w:t xml:space="preserve"> and mental health presents mixed findings. </w:t>
      </w:r>
      <w:r w:rsidRPr="00AE1013">
        <w:rPr>
          <w:rFonts w:eastAsia="Trebuchet MS"/>
        </w:rPr>
        <w:t xml:space="preserve">Some studies suggest that individuals with </w:t>
      </w:r>
      <w:proofErr w:type="spellStart"/>
      <w:r w:rsidRPr="00AE1013">
        <w:rPr>
          <w:rFonts w:eastAsia="Trebuchet MS"/>
        </w:rPr>
        <w:t>SpLD</w:t>
      </w:r>
      <w:proofErr w:type="spellEnd"/>
      <w:r w:rsidRPr="00AE1013">
        <w:rPr>
          <w:rFonts w:eastAsia="Trebuchet MS"/>
        </w:rPr>
        <w:t xml:space="preserve"> are more likely to experience mental health issues such as anxiety and depression, while others report outcomes comparable to those without </w:t>
      </w:r>
      <w:proofErr w:type="spellStart"/>
      <w:r w:rsidRPr="00AE1013">
        <w:rPr>
          <w:rFonts w:eastAsia="Trebuchet MS"/>
        </w:rPr>
        <w:t>SpLD</w:t>
      </w:r>
      <w:proofErr w:type="spellEnd"/>
      <w:r w:rsidRPr="004F1C21">
        <w:rPr>
          <w:rFonts w:eastAsia="Trebuchet MS"/>
          <w:vertAlign w:val="superscript"/>
          <w:lang w:val="en-US"/>
        </w:rPr>
        <w:endnoteReference w:id="169"/>
      </w:r>
      <w:r w:rsidRPr="00AE1013">
        <w:rPr>
          <w:rFonts w:eastAsia="Trebuchet MS"/>
        </w:rPr>
        <w:t>.</w:t>
      </w:r>
    </w:p>
    <w:p w14:paraId="3FC43887" w14:textId="4E78AF49" w:rsidR="004E04E1" w:rsidRPr="004F1C21" w:rsidRDefault="004E04E1" w:rsidP="00BF63ED">
      <w:pPr>
        <w:pStyle w:val="ListParagraph"/>
        <w:numPr>
          <w:ilvl w:val="0"/>
          <w:numId w:val="3"/>
        </w:numPr>
        <w:ind w:left="720"/>
        <w:rPr>
          <w:rFonts w:eastAsia="Trebuchet MS"/>
        </w:rPr>
      </w:pPr>
      <w:r w:rsidRPr="004F1C21">
        <w:rPr>
          <w:rFonts w:eastAsia="Trebuchet MS"/>
          <w:b/>
          <w:bCs/>
        </w:rPr>
        <w:t xml:space="preserve">Sensory impairments: </w:t>
      </w:r>
      <w:r w:rsidRPr="004F1C21">
        <w:rPr>
          <w:rFonts w:eastAsia="Trebuchet MS"/>
        </w:rPr>
        <w:t>symptoms of common mental illnesses have been found to be higher in people with sensory impairments than those without, which may be linked to how the</w:t>
      </w:r>
      <w:r>
        <w:rPr>
          <w:rFonts w:eastAsia="Trebuchet MS"/>
        </w:rPr>
        <w:t>y</w:t>
      </w:r>
      <w:r w:rsidRPr="004F1C21">
        <w:rPr>
          <w:rFonts w:eastAsia="Trebuchet MS"/>
        </w:rPr>
        <w:t xml:space="preserve"> feel about their social interactions and relationships</w:t>
      </w:r>
      <w:r w:rsidRPr="004F1C21">
        <w:rPr>
          <w:rFonts w:eastAsia="Trebuchet MS"/>
          <w:vertAlign w:val="superscript"/>
        </w:rPr>
        <w:endnoteReference w:id="170"/>
      </w:r>
      <w:r>
        <w:rPr>
          <w:rFonts w:eastAsia="Trebuchet MS"/>
        </w:rPr>
        <w:t>.</w:t>
      </w:r>
    </w:p>
    <w:p w14:paraId="133746EF" w14:textId="4EB82FA0" w:rsidR="004E04E1" w:rsidRPr="005E40BB" w:rsidRDefault="004E04E1" w:rsidP="00BF63ED">
      <w:pPr>
        <w:pStyle w:val="ListParagraph"/>
        <w:numPr>
          <w:ilvl w:val="0"/>
          <w:numId w:val="3"/>
        </w:numPr>
        <w:ind w:left="720"/>
        <w:rPr>
          <w:rFonts w:eastAsia="Trebuchet MS"/>
        </w:rPr>
      </w:pPr>
      <w:r w:rsidRPr="004F1C21">
        <w:rPr>
          <w:rFonts w:eastAsia="Trebuchet MS"/>
          <w:b/>
          <w:bCs/>
        </w:rPr>
        <w:lastRenderedPageBreak/>
        <w:t xml:space="preserve">Down Syndrome: </w:t>
      </w:r>
      <w:r>
        <w:rPr>
          <w:rFonts w:eastAsia="Trebuchet MS"/>
        </w:rPr>
        <w:t xml:space="preserve">depression is the most common mental health condition in </w:t>
      </w:r>
      <w:r w:rsidRPr="005E40BB">
        <w:rPr>
          <w:rFonts w:eastAsia="Trebuchet MS"/>
        </w:rPr>
        <w:t xml:space="preserve">people with </w:t>
      </w:r>
      <w:r>
        <w:rPr>
          <w:rFonts w:eastAsia="Trebuchet MS"/>
        </w:rPr>
        <w:t>D</w:t>
      </w:r>
      <w:r w:rsidRPr="005E40BB">
        <w:rPr>
          <w:rFonts w:eastAsia="Trebuchet MS"/>
        </w:rPr>
        <w:t xml:space="preserve">own </w:t>
      </w:r>
      <w:r>
        <w:rPr>
          <w:rFonts w:eastAsia="Trebuchet MS"/>
        </w:rPr>
        <w:t>S</w:t>
      </w:r>
      <w:r w:rsidRPr="005E40BB">
        <w:rPr>
          <w:rFonts w:eastAsia="Trebuchet MS"/>
        </w:rPr>
        <w:t>yndrome</w:t>
      </w:r>
      <w:r w:rsidRPr="004F1C21">
        <w:rPr>
          <w:rFonts w:eastAsia="Trebuchet MS"/>
          <w:vertAlign w:val="superscript"/>
        </w:rPr>
        <w:endnoteReference w:id="171"/>
      </w:r>
      <w:r w:rsidR="002E45ED" w:rsidRPr="00B7244E">
        <w:t>.</w:t>
      </w:r>
      <w:r w:rsidRPr="005E40BB">
        <w:rPr>
          <w:rFonts w:eastAsia="Trebuchet MS"/>
        </w:rPr>
        <w:t xml:space="preserve"> </w:t>
      </w:r>
      <w:r w:rsidR="00B735F4">
        <w:rPr>
          <w:rFonts w:eastAsia="Trebuchet MS"/>
        </w:rPr>
        <w:t>Its</w:t>
      </w:r>
      <w:r w:rsidRPr="005E40BB">
        <w:rPr>
          <w:rFonts w:eastAsia="Trebuchet MS"/>
        </w:rPr>
        <w:t xml:space="preserve"> development may be </w:t>
      </w:r>
      <w:r>
        <w:rPr>
          <w:rFonts w:eastAsia="Trebuchet MS"/>
        </w:rPr>
        <w:t>influenced by</w:t>
      </w:r>
      <w:r w:rsidRPr="005E40BB">
        <w:rPr>
          <w:rFonts w:eastAsia="Trebuchet MS"/>
        </w:rPr>
        <w:t xml:space="preserve"> stressors such as social rejection and social withdrawal</w:t>
      </w:r>
      <w:r>
        <w:rPr>
          <w:rFonts w:eastAsia="Trebuchet MS"/>
        </w:rPr>
        <w:t xml:space="preserve">. Additionally, </w:t>
      </w:r>
      <w:r w:rsidRPr="005E40BB">
        <w:rPr>
          <w:rFonts w:eastAsia="Trebuchet MS"/>
        </w:rPr>
        <w:t xml:space="preserve">women with </w:t>
      </w:r>
      <w:r>
        <w:rPr>
          <w:rFonts w:eastAsia="Trebuchet MS"/>
        </w:rPr>
        <w:t>D</w:t>
      </w:r>
      <w:r w:rsidRPr="005E40BB">
        <w:rPr>
          <w:rFonts w:eastAsia="Trebuchet MS"/>
        </w:rPr>
        <w:t xml:space="preserve">own </w:t>
      </w:r>
      <w:r>
        <w:rPr>
          <w:rFonts w:eastAsia="Trebuchet MS"/>
        </w:rPr>
        <w:t>S</w:t>
      </w:r>
      <w:r w:rsidRPr="005E40BB">
        <w:rPr>
          <w:rFonts w:eastAsia="Trebuchet MS"/>
        </w:rPr>
        <w:t xml:space="preserve">yndrome </w:t>
      </w:r>
      <w:r>
        <w:rPr>
          <w:rFonts w:eastAsia="Trebuchet MS"/>
        </w:rPr>
        <w:t>are</w:t>
      </w:r>
      <w:r w:rsidRPr="005E40BB">
        <w:rPr>
          <w:rFonts w:eastAsia="Trebuchet MS"/>
        </w:rPr>
        <w:t xml:space="preserve"> more likely to have depression than men</w:t>
      </w:r>
      <w:r w:rsidRPr="004F1C21">
        <w:rPr>
          <w:rFonts w:eastAsia="Trebuchet MS"/>
          <w:vertAlign w:val="superscript"/>
        </w:rPr>
        <w:endnoteReference w:id="172"/>
      </w:r>
      <w:r>
        <w:rPr>
          <w:rFonts w:eastAsia="Trebuchet MS"/>
        </w:rPr>
        <w:t>.</w:t>
      </w:r>
    </w:p>
    <w:p w14:paraId="4AA90748" w14:textId="77777777" w:rsidR="004E04E1" w:rsidRPr="00BB28A3" w:rsidRDefault="004E04E1" w:rsidP="00F86450">
      <w:pPr>
        <w:pStyle w:val="Heading3"/>
        <w:rPr>
          <w:rFonts w:eastAsia="Trebuchet MS"/>
          <w:color w:val="006B70"/>
        </w:rPr>
      </w:pPr>
      <w:bookmarkStart w:id="324" w:name="_Toc205386945"/>
      <w:bookmarkStart w:id="325" w:name="_Toc205388015"/>
      <w:bookmarkStart w:id="326" w:name="_Toc205446026"/>
      <w:r w:rsidRPr="00BB28A3">
        <w:rPr>
          <w:rFonts w:eastAsia="Trebuchet MS"/>
          <w:color w:val="006B70"/>
        </w:rPr>
        <w:t>Local Picture</w:t>
      </w:r>
      <w:bookmarkEnd w:id="324"/>
      <w:bookmarkEnd w:id="325"/>
      <w:bookmarkEnd w:id="326"/>
    </w:p>
    <w:p w14:paraId="0C33E1DC" w14:textId="3B20DC1C" w:rsidR="004E04E1" w:rsidRDefault="004E04E1" w:rsidP="00282C9E">
      <w:pPr>
        <w:rPr>
          <w:rFonts w:eastAsia="Trebuchet MS"/>
          <w:lang w:val="en-US"/>
        </w:rPr>
      </w:pPr>
      <w:r w:rsidRPr="004F1C21">
        <w:rPr>
          <w:rFonts w:eastAsia="Trebuchet MS"/>
          <w:lang w:val="en-US"/>
        </w:rPr>
        <w:t xml:space="preserve">In 2024, of </w:t>
      </w:r>
      <w:r>
        <w:rPr>
          <w:rFonts w:eastAsia="Trebuchet MS"/>
          <w:lang w:val="en-US"/>
        </w:rPr>
        <w:t xml:space="preserve">the </w:t>
      </w:r>
      <w:r w:rsidRPr="004F1C21">
        <w:rPr>
          <w:rFonts w:eastAsia="Trebuchet MS"/>
          <w:lang w:val="en-US"/>
        </w:rPr>
        <w:t>3</w:t>
      </w:r>
      <w:r w:rsidR="00F5137A">
        <w:rPr>
          <w:rFonts w:eastAsia="Trebuchet MS"/>
          <w:lang w:val="en-US"/>
        </w:rPr>
        <w:t>,</w:t>
      </w:r>
      <w:r w:rsidRPr="004F1C21">
        <w:rPr>
          <w:rFonts w:eastAsia="Trebuchet MS"/>
          <w:lang w:val="en-US"/>
        </w:rPr>
        <w:t>109 children with an EHC</w:t>
      </w:r>
      <w:r w:rsidR="0051337C">
        <w:rPr>
          <w:rFonts w:eastAsia="Trebuchet MS"/>
          <w:lang w:val="en-US"/>
        </w:rPr>
        <w:t xml:space="preserve">P </w:t>
      </w:r>
      <w:r w:rsidRPr="004F1C21">
        <w:rPr>
          <w:rFonts w:eastAsia="Trebuchet MS"/>
          <w:lang w:val="en-US"/>
        </w:rPr>
        <w:t xml:space="preserve">in Tower Hamlets, </w:t>
      </w:r>
      <w:r w:rsidR="002B6D81">
        <w:rPr>
          <w:rFonts w:eastAsia="Trebuchet MS"/>
          <w:lang w:val="en-US"/>
        </w:rPr>
        <w:t>405</w:t>
      </w:r>
      <w:r w:rsidRPr="004F1C21">
        <w:rPr>
          <w:rFonts w:eastAsia="Trebuchet MS"/>
          <w:lang w:val="en-US"/>
        </w:rPr>
        <w:t xml:space="preserve"> (</w:t>
      </w:r>
      <w:r w:rsidR="00811B7D">
        <w:rPr>
          <w:rFonts w:eastAsia="Trebuchet MS"/>
          <w:lang w:val="en-US"/>
        </w:rPr>
        <w:t>13</w:t>
      </w:r>
      <w:r w:rsidRPr="004F1C21">
        <w:rPr>
          <w:rFonts w:eastAsia="Trebuchet MS"/>
          <w:lang w:val="en-US"/>
        </w:rPr>
        <w:t xml:space="preserve">%) were </w:t>
      </w:r>
      <w:r>
        <w:rPr>
          <w:rFonts w:eastAsia="Trebuchet MS"/>
          <w:lang w:val="en-US"/>
        </w:rPr>
        <w:t>recorded</w:t>
      </w:r>
      <w:r w:rsidRPr="004F1C21">
        <w:rPr>
          <w:rFonts w:eastAsia="Trebuchet MS"/>
          <w:lang w:val="en-US"/>
        </w:rPr>
        <w:t xml:space="preserve"> as having a SEMH need. Over </w:t>
      </w:r>
      <w:r>
        <w:rPr>
          <w:rFonts w:eastAsia="Trebuchet MS"/>
          <w:lang w:val="en-US"/>
        </w:rPr>
        <w:t>one in ten</w:t>
      </w:r>
      <w:r w:rsidRPr="004F1C21">
        <w:rPr>
          <w:rFonts w:eastAsia="Trebuchet MS"/>
          <w:lang w:val="en-US"/>
        </w:rPr>
        <w:t xml:space="preserve"> (</w:t>
      </w:r>
      <w:r w:rsidR="004A26FC">
        <w:rPr>
          <w:rFonts w:eastAsia="Trebuchet MS"/>
          <w:lang w:val="en-US"/>
        </w:rPr>
        <w:t>n=</w:t>
      </w:r>
      <w:r w:rsidR="00330501" w:rsidRPr="005851E9">
        <w:rPr>
          <w:rFonts w:eastAsia="Trebuchet MS"/>
          <w:lang w:val="en-US"/>
        </w:rPr>
        <w:t xml:space="preserve">280; </w:t>
      </w:r>
      <w:r w:rsidR="005851E9" w:rsidRPr="00293C95">
        <w:rPr>
          <w:rFonts w:eastAsia="Trebuchet MS"/>
          <w:lang w:val="en-US"/>
        </w:rPr>
        <w:t>9</w:t>
      </w:r>
      <w:r w:rsidRPr="005851E9">
        <w:rPr>
          <w:rFonts w:eastAsia="Trebuchet MS"/>
          <w:lang w:val="en-US"/>
        </w:rPr>
        <w:t>%)</w:t>
      </w:r>
      <w:r>
        <w:rPr>
          <w:rFonts w:eastAsia="Trebuchet MS"/>
          <w:lang w:val="en-US"/>
        </w:rPr>
        <w:t xml:space="preserve"> had SEMH listed as their </w:t>
      </w:r>
      <w:r w:rsidRPr="004F1C21">
        <w:rPr>
          <w:rFonts w:eastAsia="Trebuchet MS"/>
          <w:lang w:val="en-US"/>
        </w:rPr>
        <w:t xml:space="preserve">primary need. </w:t>
      </w:r>
      <w:r w:rsidR="3CD6C35F" w:rsidRPr="1BE0D140">
        <w:rPr>
          <w:rFonts w:eastAsia="Trebuchet MS"/>
          <w:lang w:val="en-US"/>
        </w:rPr>
        <w:t>Among</w:t>
      </w:r>
      <w:r>
        <w:rPr>
          <w:rFonts w:eastAsia="Trebuchet MS"/>
          <w:lang w:val="en-US"/>
        </w:rPr>
        <w:t xml:space="preserve"> these children and young people, more than three quarters (77%) were male, and less than a quarter (23%) were female, reflecting national trends in the gender distribution of SEMH needs. </w:t>
      </w:r>
    </w:p>
    <w:p w14:paraId="58150FE0" w14:textId="59BC0504" w:rsidR="004E04E1" w:rsidRDefault="004E04E1" w:rsidP="00282C9E">
      <w:pPr>
        <w:rPr>
          <w:rFonts w:eastAsia="Trebuchet MS"/>
        </w:rPr>
      </w:pPr>
      <w:r w:rsidRPr="000406ED">
        <w:rPr>
          <w:rFonts w:eastAsia="Trebuchet MS"/>
        </w:rPr>
        <w:t xml:space="preserve">The ethnic breakdown of </w:t>
      </w:r>
      <w:r w:rsidR="00384CF7">
        <w:rPr>
          <w:rFonts w:eastAsia="Trebuchet MS"/>
        </w:rPr>
        <w:t>EHCPs</w:t>
      </w:r>
      <w:r w:rsidRPr="000406ED">
        <w:rPr>
          <w:rFonts w:eastAsia="Trebuchet MS"/>
        </w:rPr>
        <w:t xml:space="preserve"> </w:t>
      </w:r>
      <w:r w:rsidR="00070E72">
        <w:rPr>
          <w:rFonts w:eastAsia="Trebuchet MS"/>
        </w:rPr>
        <w:t xml:space="preserve">demonstrates that white ethnic groups and Mixed ethnic groups </w:t>
      </w:r>
      <w:r w:rsidR="001E6881">
        <w:rPr>
          <w:rFonts w:eastAsia="Trebuchet MS"/>
        </w:rPr>
        <w:t>are overrepresented</w:t>
      </w:r>
      <w:r w:rsidR="009F58BD">
        <w:rPr>
          <w:rFonts w:eastAsia="Trebuchet MS"/>
        </w:rPr>
        <w:t xml:space="preserve">, whilst Asian ethnic groups are </w:t>
      </w:r>
      <w:r w:rsidR="00834795">
        <w:rPr>
          <w:rFonts w:eastAsia="Trebuchet MS"/>
        </w:rPr>
        <w:t>underrepresented</w:t>
      </w:r>
      <w:r w:rsidR="001E6881">
        <w:rPr>
          <w:rFonts w:eastAsia="Trebuchet MS"/>
        </w:rPr>
        <w:t xml:space="preserve"> </w:t>
      </w:r>
      <w:r w:rsidR="003665A1">
        <w:rPr>
          <w:rFonts w:eastAsia="Trebuchet MS"/>
        </w:rPr>
        <w:t>among those</w:t>
      </w:r>
      <w:r w:rsidR="00384CF7">
        <w:rPr>
          <w:rFonts w:eastAsia="Trebuchet MS"/>
        </w:rPr>
        <w:t xml:space="preserve"> with SEMH needs</w:t>
      </w:r>
      <w:r w:rsidR="003F5D0E">
        <w:rPr>
          <w:rFonts w:eastAsia="Trebuchet MS"/>
        </w:rPr>
        <w:t xml:space="preserve"> </w:t>
      </w:r>
      <w:r w:rsidR="003F5D0E" w:rsidRPr="001402FE">
        <w:rPr>
          <w:rFonts w:eastAsia="Trebuchet MS"/>
        </w:rPr>
        <w:t>(see</w:t>
      </w:r>
      <w:r w:rsidR="003F5D0E">
        <w:rPr>
          <w:rFonts w:eastAsia="Trebuchet MS"/>
        </w:rPr>
        <w:t xml:space="preserve"> Table </w:t>
      </w:r>
      <w:r w:rsidR="003F5D0E" w:rsidRPr="001402FE">
        <w:rPr>
          <w:rFonts w:eastAsia="Trebuchet MS"/>
        </w:rPr>
        <w:t>9.1)</w:t>
      </w:r>
      <w:r w:rsidR="00441178">
        <w:rPr>
          <w:rFonts w:eastAsia="Trebuchet MS"/>
        </w:rPr>
        <w:t xml:space="preserve">. </w:t>
      </w:r>
      <w:r w:rsidRPr="000406ED">
        <w:rPr>
          <w:rFonts w:eastAsia="Trebuchet MS"/>
        </w:rPr>
        <w:t xml:space="preserve">Notably, for </w:t>
      </w:r>
      <w:r w:rsidRPr="001402FE">
        <w:rPr>
          <w:rFonts w:eastAsia="Trebuchet MS"/>
        </w:rPr>
        <w:t>14.1% of children, ethnicity was not listed reflecting challenges with the recording of data</w:t>
      </w:r>
      <w:r w:rsidR="003F5D0E">
        <w:rPr>
          <w:rFonts w:eastAsia="Trebuchet MS"/>
        </w:rPr>
        <w:t>.</w:t>
      </w:r>
    </w:p>
    <w:p w14:paraId="035BE0EE" w14:textId="1504740A" w:rsidR="004E04E1" w:rsidRPr="00E750DF" w:rsidRDefault="009A2EB8" w:rsidP="00282C9E">
      <w:pPr>
        <w:rPr>
          <w:rFonts w:eastAsia="Trebuchet MS"/>
          <w:b/>
          <w:bCs/>
          <w:sz w:val="18"/>
          <w:szCs w:val="18"/>
        </w:rPr>
      </w:pPr>
      <w:r>
        <w:rPr>
          <w:rFonts w:eastAsia="Trebuchet MS"/>
          <w:b/>
          <w:bCs/>
          <w:sz w:val="18"/>
          <w:szCs w:val="18"/>
        </w:rPr>
        <w:t>Table</w:t>
      </w:r>
      <w:r w:rsidR="004E04E1" w:rsidRPr="001402FE">
        <w:rPr>
          <w:rFonts w:eastAsia="Trebuchet MS"/>
          <w:b/>
          <w:bCs/>
          <w:sz w:val="18"/>
          <w:szCs w:val="18"/>
        </w:rPr>
        <w:t xml:space="preserve"> </w:t>
      </w:r>
      <w:r w:rsidR="005954A8">
        <w:rPr>
          <w:rFonts w:eastAsia="Trebuchet MS"/>
          <w:b/>
          <w:bCs/>
          <w:sz w:val="18"/>
          <w:szCs w:val="18"/>
        </w:rPr>
        <w:t>9.1</w:t>
      </w:r>
      <w:r w:rsidR="004E04E1" w:rsidRPr="001402FE">
        <w:rPr>
          <w:rFonts w:eastAsia="Trebuchet MS"/>
          <w:b/>
          <w:bCs/>
          <w:sz w:val="18"/>
          <w:szCs w:val="18"/>
        </w:rPr>
        <w:t>: Segmentation</w:t>
      </w:r>
      <w:r w:rsidR="004E04E1" w:rsidRPr="00E750DF">
        <w:rPr>
          <w:rFonts w:eastAsia="Trebuchet MS"/>
          <w:b/>
          <w:bCs/>
          <w:sz w:val="18"/>
          <w:szCs w:val="18"/>
        </w:rPr>
        <w:t xml:space="preserve"> of SEMH needs by ethnicity in 2024.</w:t>
      </w:r>
    </w:p>
    <w:tbl>
      <w:tblPr>
        <w:tblStyle w:val="TableGridLight"/>
        <w:tblpPr w:leftFromText="180" w:rightFromText="180" w:vertAnchor="text" w:horzAnchor="margin" w:tblpXSpec="center" w:tblpY="48"/>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1E0" w:firstRow="1" w:lastRow="1" w:firstColumn="1" w:lastColumn="1" w:noHBand="0" w:noVBand="0"/>
      </w:tblPr>
      <w:tblGrid>
        <w:gridCol w:w="2689"/>
        <w:gridCol w:w="1219"/>
        <w:gridCol w:w="1219"/>
        <w:gridCol w:w="1219"/>
        <w:gridCol w:w="1219"/>
        <w:gridCol w:w="1219"/>
      </w:tblGrid>
      <w:tr w:rsidR="00FD6EFA" w:rsidRPr="00B7244E" w14:paraId="2600ECFC" w14:textId="77777777" w:rsidTr="00293C95">
        <w:trPr>
          <w:trHeight w:val="1134"/>
        </w:trPr>
        <w:tc>
          <w:tcPr>
            <w:tcW w:w="2689" w:type="dxa"/>
            <w:shd w:val="clear" w:color="auto" w:fill="00435D" w:themeFill="accent1"/>
          </w:tcPr>
          <w:p w14:paraId="6E525372" w14:textId="77777777" w:rsidR="008338A0" w:rsidRPr="00293C95" w:rsidRDefault="008338A0" w:rsidP="00293C95">
            <w:pPr>
              <w:spacing w:after="0"/>
              <w:rPr>
                <w:b/>
                <w:sz w:val="20"/>
                <w:szCs w:val="20"/>
              </w:rPr>
            </w:pPr>
          </w:p>
          <w:p w14:paraId="67583B57" w14:textId="77777777" w:rsidR="008338A0" w:rsidRPr="00293C95" w:rsidRDefault="008338A0" w:rsidP="00293C95">
            <w:pPr>
              <w:spacing w:after="0"/>
              <w:rPr>
                <w:b/>
                <w:sz w:val="20"/>
                <w:szCs w:val="20"/>
              </w:rPr>
            </w:pPr>
          </w:p>
          <w:p w14:paraId="3EE96D6B" w14:textId="77777777" w:rsidR="008338A0" w:rsidRPr="00293C95" w:rsidRDefault="008338A0" w:rsidP="00293C95">
            <w:pPr>
              <w:spacing w:after="0"/>
              <w:rPr>
                <w:b/>
                <w:sz w:val="20"/>
                <w:szCs w:val="20"/>
              </w:rPr>
            </w:pPr>
          </w:p>
        </w:tc>
        <w:tc>
          <w:tcPr>
            <w:tcW w:w="1219" w:type="dxa"/>
            <w:shd w:val="clear" w:color="auto" w:fill="00435D" w:themeFill="accent1"/>
          </w:tcPr>
          <w:p w14:paraId="1C178288" w14:textId="77777777" w:rsidR="008338A0" w:rsidRPr="00293C95" w:rsidRDefault="008338A0" w:rsidP="00293C95">
            <w:pPr>
              <w:spacing w:after="0"/>
              <w:rPr>
                <w:b/>
                <w:color w:val="FFFFFF" w:themeColor="background1"/>
                <w:w w:val="110"/>
                <w:sz w:val="20"/>
                <w:szCs w:val="20"/>
              </w:rPr>
            </w:pPr>
            <w:r w:rsidRPr="00293C95">
              <w:rPr>
                <w:b/>
                <w:color w:val="FFFFFF" w:themeColor="background1"/>
                <w:w w:val="110"/>
                <w:sz w:val="20"/>
                <w:szCs w:val="20"/>
              </w:rPr>
              <w:t>White ethnic groups</w:t>
            </w:r>
          </w:p>
        </w:tc>
        <w:tc>
          <w:tcPr>
            <w:tcW w:w="1219" w:type="dxa"/>
            <w:shd w:val="clear" w:color="auto" w:fill="00435D" w:themeFill="accent1"/>
          </w:tcPr>
          <w:p w14:paraId="4CF75B05" w14:textId="77777777" w:rsidR="008338A0" w:rsidRPr="00293C95" w:rsidRDefault="008338A0" w:rsidP="00293C95">
            <w:pPr>
              <w:spacing w:after="0"/>
              <w:ind w:left="18"/>
              <w:rPr>
                <w:b/>
                <w:color w:val="FFFFFF" w:themeColor="background1"/>
                <w:w w:val="105"/>
                <w:sz w:val="20"/>
                <w:szCs w:val="20"/>
              </w:rPr>
            </w:pPr>
            <w:r w:rsidRPr="00293C95">
              <w:rPr>
                <w:b/>
                <w:color w:val="FFFFFF" w:themeColor="background1"/>
                <w:w w:val="105"/>
                <w:sz w:val="20"/>
                <w:szCs w:val="20"/>
              </w:rPr>
              <w:t>Asian ethnic groups</w:t>
            </w:r>
          </w:p>
        </w:tc>
        <w:tc>
          <w:tcPr>
            <w:tcW w:w="1219" w:type="dxa"/>
            <w:shd w:val="clear" w:color="auto" w:fill="00435D" w:themeFill="accent1"/>
          </w:tcPr>
          <w:p w14:paraId="486BB0D3" w14:textId="77777777" w:rsidR="008338A0" w:rsidRPr="00293C95" w:rsidRDefault="008338A0" w:rsidP="00293C95">
            <w:pPr>
              <w:spacing w:after="0"/>
              <w:ind w:left="18"/>
              <w:rPr>
                <w:b/>
                <w:color w:val="FFFFFF" w:themeColor="background1"/>
                <w:w w:val="105"/>
                <w:sz w:val="20"/>
                <w:szCs w:val="20"/>
              </w:rPr>
            </w:pPr>
            <w:r w:rsidRPr="00293C95">
              <w:rPr>
                <w:b/>
                <w:color w:val="FFFFFF" w:themeColor="background1"/>
                <w:w w:val="105"/>
                <w:sz w:val="20"/>
                <w:szCs w:val="20"/>
              </w:rPr>
              <w:t>Mixed ethnic groups</w:t>
            </w:r>
          </w:p>
        </w:tc>
        <w:tc>
          <w:tcPr>
            <w:tcW w:w="1219" w:type="dxa"/>
            <w:shd w:val="clear" w:color="auto" w:fill="00435D" w:themeFill="accent1"/>
          </w:tcPr>
          <w:p w14:paraId="666B589B" w14:textId="77777777" w:rsidR="008338A0" w:rsidRPr="00293C95" w:rsidRDefault="008338A0" w:rsidP="00293C95">
            <w:pPr>
              <w:spacing w:after="0"/>
              <w:ind w:left="18"/>
              <w:rPr>
                <w:b/>
                <w:color w:val="FFFFFF" w:themeColor="background1"/>
                <w:sz w:val="20"/>
                <w:szCs w:val="20"/>
              </w:rPr>
            </w:pPr>
            <w:r w:rsidRPr="00293C95">
              <w:rPr>
                <w:b/>
                <w:color w:val="FFFFFF" w:themeColor="background1"/>
                <w:w w:val="105"/>
                <w:sz w:val="20"/>
                <w:szCs w:val="20"/>
              </w:rPr>
              <w:t>Black ethnic groups</w:t>
            </w:r>
          </w:p>
        </w:tc>
        <w:tc>
          <w:tcPr>
            <w:tcW w:w="1219" w:type="dxa"/>
            <w:shd w:val="clear" w:color="auto" w:fill="00435D" w:themeFill="accent1"/>
          </w:tcPr>
          <w:p w14:paraId="3F3316DD" w14:textId="77777777" w:rsidR="008338A0" w:rsidRPr="00293C95" w:rsidRDefault="008338A0" w:rsidP="00293C95">
            <w:pPr>
              <w:spacing w:after="0"/>
              <w:rPr>
                <w:b/>
                <w:color w:val="FFFFFF" w:themeColor="background1"/>
                <w:sz w:val="20"/>
                <w:szCs w:val="20"/>
              </w:rPr>
            </w:pPr>
            <w:r w:rsidRPr="00293C95">
              <w:rPr>
                <w:b/>
                <w:color w:val="FFFFFF" w:themeColor="background1"/>
                <w:sz w:val="20"/>
                <w:szCs w:val="20"/>
              </w:rPr>
              <w:t>Other ethnic groups</w:t>
            </w:r>
          </w:p>
        </w:tc>
      </w:tr>
      <w:tr w:rsidR="00FD6EFA" w:rsidRPr="00B7244E" w14:paraId="2E7FD56A" w14:textId="77777777" w:rsidTr="00293C95">
        <w:trPr>
          <w:trHeight w:val="391"/>
        </w:trPr>
        <w:tc>
          <w:tcPr>
            <w:tcW w:w="2689" w:type="dxa"/>
            <w:shd w:val="clear" w:color="auto" w:fill="FFFFFF" w:themeFill="background1"/>
          </w:tcPr>
          <w:p w14:paraId="0C904B14" w14:textId="77777777" w:rsidR="008338A0" w:rsidRPr="00293C95" w:rsidRDefault="008338A0" w:rsidP="00293C95">
            <w:pPr>
              <w:ind w:right="86"/>
              <w:rPr>
                <w:b/>
                <w:sz w:val="20"/>
                <w:szCs w:val="20"/>
              </w:rPr>
            </w:pPr>
            <w:r w:rsidRPr="00293C95">
              <w:rPr>
                <w:b/>
                <w:w w:val="105"/>
                <w:sz w:val="20"/>
                <w:szCs w:val="20"/>
              </w:rPr>
              <w:t>Total</w:t>
            </w:r>
            <w:r w:rsidRPr="00293C95">
              <w:rPr>
                <w:b/>
                <w:spacing w:val="-14"/>
                <w:w w:val="105"/>
                <w:sz w:val="20"/>
                <w:szCs w:val="20"/>
              </w:rPr>
              <w:t xml:space="preserve"> </w:t>
            </w:r>
            <w:r w:rsidRPr="00293C95">
              <w:rPr>
                <w:b/>
                <w:w w:val="105"/>
                <w:sz w:val="20"/>
                <w:szCs w:val="20"/>
              </w:rPr>
              <w:t>%</w:t>
            </w:r>
            <w:r w:rsidRPr="00293C95">
              <w:rPr>
                <w:b/>
                <w:spacing w:val="-14"/>
                <w:w w:val="105"/>
                <w:sz w:val="20"/>
                <w:szCs w:val="20"/>
              </w:rPr>
              <w:t xml:space="preserve"> </w:t>
            </w:r>
            <w:r w:rsidRPr="00293C95">
              <w:rPr>
                <w:b/>
                <w:w w:val="105"/>
                <w:sz w:val="20"/>
                <w:szCs w:val="20"/>
              </w:rPr>
              <w:t>of</w:t>
            </w:r>
            <w:r w:rsidRPr="00293C95">
              <w:rPr>
                <w:b/>
                <w:spacing w:val="-13"/>
                <w:w w:val="105"/>
                <w:sz w:val="20"/>
                <w:szCs w:val="20"/>
              </w:rPr>
              <w:t xml:space="preserve"> </w:t>
            </w:r>
            <w:r w:rsidRPr="00293C95">
              <w:rPr>
                <w:b/>
                <w:w w:val="105"/>
                <w:sz w:val="20"/>
                <w:szCs w:val="20"/>
              </w:rPr>
              <w:t>all</w:t>
            </w:r>
            <w:r w:rsidRPr="00293C95">
              <w:rPr>
                <w:b/>
                <w:spacing w:val="-13"/>
                <w:w w:val="105"/>
                <w:sz w:val="20"/>
                <w:szCs w:val="20"/>
              </w:rPr>
              <w:t xml:space="preserve"> </w:t>
            </w:r>
            <w:r w:rsidRPr="00293C95">
              <w:rPr>
                <w:b/>
                <w:w w:val="105"/>
                <w:sz w:val="20"/>
                <w:szCs w:val="20"/>
              </w:rPr>
              <w:t>pupils</w:t>
            </w:r>
            <w:r w:rsidRPr="00293C95">
              <w:rPr>
                <w:b/>
                <w:spacing w:val="-13"/>
                <w:w w:val="105"/>
                <w:sz w:val="20"/>
                <w:szCs w:val="20"/>
              </w:rPr>
              <w:t xml:space="preserve"> </w:t>
            </w:r>
            <w:r w:rsidRPr="00293C95">
              <w:rPr>
                <w:b/>
                <w:w w:val="105"/>
                <w:sz w:val="20"/>
                <w:szCs w:val="20"/>
              </w:rPr>
              <w:t>in ethnic</w:t>
            </w:r>
            <w:r w:rsidRPr="00293C95">
              <w:rPr>
                <w:b/>
                <w:spacing w:val="-15"/>
                <w:w w:val="105"/>
                <w:sz w:val="20"/>
                <w:szCs w:val="20"/>
              </w:rPr>
              <w:t xml:space="preserve"> </w:t>
            </w:r>
            <w:r w:rsidRPr="00293C95">
              <w:rPr>
                <w:b/>
                <w:w w:val="105"/>
                <w:sz w:val="20"/>
                <w:szCs w:val="20"/>
              </w:rPr>
              <w:t>group</w:t>
            </w:r>
          </w:p>
        </w:tc>
        <w:tc>
          <w:tcPr>
            <w:tcW w:w="1219" w:type="dxa"/>
            <w:shd w:val="clear" w:color="auto" w:fill="FFFFFF" w:themeFill="background1"/>
          </w:tcPr>
          <w:p w14:paraId="169CF557" w14:textId="77777777" w:rsidR="008338A0" w:rsidRPr="00293C95" w:rsidRDefault="008338A0" w:rsidP="00293C95">
            <w:pPr>
              <w:rPr>
                <w:sz w:val="20"/>
                <w:szCs w:val="20"/>
              </w:rPr>
            </w:pPr>
            <w:r w:rsidRPr="00293C95">
              <w:rPr>
                <w:sz w:val="20"/>
                <w:szCs w:val="20"/>
              </w:rPr>
              <w:t>12.1%</w:t>
            </w:r>
          </w:p>
        </w:tc>
        <w:tc>
          <w:tcPr>
            <w:tcW w:w="1219" w:type="dxa"/>
            <w:shd w:val="clear" w:color="auto" w:fill="FFFFFF" w:themeFill="background1"/>
          </w:tcPr>
          <w:p w14:paraId="1E7CD17D" w14:textId="77777777" w:rsidR="008338A0" w:rsidRPr="00293C95" w:rsidRDefault="008338A0" w:rsidP="00293C95">
            <w:pPr>
              <w:rPr>
                <w:sz w:val="20"/>
                <w:szCs w:val="20"/>
              </w:rPr>
            </w:pPr>
            <w:r w:rsidRPr="00293C95">
              <w:rPr>
                <w:sz w:val="20"/>
                <w:szCs w:val="20"/>
              </w:rPr>
              <w:t>66.6%</w:t>
            </w:r>
          </w:p>
        </w:tc>
        <w:tc>
          <w:tcPr>
            <w:tcW w:w="1219" w:type="dxa"/>
            <w:shd w:val="clear" w:color="auto" w:fill="FFFFFF" w:themeFill="background1"/>
          </w:tcPr>
          <w:p w14:paraId="357D7BCE" w14:textId="77777777" w:rsidR="008338A0" w:rsidRPr="00293C95" w:rsidRDefault="008338A0" w:rsidP="00293C95">
            <w:pPr>
              <w:rPr>
                <w:sz w:val="20"/>
                <w:szCs w:val="20"/>
              </w:rPr>
            </w:pPr>
            <w:r w:rsidRPr="00293C95">
              <w:rPr>
                <w:sz w:val="20"/>
                <w:szCs w:val="20"/>
              </w:rPr>
              <w:t>8.3%</w:t>
            </w:r>
          </w:p>
        </w:tc>
        <w:tc>
          <w:tcPr>
            <w:tcW w:w="1219" w:type="dxa"/>
            <w:shd w:val="clear" w:color="auto" w:fill="FFFFFF" w:themeFill="background1"/>
          </w:tcPr>
          <w:p w14:paraId="2A036E0C" w14:textId="77777777" w:rsidR="008338A0" w:rsidRPr="00293C95" w:rsidRDefault="008338A0" w:rsidP="00293C95">
            <w:pPr>
              <w:rPr>
                <w:sz w:val="20"/>
                <w:szCs w:val="20"/>
              </w:rPr>
            </w:pPr>
            <w:r w:rsidRPr="00293C95">
              <w:rPr>
                <w:sz w:val="20"/>
                <w:szCs w:val="20"/>
              </w:rPr>
              <w:t>9%</w:t>
            </w:r>
          </w:p>
        </w:tc>
        <w:tc>
          <w:tcPr>
            <w:tcW w:w="1219" w:type="dxa"/>
            <w:shd w:val="clear" w:color="auto" w:fill="FFFFFF" w:themeFill="background1"/>
          </w:tcPr>
          <w:p w14:paraId="60A17E86" w14:textId="77777777" w:rsidR="008338A0" w:rsidRPr="00293C95" w:rsidRDefault="008338A0" w:rsidP="00293C95">
            <w:pPr>
              <w:rPr>
                <w:b/>
                <w:sz w:val="20"/>
                <w:szCs w:val="20"/>
              </w:rPr>
            </w:pPr>
            <w:r w:rsidRPr="00293C95">
              <w:rPr>
                <w:sz w:val="20"/>
                <w:szCs w:val="20"/>
              </w:rPr>
              <w:t>3%</w:t>
            </w:r>
          </w:p>
        </w:tc>
      </w:tr>
      <w:tr w:rsidR="00FD6EFA" w:rsidRPr="00B7244E" w14:paraId="5A80908F" w14:textId="77777777" w:rsidTr="00293C95">
        <w:trPr>
          <w:trHeight w:val="392"/>
        </w:trPr>
        <w:tc>
          <w:tcPr>
            <w:tcW w:w="2689" w:type="dxa"/>
            <w:shd w:val="clear" w:color="auto" w:fill="FFFFFF" w:themeFill="background1"/>
          </w:tcPr>
          <w:p w14:paraId="792B0B36" w14:textId="77777777" w:rsidR="008338A0" w:rsidRPr="00293C95" w:rsidRDefault="008338A0" w:rsidP="00293C95">
            <w:pPr>
              <w:ind w:right="86"/>
              <w:rPr>
                <w:b/>
                <w:sz w:val="20"/>
                <w:szCs w:val="20"/>
              </w:rPr>
            </w:pPr>
            <w:r w:rsidRPr="00293C95">
              <w:rPr>
                <w:b/>
                <w:w w:val="105"/>
                <w:sz w:val="20"/>
                <w:szCs w:val="20"/>
              </w:rPr>
              <w:t>% of pupils in ethnic group</w:t>
            </w:r>
            <w:r w:rsidRPr="00293C95">
              <w:rPr>
                <w:b/>
                <w:spacing w:val="-13"/>
                <w:w w:val="105"/>
                <w:sz w:val="20"/>
                <w:szCs w:val="20"/>
              </w:rPr>
              <w:t xml:space="preserve"> </w:t>
            </w:r>
            <w:r w:rsidRPr="00293C95">
              <w:rPr>
                <w:b/>
                <w:w w:val="105"/>
                <w:sz w:val="20"/>
                <w:szCs w:val="20"/>
              </w:rPr>
              <w:t>with</w:t>
            </w:r>
            <w:r w:rsidRPr="00293C95">
              <w:rPr>
                <w:b/>
                <w:spacing w:val="-13"/>
                <w:w w:val="105"/>
                <w:sz w:val="20"/>
                <w:szCs w:val="20"/>
              </w:rPr>
              <w:t xml:space="preserve"> </w:t>
            </w:r>
            <w:r w:rsidRPr="00293C95">
              <w:rPr>
                <w:b/>
                <w:w w:val="105"/>
                <w:sz w:val="20"/>
                <w:szCs w:val="20"/>
              </w:rPr>
              <w:t>EHCP</w:t>
            </w:r>
            <w:r w:rsidRPr="00293C95">
              <w:rPr>
                <w:b/>
                <w:spacing w:val="-14"/>
                <w:w w:val="105"/>
                <w:sz w:val="20"/>
                <w:szCs w:val="20"/>
              </w:rPr>
              <w:t xml:space="preserve"> </w:t>
            </w:r>
            <w:r w:rsidRPr="00293C95">
              <w:rPr>
                <w:b/>
                <w:w w:val="105"/>
                <w:sz w:val="20"/>
                <w:szCs w:val="20"/>
              </w:rPr>
              <w:t>for</w:t>
            </w:r>
            <w:r w:rsidRPr="00293C95">
              <w:rPr>
                <w:b/>
                <w:spacing w:val="-15"/>
                <w:w w:val="105"/>
                <w:sz w:val="20"/>
                <w:szCs w:val="20"/>
              </w:rPr>
              <w:t xml:space="preserve"> SEMH</w:t>
            </w:r>
          </w:p>
        </w:tc>
        <w:tc>
          <w:tcPr>
            <w:tcW w:w="1219" w:type="dxa"/>
            <w:shd w:val="clear" w:color="auto" w:fill="FFFFFF" w:themeFill="background1"/>
          </w:tcPr>
          <w:p w14:paraId="035A104E" w14:textId="77777777" w:rsidR="008338A0" w:rsidRPr="00293C95" w:rsidRDefault="008338A0" w:rsidP="00293C95">
            <w:pPr>
              <w:rPr>
                <w:b/>
                <w:sz w:val="20"/>
                <w:szCs w:val="20"/>
              </w:rPr>
            </w:pPr>
            <w:r w:rsidRPr="00293C95">
              <w:rPr>
                <w:sz w:val="20"/>
                <w:szCs w:val="20"/>
              </w:rPr>
              <w:t>36.3%</w:t>
            </w:r>
          </w:p>
        </w:tc>
        <w:tc>
          <w:tcPr>
            <w:tcW w:w="1219" w:type="dxa"/>
            <w:shd w:val="clear" w:color="auto" w:fill="FFFFFF" w:themeFill="background1"/>
          </w:tcPr>
          <w:p w14:paraId="31303337" w14:textId="77777777" w:rsidR="008338A0" w:rsidRPr="00293C95" w:rsidRDefault="008338A0" w:rsidP="00293C95">
            <w:pPr>
              <w:rPr>
                <w:b/>
                <w:sz w:val="20"/>
                <w:szCs w:val="20"/>
              </w:rPr>
            </w:pPr>
            <w:r w:rsidRPr="00293C95">
              <w:rPr>
                <w:sz w:val="20"/>
                <w:szCs w:val="20"/>
              </w:rPr>
              <w:t>20.3%</w:t>
            </w:r>
          </w:p>
        </w:tc>
        <w:tc>
          <w:tcPr>
            <w:tcW w:w="1219" w:type="dxa"/>
            <w:shd w:val="clear" w:color="auto" w:fill="FFFFFF" w:themeFill="background1"/>
          </w:tcPr>
          <w:p w14:paraId="21298545" w14:textId="77777777" w:rsidR="008338A0" w:rsidRPr="00293C95" w:rsidRDefault="008338A0" w:rsidP="00293C95">
            <w:pPr>
              <w:rPr>
                <w:b/>
                <w:sz w:val="20"/>
                <w:szCs w:val="20"/>
              </w:rPr>
            </w:pPr>
            <w:r w:rsidRPr="00293C95">
              <w:rPr>
                <w:sz w:val="20"/>
                <w:szCs w:val="20"/>
              </w:rPr>
              <w:t>16%</w:t>
            </w:r>
          </w:p>
        </w:tc>
        <w:tc>
          <w:tcPr>
            <w:tcW w:w="1219" w:type="dxa"/>
            <w:shd w:val="clear" w:color="auto" w:fill="FFFFFF" w:themeFill="background1"/>
          </w:tcPr>
          <w:p w14:paraId="50EA7C0F" w14:textId="77777777" w:rsidR="008338A0" w:rsidRPr="00293C95" w:rsidRDefault="008338A0" w:rsidP="00293C95">
            <w:pPr>
              <w:rPr>
                <w:b/>
                <w:sz w:val="20"/>
                <w:szCs w:val="20"/>
              </w:rPr>
            </w:pPr>
            <w:r w:rsidRPr="00293C95">
              <w:rPr>
                <w:sz w:val="20"/>
                <w:szCs w:val="20"/>
              </w:rPr>
              <w:t>10.2%</w:t>
            </w:r>
          </w:p>
        </w:tc>
        <w:tc>
          <w:tcPr>
            <w:tcW w:w="1219" w:type="dxa"/>
            <w:shd w:val="clear" w:color="auto" w:fill="FFFFFF" w:themeFill="background1"/>
          </w:tcPr>
          <w:p w14:paraId="4EA63D0A" w14:textId="77777777" w:rsidR="008338A0" w:rsidRPr="00293C95" w:rsidRDefault="008338A0" w:rsidP="00293C95">
            <w:pPr>
              <w:rPr>
                <w:b/>
                <w:sz w:val="20"/>
                <w:szCs w:val="20"/>
              </w:rPr>
            </w:pPr>
            <w:r w:rsidRPr="00293C95">
              <w:rPr>
                <w:sz w:val="20"/>
                <w:szCs w:val="20"/>
              </w:rPr>
              <w:t>3.2%</w:t>
            </w:r>
          </w:p>
        </w:tc>
      </w:tr>
    </w:tbl>
    <w:p w14:paraId="7C3BDAAB" w14:textId="66E468DD" w:rsidR="004E04E1" w:rsidRDefault="004E04E1" w:rsidP="009A2EB8">
      <w:pPr>
        <w:rPr>
          <w:rFonts w:eastAsia="Trebuchet MS"/>
        </w:rPr>
      </w:pPr>
    </w:p>
    <w:p w14:paraId="21EC24AA" w14:textId="4E30AC98" w:rsidR="004E04E1" w:rsidRPr="004F1C21" w:rsidRDefault="004E04E1" w:rsidP="00586BF8">
      <w:pPr>
        <w:rPr>
          <w:rFonts w:eastAsia="Trebuchet MS"/>
          <w:lang w:val="en-US"/>
        </w:rPr>
      </w:pPr>
      <w:r>
        <w:rPr>
          <w:rFonts w:eastAsia="Trebuchet MS"/>
        </w:rPr>
        <w:t>I</w:t>
      </w:r>
      <w:r w:rsidRPr="00273DA7">
        <w:rPr>
          <w:rFonts w:eastAsia="Trebuchet MS"/>
        </w:rPr>
        <w:t>n addition to SEMH as a primary need, more than a quarter (</w:t>
      </w:r>
      <w:r w:rsidR="005E4CFD">
        <w:rPr>
          <w:rFonts w:eastAsia="Trebuchet MS"/>
        </w:rPr>
        <w:t xml:space="preserve">n=79; </w:t>
      </w:r>
      <w:r w:rsidRPr="00273DA7">
        <w:rPr>
          <w:rFonts w:eastAsia="Trebuchet MS"/>
        </w:rPr>
        <w:t>28</w:t>
      </w:r>
      <w:r w:rsidR="00C36B64">
        <w:rPr>
          <w:rFonts w:eastAsia="Trebuchet MS"/>
        </w:rPr>
        <w:t>.2</w:t>
      </w:r>
      <w:r w:rsidRPr="00273DA7">
        <w:rPr>
          <w:rFonts w:eastAsia="Trebuchet MS"/>
        </w:rPr>
        <w:t xml:space="preserve">%) of these children </w:t>
      </w:r>
      <w:r>
        <w:rPr>
          <w:rFonts w:eastAsia="Trebuchet MS"/>
        </w:rPr>
        <w:t xml:space="preserve">and young people </w:t>
      </w:r>
      <w:r w:rsidRPr="00273DA7">
        <w:rPr>
          <w:rFonts w:eastAsia="Trebuchet MS"/>
        </w:rPr>
        <w:t>also had a secondary need, most commonly a SLCN (</w:t>
      </w:r>
      <w:r w:rsidR="00FF394E">
        <w:rPr>
          <w:rFonts w:eastAsia="Trebuchet MS"/>
        </w:rPr>
        <w:t>n=</w:t>
      </w:r>
      <w:r w:rsidR="00F95DEE">
        <w:rPr>
          <w:rFonts w:eastAsia="Trebuchet MS"/>
        </w:rPr>
        <w:t>43</w:t>
      </w:r>
      <w:r w:rsidR="0093576D">
        <w:rPr>
          <w:rFonts w:eastAsia="Trebuchet MS"/>
        </w:rPr>
        <w:t xml:space="preserve">; </w:t>
      </w:r>
      <w:r w:rsidR="00432CA6">
        <w:rPr>
          <w:rFonts w:eastAsia="Trebuchet MS"/>
        </w:rPr>
        <w:t>15</w:t>
      </w:r>
      <w:r w:rsidR="00D87909">
        <w:rPr>
          <w:rFonts w:eastAsia="Trebuchet MS"/>
        </w:rPr>
        <w:t>.4</w:t>
      </w:r>
      <w:r w:rsidRPr="00273DA7">
        <w:rPr>
          <w:rFonts w:eastAsia="Trebuchet MS"/>
        </w:rPr>
        <w:t xml:space="preserve">%). </w:t>
      </w:r>
      <w:r w:rsidRPr="004F1C21">
        <w:rPr>
          <w:rFonts w:eastAsia="Trebuchet MS"/>
          <w:lang w:val="en-US"/>
        </w:rPr>
        <w:t>An additional</w:t>
      </w:r>
      <w:r w:rsidR="00914BC5">
        <w:rPr>
          <w:rFonts w:eastAsia="Trebuchet MS"/>
          <w:lang w:val="en-US"/>
        </w:rPr>
        <w:t xml:space="preserve"> </w:t>
      </w:r>
      <w:r w:rsidR="00D06496">
        <w:rPr>
          <w:rFonts w:eastAsia="Trebuchet MS"/>
          <w:lang w:val="en-US"/>
        </w:rPr>
        <w:t>125</w:t>
      </w:r>
      <w:r w:rsidR="00914BC5">
        <w:rPr>
          <w:rFonts w:eastAsia="Trebuchet MS"/>
          <w:lang w:val="en-US"/>
        </w:rPr>
        <w:t xml:space="preserve"> (</w:t>
      </w:r>
      <w:r w:rsidRPr="004F1C21">
        <w:rPr>
          <w:rFonts w:eastAsia="Trebuchet MS"/>
          <w:lang w:val="en-US"/>
        </w:rPr>
        <w:t>4%</w:t>
      </w:r>
      <w:r w:rsidR="00914BC5">
        <w:rPr>
          <w:rFonts w:eastAsia="Trebuchet MS"/>
          <w:lang w:val="en-US"/>
        </w:rPr>
        <w:t>)</w:t>
      </w:r>
      <w:r w:rsidRPr="004F1C21">
        <w:rPr>
          <w:rFonts w:eastAsia="Trebuchet MS"/>
          <w:lang w:val="en-US"/>
        </w:rPr>
        <w:t xml:space="preserve"> children with an EHC</w:t>
      </w:r>
      <w:r w:rsidR="0051337C">
        <w:rPr>
          <w:rFonts w:eastAsia="Trebuchet MS"/>
          <w:lang w:val="en-US"/>
        </w:rPr>
        <w:t xml:space="preserve">P </w:t>
      </w:r>
      <w:r w:rsidRPr="004F1C21">
        <w:rPr>
          <w:rFonts w:eastAsia="Trebuchet MS"/>
          <w:lang w:val="en-US"/>
        </w:rPr>
        <w:t>in Tower Hamlets had a secondary need listed as SEMH, with the most common primary need among these children</w:t>
      </w:r>
      <w:r>
        <w:rPr>
          <w:rFonts w:eastAsia="Trebuchet MS"/>
          <w:lang w:val="en-US"/>
        </w:rPr>
        <w:t xml:space="preserve"> and young people</w:t>
      </w:r>
      <w:r w:rsidRPr="004F1C21">
        <w:rPr>
          <w:rFonts w:eastAsia="Trebuchet MS"/>
          <w:lang w:val="en-US"/>
        </w:rPr>
        <w:t xml:space="preserve"> being SLCN (</w:t>
      </w:r>
      <w:r w:rsidR="00835BE4">
        <w:rPr>
          <w:rFonts w:eastAsia="Trebuchet MS"/>
          <w:lang w:val="en-US"/>
        </w:rPr>
        <w:t>n=</w:t>
      </w:r>
      <w:r w:rsidR="0003602B">
        <w:rPr>
          <w:rFonts w:eastAsia="Trebuchet MS"/>
          <w:lang w:val="en-US"/>
        </w:rPr>
        <w:t>69</w:t>
      </w:r>
      <w:r w:rsidR="00835BE4">
        <w:rPr>
          <w:rFonts w:eastAsia="Trebuchet MS"/>
          <w:lang w:val="en-US"/>
        </w:rPr>
        <w:t xml:space="preserve">; </w:t>
      </w:r>
      <w:r w:rsidR="00F53A48">
        <w:rPr>
          <w:rFonts w:eastAsia="Trebuchet MS"/>
          <w:lang w:val="en-US"/>
        </w:rPr>
        <w:t>55.2</w:t>
      </w:r>
      <w:r w:rsidRPr="004F1C21">
        <w:rPr>
          <w:rFonts w:eastAsia="Trebuchet MS"/>
          <w:lang w:val="en-US"/>
        </w:rPr>
        <w:t>%) and ASD (</w:t>
      </w:r>
      <w:r w:rsidR="0048462D">
        <w:rPr>
          <w:rFonts w:eastAsia="Trebuchet MS"/>
          <w:lang w:val="en-US"/>
        </w:rPr>
        <w:t xml:space="preserve">n=40; </w:t>
      </w:r>
      <w:r w:rsidR="0079090F">
        <w:rPr>
          <w:rFonts w:eastAsia="Trebuchet MS"/>
          <w:lang w:val="en-US"/>
        </w:rPr>
        <w:t>32</w:t>
      </w:r>
      <w:r w:rsidRPr="004F1C21">
        <w:rPr>
          <w:rFonts w:eastAsia="Trebuchet MS"/>
          <w:lang w:val="en-US"/>
        </w:rPr>
        <w:t>%).</w:t>
      </w:r>
    </w:p>
    <w:p w14:paraId="67D00BAF" w14:textId="77777777" w:rsidR="004E04E1" w:rsidRPr="00CA552B" w:rsidRDefault="004E04E1" w:rsidP="00451BBC">
      <w:pPr>
        <w:pStyle w:val="Heading3"/>
        <w:rPr>
          <w:rFonts w:eastAsia="Trebuchet MS"/>
          <w:color w:val="006B70"/>
        </w:rPr>
      </w:pPr>
      <w:bookmarkStart w:id="327" w:name="_Toc211414008"/>
      <w:bookmarkStart w:id="328" w:name="_Toc211439867"/>
      <w:bookmarkStart w:id="329" w:name="_Toc205386946"/>
      <w:bookmarkStart w:id="330" w:name="_Toc205388016"/>
      <w:bookmarkStart w:id="331" w:name="_Toc205446027"/>
      <w:bookmarkEnd w:id="327"/>
      <w:bookmarkEnd w:id="328"/>
      <w:r w:rsidRPr="00CA552B">
        <w:rPr>
          <w:rFonts w:eastAsia="Trebuchet MS"/>
          <w:color w:val="006B70"/>
        </w:rPr>
        <w:t>Diagnosis</w:t>
      </w:r>
      <w:bookmarkEnd w:id="329"/>
      <w:bookmarkEnd w:id="330"/>
      <w:bookmarkEnd w:id="331"/>
    </w:p>
    <w:p w14:paraId="7BBFAFA5" w14:textId="780FE933" w:rsidR="004E04E1" w:rsidRDefault="004E04E1" w:rsidP="00282C9E">
      <w:pPr>
        <w:rPr>
          <w:rFonts w:eastAsia="Trebuchet MS"/>
        </w:rPr>
      </w:pPr>
      <w:r>
        <w:rPr>
          <w:rFonts w:eastAsia="Trebuchet MS"/>
        </w:rPr>
        <w:t xml:space="preserve">Identifying SEMH needs as a SEND is typically carried out by the school’s Special Educational Needs Coordinator (SENCo) or through parental referral to the Tower Hamlets SEN team. </w:t>
      </w:r>
      <w:r w:rsidRPr="008B6E38">
        <w:rPr>
          <w:rFonts w:eastAsia="Trebuchet MS"/>
        </w:rPr>
        <w:t xml:space="preserve">An </w:t>
      </w:r>
      <w:r>
        <w:rPr>
          <w:rFonts w:eastAsia="Trebuchet MS"/>
        </w:rPr>
        <w:t>E</w:t>
      </w:r>
      <w:r w:rsidRPr="008B6E38">
        <w:rPr>
          <w:rFonts w:eastAsia="Trebuchet MS"/>
        </w:rPr>
        <w:t xml:space="preserve">ducational </w:t>
      </w:r>
      <w:r>
        <w:rPr>
          <w:rFonts w:eastAsia="Trebuchet MS"/>
        </w:rPr>
        <w:t>P</w:t>
      </w:r>
      <w:r w:rsidRPr="008B6E38">
        <w:rPr>
          <w:rFonts w:eastAsia="Trebuchet MS"/>
        </w:rPr>
        <w:t>sychologist may also be involved in assessing a child and can identify SEMH needs within the educational context; however, they are not qualified to provide formal mental health diagnoses.</w:t>
      </w:r>
    </w:p>
    <w:p w14:paraId="067B5B14" w14:textId="2234F44F" w:rsidR="004E04E1" w:rsidRDefault="004E04E1" w:rsidP="00282C9E">
      <w:pPr>
        <w:rPr>
          <w:rFonts w:eastAsia="Trebuchet MS"/>
        </w:rPr>
      </w:pPr>
      <w:r w:rsidRPr="00A02D73">
        <w:rPr>
          <w:rFonts w:eastAsia="Trebuchet MS"/>
        </w:rPr>
        <w:t xml:space="preserve">Formal mental health diagnoses are usually made by Child and Adolescent Mental Health Services (CAMHS) Tower Hamlets, following a referral from a GP, another healthcare professional, or a self-referral by parents or carers. It is important to note that not all </w:t>
      </w:r>
      <w:r>
        <w:rPr>
          <w:rFonts w:eastAsia="Trebuchet MS"/>
        </w:rPr>
        <w:t>SEMH needs</w:t>
      </w:r>
      <w:r w:rsidRPr="00A02D73">
        <w:rPr>
          <w:rFonts w:eastAsia="Trebuchet MS"/>
        </w:rPr>
        <w:t xml:space="preserve"> require a clinical diagnosis </w:t>
      </w:r>
      <w:proofErr w:type="gramStart"/>
      <w:r w:rsidRPr="00A02D73">
        <w:rPr>
          <w:rFonts w:eastAsia="Trebuchet MS"/>
        </w:rPr>
        <w:t>in order to</w:t>
      </w:r>
      <w:proofErr w:type="gramEnd"/>
      <w:r w:rsidRPr="00A02D73">
        <w:rPr>
          <w:rFonts w:eastAsia="Trebuchet MS"/>
        </w:rPr>
        <w:t xml:space="preserve"> receive suppor</w:t>
      </w:r>
      <w:r>
        <w:rPr>
          <w:rFonts w:eastAsia="Trebuchet MS"/>
        </w:rPr>
        <w:t>t.</w:t>
      </w:r>
    </w:p>
    <w:p w14:paraId="43A172DC" w14:textId="77777777" w:rsidR="004E04E1" w:rsidRPr="00CA552B" w:rsidRDefault="004E04E1" w:rsidP="00451BBC">
      <w:pPr>
        <w:pStyle w:val="Heading3"/>
        <w:rPr>
          <w:rFonts w:eastAsia="Trebuchet MS"/>
          <w:color w:val="006B70"/>
        </w:rPr>
      </w:pPr>
      <w:bookmarkStart w:id="332" w:name="_Toc205386947"/>
      <w:bookmarkStart w:id="333" w:name="_Toc205388017"/>
      <w:bookmarkStart w:id="334" w:name="_Toc205446028"/>
      <w:r w:rsidRPr="00CA552B">
        <w:rPr>
          <w:rFonts w:eastAsia="Trebuchet MS"/>
          <w:color w:val="006B70"/>
        </w:rPr>
        <w:lastRenderedPageBreak/>
        <w:t>Pathway</w:t>
      </w:r>
      <w:bookmarkEnd w:id="332"/>
      <w:bookmarkEnd w:id="333"/>
      <w:bookmarkEnd w:id="334"/>
    </w:p>
    <w:p w14:paraId="01D0351B" w14:textId="711FDE45" w:rsidR="004E04E1" w:rsidRDefault="004E04E1" w:rsidP="00845195">
      <w:pPr>
        <w:rPr>
          <w:rFonts w:eastAsia="Trebuchet MS"/>
        </w:rPr>
      </w:pPr>
      <w:r w:rsidRPr="004362C8">
        <w:rPr>
          <w:rFonts w:eastAsia="Trebuchet MS"/>
        </w:rPr>
        <w:t>Children can be referred to mental health services by a range of professionals, including teachers, school nurses, GPs, youth workers, or social workers. In some cases, children and young people may be able to self-refer, or a parent or carer can make a referral on their behalf.</w:t>
      </w:r>
    </w:p>
    <w:p w14:paraId="5A8E60D0" w14:textId="77777777" w:rsidR="004E04E1" w:rsidRPr="00CA552B" w:rsidRDefault="004E04E1" w:rsidP="00451BBC">
      <w:pPr>
        <w:pStyle w:val="Heading3"/>
        <w:rPr>
          <w:rFonts w:eastAsia="Trebuchet MS"/>
          <w:color w:val="006B70"/>
        </w:rPr>
      </w:pPr>
      <w:bookmarkStart w:id="335" w:name="_Toc211414011"/>
      <w:bookmarkStart w:id="336" w:name="_Toc211439870"/>
      <w:bookmarkStart w:id="337" w:name="_Toc205386948"/>
      <w:bookmarkStart w:id="338" w:name="_Toc205388018"/>
      <w:bookmarkStart w:id="339" w:name="_Toc205446029"/>
      <w:bookmarkEnd w:id="335"/>
      <w:bookmarkEnd w:id="336"/>
      <w:r w:rsidRPr="00CA552B">
        <w:rPr>
          <w:rFonts w:eastAsia="Trebuchet MS"/>
          <w:color w:val="006B70"/>
        </w:rPr>
        <w:t>Healthy Lifestyle</w:t>
      </w:r>
      <w:bookmarkEnd w:id="337"/>
      <w:bookmarkEnd w:id="338"/>
      <w:bookmarkEnd w:id="339"/>
    </w:p>
    <w:p w14:paraId="055FDD1C" w14:textId="6FF26F7B" w:rsidR="004E04E1" w:rsidRPr="00ED5CF1" w:rsidRDefault="004E04E1" w:rsidP="002E45ED">
      <w:pPr>
        <w:rPr>
          <w:rFonts w:eastAsia="Trebuchet MS"/>
        </w:rPr>
      </w:pPr>
      <w:r>
        <w:rPr>
          <w:rFonts w:eastAsia="Trebuchet MS"/>
          <w:lang w:val="en-US"/>
        </w:rPr>
        <w:t xml:space="preserve">To date, there has been limited research specifically examining health </w:t>
      </w:r>
      <w:proofErr w:type="spellStart"/>
      <w:r>
        <w:rPr>
          <w:rFonts w:eastAsia="Trebuchet MS"/>
          <w:lang w:val="en-US"/>
        </w:rPr>
        <w:t>behaviours</w:t>
      </w:r>
      <w:proofErr w:type="spellEnd"/>
      <w:r>
        <w:rPr>
          <w:rFonts w:eastAsia="Trebuchet MS"/>
          <w:lang w:val="en-US"/>
        </w:rPr>
        <w:t xml:space="preserve"> among children with SEND who also experience co-occurring SEMH needs. </w:t>
      </w:r>
      <w:r w:rsidRPr="00ED5CF1">
        <w:rPr>
          <w:rFonts w:eastAsia="Trebuchet MS"/>
        </w:rPr>
        <w:t>However, broader studies have consistently shown that children with SEMH needs are more likely to engage in poorer health behaviours compared to their peers without such needs. These behaviours include inadequate sleep, lower consumption of fruits and vegetables, increased use of social media, as well as higher rates of smoking, alcohol use, drug use, and sexual risk-taking</w:t>
      </w:r>
      <w:r w:rsidRPr="004F1C21">
        <w:rPr>
          <w:rFonts w:eastAsia="Trebuchet MS"/>
          <w:vertAlign w:val="superscript"/>
          <w:lang w:val="en-US"/>
        </w:rPr>
        <w:endnoteReference w:id="173"/>
      </w:r>
      <w:r w:rsidRPr="00ED5CF1">
        <w:rPr>
          <w:rFonts w:eastAsia="Trebuchet MS"/>
        </w:rPr>
        <w:t>. Such behaviours may be influenced by peer pressure, low self-efficacy regarding health choices, and maladaptive coping strategies.</w:t>
      </w:r>
    </w:p>
    <w:p w14:paraId="78A5073A" w14:textId="742A9C56" w:rsidR="004E04E1" w:rsidRPr="00ED5CF1" w:rsidRDefault="004E04E1" w:rsidP="002E45ED">
      <w:pPr>
        <w:rPr>
          <w:rFonts w:eastAsia="Trebuchet MS"/>
        </w:rPr>
      </w:pPr>
      <w:r w:rsidRPr="00ED5CF1">
        <w:rPr>
          <w:rFonts w:eastAsia="Trebuchet MS"/>
        </w:rPr>
        <w:t>Although direct evidence is sparse, it is reasonable to infer that similar patterns are likely to be observed among children with other types of SEND, potentially placing them at greater risk of developing preventable health conditions later in life</w:t>
      </w:r>
      <w:r>
        <w:rPr>
          <w:rFonts w:eastAsia="Trebuchet MS"/>
        </w:rPr>
        <w:t>.</w:t>
      </w:r>
    </w:p>
    <w:p w14:paraId="40434E54" w14:textId="77777777" w:rsidR="004E04E1" w:rsidRPr="00CA552B" w:rsidRDefault="004E04E1" w:rsidP="00451BBC">
      <w:pPr>
        <w:pStyle w:val="Heading3"/>
        <w:rPr>
          <w:rFonts w:eastAsia="Trebuchet MS"/>
          <w:color w:val="006B70"/>
        </w:rPr>
      </w:pPr>
      <w:bookmarkStart w:id="340" w:name="_Toc205386949"/>
      <w:bookmarkStart w:id="341" w:name="_Toc205388019"/>
      <w:bookmarkStart w:id="342" w:name="_Toc205446030"/>
      <w:r w:rsidRPr="00CA552B">
        <w:rPr>
          <w:rFonts w:eastAsia="Trebuchet MS"/>
          <w:color w:val="006B70"/>
        </w:rPr>
        <w:t>School Life</w:t>
      </w:r>
      <w:bookmarkEnd w:id="340"/>
      <w:bookmarkEnd w:id="341"/>
      <w:bookmarkEnd w:id="342"/>
    </w:p>
    <w:p w14:paraId="12E4B188" w14:textId="7875FB28" w:rsidR="004E04E1" w:rsidRPr="004F1C21" w:rsidRDefault="004E04E1" w:rsidP="003B74A0">
      <w:pPr>
        <w:ind w:left="11" w:hanging="11"/>
        <w:rPr>
          <w:rFonts w:eastAsia="Trebuchet MS"/>
          <w:lang w:val="en-US"/>
        </w:rPr>
      </w:pPr>
      <w:r w:rsidRPr="00282C9E">
        <w:rPr>
          <w:rFonts w:eastAsia="Trebuchet MS"/>
        </w:rPr>
        <w:t xml:space="preserve">Children with SEND often </w:t>
      </w:r>
      <w:r>
        <w:rPr>
          <w:rFonts w:eastAsia="Trebuchet MS"/>
        </w:rPr>
        <w:t>face</w:t>
      </w:r>
      <w:r w:rsidRPr="00282C9E">
        <w:rPr>
          <w:rFonts w:eastAsia="Trebuchet MS"/>
        </w:rPr>
        <w:t xml:space="preserve"> </w:t>
      </w:r>
      <w:r>
        <w:rPr>
          <w:rFonts w:eastAsia="Trebuchet MS"/>
        </w:rPr>
        <w:t>challenging</w:t>
      </w:r>
      <w:r w:rsidRPr="00282C9E">
        <w:rPr>
          <w:rFonts w:eastAsia="Trebuchet MS"/>
        </w:rPr>
        <w:t xml:space="preserve"> school </w:t>
      </w:r>
      <w:r>
        <w:rPr>
          <w:rFonts w:eastAsia="Trebuchet MS"/>
        </w:rPr>
        <w:t>experiences</w:t>
      </w:r>
      <w:r w:rsidRPr="00282C9E">
        <w:rPr>
          <w:rFonts w:eastAsia="Trebuchet MS"/>
        </w:rPr>
        <w:t xml:space="preserve">, which may impact their social, emotional and mental health. </w:t>
      </w:r>
      <w:proofErr w:type="gramStart"/>
      <w:r w:rsidRPr="00282C9E">
        <w:rPr>
          <w:rFonts w:eastAsia="Trebuchet MS"/>
        </w:rPr>
        <w:t>In particular, children</w:t>
      </w:r>
      <w:proofErr w:type="gramEnd"/>
      <w:r w:rsidRPr="00282C9E">
        <w:rPr>
          <w:rFonts w:eastAsia="Trebuchet MS"/>
        </w:rPr>
        <w:t xml:space="preserve"> with SEND tend to have worse</w:t>
      </w:r>
      <w:r>
        <w:rPr>
          <w:rFonts w:eastAsia="Trebuchet MS"/>
        </w:rPr>
        <w:t xml:space="preserve"> academic </w:t>
      </w:r>
      <w:r w:rsidRPr="00282C9E">
        <w:rPr>
          <w:rFonts w:eastAsia="Trebuchet MS"/>
        </w:rPr>
        <w:t xml:space="preserve">achievement than </w:t>
      </w:r>
      <w:r>
        <w:rPr>
          <w:rFonts w:eastAsia="Trebuchet MS"/>
        </w:rPr>
        <w:t>their peers</w:t>
      </w:r>
      <w:r>
        <w:rPr>
          <w:rStyle w:val="EndnoteReference"/>
          <w:rFonts w:eastAsia="Trebuchet MS"/>
        </w:rPr>
        <w:endnoteReference w:id="174"/>
      </w:r>
      <w:r>
        <w:rPr>
          <w:rFonts w:eastAsia="Trebuchet MS"/>
        </w:rPr>
        <w:t xml:space="preserve"> and</w:t>
      </w:r>
      <w:r w:rsidRPr="00282C9E">
        <w:rPr>
          <w:rFonts w:eastAsia="Trebuchet MS"/>
        </w:rPr>
        <w:t xml:space="preserve"> may struggle </w:t>
      </w:r>
      <w:r>
        <w:rPr>
          <w:rFonts w:eastAsia="Trebuchet MS"/>
        </w:rPr>
        <w:t xml:space="preserve">to form and maintain </w:t>
      </w:r>
      <w:r w:rsidRPr="00282C9E">
        <w:rPr>
          <w:rFonts w:eastAsia="Trebuchet MS"/>
        </w:rPr>
        <w:t>social relationships at school. A qualitative study</w:t>
      </w:r>
      <w:r>
        <w:rPr>
          <w:rStyle w:val="EndnoteReference"/>
          <w:rFonts w:eastAsia="Trebuchet MS"/>
        </w:rPr>
        <w:endnoteReference w:id="175"/>
      </w:r>
      <w:r>
        <w:rPr>
          <w:rFonts w:eastAsia="Trebuchet MS"/>
        </w:rPr>
        <w:t xml:space="preserve"> </w:t>
      </w:r>
      <w:r w:rsidRPr="00282C9E">
        <w:rPr>
          <w:rFonts w:eastAsia="Trebuchet MS"/>
        </w:rPr>
        <w:t xml:space="preserve">found that children with SEND </w:t>
      </w:r>
      <w:r>
        <w:rPr>
          <w:rFonts w:eastAsia="Trebuchet MS"/>
        </w:rPr>
        <w:t>often reported</w:t>
      </w:r>
      <w:r w:rsidRPr="00282C9E">
        <w:rPr>
          <w:rFonts w:eastAsia="Trebuchet MS"/>
        </w:rPr>
        <w:t xml:space="preserve"> poor relationships with teachers, particularly </w:t>
      </w:r>
      <w:r>
        <w:rPr>
          <w:rFonts w:eastAsia="Trebuchet MS"/>
        </w:rPr>
        <w:t>when educators</w:t>
      </w:r>
      <w:r w:rsidRPr="00282C9E">
        <w:rPr>
          <w:rFonts w:eastAsia="Trebuchet MS"/>
        </w:rPr>
        <w:t xml:space="preserve"> </w:t>
      </w:r>
      <w:r>
        <w:rPr>
          <w:rFonts w:eastAsia="Trebuchet MS"/>
        </w:rPr>
        <w:t>lacked</w:t>
      </w:r>
      <w:r w:rsidRPr="00282C9E">
        <w:rPr>
          <w:rFonts w:eastAsia="Trebuchet MS"/>
        </w:rPr>
        <w:t xml:space="preserve"> empathy or understanding, </w:t>
      </w:r>
      <w:r>
        <w:rPr>
          <w:rFonts w:eastAsia="Trebuchet MS"/>
        </w:rPr>
        <w:t>were</w:t>
      </w:r>
      <w:r w:rsidRPr="00282C9E">
        <w:rPr>
          <w:rFonts w:eastAsia="Trebuchet MS"/>
        </w:rPr>
        <w:t xml:space="preserve"> unfriendly, </w:t>
      </w:r>
      <w:r>
        <w:rPr>
          <w:rFonts w:eastAsia="Trebuchet MS"/>
        </w:rPr>
        <w:t xml:space="preserve">or failed to </w:t>
      </w:r>
      <w:r w:rsidRPr="00282C9E">
        <w:rPr>
          <w:rFonts w:eastAsia="Trebuchet MS"/>
        </w:rPr>
        <w:t>appropriately adapt their</w:t>
      </w:r>
      <w:r w:rsidRPr="004F1C21">
        <w:rPr>
          <w:rFonts w:eastAsia="Trebuchet MS"/>
          <w:lang w:val="en-US"/>
        </w:rPr>
        <w:t xml:space="preserve"> </w:t>
      </w:r>
      <w:r>
        <w:rPr>
          <w:rFonts w:eastAsia="Trebuchet MS"/>
          <w:lang w:val="en-US"/>
        </w:rPr>
        <w:t>teaching methods</w:t>
      </w:r>
      <w:r w:rsidRPr="004F1C21">
        <w:rPr>
          <w:rFonts w:eastAsia="Trebuchet MS"/>
          <w:lang w:val="en-US"/>
        </w:rPr>
        <w:t xml:space="preserve"> (e.g., </w:t>
      </w:r>
      <w:r>
        <w:rPr>
          <w:rFonts w:eastAsia="Trebuchet MS"/>
          <w:lang w:val="en-US"/>
        </w:rPr>
        <w:t>not allowing sufficient</w:t>
      </w:r>
      <w:r w:rsidRPr="004F1C21">
        <w:rPr>
          <w:rFonts w:eastAsia="Trebuchet MS"/>
          <w:lang w:val="en-US"/>
        </w:rPr>
        <w:t xml:space="preserve"> time to complete </w:t>
      </w:r>
      <w:r>
        <w:rPr>
          <w:rFonts w:eastAsia="Trebuchet MS"/>
          <w:lang w:val="en-US"/>
        </w:rPr>
        <w:t>tasks</w:t>
      </w:r>
      <w:r w:rsidRPr="004F1C21">
        <w:rPr>
          <w:rFonts w:eastAsia="Trebuchet MS"/>
          <w:lang w:val="en-US"/>
        </w:rPr>
        <w:t xml:space="preserve">). </w:t>
      </w:r>
      <w:r>
        <w:rPr>
          <w:rFonts w:eastAsia="Trebuchet MS"/>
          <w:lang w:val="en-US"/>
        </w:rPr>
        <w:t>Additionally,</w:t>
      </w:r>
      <w:r w:rsidRPr="004F1C21">
        <w:rPr>
          <w:rFonts w:eastAsia="Trebuchet MS"/>
          <w:lang w:val="en-US"/>
        </w:rPr>
        <w:t xml:space="preserve"> children with SEND </w:t>
      </w:r>
      <w:r>
        <w:rPr>
          <w:rFonts w:eastAsia="Trebuchet MS"/>
          <w:lang w:val="en-US"/>
        </w:rPr>
        <w:t xml:space="preserve">described experiencing difficulties with peer relationships, including bullying. </w:t>
      </w:r>
      <w:r w:rsidRPr="004F1C21">
        <w:rPr>
          <w:rFonts w:eastAsia="Trebuchet MS"/>
          <w:lang w:val="en-US"/>
        </w:rPr>
        <w:t>Despite th</w:t>
      </w:r>
      <w:r>
        <w:rPr>
          <w:rFonts w:eastAsia="Trebuchet MS"/>
          <w:lang w:val="en-US"/>
        </w:rPr>
        <w:t>ese challenges</w:t>
      </w:r>
      <w:r w:rsidRPr="004F1C21">
        <w:rPr>
          <w:rFonts w:eastAsia="Trebuchet MS"/>
          <w:lang w:val="en-US"/>
        </w:rPr>
        <w:t xml:space="preserve">, </w:t>
      </w:r>
      <w:r>
        <w:rPr>
          <w:rFonts w:eastAsia="Trebuchet MS"/>
          <w:lang w:val="en-US"/>
        </w:rPr>
        <w:t xml:space="preserve">some </w:t>
      </w:r>
      <w:r w:rsidRPr="004F1C21">
        <w:rPr>
          <w:rFonts w:eastAsia="Trebuchet MS"/>
          <w:lang w:val="en-US"/>
        </w:rPr>
        <w:t xml:space="preserve">were able to </w:t>
      </w:r>
      <w:r>
        <w:rPr>
          <w:rFonts w:eastAsia="Trebuchet MS"/>
          <w:lang w:val="en-US"/>
        </w:rPr>
        <w:t>form</w:t>
      </w:r>
      <w:r w:rsidRPr="004F1C21">
        <w:rPr>
          <w:rFonts w:eastAsia="Trebuchet MS"/>
          <w:lang w:val="en-US"/>
        </w:rPr>
        <w:t xml:space="preserve"> strong friendships </w:t>
      </w:r>
      <w:r>
        <w:rPr>
          <w:rFonts w:eastAsia="Trebuchet MS"/>
          <w:lang w:val="en-US"/>
        </w:rPr>
        <w:t>which may serve as a protective factor</w:t>
      </w:r>
      <w:r w:rsidR="00286D9F">
        <w:rPr>
          <w:rFonts w:eastAsia="Trebuchet MS"/>
          <w:lang w:val="en-US"/>
        </w:rPr>
        <w:t xml:space="preserve"> for mental health</w:t>
      </w:r>
      <w:r w:rsidRPr="004F1C21">
        <w:rPr>
          <w:rFonts w:eastAsia="Trebuchet MS"/>
          <w:lang w:val="en-US"/>
        </w:rPr>
        <w:t>. Bullying</w:t>
      </w:r>
      <w:r>
        <w:rPr>
          <w:rFonts w:eastAsia="Trebuchet MS"/>
          <w:lang w:val="en-US"/>
        </w:rPr>
        <w:t>, however,</w:t>
      </w:r>
      <w:r w:rsidRPr="004F1C21">
        <w:rPr>
          <w:rFonts w:eastAsia="Trebuchet MS"/>
          <w:lang w:val="en-US"/>
        </w:rPr>
        <w:t xml:space="preserve"> is </w:t>
      </w:r>
      <w:r>
        <w:rPr>
          <w:rFonts w:eastAsia="Trebuchet MS"/>
          <w:lang w:val="en-US"/>
        </w:rPr>
        <w:t xml:space="preserve">widely </w:t>
      </w:r>
      <w:proofErr w:type="spellStart"/>
      <w:r>
        <w:rPr>
          <w:rFonts w:eastAsia="Trebuchet MS"/>
          <w:lang w:val="en-US"/>
        </w:rPr>
        <w:t>recognised</w:t>
      </w:r>
      <w:proofErr w:type="spellEnd"/>
      <w:r w:rsidRPr="004F1C21">
        <w:rPr>
          <w:rFonts w:eastAsia="Trebuchet MS"/>
          <w:lang w:val="en-US"/>
        </w:rPr>
        <w:t xml:space="preserve"> </w:t>
      </w:r>
      <w:r>
        <w:rPr>
          <w:rFonts w:eastAsia="Trebuchet MS"/>
          <w:lang w:val="en-US"/>
        </w:rPr>
        <w:t xml:space="preserve">as having </w:t>
      </w:r>
      <w:r w:rsidRPr="004F1C21">
        <w:rPr>
          <w:rFonts w:eastAsia="Trebuchet MS"/>
          <w:lang w:val="en-US"/>
        </w:rPr>
        <w:t xml:space="preserve">impact </w:t>
      </w:r>
      <w:r>
        <w:rPr>
          <w:rFonts w:eastAsia="Trebuchet MS"/>
          <w:lang w:val="en-US"/>
        </w:rPr>
        <w:t xml:space="preserve">on children and young people’s </w:t>
      </w:r>
      <w:r w:rsidRPr="004F1C21">
        <w:rPr>
          <w:rFonts w:eastAsia="Trebuchet MS"/>
          <w:lang w:val="en-US"/>
        </w:rPr>
        <w:t>mental health and wellbeing which can persist into adulthood</w:t>
      </w:r>
      <w:r w:rsidRPr="004F1C21">
        <w:rPr>
          <w:rFonts w:eastAsia="Trebuchet MS"/>
          <w:vertAlign w:val="superscript"/>
          <w:lang w:val="en-US"/>
        </w:rPr>
        <w:endnoteReference w:id="176"/>
      </w:r>
      <w:r>
        <w:rPr>
          <w:rFonts w:eastAsia="Trebuchet MS"/>
          <w:lang w:val="en-US"/>
        </w:rPr>
        <w:t>.</w:t>
      </w:r>
    </w:p>
    <w:p w14:paraId="6DECB198" w14:textId="2B1A525F" w:rsidR="004E04E1" w:rsidRDefault="004E04E1" w:rsidP="00282C9E">
      <w:pPr>
        <w:ind w:left="11" w:hanging="11"/>
        <w:rPr>
          <w:rFonts w:eastAsia="Trebuchet MS"/>
          <w:lang w:val="en-US"/>
        </w:rPr>
      </w:pPr>
      <w:r w:rsidRPr="00C87888">
        <w:rPr>
          <w:rFonts w:eastAsia="Trebuchet MS"/>
        </w:rPr>
        <w:t xml:space="preserve">For children </w:t>
      </w:r>
      <w:r>
        <w:rPr>
          <w:rFonts w:eastAsia="Trebuchet MS"/>
        </w:rPr>
        <w:t xml:space="preserve">and young people </w:t>
      </w:r>
      <w:r w:rsidRPr="00C87888">
        <w:rPr>
          <w:rFonts w:eastAsia="Trebuchet MS"/>
        </w:rPr>
        <w:t>with SEMH needs, stigma can further compound these difficulties. Being labelled as ‘different’ by teachers, school staff, or peers can lead to feelings of exclusion and reinforce negative self-perceptions</w:t>
      </w:r>
      <w:r w:rsidRPr="004F1C21">
        <w:rPr>
          <w:rFonts w:eastAsia="Trebuchet MS"/>
          <w:vertAlign w:val="superscript"/>
          <w:lang w:val="en-US"/>
        </w:rPr>
        <w:endnoteReference w:id="177"/>
      </w:r>
      <w:r w:rsidRPr="00C87888">
        <w:rPr>
          <w:rFonts w:eastAsia="Trebuchet MS"/>
        </w:rPr>
        <w:t>.</w:t>
      </w:r>
    </w:p>
    <w:p w14:paraId="3793F972" w14:textId="61698757" w:rsidR="004E04E1" w:rsidRPr="004F1C21" w:rsidRDefault="004E04E1" w:rsidP="00282C9E">
      <w:pPr>
        <w:rPr>
          <w:rFonts w:eastAsia="Trebuchet MS"/>
          <w:lang w:val="en-US"/>
        </w:rPr>
      </w:pPr>
      <w:r w:rsidRPr="00E54A47">
        <w:rPr>
          <w:rFonts w:eastAsia="Trebuchet MS"/>
        </w:rPr>
        <w:t>Interviews with local stakeholders revealed growing concerns about the rise in emotionally based school avoidance, where children are increasingly absent from school due to anxiety</w:t>
      </w:r>
      <w:r w:rsidR="00BC0C00">
        <w:rPr>
          <w:rFonts w:eastAsia="Trebuchet MS"/>
        </w:rPr>
        <w:t xml:space="preserve">. One stakeholder outlined that </w:t>
      </w:r>
      <w:r w:rsidRPr="00E54A47">
        <w:rPr>
          <w:rFonts w:eastAsia="Trebuchet MS"/>
        </w:rPr>
        <w:t xml:space="preserve">this anxiety </w:t>
      </w:r>
      <w:r w:rsidR="00BC0C00">
        <w:rPr>
          <w:rFonts w:eastAsia="Trebuchet MS"/>
        </w:rPr>
        <w:t>may be</w:t>
      </w:r>
      <w:r w:rsidRPr="00E54A47">
        <w:rPr>
          <w:rFonts w:eastAsia="Trebuchet MS"/>
        </w:rPr>
        <w:t xml:space="preserve"> linked to autism. This local trend mirrors national findings, with recent literature suggesting that the increase in </w:t>
      </w:r>
      <w:r>
        <w:rPr>
          <w:rFonts w:eastAsia="Trebuchet MS"/>
        </w:rPr>
        <w:t xml:space="preserve">emotional-based school avoidance </w:t>
      </w:r>
      <w:r w:rsidRPr="00E54A47">
        <w:rPr>
          <w:rFonts w:eastAsia="Trebuchet MS"/>
        </w:rPr>
        <w:t>across England may be driven by a rise in mental health issues among children and young people</w:t>
      </w:r>
      <w:r>
        <w:rPr>
          <w:rFonts w:eastAsia="Trebuchet MS"/>
        </w:rPr>
        <w:t xml:space="preserve">, </w:t>
      </w:r>
      <w:r w:rsidRPr="00E54A47">
        <w:rPr>
          <w:rFonts w:eastAsia="Trebuchet MS"/>
        </w:rPr>
        <w:t>particularly those who are neurodivergent</w:t>
      </w:r>
      <w:r>
        <w:rPr>
          <w:rFonts w:eastAsia="Trebuchet MS"/>
        </w:rPr>
        <w:t xml:space="preserve">, </w:t>
      </w:r>
      <w:r w:rsidRPr="00E54A47">
        <w:rPr>
          <w:rFonts w:eastAsia="Trebuchet MS"/>
        </w:rPr>
        <w:t>following the COVID-19 pandemic</w:t>
      </w:r>
      <w:r w:rsidRPr="004F1C21">
        <w:rPr>
          <w:rFonts w:eastAsia="Trebuchet MS"/>
          <w:vertAlign w:val="superscript"/>
          <w:lang w:val="en-US"/>
        </w:rPr>
        <w:endnoteReference w:id="178"/>
      </w:r>
      <w:r w:rsidRPr="00E54A47">
        <w:rPr>
          <w:rFonts w:eastAsia="Trebuchet MS"/>
        </w:rPr>
        <w:t>.</w:t>
      </w:r>
    </w:p>
    <w:p w14:paraId="37A57E03" w14:textId="77777777" w:rsidR="004E04E1" w:rsidRPr="00CA552B" w:rsidRDefault="004E04E1" w:rsidP="00AC5A97">
      <w:pPr>
        <w:pStyle w:val="Heading3"/>
        <w:rPr>
          <w:rFonts w:eastAsia="Trebuchet MS"/>
          <w:color w:val="006B70"/>
        </w:rPr>
      </w:pPr>
      <w:bookmarkStart w:id="343" w:name="_Toc205386950"/>
      <w:bookmarkStart w:id="344" w:name="_Toc205388020"/>
      <w:bookmarkStart w:id="345" w:name="_Toc205446031"/>
      <w:r w:rsidRPr="00CA552B">
        <w:rPr>
          <w:rFonts w:eastAsia="Trebuchet MS"/>
          <w:color w:val="006B70"/>
        </w:rPr>
        <w:t>Outcomes</w:t>
      </w:r>
      <w:bookmarkEnd w:id="343"/>
      <w:bookmarkEnd w:id="344"/>
      <w:bookmarkEnd w:id="345"/>
    </w:p>
    <w:p w14:paraId="62E0030B" w14:textId="77777777" w:rsidR="004E04E1" w:rsidRPr="004F1C21" w:rsidRDefault="004E04E1" w:rsidP="00282C9E">
      <w:pPr>
        <w:rPr>
          <w:rFonts w:eastAsia="Trebuchet MS"/>
        </w:rPr>
      </w:pPr>
      <w:r w:rsidRPr="004F1C21">
        <w:rPr>
          <w:rFonts w:eastAsia="Trebuchet MS"/>
        </w:rPr>
        <w:t>Whilst there has been limited literature exploring the outcomes of SEMH needs among people with SEND, both SEMH and SEND needs increase risk of some negative outcomes, including:</w:t>
      </w:r>
    </w:p>
    <w:p w14:paraId="1835BA16" w14:textId="41C9BBFB" w:rsidR="004E04E1" w:rsidRDefault="004E04E1" w:rsidP="00BF63ED">
      <w:pPr>
        <w:pStyle w:val="ListParagraph"/>
        <w:numPr>
          <w:ilvl w:val="0"/>
          <w:numId w:val="5"/>
        </w:numPr>
        <w:rPr>
          <w:rFonts w:eastAsia="Trebuchet MS"/>
        </w:rPr>
      </w:pPr>
      <w:r w:rsidRPr="002B7B7C">
        <w:rPr>
          <w:rFonts w:eastAsia="Trebuchet MS"/>
          <w:b/>
          <w:bCs/>
        </w:rPr>
        <w:lastRenderedPageBreak/>
        <w:t xml:space="preserve">Crime: </w:t>
      </w:r>
      <w:r w:rsidRPr="002B7B7C">
        <w:rPr>
          <w:rFonts w:eastAsia="Trebuchet MS"/>
        </w:rPr>
        <w:t>people with mental health conditions have historically been overrepresented in the criminal justice system, with many proposed explanations for this including a lack of available support and social exclusion</w:t>
      </w:r>
      <w:r w:rsidRPr="004F1C21">
        <w:rPr>
          <w:rFonts w:eastAsia="Trebuchet MS"/>
          <w:vertAlign w:val="superscript"/>
        </w:rPr>
        <w:endnoteReference w:id="179"/>
      </w:r>
      <w:r w:rsidR="002E45ED" w:rsidRPr="00B7244E">
        <w:t>.</w:t>
      </w:r>
      <w:r w:rsidRPr="002B7B7C">
        <w:rPr>
          <w:rFonts w:eastAsia="Trebuchet MS"/>
        </w:rPr>
        <w:t xml:space="preserve"> There is a complex relationship between crime and SEND, with people with ADHD having an increased risk of arrest, convictions and incarcerations</w:t>
      </w:r>
      <w:r w:rsidRPr="004F1C21">
        <w:rPr>
          <w:rFonts w:eastAsia="Trebuchet MS"/>
          <w:vertAlign w:val="superscript"/>
        </w:rPr>
        <w:endnoteReference w:id="180"/>
      </w:r>
      <w:r w:rsidRPr="002B7B7C">
        <w:rPr>
          <w:rFonts w:eastAsia="Trebuchet MS"/>
        </w:rPr>
        <w:t xml:space="preserve"> whilst people with ASD are at higher risk of engaging with the criminal justice system, although do not appear to be at higher risk of offending behaviours than the general population</w:t>
      </w:r>
      <w:r w:rsidRPr="004F1C21">
        <w:rPr>
          <w:rFonts w:eastAsia="Trebuchet MS"/>
          <w:vertAlign w:val="superscript"/>
        </w:rPr>
        <w:endnoteReference w:id="181"/>
      </w:r>
      <w:r w:rsidR="002E45ED" w:rsidRPr="00B7244E">
        <w:t>.</w:t>
      </w:r>
      <w:r w:rsidRPr="002B7B7C">
        <w:rPr>
          <w:rFonts w:eastAsia="Trebuchet MS"/>
        </w:rPr>
        <w:t xml:space="preserve"> Furthermore, there is a high prevalence of SLCN among young people in the youth justice system</w:t>
      </w:r>
      <w:r w:rsidRPr="004F1C21">
        <w:rPr>
          <w:rFonts w:eastAsia="Trebuchet MS"/>
          <w:vertAlign w:val="superscript"/>
        </w:rPr>
        <w:endnoteReference w:id="182"/>
      </w:r>
      <w:r w:rsidRPr="002B7B7C">
        <w:rPr>
          <w:rFonts w:eastAsia="Trebuchet MS"/>
        </w:rPr>
        <w:t xml:space="preserve"> and of people with dyslexia in the criminal justice system</w:t>
      </w:r>
      <w:r w:rsidR="009E215B">
        <w:rPr>
          <w:rFonts w:eastAsia="Trebuchet MS"/>
          <w:vertAlign w:val="superscript"/>
          <w:lang w:val="en-US"/>
        </w:rPr>
        <w:fldChar w:fldCharType="begin"/>
      </w:r>
      <w:r w:rsidR="009E215B">
        <w:rPr>
          <w:rFonts w:eastAsia="Trebuchet MS"/>
          <w:vertAlign w:val="superscript"/>
          <w:lang w:val="en-US"/>
        </w:rPr>
        <w:instrText xml:space="preserve"> NOTEREF  _Ref205285565 \f \h </w:instrText>
      </w:r>
      <w:r w:rsidR="009E215B">
        <w:rPr>
          <w:rFonts w:eastAsia="Trebuchet MS"/>
          <w:vertAlign w:val="superscript"/>
          <w:lang w:val="en-US"/>
        </w:rPr>
      </w:r>
      <w:r w:rsidR="009E215B">
        <w:rPr>
          <w:rFonts w:eastAsia="Trebuchet MS"/>
          <w:vertAlign w:val="superscript"/>
          <w:lang w:val="en-US"/>
        </w:rPr>
        <w:fldChar w:fldCharType="separate"/>
      </w:r>
      <w:r w:rsidR="008722C4">
        <w:rPr>
          <w:rFonts w:eastAsia="Trebuchet MS"/>
          <w:b/>
          <w:bCs/>
          <w:vertAlign w:val="superscript"/>
          <w:lang w:val="en-US"/>
        </w:rPr>
        <w:t>Error! Bookmark not defined.</w:t>
      </w:r>
      <w:r w:rsidR="009E215B">
        <w:rPr>
          <w:rFonts w:eastAsia="Trebuchet MS"/>
          <w:vertAlign w:val="superscript"/>
          <w:lang w:val="en-US"/>
        </w:rPr>
        <w:fldChar w:fldCharType="end"/>
      </w:r>
      <w:r w:rsidR="002E45ED" w:rsidRPr="00B7244E">
        <w:t>.</w:t>
      </w:r>
    </w:p>
    <w:p w14:paraId="4BC8DB2D" w14:textId="44436E7C" w:rsidR="004E04E1" w:rsidRPr="002B7B7C" w:rsidRDefault="004E04E1" w:rsidP="00BF63ED">
      <w:pPr>
        <w:pStyle w:val="ListParagraph"/>
        <w:numPr>
          <w:ilvl w:val="0"/>
          <w:numId w:val="5"/>
        </w:numPr>
        <w:rPr>
          <w:rFonts w:eastAsia="Trebuchet MS"/>
        </w:rPr>
      </w:pPr>
      <w:r w:rsidRPr="002B7B7C">
        <w:rPr>
          <w:rFonts w:eastAsia="Trebuchet MS"/>
          <w:b/>
          <w:bCs/>
        </w:rPr>
        <w:t>Homelessness:</w:t>
      </w:r>
      <w:r w:rsidRPr="002B7B7C">
        <w:rPr>
          <w:rFonts w:eastAsia="Trebuchet MS"/>
        </w:rPr>
        <w:t xml:space="preserve"> it is widely known that most people experiencing homelessness have a mental health condition</w:t>
      </w:r>
      <w:r w:rsidRPr="004F1C21">
        <w:rPr>
          <w:rFonts w:eastAsia="Trebuchet MS"/>
          <w:vertAlign w:val="superscript"/>
        </w:rPr>
        <w:endnoteReference w:id="183"/>
      </w:r>
      <w:r w:rsidRPr="002B7B7C">
        <w:rPr>
          <w:rFonts w:eastAsia="Trebuchet MS"/>
        </w:rPr>
        <w:t>, but research has found that SEND needs can lead to homelessness as well. For example, it has been found that ADHD increases risk of homelessness</w:t>
      </w:r>
      <w:r w:rsidRPr="004F1C21">
        <w:rPr>
          <w:rFonts w:eastAsia="Trebuchet MS"/>
          <w:vertAlign w:val="superscript"/>
        </w:rPr>
        <w:endnoteReference w:id="184"/>
      </w:r>
      <w:r w:rsidRPr="002B7B7C">
        <w:rPr>
          <w:rFonts w:eastAsia="Trebuchet MS"/>
        </w:rPr>
        <w:t xml:space="preserve"> as does dyslexia</w:t>
      </w:r>
      <w:r w:rsidR="004058BA">
        <w:rPr>
          <w:rFonts w:eastAsia="Trebuchet MS"/>
        </w:rPr>
        <w:t>.</w:t>
      </w:r>
      <w:r w:rsidRPr="002B7B7C">
        <w:rPr>
          <w:rFonts w:eastAsia="Trebuchet MS"/>
        </w:rPr>
        <w:t xml:space="preserve"> Furthermore, it has been found that having an intellectual disability increases risk of homelessness</w:t>
      </w:r>
      <w:r w:rsidRPr="004F1C21">
        <w:rPr>
          <w:rFonts w:eastAsia="Trebuchet MS"/>
          <w:vertAlign w:val="superscript"/>
        </w:rPr>
        <w:endnoteReference w:id="185"/>
      </w:r>
      <w:r w:rsidR="002E45ED" w:rsidRPr="00B7244E">
        <w:t>.</w:t>
      </w:r>
    </w:p>
    <w:p w14:paraId="082DF93C" w14:textId="17AD7C36" w:rsidR="004E04E1" w:rsidRPr="002B7B7C" w:rsidRDefault="004E04E1" w:rsidP="00BF63ED">
      <w:pPr>
        <w:pStyle w:val="ListParagraph"/>
        <w:numPr>
          <w:ilvl w:val="0"/>
          <w:numId w:val="5"/>
        </w:numPr>
        <w:spacing w:line="264" w:lineRule="auto"/>
        <w:rPr>
          <w:rFonts w:eastAsia="Trebuchet MS"/>
        </w:rPr>
      </w:pPr>
      <w:r w:rsidRPr="004F1C21">
        <w:rPr>
          <w:rFonts w:eastAsia="Trebuchet MS"/>
          <w:b/>
          <w:bCs/>
        </w:rPr>
        <w:t xml:space="preserve">Employment: </w:t>
      </w:r>
      <w:r w:rsidRPr="004F1C21">
        <w:rPr>
          <w:rFonts w:eastAsia="Trebuchet MS"/>
        </w:rPr>
        <w:t>people with mental health problems can have difficulty in finding and retaining employment, tend to earn less than those without mental health problems and can struggle to grow in their careers</w:t>
      </w:r>
      <w:r w:rsidRPr="004F1C21">
        <w:rPr>
          <w:rFonts w:eastAsia="Trebuchet MS"/>
          <w:vertAlign w:val="superscript"/>
        </w:rPr>
        <w:endnoteReference w:id="186"/>
      </w:r>
      <w:r w:rsidR="002E45ED" w:rsidRPr="00B7244E">
        <w:t>.</w:t>
      </w:r>
      <w:r w:rsidRPr="004F1C21">
        <w:rPr>
          <w:rFonts w:eastAsia="Trebuchet MS"/>
        </w:rPr>
        <w:t xml:space="preserve"> Employment can vary across SEND need, but there is a clear gap in education, employment and training between those with and those without SEND</w:t>
      </w:r>
      <w:r w:rsidRPr="004F1C21">
        <w:rPr>
          <w:rFonts w:eastAsia="Trebuchet MS"/>
          <w:vertAlign w:val="superscript"/>
        </w:rPr>
        <w:endnoteReference w:id="187"/>
      </w:r>
      <w:r w:rsidR="002E45ED" w:rsidRPr="00B7244E">
        <w:t>.</w:t>
      </w:r>
    </w:p>
    <w:p w14:paraId="66BF2EF6" w14:textId="77777777" w:rsidR="004E04E1" w:rsidRPr="004F1C21" w:rsidRDefault="004E04E1" w:rsidP="007A6B0A">
      <w:pPr>
        <w:rPr>
          <w:rFonts w:eastAsia="Trebuchet MS"/>
        </w:rPr>
      </w:pPr>
      <w:r w:rsidRPr="004F1C21">
        <w:rPr>
          <w:rFonts w:eastAsia="Trebuchet MS"/>
        </w:rPr>
        <w:t xml:space="preserve">From this, </w:t>
      </w:r>
      <w:proofErr w:type="gramStart"/>
      <w:r w:rsidRPr="004F1C21">
        <w:rPr>
          <w:rFonts w:eastAsia="Trebuchet MS"/>
        </w:rPr>
        <w:t>it is clear that both</w:t>
      </w:r>
      <w:proofErr w:type="gramEnd"/>
      <w:r w:rsidRPr="004F1C21">
        <w:rPr>
          <w:rFonts w:eastAsia="Trebuchet MS"/>
        </w:rPr>
        <w:t xml:space="preserve"> SEMH and SEND needs can lead to certain negative outcomes independently of each other and therefore, the possible cumulative effect of having co-existing SEMH and SEND needs should be considered and acknowledged when planning support and interventions for children with SEND.</w:t>
      </w:r>
    </w:p>
    <w:p w14:paraId="054D4328" w14:textId="77777777" w:rsidR="004E04E1" w:rsidRPr="00CA552B" w:rsidRDefault="004E04E1" w:rsidP="00AC5A97">
      <w:pPr>
        <w:pStyle w:val="Heading3"/>
        <w:rPr>
          <w:rFonts w:eastAsia="Trebuchet MS"/>
          <w:color w:val="006B70"/>
        </w:rPr>
      </w:pPr>
      <w:bookmarkStart w:id="346" w:name="_Toc205386951"/>
      <w:bookmarkStart w:id="347" w:name="_Toc205388021"/>
      <w:bookmarkStart w:id="348" w:name="_Toc205446032"/>
      <w:r w:rsidRPr="00CA552B">
        <w:rPr>
          <w:rFonts w:eastAsia="Trebuchet MS"/>
          <w:color w:val="006B70"/>
        </w:rPr>
        <w:t>Transitions</w:t>
      </w:r>
      <w:bookmarkEnd w:id="346"/>
      <w:bookmarkEnd w:id="347"/>
      <w:bookmarkEnd w:id="348"/>
    </w:p>
    <w:p w14:paraId="676A4EA6" w14:textId="5052E331" w:rsidR="004E04E1" w:rsidRPr="004F1C21" w:rsidRDefault="004E04E1" w:rsidP="002B7B7C">
      <w:pPr>
        <w:ind w:left="11" w:hanging="11"/>
        <w:rPr>
          <w:rFonts w:eastAsia="Trebuchet MS"/>
          <w:lang w:val="en-US"/>
        </w:rPr>
      </w:pPr>
      <w:r w:rsidRPr="004F1C21">
        <w:rPr>
          <w:rFonts w:eastAsia="Trebuchet MS"/>
          <w:lang w:val="en-US"/>
        </w:rPr>
        <w:t>Children receiving support from CAMHS can transition to the Adult Mental Health Service. This process should begin six months prior to the child’s 18</w:t>
      </w:r>
      <w:r w:rsidRPr="004F1C21">
        <w:rPr>
          <w:rFonts w:eastAsia="Trebuchet MS"/>
          <w:vertAlign w:val="superscript"/>
          <w:lang w:val="en-US"/>
        </w:rPr>
        <w:t>th</w:t>
      </w:r>
      <w:r w:rsidRPr="004F1C21">
        <w:rPr>
          <w:rFonts w:eastAsia="Trebuchet MS"/>
          <w:lang w:val="en-US"/>
        </w:rPr>
        <w:t xml:space="preserve"> birthday, with a referral made by CAMHS to the Adult Mental Health Service. During these six months, several meetings should take place to transfer care. Where necessary, CAMHS can continue to provide joint </w:t>
      </w:r>
      <w:r w:rsidR="002E45ED" w:rsidRPr="004F1C21">
        <w:rPr>
          <w:rFonts w:eastAsia="Trebuchet MS"/>
          <w:lang w:val="en-US"/>
        </w:rPr>
        <w:t>support for</w:t>
      </w:r>
      <w:r w:rsidRPr="004F1C21">
        <w:rPr>
          <w:rFonts w:eastAsia="Trebuchet MS"/>
          <w:lang w:val="en-US"/>
        </w:rPr>
        <w:t xml:space="preserve"> up </w:t>
      </w:r>
      <w:r>
        <w:rPr>
          <w:rFonts w:eastAsia="Trebuchet MS"/>
          <w:lang w:val="en-US"/>
        </w:rPr>
        <w:t>to</w:t>
      </w:r>
      <w:r w:rsidRPr="004F1C21">
        <w:rPr>
          <w:rFonts w:eastAsia="Trebuchet MS"/>
          <w:lang w:val="en-US"/>
        </w:rPr>
        <w:t xml:space="preserve"> six months following the child’s 18</w:t>
      </w:r>
      <w:r w:rsidRPr="004F1C21">
        <w:rPr>
          <w:rFonts w:eastAsia="Trebuchet MS"/>
          <w:vertAlign w:val="superscript"/>
          <w:lang w:val="en-US"/>
        </w:rPr>
        <w:t>th</w:t>
      </w:r>
      <w:r w:rsidRPr="004F1C21">
        <w:rPr>
          <w:rFonts w:eastAsia="Trebuchet MS"/>
          <w:lang w:val="en-US"/>
        </w:rPr>
        <w:t xml:space="preserve"> birthday.</w:t>
      </w:r>
    </w:p>
    <w:p w14:paraId="735BC4A2" w14:textId="3E4DF2A0" w:rsidR="004E04E1" w:rsidRPr="004F1C21" w:rsidRDefault="004E04E1" w:rsidP="002B7B7C">
      <w:pPr>
        <w:ind w:left="11" w:hanging="11"/>
        <w:rPr>
          <w:rFonts w:eastAsia="Trebuchet MS"/>
          <w:lang w:val="en-US"/>
        </w:rPr>
      </w:pPr>
      <w:r w:rsidRPr="004F1C21">
        <w:rPr>
          <w:rFonts w:eastAsia="Trebuchet MS"/>
          <w:lang w:val="en-US"/>
        </w:rPr>
        <w:t>For children with a learning disability receiving support from CAMHS, if appropriate, they can be transitioned to the Community Learning Disability Service (CLDS). This transition can begin from the age of 16, with quarterly pre-transition meetings taking place with CAMHS and CLDS. Referrals to CLDS can be made six months prior to the child turning 18, with pre-transition meetings taking place up until the child turns 18. Where necessary, CAMHS can continue to provide joint support with CLDS until six months following the child’s 18</w:t>
      </w:r>
      <w:r w:rsidRPr="004F1C21">
        <w:rPr>
          <w:rFonts w:eastAsia="Trebuchet MS"/>
          <w:vertAlign w:val="superscript"/>
          <w:lang w:val="en-US"/>
        </w:rPr>
        <w:t>th</w:t>
      </w:r>
      <w:r w:rsidRPr="004F1C21">
        <w:rPr>
          <w:rFonts w:eastAsia="Trebuchet MS"/>
          <w:lang w:val="en-US"/>
        </w:rPr>
        <w:t xml:space="preserve"> birthday.</w:t>
      </w:r>
    </w:p>
    <w:p w14:paraId="22936EC5" w14:textId="0329B119" w:rsidR="004E04E1" w:rsidRPr="004F1C21" w:rsidRDefault="004E04E1" w:rsidP="002B7B7C">
      <w:pPr>
        <w:rPr>
          <w:rFonts w:eastAsia="Trebuchet MS"/>
          <w:lang w:val="en-US"/>
        </w:rPr>
      </w:pPr>
      <w:r w:rsidRPr="004F1C21">
        <w:rPr>
          <w:rFonts w:eastAsia="Trebuchet MS"/>
          <w:lang w:val="en-US"/>
        </w:rPr>
        <w:t>However, in interviews with stakeholders, it was outlined that the transition between children and adult services can be difficult if children do not meet inclusion criteria. For example, if they have an IQ of 70 or above</w:t>
      </w:r>
      <w:r w:rsidR="008C1B82" w:rsidRPr="004F1C21">
        <w:rPr>
          <w:rFonts w:eastAsia="Trebuchet MS"/>
          <w:lang w:val="en-US"/>
        </w:rPr>
        <w:t>,</w:t>
      </w:r>
      <w:r w:rsidRPr="004F1C21">
        <w:rPr>
          <w:rFonts w:eastAsia="Trebuchet MS"/>
          <w:lang w:val="en-US"/>
        </w:rPr>
        <w:t xml:space="preserve"> they would not be able to access support from CLDS, which may mean they have to seek support from the adult social care team to be assessed. This could</w:t>
      </w:r>
      <w:r w:rsidR="00A70FF1">
        <w:rPr>
          <w:rFonts w:eastAsia="Trebuchet MS"/>
          <w:lang w:val="en-US"/>
        </w:rPr>
        <w:t xml:space="preserve"> take</w:t>
      </w:r>
      <w:r w:rsidRPr="004F1C21">
        <w:rPr>
          <w:rFonts w:eastAsia="Trebuchet MS"/>
          <w:lang w:val="en-US"/>
        </w:rPr>
        <w:t xml:space="preserve"> </w:t>
      </w:r>
      <w:r>
        <w:rPr>
          <w:rFonts w:eastAsia="Trebuchet MS"/>
          <w:lang w:val="en-US"/>
        </w:rPr>
        <w:t>some</w:t>
      </w:r>
      <w:r w:rsidRPr="004F1C21">
        <w:rPr>
          <w:rFonts w:eastAsia="Trebuchet MS"/>
          <w:lang w:val="en-US"/>
        </w:rPr>
        <w:t xml:space="preserve"> time, </w:t>
      </w:r>
      <w:r>
        <w:rPr>
          <w:rFonts w:eastAsia="Trebuchet MS"/>
          <w:lang w:val="en-US"/>
        </w:rPr>
        <w:t xml:space="preserve">thus </w:t>
      </w:r>
      <w:r w:rsidRPr="004F1C21">
        <w:rPr>
          <w:rFonts w:eastAsia="Trebuchet MS"/>
          <w:lang w:val="en-US"/>
        </w:rPr>
        <w:t>delaying support for the individual.</w:t>
      </w:r>
    </w:p>
    <w:p w14:paraId="0D0D2F0C" w14:textId="77777777" w:rsidR="004E04E1" w:rsidRPr="00CA552B" w:rsidRDefault="004E04E1" w:rsidP="00AC5A97">
      <w:pPr>
        <w:pStyle w:val="Heading3"/>
        <w:rPr>
          <w:rFonts w:eastAsia="Trebuchet MS"/>
          <w:color w:val="006B70"/>
        </w:rPr>
      </w:pPr>
      <w:bookmarkStart w:id="349" w:name="_Toc205386952"/>
      <w:bookmarkStart w:id="350" w:name="_Toc205388022"/>
      <w:bookmarkStart w:id="351" w:name="_Toc205446033"/>
      <w:r w:rsidRPr="00CA552B">
        <w:rPr>
          <w:rFonts w:eastAsia="Trebuchet MS"/>
          <w:color w:val="006B70"/>
        </w:rPr>
        <w:lastRenderedPageBreak/>
        <w:t>What works</w:t>
      </w:r>
      <w:bookmarkEnd w:id="349"/>
      <w:bookmarkEnd w:id="350"/>
      <w:bookmarkEnd w:id="351"/>
    </w:p>
    <w:p w14:paraId="211E9B83" w14:textId="2BF4A993" w:rsidR="004E04E1" w:rsidRPr="002B7B7C" w:rsidRDefault="004E04E1" w:rsidP="00FE2190">
      <w:pPr>
        <w:ind w:left="11" w:hanging="11"/>
        <w:rPr>
          <w:rFonts w:eastAsia="Trebuchet MS"/>
          <w:lang w:val="en-US"/>
        </w:rPr>
      </w:pPr>
      <w:r w:rsidRPr="004F1C21">
        <w:rPr>
          <w:rFonts w:eastAsia="Trebuchet MS"/>
          <w:b/>
          <w:bCs/>
          <w:lang w:val="en-US"/>
        </w:rPr>
        <w:t>School approach:</w:t>
      </w:r>
      <w:r w:rsidRPr="004F1C21">
        <w:rPr>
          <w:rFonts w:eastAsia="Trebuchet MS"/>
          <w:lang w:val="en-US"/>
        </w:rPr>
        <w:t xml:space="preserve"> </w:t>
      </w:r>
      <w:r w:rsidRPr="00FE2190">
        <w:rPr>
          <w:rFonts w:eastAsia="Trebuchet MS"/>
        </w:rPr>
        <w:t>Teachers should adopt a positive, supportive approach when working with children and young people with SEMH needs. By fostering a comfortable and inclusive environment and building strong relationships with pupils, they can help increase motivation, engagement, and participation in learning</w:t>
      </w:r>
      <w:r w:rsidRPr="004F1C21">
        <w:rPr>
          <w:rFonts w:eastAsia="Trebuchet MS"/>
          <w:vertAlign w:val="superscript"/>
          <w:lang w:val="en-US"/>
        </w:rPr>
        <w:endnoteReference w:id="188"/>
      </w:r>
      <w:r>
        <w:rPr>
          <w:rFonts w:eastAsia="Trebuchet MS"/>
        </w:rPr>
        <w:t>.</w:t>
      </w:r>
      <w:r w:rsidRPr="004F1C21">
        <w:rPr>
          <w:rFonts w:eastAsia="Trebuchet MS"/>
          <w:lang w:val="en-US"/>
        </w:rPr>
        <w:t xml:space="preserve"> </w:t>
      </w:r>
    </w:p>
    <w:p w14:paraId="29F2700D" w14:textId="366BC7F1" w:rsidR="004E04E1" w:rsidRPr="004F1C21" w:rsidRDefault="004E04E1" w:rsidP="002E45ED">
      <w:pPr>
        <w:ind w:left="11" w:hanging="11"/>
        <w:jc w:val="left"/>
        <w:rPr>
          <w:rFonts w:eastAsia="Trebuchet MS"/>
        </w:rPr>
      </w:pPr>
      <w:r w:rsidRPr="008231DE">
        <w:rPr>
          <w:rFonts w:eastAsia="Trebuchet MS"/>
          <w:b/>
          <w:bCs/>
        </w:rPr>
        <w:t>Cognitive Behavioural Therapy (CBT):</w:t>
      </w:r>
      <w:r w:rsidRPr="00A1752E">
        <w:rPr>
          <w:rFonts w:eastAsia="Trebuchet MS"/>
        </w:rPr>
        <w:t xml:space="preserve"> </w:t>
      </w:r>
      <w:r>
        <w:rPr>
          <w:rFonts w:eastAsia="Trebuchet MS"/>
        </w:rPr>
        <w:t xml:space="preserve">CBT </w:t>
      </w:r>
      <w:r w:rsidRPr="00A1752E">
        <w:rPr>
          <w:rFonts w:eastAsia="Trebuchet MS"/>
        </w:rPr>
        <w:t>has been shown to be effective in supporting the mental health of children and young people, particularly those experiencing anxiety disorders and depressive symptoms</w:t>
      </w:r>
      <w:r w:rsidRPr="004F1C21">
        <w:rPr>
          <w:rFonts w:eastAsia="Trebuchet MS"/>
          <w:vertAlign w:val="superscript"/>
        </w:rPr>
        <w:endnoteReference w:id="189"/>
      </w:r>
      <w:r w:rsidRPr="00A1752E">
        <w:rPr>
          <w:rFonts w:eastAsia="Trebuchet MS"/>
        </w:rPr>
        <w:t>.</w:t>
      </w:r>
      <w:r>
        <w:rPr>
          <w:rFonts w:eastAsia="Trebuchet MS"/>
        </w:rPr>
        <w:t xml:space="preserve"> </w:t>
      </w:r>
      <w:r w:rsidRPr="00A1752E">
        <w:rPr>
          <w:rFonts w:eastAsia="Trebuchet MS"/>
        </w:rPr>
        <w:t>However, adaptations may be necessary when delivering CBT to individuals with SEND, including those with learning difficulties, Conduct Disorder, or ADHD. Such adaptations can focus on developing</w:t>
      </w:r>
      <w:r>
        <w:rPr>
          <w:rFonts w:eastAsia="Trebuchet MS"/>
        </w:rPr>
        <w:t xml:space="preserve"> </w:t>
      </w:r>
      <w:r w:rsidRPr="00A1752E">
        <w:rPr>
          <w:rFonts w:eastAsia="Trebuchet MS"/>
        </w:rPr>
        <w:t>self-regulation, problem-solving abilities, and social skills</w:t>
      </w:r>
      <w:r w:rsidRPr="004F1C21">
        <w:rPr>
          <w:rFonts w:eastAsia="Trebuchet MS"/>
          <w:vertAlign w:val="superscript"/>
        </w:rPr>
        <w:endnoteReference w:id="190"/>
      </w:r>
      <w:r w:rsidRPr="00A1752E">
        <w:rPr>
          <w:rFonts w:eastAsia="Trebuchet MS"/>
        </w:rPr>
        <w:t>.</w:t>
      </w:r>
      <w:r w:rsidR="00A84E67">
        <w:rPr>
          <w:rFonts w:eastAsia="Trebuchet MS"/>
        </w:rPr>
        <w:t xml:space="preserve"> </w:t>
      </w:r>
      <w:r w:rsidRPr="00A1752E">
        <w:rPr>
          <w:rFonts w:eastAsia="Trebuchet MS"/>
        </w:rPr>
        <w:t xml:space="preserve">For individuals </w:t>
      </w:r>
      <w:r>
        <w:rPr>
          <w:rFonts w:eastAsia="Trebuchet MS"/>
        </w:rPr>
        <w:t xml:space="preserve">(both children and adults) with </w:t>
      </w:r>
      <w:r w:rsidRPr="00A1752E">
        <w:rPr>
          <w:rFonts w:eastAsia="Trebuchet MS"/>
        </w:rPr>
        <w:t>ASD, further adjustments may enhance engagement and outcome</w:t>
      </w:r>
      <w:r>
        <w:rPr>
          <w:rFonts w:eastAsia="Trebuchet MS"/>
        </w:rPr>
        <w:t>s. F</w:t>
      </w:r>
      <w:r w:rsidRPr="00A1752E">
        <w:rPr>
          <w:rFonts w:eastAsia="Trebuchet MS"/>
        </w:rPr>
        <w:t>or example, permitting the use of fidget objects to increase comfort, and modifying communication strategies such as reducing the expectation of eye contact</w:t>
      </w:r>
      <w:r w:rsidRPr="004F1C21">
        <w:rPr>
          <w:rFonts w:eastAsia="Trebuchet MS"/>
          <w:vertAlign w:val="superscript"/>
        </w:rPr>
        <w:endnoteReference w:id="191"/>
      </w:r>
      <w:r w:rsidRPr="00A1752E">
        <w:rPr>
          <w:rFonts w:eastAsia="Trebuchet MS"/>
        </w:rPr>
        <w:t>.</w:t>
      </w:r>
    </w:p>
    <w:p w14:paraId="46096E4F" w14:textId="17B62ECB" w:rsidR="004E04E1" w:rsidRPr="001B0A35" w:rsidRDefault="004E04E1" w:rsidP="002B7B7C">
      <w:pPr>
        <w:rPr>
          <w:rFonts w:eastAsia="Trebuchet MS"/>
        </w:rPr>
      </w:pPr>
      <w:r w:rsidRPr="004F1C21">
        <w:rPr>
          <w:rFonts w:eastAsia="Trebuchet MS"/>
          <w:b/>
          <w:bCs/>
        </w:rPr>
        <w:t xml:space="preserve">Art therapies: </w:t>
      </w:r>
      <w:r w:rsidRPr="00F15F09">
        <w:rPr>
          <w:rFonts w:eastAsia="Trebuchet MS"/>
        </w:rPr>
        <w:t>Digital-based art therapy has been shown to help young people with learning disabilities to express their emotions more effectively</w:t>
      </w:r>
      <w:r w:rsidRPr="004F1C21">
        <w:rPr>
          <w:rFonts w:eastAsia="Trebuchet MS"/>
          <w:vertAlign w:val="superscript"/>
        </w:rPr>
        <w:endnoteReference w:id="192"/>
      </w:r>
      <w:r>
        <w:rPr>
          <w:rFonts w:eastAsia="Trebuchet MS"/>
        </w:rPr>
        <w:t>.</w:t>
      </w:r>
      <w:r w:rsidRPr="004F1C21">
        <w:rPr>
          <w:rFonts w:eastAsia="Trebuchet MS"/>
        </w:rPr>
        <w:t xml:space="preserve"> It has also been </w:t>
      </w:r>
      <w:r>
        <w:rPr>
          <w:rFonts w:eastAsia="Trebuchet MS"/>
        </w:rPr>
        <w:t>found</w:t>
      </w:r>
      <w:r w:rsidRPr="004F1C21">
        <w:rPr>
          <w:rFonts w:eastAsia="Trebuchet MS"/>
        </w:rPr>
        <w:t xml:space="preserve"> to support </w:t>
      </w:r>
      <w:r>
        <w:rPr>
          <w:rFonts w:eastAsia="Trebuchet MS"/>
        </w:rPr>
        <w:t xml:space="preserve">those </w:t>
      </w:r>
      <w:r w:rsidRPr="004F1C21">
        <w:rPr>
          <w:rFonts w:eastAsia="Trebuchet MS"/>
        </w:rPr>
        <w:t xml:space="preserve">with hearing impairments by </w:t>
      </w:r>
      <w:r>
        <w:rPr>
          <w:rFonts w:eastAsia="Trebuchet MS"/>
        </w:rPr>
        <w:t>enhancing emotional expression and reducing feelings of anxiety, depression and loneliness</w:t>
      </w:r>
      <w:r w:rsidRPr="004F1C21">
        <w:rPr>
          <w:rFonts w:eastAsia="Trebuchet MS"/>
          <w:vertAlign w:val="superscript"/>
        </w:rPr>
        <w:endnoteReference w:id="193"/>
      </w:r>
      <w:r>
        <w:rPr>
          <w:rFonts w:eastAsia="Trebuchet MS"/>
        </w:rPr>
        <w:t>.</w:t>
      </w:r>
      <w:r w:rsidRPr="004F1C21">
        <w:rPr>
          <w:rFonts w:eastAsia="Trebuchet MS"/>
        </w:rPr>
        <w:t xml:space="preserve"> </w:t>
      </w:r>
      <w:r w:rsidRPr="001B0A35">
        <w:rPr>
          <w:rFonts w:eastAsia="Trebuchet MS"/>
        </w:rPr>
        <w:t>For children with ASD, art therapies can aid in developing social skills and improving communication, offering a non-verbal, creative outlet for self-expression and connection</w:t>
      </w:r>
      <w:r w:rsidRPr="004F1C21">
        <w:rPr>
          <w:rFonts w:eastAsia="Trebuchet MS"/>
          <w:vertAlign w:val="superscript"/>
        </w:rPr>
        <w:endnoteReference w:id="194"/>
      </w:r>
      <w:r>
        <w:rPr>
          <w:rFonts w:eastAsia="Trebuchet MS"/>
        </w:rPr>
        <w:t>.</w:t>
      </w:r>
    </w:p>
    <w:p w14:paraId="72D9A257" w14:textId="77777777" w:rsidR="004E04E1" w:rsidRPr="00FE0D21" w:rsidRDefault="004E04E1" w:rsidP="00293C95">
      <w:pPr>
        <w:pStyle w:val="Heading3"/>
        <w:rPr>
          <w:rFonts w:eastAsia="Trebuchet MS"/>
          <w:color w:val="003A3F"/>
        </w:rPr>
      </w:pPr>
      <w:bookmarkStart w:id="352" w:name="_Toc205386953"/>
      <w:bookmarkStart w:id="353" w:name="_Toc205388023"/>
      <w:bookmarkStart w:id="354" w:name="_Toc205446034"/>
      <w:r w:rsidRPr="00FE0D21">
        <w:rPr>
          <w:rFonts w:eastAsia="Trebuchet MS"/>
          <w:color w:val="003A3F"/>
        </w:rPr>
        <w:t>Support Services</w:t>
      </w:r>
      <w:bookmarkEnd w:id="352"/>
      <w:bookmarkEnd w:id="353"/>
      <w:bookmarkEnd w:id="354"/>
    </w:p>
    <w:p w14:paraId="2235D50D" w14:textId="77777777" w:rsidR="004E04E1" w:rsidRPr="004F1C21" w:rsidRDefault="004E04E1" w:rsidP="002B7B7C">
      <w:pPr>
        <w:rPr>
          <w:rFonts w:eastAsia="Trebuchet MS"/>
          <w:lang w:val="en-US"/>
        </w:rPr>
      </w:pPr>
      <w:r w:rsidRPr="004F1C21">
        <w:rPr>
          <w:rFonts w:eastAsia="Trebuchet MS"/>
          <w:lang w:val="en-US"/>
        </w:rPr>
        <w:t>There are a range of services available to support the social, emotional and mental health needs of children and young people in Tower Hamlets, as outlined on the Tower Hamlets Local Offer website:</w:t>
      </w:r>
    </w:p>
    <w:p w14:paraId="063B0781" w14:textId="589E9526" w:rsidR="004E04E1" w:rsidRPr="004F1C21" w:rsidRDefault="004E04E1" w:rsidP="00BF63ED">
      <w:pPr>
        <w:pStyle w:val="ListParagraph"/>
        <w:numPr>
          <w:ilvl w:val="0"/>
          <w:numId w:val="6"/>
        </w:numPr>
        <w:rPr>
          <w:rFonts w:eastAsia="Trebuchet MS"/>
          <w:lang w:val="en-US"/>
        </w:rPr>
      </w:pPr>
      <w:r w:rsidRPr="004F1C21">
        <w:rPr>
          <w:rFonts w:eastAsia="Trebuchet MS"/>
          <w:b/>
          <w:bCs/>
          <w:lang w:val="en-US"/>
        </w:rPr>
        <w:t>Tower Hamlets Child and Adolescent Mental Health Service</w:t>
      </w:r>
      <w:r w:rsidRPr="004F1C21">
        <w:rPr>
          <w:rFonts w:eastAsia="Trebuchet MS"/>
          <w:lang w:val="en-US"/>
        </w:rPr>
        <w:t>: Support children up to the age of 18 with moderate to severe mental health problems.</w:t>
      </w:r>
      <w:r w:rsidR="00FD3DC8">
        <w:rPr>
          <w:rFonts w:eastAsia="Trebuchet MS"/>
          <w:lang w:val="en-US"/>
        </w:rPr>
        <w:t xml:space="preserve"> This service can be accessed </w:t>
      </w:r>
      <w:r w:rsidR="00576A4B">
        <w:rPr>
          <w:rFonts w:eastAsia="Trebuchet MS"/>
          <w:lang w:val="en-US"/>
        </w:rPr>
        <w:t>through a referral, although secondary school-age children</w:t>
      </w:r>
      <w:r w:rsidR="003E6021">
        <w:rPr>
          <w:rFonts w:eastAsia="Trebuchet MS"/>
          <w:lang w:val="en-US"/>
        </w:rPr>
        <w:t xml:space="preserve"> can self-refer</w:t>
      </w:r>
      <w:r w:rsidR="00417B0D">
        <w:rPr>
          <w:rFonts w:eastAsia="Trebuchet MS"/>
          <w:lang w:val="en-US"/>
        </w:rPr>
        <w:t xml:space="preserve">, </w:t>
      </w:r>
      <w:r w:rsidR="003E6021">
        <w:rPr>
          <w:rFonts w:eastAsia="Trebuchet MS"/>
          <w:lang w:val="en-US"/>
        </w:rPr>
        <w:t xml:space="preserve">or </w:t>
      </w:r>
      <w:r w:rsidR="00417B0D">
        <w:rPr>
          <w:rFonts w:eastAsia="Trebuchet MS"/>
          <w:lang w:val="en-US"/>
        </w:rPr>
        <w:t xml:space="preserve">their parents and/or carers </w:t>
      </w:r>
      <w:r w:rsidR="003E6021">
        <w:rPr>
          <w:rFonts w:eastAsia="Trebuchet MS"/>
          <w:lang w:val="en-US"/>
        </w:rPr>
        <w:t>can do it on their behalf.</w:t>
      </w:r>
    </w:p>
    <w:p w14:paraId="219B80AF" w14:textId="20DE1158" w:rsidR="004E04E1" w:rsidRPr="004F1C21" w:rsidRDefault="004E04E1" w:rsidP="00BF63ED">
      <w:pPr>
        <w:pStyle w:val="ListParagraph"/>
        <w:numPr>
          <w:ilvl w:val="0"/>
          <w:numId w:val="6"/>
        </w:numPr>
        <w:rPr>
          <w:rFonts w:eastAsia="Trebuchet MS"/>
          <w:lang w:val="en-US"/>
        </w:rPr>
      </w:pPr>
      <w:proofErr w:type="spellStart"/>
      <w:r w:rsidRPr="004F1C21">
        <w:rPr>
          <w:rFonts w:eastAsia="Trebuchet MS"/>
          <w:b/>
          <w:bCs/>
          <w:lang w:val="en-US"/>
        </w:rPr>
        <w:t>Kooth</w:t>
      </w:r>
      <w:proofErr w:type="spellEnd"/>
      <w:r w:rsidRPr="004F1C21">
        <w:rPr>
          <w:rFonts w:eastAsia="Trebuchet MS"/>
          <w:b/>
          <w:bCs/>
          <w:lang w:val="en-US"/>
        </w:rPr>
        <w:t>:</w:t>
      </w:r>
      <w:r w:rsidRPr="004F1C21">
        <w:rPr>
          <w:rFonts w:eastAsia="Trebuchet MS"/>
          <w:lang w:val="en-US"/>
        </w:rPr>
        <w:t xml:space="preserve"> Free digital support for mental health and wellbeing with an online community with a live chat feature to talk to mental health professionals, for young people aged 10-25 years old.</w:t>
      </w:r>
      <w:r w:rsidR="00F0371F">
        <w:rPr>
          <w:rFonts w:eastAsia="Trebuchet MS"/>
          <w:lang w:val="en-US"/>
        </w:rPr>
        <w:t xml:space="preserve"> Children and young people can register for this service on their website.</w:t>
      </w:r>
    </w:p>
    <w:p w14:paraId="65A4827A" w14:textId="58F21267" w:rsidR="004E04E1" w:rsidRPr="004F1C21" w:rsidRDefault="004E04E1" w:rsidP="00BF63ED">
      <w:pPr>
        <w:pStyle w:val="ListParagraph"/>
        <w:numPr>
          <w:ilvl w:val="0"/>
          <w:numId w:val="6"/>
        </w:numPr>
        <w:rPr>
          <w:rFonts w:eastAsia="Trebuchet MS"/>
          <w:lang w:val="en-US"/>
        </w:rPr>
      </w:pPr>
      <w:r w:rsidRPr="004F1C21">
        <w:rPr>
          <w:rFonts w:eastAsia="Trebuchet MS"/>
          <w:b/>
          <w:bCs/>
          <w:lang w:val="en-US"/>
        </w:rPr>
        <w:t xml:space="preserve">Tower Hamlets Early Detection Service: </w:t>
      </w:r>
      <w:r w:rsidRPr="004F1C21">
        <w:rPr>
          <w:rFonts w:eastAsia="Trebuchet MS"/>
          <w:lang w:val="en-US"/>
        </w:rPr>
        <w:t>Provide mental health support for young people aged 1</w:t>
      </w:r>
      <w:r w:rsidR="007F1ED0">
        <w:rPr>
          <w:rFonts w:eastAsia="Trebuchet MS"/>
          <w:lang w:val="en-US"/>
        </w:rPr>
        <w:t>7</w:t>
      </w:r>
      <w:r w:rsidRPr="004F1C21">
        <w:rPr>
          <w:rFonts w:eastAsia="Trebuchet MS"/>
          <w:lang w:val="en-US"/>
        </w:rPr>
        <w:t>-</w:t>
      </w:r>
      <w:r w:rsidR="007F1ED0">
        <w:rPr>
          <w:rFonts w:eastAsia="Trebuchet MS"/>
          <w:lang w:val="en-US"/>
        </w:rPr>
        <w:t>30</w:t>
      </w:r>
      <w:r w:rsidRPr="004F1C21">
        <w:rPr>
          <w:rFonts w:eastAsia="Trebuchet MS"/>
          <w:lang w:val="en-US"/>
        </w:rPr>
        <w:t xml:space="preserve"> from mental health nurses, psychologists and psychiatrists.</w:t>
      </w:r>
      <w:r w:rsidR="00ED7FD2">
        <w:rPr>
          <w:rFonts w:eastAsia="Trebuchet MS"/>
          <w:lang w:val="en-US"/>
        </w:rPr>
        <w:t xml:space="preserve"> This can be accessed via referrals from professionals and non-professionals</w:t>
      </w:r>
      <w:r w:rsidR="0062685F">
        <w:rPr>
          <w:rFonts w:eastAsia="Trebuchet MS"/>
          <w:lang w:val="en-US"/>
        </w:rPr>
        <w:t>, and over 17s can self-refer</w:t>
      </w:r>
      <w:r w:rsidR="007F1ED0">
        <w:rPr>
          <w:rFonts w:eastAsia="Trebuchet MS"/>
          <w:lang w:val="en-US"/>
        </w:rPr>
        <w:t>.</w:t>
      </w:r>
    </w:p>
    <w:p w14:paraId="732E7868" w14:textId="1AD1E5B7" w:rsidR="004E04E1" w:rsidRPr="004F1C21" w:rsidRDefault="004E04E1" w:rsidP="00BF63ED">
      <w:pPr>
        <w:pStyle w:val="ListParagraph"/>
        <w:numPr>
          <w:ilvl w:val="0"/>
          <w:numId w:val="6"/>
        </w:numPr>
        <w:rPr>
          <w:rFonts w:eastAsia="Trebuchet MS"/>
          <w:b/>
          <w:bCs/>
          <w:lang w:val="en-US"/>
        </w:rPr>
      </w:pPr>
      <w:r w:rsidRPr="004F1C21">
        <w:rPr>
          <w:rFonts w:eastAsia="Trebuchet MS"/>
          <w:b/>
          <w:bCs/>
          <w:lang w:val="en-US"/>
        </w:rPr>
        <w:t xml:space="preserve">Tower Hamlets Education Wellbeing Service: </w:t>
      </w:r>
      <w:r w:rsidRPr="004F1C21">
        <w:rPr>
          <w:rFonts w:eastAsia="Trebuchet MS"/>
          <w:lang w:val="en-US"/>
        </w:rPr>
        <w:t>Support young people aged 4-19 years old with their emotional and mental wellbeing, including 1:1 sessions and group interventions.</w:t>
      </w:r>
      <w:r w:rsidR="001967A0">
        <w:rPr>
          <w:rFonts w:eastAsia="Trebuchet MS"/>
          <w:lang w:val="en-US"/>
        </w:rPr>
        <w:t xml:space="preserve"> Young people in </w:t>
      </w:r>
      <w:proofErr w:type="gramStart"/>
      <w:r w:rsidR="001967A0">
        <w:rPr>
          <w:rFonts w:eastAsia="Trebuchet MS"/>
          <w:lang w:val="en-US"/>
        </w:rPr>
        <w:t>participating</w:t>
      </w:r>
      <w:proofErr w:type="gramEnd"/>
      <w:r w:rsidR="001967A0">
        <w:rPr>
          <w:rFonts w:eastAsia="Trebuchet MS"/>
          <w:lang w:val="en-US"/>
        </w:rPr>
        <w:t xml:space="preserve"> schools can be referred to this service by their school’s </w:t>
      </w:r>
      <w:r w:rsidR="0044581D">
        <w:rPr>
          <w:rFonts w:eastAsia="Trebuchet MS"/>
          <w:lang w:val="en-US"/>
        </w:rPr>
        <w:t>M</w:t>
      </w:r>
      <w:r w:rsidR="001967A0">
        <w:rPr>
          <w:rFonts w:eastAsia="Trebuchet MS"/>
          <w:lang w:val="en-US"/>
        </w:rPr>
        <w:t xml:space="preserve">ental </w:t>
      </w:r>
      <w:r w:rsidR="0044581D">
        <w:rPr>
          <w:rFonts w:eastAsia="Trebuchet MS"/>
          <w:lang w:val="en-US"/>
        </w:rPr>
        <w:t>H</w:t>
      </w:r>
      <w:r w:rsidR="001967A0">
        <w:rPr>
          <w:rFonts w:eastAsia="Trebuchet MS"/>
          <w:lang w:val="en-US"/>
        </w:rPr>
        <w:t>ealth lead.</w:t>
      </w:r>
    </w:p>
    <w:p w14:paraId="58CE11CF" w14:textId="3DC59B29" w:rsidR="004E04E1" w:rsidRPr="00293C95" w:rsidRDefault="004E04E1" w:rsidP="00BF63ED">
      <w:pPr>
        <w:pStyle w:val="ListParagraph"/>
        <w:numPr>
          <w:ilvl w:val="0"/>
          <w:numId w:val="6"/>
        </w:numPr>
        <w:rPr>
          <w:rFonts w:eastAsia="Trebuchet MS"/>
          <w:b/>
          <w:bCs/>
          <w:lang w:val="en-US"/>
        </w:rPr>
      </w:pPr>
      <w:r w:rsidRPr="004F1C21">
        <w:rPr>
          <w:rFonts w:eastAsia="Trebuchet MS"/>
          <w:b/>
          <w:bCs/>
          <w:lang w:val="en-US"/>
        </w:rPr>
        <w:t xml:space="preserve">Step Forward: </w:t>
      </w:r>
      <w:r w:rsidRPr="004F1C21">
        <w:rPr>
          <w:rFonts w:eastAsia="Trebuchet MS"/>
          <w:lang w:val="en-US"/>
        </w:rPr>
        <w:t>Tailored support for young people aged 11 to 25 years old including 1:1 support and groups support including counselling and cognitive based therapy.</w:t>
      </w:r>
      <w:r w:rsidR="00541DC2">
        <w:rPr>
          <w:rFonts w:eastAsia="Trebuchet MS"/>
          <w:lang w:val="en-US"/>
        </w:rPr>
        <w:t xml:space="preserve"> Young people can contact Step Forward directly via email and telephone.</w:t>
      </w:r>
    </w:p>
    <w:p w14:paraId="0501CDD2" w14:textId="65843116" w:rsidR="005D5216" w:rsidRPr="00293C95" w:rsidRDefault="005D5216" w:rsidP="00293C95">
      <w:pPr>
        <w:numPr>
          <w:ilvl w:val="0"/>
          <w:numId w:val="6"/>
        </w:numPr>
        <w:spacing w:after="160" w:line="264" w:lineRule="auto"/>
      </w:pPr>
      <w:r w:rsidRPr="002440B9">
        <w:rPr>
          <w:b/>
          <w:bCs/>
        </w:rPr>
        <w:lastRenderedPageBreak/>
        <w:t>Tower Project:</w:t>
      </w:r>
      <w:r w:rsidRPr="00033192">
        <w:t xml:space="preserve"> Support children and adults aged 0-25 with SEND to build skills and make friends, as well as offering support to gain employment.</w:t>
      </w:r>
      <w:r>
        <w:t xml:space="preserve"> </w:t>
      </w:r>
    </w:p>
    <w:p w14:paraId="0B450CB8" w14:textId="27F4D507" w:rsidR="004E04E1" w:rsidRPr="009312F9" w:rsidRDefault="004E04E1" w:rsidP="00BF63ED">
      <w:pPr>
        <w:pStyle w:val="ListParagraph"/>
        <w:numPr>
          <w:ilvl w:val="0"/>
          <w:numId w:val="6"/>
        </w:numPr>
        <w:spacing w:line="264" w:lineRule="auto"/>
        <w:rPr>
          <w:rFonts w:eastAsia="Trebuchet MS"/>
          <w:b/>
          <w:lang w:val="en-US"/>
        </w:rPr>
      </w:pPr>
      <w:r w:rsidRPr="004F1C21">
        <w:rPr>
          <w:rFonts w:eastAsia="Trebuchet MS"/>
          <w:b/>
          <w:bCs/>
          <w:lang w:val="en-US"/>
        </w:rPr>
        <w:t xml:space="preserve">Docklands Outreach: </w:t>
      </w:r>
      <w:r w:rsidRPr="004F1C21">
        <w:rPr>
          <w:rFonts w:eastAsia="Trebuchet MS"/>
          <w:lang w:val="en-US"/>
        </w:rPr>
        <w:t>Support children and young people aged 2-25 years old with emotional and mental health difficulties, including advocacy support, counselling and CBT.</w:t>
      </w:r>
      <w:r w:rsidR="001B3F6B">
        <w:rPr>
          <w:rFonts w:eastAsia="Trebuchet MS"/>
          <w:lang w:val="en-US"/>
        </w:rPr>
        <w:t xml:space="preserve"> This can be accessed via referrals from professionals and non-professionals, or young people can self-refer.</w:t>
      </w:r>
    </w:p>
    <w:p w14:paraId="658206E5" w14:textId="1503F4BC" w:rsidR="007C7781" w:rsidRPr="002B7B7C" w:rsidRDefault="007C7781" w:rsidP="00BF63ED">
      <w:pPr>
        <w:pStyle w:val="ListParagraph"/>
        <w:numPr>
          <w:ilvl w:val="0"/>
          <w:numId w:val="6"/>
        </w:numPr>
        <w:spacing w:line="264" w:lineRule="auto"/>
        <w:rPr>
          <w:rFonts w:eastAsia="Trebuchet MS"/>
          <w:b/>
          <w:bCs/>
          <w:lang w:val="en-US"/>
        </w:rPr>
      </w:pPr>
      <w:r w:rsidRPr="007C7781">
        <w:rPr>
          <w:rFonts w:eastAsia="Trebuchet MS"/>
          <w:b/>
          <w:bCs/>
        </w:rPr>
        <w:t xml:space="preserve">Short Break Services: </w:t>
      </w:r>
      <w:r w:rsidRPr="00293C95">
        <w:rPr>
          <w:rFonts w:eastAsia="Trebuchet MS"/>
        </w:rPr>
        <w:t xml:space="preserve">Provide opportunities for children and young people with disabilities to take part in fun and inclusive activities, build independence, and make friends, while giving parents and carers a break from their caring responsibilities. Under the </w:t>
      </w:r>
      <w:r w:rsidRPr="00293C95">
        <w:rPr>
          <w:rFonts w:eastAsia="Trebuchet MS"/>
          <w:i/>
          <w:iCs/>
        </w:rPr>
        <w:t>Children Act 1989</w:t>
      </w:r>
      <w:r w:rsidRPr="00293C95">
        <w:rPr>
          <w:rFonts w:eastAsia="Trebuchet MS"/>
        </w:rPr>
        <w:t xml:space="preserve"> and the </w:t>
      </w:r>
      <w:r w:rsidRPr="00293C95">
        <w:rPr>
          <w:rFonts w:eastAsia="Trebuchet MS"/>
          <w:i/>
          <w:iCs/>
        </w:rPr>
        <w:t>Breaks for Carers of Disabled Children Regulations (2010)</w:t>
      </w:r>
      <w:r w:rsidRPr="00293C95">
        <w:rPr>
          <w:rFonts w:eastAsia="Trebuchet MS"/>
        </w:rPr>
        <w:t>, local authorities must offer such support. In Tower Hamlets, short breaks are available for children aged 5 and over with ASD, complex health needs, sensory impairments, or other disabilities.</w:t>
      </w:r>
    </w:p>
    <w:p w14:paraId="73059F52" w14:textId="77777777" w:rsidR="004E04E1" w:rsidRPr="00FE0D21" w:rsidRDefault="004E04E1" w:rsidP="00293C95">
      <w:pPr>
        <w:pStyle w:val="Heading3"/>
        <w:rPr>
          <w:rFonts w:eastAsia="Trebuchet MS"/>
          <w:color w:val="006B70"/>
        </w:rPr>
      </w:pPr>
      <w:bookmarkStart w:id="355" w:name="_Toc205386954"/>
      <w:bookmarkStart w:id="356" w:name="_Toc205388024"/>
      <w:bookmarkStart w:id="357" w:name="_Toc205446035"/>
      <w:r w:rsidRPr="00FE0D21">
        <w:rPr>
          <w:rFonts w:eastAsia="Trebuchet MS"/>
          <w:color w:val="006B70"/>
        </w:rPr>
        <w:t>Gaps</w:t>
      </w:r>
      <w:bookmarkEnd w:id="355"/>
      <w:bookmarkEnd w:id="356"/>
      <w:bookmarkEnd w:id="357"/>
    </w:p>
    <w:p w14:paraId="42E7FEAA" w14:textId="788504D7" w:rsidR="004E04E1" w:rsidRPr="004F1C21" w:rsidRDefault="004E04E1" w:rsidP="00ED1DD2">
      <w:pPr>
        <w:ind w:left="11" w:hanging="11"/>
        <w:rPr>
          <w:rFonts w:eastAsia="Trebuchet MS"/>
        </w:rPr>
      </w:pPr>
      <w:r w:rsidRPr="004F1C21">
        <w:rPr>
          <w:rFonts w:eastAsia="Trebuchet MS"/>
        </w:rPr>
        <w:t xml:space="preserve">Given the gaps in literature, understanding of effective and best-practice approaches </w:t>
      </w:r>
      <w:r>
        <w:rPr>
          <w:rFonts w:eastAsia="Trebuchet MS"/>
        </w:rPr>
        <w:t>is</w:t>
      </w:r>
      <w:r w:rsidRPr="004F1C21">
        <w:rPr>
          <w:rFonts w:eastAsia="Trebuchet MS"/>
        </w:rPr>
        <w:t xml:space="preserve"> limited.</w:t>
      </w:r>
      <w:r>
        <w:rPr>
          <w:rFonts w:eastAsia="Trebuchet MS"/>
        </w:rPr>
        <w:t xml:space="preserve"> However,</w:t>
      </w:r>
      <w:r w:rsidRPr="004F1C21">
        <w:rPr>
          <w:rFonts w:eastAsia="Trebuchet MS"/>
        </w:rPr>
        <w:t xml:space="preserve"> </w:t>
      </w:r>
      <w:proofErr w:type="gramStart"/>
      <w:r w:rsidRPr="004F1C21">
        <w:rPr>
          <w:rFonts w:eastAsia="Trebuchet MS"/>
        </w:rPr>
        <w:t>it is clear that</w:t>
      </w:r>
      <w:r>
        <w:rPr>
          <w:rFonts w:eastAsia="Trebuchet MS"/>
        </w:rPr>
        <w:t xml:space="preserve"> to</w:t>
      </w:r>
      <w:proofErr w:type="gramEnd"/>
      <w:r>
        <w:rPr>
          <w:rFonts w:eastAsia="Trebuchet MS"/>
        </w:rPr>
        <w:t xml:space="preserve"> best support the </w:t>
      </w:r>
      <w:r w:rsidRPr="004F1C21">
        <w:rPr>
          <w:rFonts w:eastAsia="Trebuchet MS"/>
        </w:rPr>
        <w:t xml:space="preserve">SEMH needs of children </w:t>
      </w:r>
      <w:r>
        <w:rPr>
          <w:rFonts w:eastAsia="Trebuchet MS"/>
        </w:rPr>
        <w:t xml:space="preserve">and young people </w:t>
      </w:r>
      <w:r w:rsidRPr="004F1C21">
        <w:rPr>
          <w:rFonts w:eastAsia="Trebuchet MS"/>
        </w:rPr>
        <w:t xml:space="preserve">with SEND, </w:t>
      </w:r>
      <w:r>
        <w:rPr>
          <w:rFonts w:eastAsia="Trebuchet MS"/>
        </w:rPr>
        <w:t xml:space="preserve">staff must </w:t>
      </w:r>
      <w:r w:rsidRPr="00EE242B">
        <w:rPr>
          <w:rFonts w:eastAsia="Trebuchet MS"/>
        </w:rPr>
        <w:t>prioritise building positive, trusting relationships with pupils and adapt their teaching approaches to meet individual learning needs.</w:t>
      </w:r>
    </w:p>
    <w:p w14:paraId="27D74D06" w14:textId="059AF6EA" w:rsidR="004E04E1" w:rsidRPr="00FE0D21" w:rsidRDefault="004E04E1" w:rsidP="00293C95">
      <w:pPr>
        <w:pStyle w:val="Heading3"/>
        <w:rPr>
          <w:rFonts w:eastAsia="Trebuchet MS"/>
          <w:color w:val="006B70"/>
        </w:rPr>
      </w:pPr>
      <w:bookmarkStart w:id="358" w:name="_Toc205386955"/>
      <w:bookmarkStart w:id="359" w:name="_Toc205388025"/>
      <w:bookmarkStart w:id="360" w:name="_Toc205446036"/>
      <w:r w:rsidRPr="00FE0D21">
        <w:rPr>
          <w:rFonts w:eastAsia="Trebuchet MS"/>
          <w:color w:val="006B70"/>
        </w:rPr>
        <w:t>Recommendations</w:t>
      </w:r>
      <w:bookmarkEnd w:id="358"/>
      <w:bookmarkEnd w:id="359"/>
      <w:bookmarkEnd w:id="360"/>
    </w:p>
    <w:p w14:paraId="7276E24E" w14:textId="59B8ECBB" w:rsidR="00C5754B" w:rsidRPr="00C5754B" w:rsidRDefault="00C5754B" w:rsidP="00C5754B">
      <w:pPr>
        <w:spacing w:before="0" w:after="160" w:line="278" w:lineRule="auto"/>
        <w:jc w:val="left"/>
      </w:pPr>
      <w:r w:rsidRPr="00900F1C">
        <w:t xml:space="preserve">The following recommendations are based on </w:t>
      </w:r>
      <w:r w:rsidR="00FC70AF">
        <w:t xml:space="preserve">the </w:t>
      </w:r>
      <w:r w:rsidRPr="00900F1C">
        <w:t>evidence</w:t>
      </w:r>
      <w:r w:rsidR="00FC70AF">
        <w:t xml:space="preserve"> outlined above, along with local and national statistics and stakeholder insights</w:t>
      </w:r>
      <w:r w:rsidRPr="00900F1C">
        <w:t>. While they do not necessarily indicate a gap in support provision within the borough, they highlight areas where best practice can inform and enhance current strategies</w:t>
      </w:r>
      <w:r>
        <w:t>.</w:t>
      </w:r>
    </w:p>
    <w:p w14:paraId="6052951A" w14:textId="75480352" w:rsidR="004E04E1" w:rsidRPr="0059456F" w:rsidRDefault="004E04E1" w:rsidP="00BF63ED">
      <w:pPr>
        <w:pStyle w:val="ListParagraph"/>
        <w:numPr>
          <w:ilvl w:val="0"/>
          <w:numId w:val="45"/>
        </w:numPr>
        <w:rPr>
          <w:rFonts w:eastAsia="Trebuchet MS"/>
          <w:lang w:val="en-US"/>
        </w:rPr>
      </w:pPr>
      <w:r w:rsidRPr="0059456F">
        <w:rPr>
          <w:rFonts w:eastAsia="Trebuchet MS"/>
          <w:b/>
          <w:bCs/>
          <w:lang w:val="en-US"/>
        </w:rPr>
        <w:t>Identification:</w:t>
      </w:r>
      <w:r w:rsidRPr="0059456F">
        <w:rPr>
          <w:rFonts w:eastAsia="Trebuchet MS"/>
          <w:lang w:val="en-US"/>
        </w:rPr>
        <w:t xml:space="preserve"> Schools and educational settings should remain vigilant in identifying children and young people with SEND and any co-occurring SEMH needs. </w:t>
      </w:r>
      <w:proofErr w:type="gramStart"/>
      <w:r w:rsidRPr="0059456F">
        <w:rPr>
          <w:rFonts w:eastAsia="Trebuchet MS"/>
        </w:rPr>
        <w:t>Particular attention</w:t>
      </w:r>
      <w:proofErr w:type="gramEnd"/>
      <w:r w:rsidRPr="0059456F">
        <w:rPr>
          <w:rFonts w:eastAsia="Trebuchet MS"/>
        </w:rPr>
        <w:t xml:space="preserve"> should be paid to early signs of social isolation, emotional distress, and experiences of bullying, which may not always be explicitly reported.</w:t>
      </w:r>
    </w:p>
    <w:p w14:paraId="4A4A54AE" w14:textId="50A1A7D8" w:rsidR="004E04E1" w:rsidRPr="0059456F" w:rsidRDefault="004E04E1" w:rsidP="00BF63ED">
      <w:pPr>
        <w:pStyle w:val="ListParagraph"/>
        <w:numPr>
          <w:ilvl w:val="0"/>
          <w:numId w:val="45"/>
        </w:numPr>
        <w:rPr>
          <w:rFonts w:eastAsia="Trebuchet MS"/>
          <w:lang w:val="en-US"/>
        </w:rPr>
      </w:pPr>
      <w:r w:rsidRPr="0059456F">
        <w:rPr>
          <w:rFonts w:eastAsia="Trebuchet MS"/>
          <w:b/>
          <w:bCs/>
          <w:lang w:val="en-US"/>
        </w:rPr>
        <w:t xml:space="preserve">School staff approach: </w:t>
      </w:r>
      <w:r w:rsidRPr="0059456F">
        <w:rPr>
          <w:rFonts w:eastAsia="Trebuchet MS"/>
          <w:lang w:val="en-US"/>
        </w:rPr>
        <w:t>I</w:t>
      </w:r>
      <w:proofErr w:type="spellStart"/>
      <w:r w:rsidRPr="0059456F">
        <w:rPr>
          <w:rFonts w:eastAsia="Trebuchet MS"/>
        </w:rPr>
        <w:t>t</w:t>
      </w:r>
      <w:proofErr w:type="spellEnd"/>
      <w:r w:rsidRPr="0059456F">
        <w:rPr>
          <w:rFonts w:eastAsia="Trebuchet MS"/>
        </w:rPr>
        <w:t xml:space="preserve"> is essential for teachers and school staff to foster positive, trusting relationships with children and young people with SEND, creating a sense of safety that supports their engagement and learning. This includes being open to making appropriate adaptations to teaching practices for all pupils, regardless of whether a formal diagnosis is in place.</w:t>
      </w:r>
    </w:p>
    <w:p w14:paraId="74B07577" w14:textId="3AFD2744" w:rsidR="004E04E1" w:rsidRPr="0059456F" w:rsidRDefault="004E04E1" w:rsidP="00BF63ED">
      <w:pPr>
        <w:pStyle w:val="ListParagraph"/>
        <w:numPr>
          <w:ilvl w:val="0"/>
          <w:numId w:val="45"/>
        </w:numPr>
        <w:rPr>
          <w:rFonts w:eastAsia="Trebuchet MS"/>
          <w:lang w:val="en-US"/>
        </w:rPr>
      </w:pPr>
      <w:r w:rsidRPr="0059456F">
        <w:rPr>
          <w:rFonts w:eastAsia="Trebuchet MS"/>
          <w:b/>
          <w:bCs/>
          <w:lang w:val="en-US"/>
        </w:rPr>
        <w:t xml:space="preserve">Healthcare professionals: </w:t>
      </w:r>
      <w:r w:rsidRPr="0059456F">
        <w:rPr>
          <w:rFonts w:eastAsia="Trebuchet MS"/>
        </w:rPr>
        <w:t>Healthcare professionals working with children with SEND should continue to promote positive health and emotional wellbeing, ensuring that their approach is responsive to the individual needs, experiences, and developmental stage of each child.</w:t>
      </w:r>
    </w:p>
    <w:p w14:paraId="6838A109" w14:textId="091A3B53" w:rsidR="004E04E1" w:rsidRPr="00FE0D21" w:rsidRDefault="00F43F01" w:rsidP="00F43F01">
      <w:pPr>
        <w:pStyle w:val="Heading3"/>
        <w:rPr>
          <w:rFonts w:eastAsia="Trebuchet MS"/>
          <w:color w:val="006B70"/>
        </w:rPr>
      </w:pPr>
      <w:bookmarkStart w:id="361" w:name="_Toc205386956"/>
      <w:bookmarkStart w:id="362" w:name="_Toc205388026"/>
      <w:bookmarkStart w:id="363" w:name="_Toc205446037"/>
      <w:r w:rsidRPr="00FE0D21">
        <w:rPr>
          <w:rFonts w:eastAsia="Trebuchet MS"/>
          <w:color w:val="006B70"/>
        </w:rPr>
        <w:t>Summary</w:t>
      </w:r>
      <w:bookmarkEnd w:id="361"/>
      <w:bookmarkEnd w:id="362"/>
      <w:bookmarkEnd w:id="363"/>
    </w:p>
    <w:p w14:paraId="4E670B68" w14:textId="7259B657" w:rsidR="00C64497" w:rsidRDefault="009D2CF7" w:rsidP="00C64497">
      <w:pPr>
        <w:rPr>
          <w:rFonts w:eastAsia="Trebuchet MS"/>
        </w:rPr>
      </w:pPr>
      <w:r w:rsidRPr="009A1E98">
        <w:rPr>
          <w:rFonts w:eastAsia="Trebuchet MS"/>
        </w:rPr>
        <w:t xml:space="preserve">Social, emotional and mental health needs </w:t>
      </w:r>
      <w:r w:rsidR="00C64497" w:rsidRPr="009A1E98">
        <w:rPr>
          <w:rFonts w:eastAsia="Trebuchet MS"/>
        </w:rPr>
        <w:t>often overlap with other SEND needs, such as SLCN, ASD, and ADHD.</w:t>
      </w:r>
      <w:r w:rsidR="00C64497" w:rsidRPr="008372B5">
        <w:rPr>
          <w:rFonts w:eastAsia="Trebuchet MS"/>
        </w:rPr>
        <w:t xml:space="preserve"> </w:t>
      </w:r>
      <w:r w:rsidR="00D42E75">
        <w:rPr>
          <w:rFonts w:eastAsia="Trebuchet MS"/>
        </w:rPr>
        <w:t xml:space="preserve">Children with SEND often face </w:t>
      </w:r>
      <w:r w:rsidR="00326BEA">
        <w:rPr>
          <w:rFonts w:eastAsia="Trebuchet MS"/>
        </w:rPr>
        <w:t xml:space="preserve">challenges such as loneliness and </w:t>
      </w:r>
      <w:r w:rsidR="005954A8">
        <w:rPr>
          <w:rFonts w:eastAsia="Trebuchet MS"/>
        </w:rPr>
        <w:t>bullying and</w:t>
      </w:r>
      <w:r w:rsidR="00326BEA">
        <w:rPr>
          <w:rFonts w:eastAsia="Trebuchet MS"/>
        </w:rPr>
        <w:t xml:space="preserve"> typically have lower overall wellbeing than children without.</w:t>
      </w:r>
    </w:p>
    <w:p w14:paraId="20C649B1" w14:textId="149570D5" w:rsidR="00BC4D32" w:rsidRDefault="00BC4D32" w:rsidP="00C64497">
      <w:pPr>
        <w:rPr>
          <w:rFonts w:eastAsia="Trebuchet MS"/>
        </w:rPr>
      </w:pPr>
      <w:r w:rsidRPr="00BC4D32">
        <w:rPr>
          <w:rFonts w:eastAsia="Trebuchet MS"/>
        </w:rPr>
        <w:t xml:space="preserve">Supporting the social, emotional, and mental health of children with SEND requires teachers and school staff to foster a positive school environment and build strong, trusting relationships with the </w:t>
      </w:r>
      <w:r w:rsidRPr="00BC4D32">
        <w:rPr>
          <w:rFonts w:eastAsia="Trebuchet MS"/>
        </w:rPr>
        <w:lastRenderedPageBreak/>
        <w:t>children. This chapter offers several recommendations, including improving the identification of social, emotional, and mental health needs in children with SEND, strengthening relationships with them, and ensuring a safe, supportive atmosphere both in the classroom and in healthcare settings.</w:t>
      </w:r>
    </w:p>
    <w:p w14:paraId="3EEBE35E" w14:textId="2F1C8052" w:rsidR="004E04E1" w:rsidRDefault="004E04E1" w:rsidP="000905B0">
      <w:pPr>
        <w:pStyle w:val="Heading2"/>
      </w:pPr>
      <w:bookmarkStart w:id="364" w:name="_Toc211414162"/>
      <w:bookmarkStart w:id="365" w:name="_Toc211440061"/>
      <w:r>
        <w:t>Sensory impairment</w:t>
      </w:r>
      <w:bookmarkEnd w:id="364"/>
      <w:bookmarkEnd w:id="365"/>
    </w:p>
    <w:p w14:paraId="4FB13B34" w14:textId="44165F0A" w:rsidR="007B2D04" w:rsidRPr="007B2D04" w:rsidRDefault="00BD023F" w:rsidP="00C80561">
      <w:r>
        <w:t xml:space="preserve">A sensory impairment refers to </w:t>
      </w:r>
      <w:r w:rsidR="00BC4D32">
        <w:t>a</w:t>
      </w:r>
      <w:r>
        <w:t xml:space="preserve"> difficulty with one or more of the senses </w:t>
      </w:r>
      <w:r w:rsidR="00D75DC9">
        <w:t>(sight, hearing, smell, touch and taste)</w:t>
      </w:r>
      <w:r w:rsidR="005A009B">
        <w:t>.</w:t>
      </w:r>
      <w:r w:rsidR="007D796B" w:rsidRPr="007D796B">
        <w:t xml:space="preserve"> These impairments can affect a</w:t>
      </w:r>
      <w:r w:rsidR="005A009B">
        <w:t xml:space="preserve"> child</w:t>
      </w:r>
      <w:r w:rsidR="00BC4D32">
        <w:t xml:space="preserve"> or young </w:t>
      </w:r>
      <w:r w:rsidR="00745E3D">
        <w:t>person’s</w:t>
      </w:r>
      <w:r w:rsidR="005A009B">
        <w:t xml:space="preserve"> ability to </w:t>
      </w:r>
      <w:r w:rsidR="007D796B" w:rsidRPr="007D796B">
        <w:t xml:space="preserve">communicate, </w:t>
      </w:r>
      <w:r w:rsidR="005A009B">
        <w:t>learn</w:t>
      </w:r>
      <w:r w:rsidR="007D796B" w:rsidRPr="007D796B">
        <w:t>, and interact with the world around them, and often require early identification and tailored support to promote development and inclusion</w:t>
      </w:r>
      <w:r w:rsidR="005A009B">
        <w:t>.</w:t>
      </w:r>
    </w:p>
    <w:p w14:paraId="5EEB61F3" w14:textId="4E48789C" w:rsidR="005C70DF" w:rsidRPr="00FE0D21" w:rsidRDefault="005C70DF" w:rsidP="00750013">
      <w:pPr>
        <w:pStyle w:val="Heading3"/>
        <w:rPr>
          <w:color w:val="006B70"/>
        </w:rPr>
      </w:pPr>
      <w:r w:rsidRPr="00FE0D21">
        <w:rPr>
          <w:color w:val="006B70"/>
        </w:rPr>
        <w:t xml:space="preserve"> </w:t>
      </w:r>
      <w:bookmarkStart w:id="366" w:name="_Toc205386958"/>
      <w:bookmarkStart w:id="367" w:name="_Toc205388028"/>
      <w:bookmarkStart w:id="368" w:name="_Toc205446039"/>
      <w:r w:rsidRPr="00FE0D21">
        <w:rPr>
          <w:color w:val="006B70"/>
        </w:rPr>
        <w:t>Causal Factors</w:t>
      </w:r>
      <w:bookmarkEnd w:id="366"/>
      <w:bookmarkEnd w:id="367"/>
      <w:bookmarkEnd w:id="368"/>
    </w:p>
    <w:p w14:paraId="07199A25" w14:textId="36C507FE" w:rsidR="005C70DF" w:rsidRPr="003F2F23" w:rsidRDefault="005C70DF" w:rsidP="005C70DF">
      <w:pPr>
        <w:pStyle w:val="Heading4"/>
        <w:rPr>
          <w:sz w:val="24"/>
          <w:szCs w:val="28"/>
        </w:rPr>
      </w:pPr>
      <w:r w:rsidRPr="003F2F23">
        <w:rPr>
          <w:sz w:val="24"/>
          <w:szCs w:val="28"/>
        </w:rPr>
        <w:t>Hearing impairment</w:t>
      </w:r>
      <w:r w:rsidR="004C6DF3">
        <w:rPr>
          <w:sz w:val="24"/>
          <w:szCs w:val="28"/>
        </w:rPr>
        <w:t xml:space="preserve"> (HI)</w:t>
      </w:r>
    </w:p>
    <w:p w14:paraId="7C3B425F" w14:textId="3ABB1F3F" w:rsidR="005C70DF" w:rsidRDefault="0070120B" w:rsidP="005C70DF">
      <w:r w:rsidRPr="0070120B">
        <w:t>Approximately 18 million people in the UK (around 1 in 4) are estimated to experience some degree of hearing loss, including roughly 50,000 children</w:t>
      </w:r>
      <w:r w:rsidR="005C70DF" w:rsidRPr="00F51858">
        <w:rPr>
          <w:vertAlign w:val="superscript"/>
        </w:rPr>
        <w:endnoteReference w:id="195"/>
      </w:r>
      <w:r w:rsidR="005C70DF" w:rsidRPr="0061786A">
        <w:t>.</w:t>
      </w:r>
      <w:r w:rsidR="005C70DF" w:rsidRPr="00A146CD">
        <w:t xml:space="preserve"> </w:t>
      </w:r>
      <w:r w:rsidR="005C70DF" w:rsidRPr="0078005E">
        <w:t>Hearing loss refers to reduced hearing compared to normal thresholds (20 dB or better in both ears) and can range from mild to profound, affecting one or both ears</w:t>
      </w:r>
      <w:r w:rsidR="00C80561">
        <w:t xml:space="preserve">, making </w:t>
      </w:r>
      <w:r w:rsidR="005C70DF" w:rsidRPr="0078005E">
        <w:t>it difficult to hear speech or loud sounds</w:t>
      </w:r>
      <w:r w:rsidR="005C70DF" w:rsidRPr="0098129D">
        <w:rPr>
          <w:vertAlign w:val="superscript"/>
        </w:rPr>
        <w:endnoteReference w:id="196"/>
      </w:r>
      <w:r w:rsidR="0098129D">
        <w:t>.</w:t>
      </w:r>
    </w:p>
    <w:p w14:paraId="07D6D4FD" w14:textId="26CC32C7" w:rsidR="005C70DF" w:rsidRPr="009734EF" w:rsidRDefault="005C70DF" w:rsidP="005C70DF">
      <w:r w:rsidRPr="009734EF">
        <w:t>Hearing loss and deafness occur when sound signals fail to reach the brain due to issues within the hearing system. There are two main types</w:t>
      </w:r>
      <w:r w:rsidR="008A0F82">
        <w:t xml:space="preserve"> of hearing loss</w:t>
      </w:r>
      <w:r w:rsidRPr="009734EF">
        <w:t xml:space="preserve">: sensorineural and </w:t>
      </w:r>
      <w:r w:rsidR="008A0F82">
        <w:t>conductive</w:t>
      </w:r>
      <w:r w:rsidRPr="009734EF">
        <w:t>. Sensorineural hearing loss, which is permanent, results from damage to the inner ear’s hair cells or the hearing nerve, making quiet sounds harder to hear and reducing sound clarity; it is often treatable with hearing aids</w:t>
      </w:r>
      <w:r w:rsidRPr="0060755C">
        <w:rPr>
          <w:vertAlign w:val="superscript"/>
        </w:rPr>
        <w:endnoteReference w:id="197"/>
      </w:r>
      <w:r w:rsidRPr="009734EF">
        <w:t>. Conductive hearing loss, typically caused by ear problems like wax buildup or infections, prevents sound from reaching the cochlea, making sounds quieter and muffled; it can be temporary or permanent. When both types are present, it’s called mixed hearing loss</w:t>
      </w:r>
      <w:r w:rsidRPr="00172B3F">
        <w:rPr>
          <w:vertAlign w:val="superscript"/>
        </w:rPr>
        <w:endnoteReference w:id="198"/>
      </w:r>
      <w:r w:rsidRPr="009734EF">
        <w:t>.</w:t>
      </w:r>
    </w:p>
    <w:p w14:paraId="57B5A74E" w14:textId="37AA9944" w:rsidR="005C70DF" w:rsidRPr="000A4F14" w:rsidRDefault="005C70DF" w:rsidP="005C70DF">
      <w:r w:rsidRPr="000A4F14">
        <w:t>Sudden hearing loss can affect one or both ears, occurring instantly or over several weeks, and may be accompanied by tinnitus or balance issues. Recovery depends on the cause and severity. Possible causes include infections, injury, medication side effects, acoustic neuromas, and Ménière’s disease</w:t>
      </w:r>
      <w:r w:rsidRPr="00AC642B">
        <w:rPr>
          <w:vertAlign w:val="superscript"/>
        </w:rPr>
        <w:endnoteReference w:id="199"/>
      </w:r>
      <w:r w:rsidRPr="000A4F14">
        <w:t>.</w:t>
      </w:r>
    </w:p>
    <w:p w14:paraId="6EE03A6B" w14:textId="2F718F76" w:rsidR="005C70DF" w:rsidRPr="000A4F14" w:rsidRDefault="005C70DF" w:rsidP="005C70DF">
      <w:r w:rsidRPr="000A4F14">
        <w:t>Noise-induced hearing loss</w:t>
      </w:r>
      <w:r w:rsidR="005805E5">
        <w:t>, a type of sensorineural hearing loss,</w:t>
      </w:r>
      <w:r w:rsidRPr="000A4F14">
        <w:t xml:space="preserve"> occurs when loud sounds damage the sensitive hair cells in the cochlea, leading to permanent hearing loss and often tinnitus. It</w:t>
      </w:r>
      <w:r w:rsidR="007E5190">
        <w:t xml:space="preserve"> i</w:t>
      </w:r>
      <w:r w:rsidRPr="000A4F14">
        <w:t xml:space="preserve">s the second most common cause of hearing loss </w:t>
      </w:r>
      <w:r w:rsidR="009312F9">
        <w:t>(</w:t>
      </w:r>
      <w:r w:rsidR="009312F9" w:rsidRPr="009312F9">
        <w:t>most common is age-related hearing loss)</w:t>
      </w:r>
      <w:r w:rsidRPr="000A4F14">
        <w:t xml:space="preserve"> and may result from a single loud event or long-term exposure to high noise levels. Early signs can include tinnitus, and effects may not appear until years later. Common sources include noisy workplaces, loud music, or sudden bursts of sound</w:t>
      </w:r>
      <w:r w:rsidRPr="00AC642B">
        <w:rPr>
          <w:vertAlign w:val="superscript"/>
        </w:rPr>
        <w:endnoteReference w:id="200"/>
      </w:r>
      <w:r w:rsidRPr="000A4F14">
        <w:t xml:space="preserve">. This type of hearing loss typically affects high-frequency sounds first, making it harder to hear high-pitched noises. Continued exposure can worsen the loss, eventually impacting lower frequencies </w:t>
      </w:r>
      <w:r w:rsidR="003E2F16">
        <w:t xml:space="preserve">which can </w:t>
      </w:r>
      <w:r w:rsidRPr="000A4F14">
        <w:t>mak</w:t>
      </w:r>
      <w:r w:rsidR="003E2F16">
        <w:t>e</w:t>
      </w:r>
      <w:r w:rsidRPr="000A4F14">
        <w:t xml:space="preserve"> conversation difficult, even in quiet settings.</w:t>
      </w:r>
    </w:p>
    <w:p w14:paraId="3EEF4B0E" w14:textId="47728512" w:rsidR="664EDB09" w:rsidRDefault="2C406DE0">
      <w:r>
        <w:t xml:space="preserve">Around half of deaf children are born with congenital deafness, </w:t>
      </w:r>
      <w:r w:rsidR="00BF0A45">
        <w:t>mostly caused by</w:t>
      </w:r>
      <w:r>
        <w:t xml:space="preserve"> genetic factors. This may be syndromic (with other symptoms) or non-syndromic (affecting only hearing), and while it can be inherited, many cases occur without a family history</w:t>
      </w:r>
      <w:r w:rsidR="00CB1620">
        <w:rPr>
          <w:rStyle w:val="EndnoteReference"/>
        </w:rPr>
        <w:endnoteReference w:id="201"/>
      </w:r>
      <w:r>
        <w:t>. Infections during pregnancy</w:t>
      </w:r>
      <w:r w:rsidR="006F32E8" w:rsidRPr="006F32E8">
        <w:t xml:space="preserve"> </w:t>
      </w:r>
      <w:r w:rsidR="006F32E8">
        <w:t xml:space="preserve">can also lead to congenital deafness. </w:t>
      </w:r>
      <w:r w:rsidR="0025254F">
        <w:t>Common infectious agents that can lead to deafness include</w:t>
      </w:r>
      <w:r>
        <w:t xml:space="preserve"> cytomegalovirus (CMV),</w:t>
      </w:r>
      <w:r w:rsidR="0025254F">
        <w:t xml:space="preserve"> </w:t>
      </w:r>
      <w:r>
        <w:t>rubella, toxoplasmosis, and herpes. Some babies become deaf shortly after birth, especially if born prematurely, due to infections, ototoxic</w:t>
      </w:r>
      <w:r w:rsidR="00D31B39">
        <w:t xml:space="preserve"> (</w:t>
      </w:r>
      <w:r w:rsidR="00DF7085" w:rsidRPr="00DF7085">
        <w:t xml:space="preserve">having a harmful effect on the organs or nerves </w:t>
      </w:r>
      <w:r w:rsidR="00DF7085" w:rsidRPr="00DF7085">
        <w:lastRenderedPageBreak/>
        <w:t>concerned with hearing and balance</w:t>
      </w:r>
      <w:r w:rsidR="00DF7085">
        <w:t xml:space="preserve">) </w:t>
      </w:r>
      <w:r>
        <w:t>medications, severe jaundice, or lack of oxygen during delivery</w:t>
      </w:r>
      <w:r w:rsidR="007A18CF">
        <w:rPr>
          <w:rStyle w:val="EndnoteReference"/>
        </w:rPr>
        <w:endnoteReference w:id="202"/>
      </w:r>
      <w:r>
        <w:t>.</w:t>
      </w:r>
      <w:r w:rsidR="380186DB">
        <w:t xml:space="preserve"> In addition</w:t>
      </w:r>
      <w:r w:rsidR="71435447">
        <w:t>,</w:t>
      </w:r>
      <w:r w:rsidR="380186DB">
        <w:t xml:space="preserve"> children that are born with the ability to hear but </w:t>
      </w:r>
      <w:r w:rsidR="291909C2">
        <w:t xml:space="preserve">later </w:t>
      </w:r>
      <w:r w:rsidR="380186DB">
        <w:t xml:space="preserve">develop deafness in childhood </w:t>
      </w:r>
      <w:r w:rsidR="5F6B8892">
        <w:t>are described</w:t>
      </w:r>
      <w:r w:rsidR="380186DB">
        <w:t xml:space="preserve"> as </w:t>
      </w:r>
      <w:r w:rsidR="5F6B8892">
        <w:t>having</w:t>
      </w:r>
      <w:r w:rsidR="380186DB">
        <w:t xml:space="preserve"> acquired deafness. The most common cause</w:t>
      </w:r>
      <w:r w:rsidR="00D872DC">
        <w:t xml:space="preserve"> of this</w:t>
      </w:r>
      <w:r w:rsidR="380186DB">
        <w:t xml:space="preserve"> is glue ear, a condition where fluid builds up in the middle ear, leading to temporary hearing loss. Other causes include infections (e.g. meningitis, measles, mumps, rubella), head injuries, loud noise exposure, and certain medications, such as chemotherapy. Some genetic conditions also cause progressive deafness, where hearing deteriorates over time. Ototoxic drugs, particularly </w:t>
      </w:r>
      <w:r w:rsidR="003E7ADB">
        <w:t>some used in</w:t>
      </w:r>
      <w:r w:rsidR="380186DB">
        <w:t xml:space="preserve"> chemotherapy</w:t>
      </w:r>
      <w:r w:rsidR="00D31A5F">
        <w:t>,</w:t>
      </w:r>
      <w:r w:rsidR="380186DB">
        <w:t xml:space="preserve"> can damage the inner ear, resulting in hearing loss, tinnitus</w:t>
      </w:r>
      <w:r w:rsidR="007E5042">
        <w:t xml:space="preserve"> (ringing in the ear)</w:t>
      </w:r>
      <w:r w:rsidR="380186DB">
        <w:t>, or balance issues. Children receiving such treatments should have regular hearing checks to detect early changes, allowing for treatment adjustments and timely support, including hearing aids if needed.</w:t>
      </w:r>
      <w:r w:rsidR="00D251EE">
        <w:rPr>
          <w:rStyle w:val="EndnoteReference"/>
        </w:rPr>
        <w:endnoteReference w:id="203"/>
      </w:r>
    </w:p>
    <w:p w14:paraId="1FF47A8E" w14:textId="745DECCD" w:rsidR="006964CC" w:rsidRPr="003F2F23" w:rsidRDefault="006964CC" w:rsidP="005C70DF">
      <w:pPr>
        <w:pStyle w:val="Heading4"/>
        <w:rPr>
          <w:sz w:val="24"/>
          <w:szCs w:val="28"/>
        </w:rPr>
      </w:pPr>
      <w:r w:rsidRPr="003F2F23">
        <w:rPr>
          <w:sz w:val="24"/>
          <w:szCs w:val="28"/>
        </w:rPr>
        <w:t>Visual impairment</w:t>
      </w:r>
      <w:r w:rsidR="006D15A9">
        <w:rPr>
          <w:sz w:val="24"/>
          <w:szCs w:val="28"/>
        </w:rPr>
        <w:t xml:space="preserve"> (VI)</w:t>
      </w:r>
    </w:p>
    <w:p w14:paraId="010E5BAD" w14:textId="15602747" w:rsidR="006964CC" w:rsidRPr="000A4F14" w:rsidRDefault="006964CC" w:rsidP="005C70DF">
      <w:r w:rsidRPr="000A4F14">
        <w:t xml:space="preserve">Over 2 million people in the UK live with sight loss, including </w:t>
      </w:r>
      <w:r w:rsidR="007A6BBB">
        <w:t>approximately</w:t>
      </w:r>
      <w:r w:rsidRPr="000A4F14">
        <w:t xml:space="preserve"> 340,000 registered as blind or partially sighted</w:t>
      </w:r>
      <w:r w:rsidR="00FE2B7A">
        <w:rPr>
          <w:vertAlign w:val="superscript"/>
        </w:rPr>
        <w:fldChar w:fldCharType="begin"/>
      </w:r>
      <w:r w:rsidR="00FE2B7A">
        <w:rPr>
          <w:vertAlign w:val="superscript"/>
        </w:rPr>
        <w:instrText xml:space="preserve"> NOTEREF  _Ref204720059 \f \h </w:instrText>
      </w:r>
      <w:r w:rsidR="00FE2B7A">
        <w:rPr>
          <w:vertAlign w:val="superscript"/>
        </w:rPr>
      </w:r>
      <w:r w:rsidR="00FE2B7A">
        <w:rPr>
          <w:vertAlign w:val="superscript"/>
        </w:rPr>
        <w:fldChar w:fldCharType="separate"/>
      </w:r>
      <w:r w:rsidR="008722C4" w:rsidRPr="008722C4">
        <w:rPr>
          <w:rStyle w:val="EndnoteReference"/>
        </w:rPr>
        <w:t>5</w:t>
      </w:r>
      <w:r w:rsidR="00FE2B7A">
        <w:rPr>
          <w:vertAlign w:val="superscript"/>
        </w:rPr>
        <w:fldChar w:fldCharType="end"/>
      </w:r>
      <w:r w:rsidRPr="000A4F14">
        <w:t>. V</w:t>
      </w:r>
      <w:r w:rsidR="006D15A9">
        <w:t xml:space="preserve">I </w:t>
      </w:r>
      <w:r w:rsidRPr="000A4F14">
        <w:t xml:space="preserve">can significantly affect individuals throughout their lives, although much of the impact can be mitigated against with timely, quality eye care. </w:t>
      </w:r>
    </w:p>
    <w:p w14:paraId="0786871F" w14:textId="1D178A4B" w:rsidR="006964CC" w:rsidRPr="000A4F14" w:rsidRDefault="006964CC" w:rsidP="005C70DF">
      <w:r w:rsidRPr="000A4F14">
        <w:t>V</w:t>
      </w:r>
      <w:r w:rsidR="006D15A9">
        <w:t>I</w:t>
      </w:r>
      <w:r w:rsidRPr="000A4F14">
        <w:t xml:space="preserve"> refers to sight loss that cannot be corrected with glasses or contact lenses, while "blindness" typically describes complete or near-complete loss of vision. There are various causes of </w:t>
      </w:r>
      <w:r w:rsidR="00BB17A1">
        <w:t>VI</w:t>
      </w:r>
      <w:r>
        <w:t xml:space="preserve">. </w:t>
      </w:r>
      <w:r w:rsidR="00C41CD8">
        <w:t xml:space="preserve">Common </w:t>
      </w:r>
      <w:r w:rsidRPr="000A4F14">
        <w:t>causes include glaucoma (damage to the optic nerve from increased eye pressure)</w:t>
      </w:r>
      <w:r w:rsidRPr="005A1C72">
        <w:rPr>
          <w:vertAlign w:val="superscript"/>
        </w:rPr>
        <w:endnoteReference w:id="204"/>
      </w:r>
      <w:r w:rsidRPr="000A4F14">
        <w:t>, cataracts (clouding of the eye’s lens)</w:t>
      </w:r>
      <w:r w:rsidRPr="00F709A3">
        <w:rPr>
          <w:vertAlign w:val="superscript"/>
        </w:rPr>
        <w:endnoteReference w:id="205"/>
      </w:r>
      <w:r w:rsidRPr="001E7331">
        <w:t xml:space="preserve">, </w:t>
      </w:r>
      <w:r>
        <w:t>di</w:t>
      </w:r>
      <w:r w:rsidRPr="000A4F14">
        <w:t>abetic retinopathy (retinal damage from diabetes), uncorrected refractive errors (issues with how light is focused on the retina),</w:t>
      </w:r>
      <w:r w:rsidRPr="00D038A7">
        <w:rPr>
          <w:sz w:val="24"/>
          <w:szCs w:val="28"/>
        </w:rPr>
        <w:t xml:space="preserve"> </w:t>
      </w:r>
      <w:r w:rsidRPr="000A4F14">
        <w:t>corneal opacity (scarring or clouding of the cornea), trachoma (a bacterial infection)</w:t>
      </w:r>
      <w:r w:rsidRPr="001E7331">
        <w:rPr>
          <w:vertAlign w:val="superscript"/>
        </w:rPr>
        <w:endnoteReference w:id="206"/>
      </w:r>
      <w:r w:rsidRPr="000A4F14">
        <w:t>, and hemianopia (vision loss in half the visual field, often due to stroke). Common symptoms associated with these conditions include blurred vision, eye pain (with or without discharge), light sensitivity, double vision, flashes of light, vision disturbances, and the appearance of new floaters in the field of vision.</w:t>
      </w:r>
    </w:p>
    <w:p w14:paraId="4EFA5FF4" w14:textId="2B211951" w:rsidR="006964CC" w:rsidRPr="000A4F14" w:rsidRDefault="006964CC" w:rsidP="005C70DF">
      <w:r w:rsidRPr="000A4F14">
        <w:t xml:space="preserve">Research has shown that the prevalence of certain </w:t>
      </w:r>
      <w:r w:rsidR="00311DDF">
        <w:t xml:space="preserve">VI </w:t>
      </w:r>
      <w:r w:rsidRPr="000A4F14">
        <w:t>varies across ethnic groups</w:t>
      </w:r>
      <w:r w:rsidR="00EE766E">
        <w:rPr>
          <w:rStyle w:val="EndnoteReference"/>
        </w:rPr>
        <w:endnoteReference w:id="207"/>
      </w:r>
      <w:r w:rsidR="00DA3FEF">
        <w:t xml:space="preserve">. </w:t>
      </w:r>
      <w:r w:rsidRPr="000A4F14">
        <w:t xml:space="preserve"> Individuals of African and African Caribbean descent are up to four times more likely to develop glaucoma compared to other populations and are also at increased risk of developing age-related macular degeneration before the age of 60. Similarly, people of Asian backgrounds have a higher likelihood of developing cataracts</w:t>
      </w:r>
      <w:r w:rsidRPr="001E7331">
        <w:rPr>
          <w:vertAlign w:val="superscript"/>
        </w:rPr>
        <w:endnoteReference w:id="208"/>
      </w:r>
      <w:r>
        <w:t>.</w:t>
      </w:r>
    </w:p>
    <w:p w14:paraId="763FF1DC" w14:textId="6B768D34" w:rsidR="006964CC" w:rsidRPr="000A4F14" w:rsidRDefault="006964CC" w:rsidP="005C70DF">
      <w:r w:rsidRPr="000A4F14">
        <w:t xml:space="preserve">Many children with </w:t>
      </w:r>
      <w:r w:rsidR="00157D3D">
        <w:t xml:space="preserve">VI </w:t>
      </w:r>
      <w:r w:rsidRPr="000A4F14">
        <w:t>are affected from birth, though some develop issues later due to illness, injury, or medical conditions. These impairments are often lifelong and may not be immediately visible. Signs in babies can include difficulty focusing, unusual eye movements, sensitivity or lack of response to light, and cloudy or pale pupils. In older children, signs may include eye rubbing, holding objects close, head tilting, clumsiness, tiredness from visual tasks, or difficulty seeing in low light or at a distance</w:t>
      </w:r>
      <w:r w:rsidRPr="0098129D">
        <w:rPr>
          <w:vertAlign w:val="superscript"/>
        </w:rPr>
        <w:endnoteReference w:id="209"/>
      </w:r>
      <w:r>
        <w:t>.</w:t>
      </w:r>
    </w:p>
    <w:p w14:paraId="0E2E81C1" w14:textId="2BE79EA1" w:rsidR="006964CC" w:rsidRDefault="006964CC" w:rsidP="005C70DF">
      <w:pPr>
        <w:pStyle w:val="Heading4"/>
        <w:rPr>
          <w:sz w:val="24"/>
          <w:szCs w:val="28"/>
        </w:rPr>
      </w:pPr>
      <w:r>
        <w:rPr>
          <w:sz w:val="24"/>
          <w:szCs w:val="28"/>
        </w:rPr>
        <w:t>Multisensory impairment</w:t>
      </w:r>
      <w:r w:rsidR="00942FF6">
        <w:rPr>
          <w:sz w:val="24"/>
          <w:szCs w:val="28"/>
        </w:rPr>
        <w:t xml:space="preserve"> (MSI) </w:t>
      </w:r>
    </w:p>
    <w:p w14:paraId="6128D5A9" w14:textId="2FD50980" w:rsidR="006964CC" w:rsidRPr="000A4F14" w:rsidRDefault="006964CC" w:rsidP="005C70DF">
      <w:r w:rsidRPr="000A4F14">
        <w:t>A child is considered deafblind, or</w:t>
      </w:r>
      <w:r w:rsidR="00942FF6">
        <w:t xml:space="preserve"> </w:t>
      </w:r>
      <w:r w:rsidRPr="000A4F14">
        <w:t xml:space="preserve">have a multisensory impairment (MSI), when they have both hearing loss and </w:t>
      </w:r>
      <w:r w:rsidR="00F1339F">
        <w:t>VI</w:t>
      </w:r>
      <w:r w:rsidRPr="000A4F14">
        <w:t xml:space="preserve">. Often, the cause of combined impairments is unknown, and one sense is usually more affected than the other. </w:t>
      </w:r>
      <w:r w:rsidR="00832806">
        <w:t>However, this</w:t>
      </w:r>
      <w:r w:rsidRPr="000A4F14">
        <w:t xml:space="preserve"> balance may change over time</w:t>
      </w:r>
      <w:r w:rsidRPr="00656CC8">
        <w:rPr>
          <w:vertAlign w:val="superscript"/>
        </w:rPr>
        <w:endnoteReference w:id="210"/>
      </w:r>
      <w:r>
        <w:t>.</w:t>
      </w:r>
      <w:r w:rsidR="009D777D">
        <w:t xml:space="preserve"> It is rare for a child to have both </w:t>
      </w:r>
      <w:r w:rsidR="00430496">
        <w:t xml:space="preserve">hearing </w:t>
      </w:r>
      <w:r w:rsidR="00D60E04">
        <w:t xml:space="preserve">and vision </w:t>
      </w:r>
      <w:r w:rsidR="00430496">
        <w:t>impairments</w:t>
      </w:r>
      <w:r w:rsidR="002A0272">
        <w:t>. R</w:t>
      </w:r>
      <w:r w:rsidR="00430496">
        <w:t xml:space="preserve">ecent estimates suggest </w:t>
      </w:r>
      <w:r w:rsidR="002A0272">
        <w:t>a</w:t>
      </w:r>
      <w:r w:rsidR="002A0272" w:rsidRPr="002A0272">
        <w:t>bout 0.031% of children and young people in the UK</w:t>
      </w:r>
      <w:r w:rsidR="002A0272">
        <w:t xml:space="preserve">, </w:t>
      </w:r>
      <w:r w:rsidR="002A0272" w:rsidRPr="002A0272">
        <w:t>around 31 out of every 100,000 under-19s</w:t>
      </w:r>
      <w:r w:rsidR="002A0272">
        <w:t xml:space="preserve">, </w:t>
      </w:r>
      <w:r w:rsidR="002A0272" w:rsidRPr="002A0272">
        <w:t>have both vision and hearing impairments</w:t>
      </w:r>
      <w:r w:rsidR="009B7601">
        <w:rPr>
          <w:rStyle w:val="EndnoteReference"/>
        </w:rPr>
        <w:endnoteReference w:id="211"/>
      </w:r>
      <w:r w:rsidR="002A0272" w:rsidRPr="002A0272">
        <w:t>.</w:t>
      </w:r>
    </w:p>
    <w:p w14:paraId="7C31A29F" w14:textId="49B1F692" w:rsidR="006964CC" w:rsidRPr="00656CC8" w:rsidRDefault="006964CC" w:rsidP="005C70DF">
      <w:r w:rsidRPr="007D2319">
        <w:lastRenderedPageBreak/>
        <w:t>When a child or young person loses both their hearing and vision after they have already developed language, this is known as an acquired multi-sensory loss. Such a loss may be caused by illness (such as meningitis), injury, or an underlying genetic condition present from birth, such as Usher syndrome. The age at which symptoms appear, as well as the severity and progression of hearing, vision, and balance issues, can vary greatly from one individual to another.</w:t>
      </w:r>
    </w:p>
    <w:p w14:paraId="17389F95" w14:textId="77777777" w:rsidR="006964CC" w:rsidRPr="003F2F23" w:rsidRDefault="006964CC" w:rsidP="005C70DF">
      <w:pPr>
        <w:pStyle w:val="Heading4"/>
        <w:rPr>
          <w:sz w:val="24"/>
          <w:szCs w:val="28"/>
        </w:rPr>
      </w:pPr>
      <w:r w:rsidRPr="003F2F23">
        <w:rPr>
          <w:sz w:val="24"/>
          <w:szCs w:val="28"/>
        </w:rPr>
        <w:t>Sensory processing impairment</w:t>
      </w:r>
    </w:p>
    <w:p w14:paraId="724EC74E" w14:textId="63CF0486" w:rsidR="006964CC" w:rsidRPr="000A4F14" w:rsidRDefault="006964CC" w:rsidP="005C70DF">
      <w:r w:rsidRPr="000A4F14">
        <w:t>Sensory Processing Disorder (SPD) is a neurological condition that impacts how the brain interprets sensory information such as sight, sound, touch, smell, taste, and movement</w:t>
      </w:r>
      <w:r w:rsidRPr="00656CC8">
        <w:rPr>
          <w:vertAlign w:val="superscript"/>
        </w:rPr>
        <w:endnoteReference w:id="212"/>
      </w:r>
      <w:r>
        <w:t xml:space="preserve">. </w:t>
      </w:r>
      <w:r w:rsidRPr="000A4F14">
        <w:t>People with SPD may have difficulty organising and responding appropriately to sensory input, which can affect daily activities and social interactions. The condition can manifest as:</w:t>
      </w:r>
    </w:p>
    <w:p w14:paraId="5340F3AC" w14:textId="77777777" w:rsidR="006964CC" w:rsidRPr="000A4F14" w:rsidRDefault="006964CC" w:rsidP="00BF63ED">
      <w:pPr>
        <w:pStyle w:val="ListParagraph"/>
        <w:numPr>
          <w:ilvl w:val="0"/>
          <w:numId w:val="21"/>
        </w:numPr>
        <w:spacing w:before="0" w:after="160" w:line="264" w:lineRule="auto"/>
        <w:contextualSpacing/>
      </w:pPr>
      <w:r w:rsidRPr="000A4F14">
        <w:t>Hypersensitivity (over-responsivity), causing discomfort or avoidance of certain stimuli</w:t>
      </w:r>
    </w:p>
    <w:p w14:paraId="7DD0DC88" w14:textId="77777777" w:rsidR="006964CC" w:rsidRPr="000A4F14" w:rsidRDefault="006964CC" w:rsidP="00BF63ED">
      <w:pPr>
        <w:pStyle w:val="ListParagraph"/>
        <w:numPr>
          <w:ilvl w:val="0"/>
          <w:numId w:val="21"/>
        </w:numPr>
        <w:spacing w:before="0" w:after="160" w:line="264" w:lineRule="auto"/>
        <w:contextualSpacing/>
      </w:pPr>
      <w:r w:rsidRPr="000A4F14">
        <w:t>Hyposensitivity (under-responsivity), leading to a need for increased stimulation</w:t>
      </w:r>
    </w:p>
    <w:p w14:paraId="50A93F72" w14:textId="77777777" w:rsidR="006964CC" w:rsidRPr="000A4F14" w:rsidRDefault="006964CC" w:rsidP="00BF63ED">
      <w:pPr>
        <w:pStyle w:val="ListParagraph"/>
        <w:numPr>
          <w:ilvl w:val="0"/>
          <w:numId w:val="21"/>
        </w:numPr>
        <w:spacing w:before="0" w:after="160" w:line="264" w:lineRule="auto"/>
        <w:contextualSpacing/>
      </w:pPr>
      <w:r w:rsidRPr="000A4F14">
        <w:t>Sensory seeking, where individuals actively crave specific sensory experiences</w:t>
      </w:r>
    </w:p>
    <w:p w14:paraId="07F3E3F1" w14:textId="77777777" w:rsidR="006964CC" w:rsidRPr="000A4F14" w:rsidRDefault="006964CC" w:rsidP="00BF63ED">
      <w:pPr>
        <w:pStyle w:val="ListParagraph"/>
        <w:numPr>
          <w:ilvl w:val="0"/>
          <w:numId w:val="21"/>
        </w:numPr>
        <w:spacing w:before="0" w:after="160" w:line="264" w:lineRule="auto"/>
        <w:contextualSpacing/>
      </w:pPr>
      <w:r w:rsidRPr="000A4F14">
        <w:t>Sensory discrimination problems, which involve trouble distinguishing between different sensory inputs</w:t>
      </w:r>
    </w:p>
    <w:p w14:paraId="327C3AC4" w14:textId="77777777" w:rsidR="006964CC" w:rsidRPr="000A4F14" w:rsidRDefault="006964CC" w:rsidP="00BF63ED">
      <w:pPr>
        <w:pStyle w:val="ListParagraph"/>
        <w:numPr>
          <w:ilvl w:val="0"/>
          <w:numId w:val="21"/>
        </w:numPr>
        <w:spacing w:before="0" w:after="160" w:line="264" w:lineRule="auto"/>
        <w:contextualSpacing/>
      </w:pPr>
      <w:r w:rsidRPr="000A4F14">
        <w:t>Sensorimotor difficulties affecting coordination, balance, and motor skills.</w:t>
      </w:r>
    </w:p>
    <w:p w14:paraId="62E73D1B" w14:textId="2644018F" w:rsidR="006964CC" w:rsidRPr="000A4F14" w:rsidRDefault="006964CC" w:rsidP="005C70DF">
      <w:r w:rsidRPr="000A4F14">
        <w:t xml:space="preserve">Sensory processing impairment can occur in many people with </w:t>
      </w:r>
      <w:r w:rsidR="00D25CCB">
        <w:t>ASD</w:t>
      </w:r>
      <w:r w:rsidRPr="000A4F14">
        <w:t xml:space="preserve"> and in other populations with neurodevelopmental disorders.</w:t>
      </w:r>
    </w:p>
    <w:p w14:paraId="5C200EB9" w14:textId="77777777" w:rsidR="006964CC" w:rsidRDefault="006964CC" w:rsidP="005C70DF">
      <w:pPr>
        <w:pStyle w:val="Heading4"/>
        <w:rPr>
          <w:sz w:val="24"/>
          <w:szCs w:val="28"/>
        </w:rPr>
      </w:pPr>
      <w:r w:rsidRPr="003F2F23">
        <w:rPr>
          <w:sz w:val="24"/>
          <w:szCs w:val="28"/>
        </w:rPr>
        <w:t>Tinnitus</w:t>
      </w:r>
    </w:p>
    <w:p w14:paraId="6856431E" w14:textId="6BB31ACA" w:rsidR="006964CC" w:rsidRPr="00E750DF" w:rsidRDefault="006964CC" w:rsidP="00B71B60">
      <w:pPr>
        <w:rPr>
          <w:b/>
          <w:bCs/>
          <w:sz w:val="18"/>
          <w:szCs w:val="18"/>
        </w:rPr>
      </w:pPr>
      <w:r w:rsidRPr="007B2D04">
        <w:rPr>
          <w:b/>
          <w:bCs/>
          <w:sz w:val="18"/>
          <w:szCs w:val="18"/>
        </w:rPr>
        <w:t xml:space="preserve">Figure </w:t>
      </w:r>
      <w:r w:rsidR="007B2D04" w:rsidRPr="007B2D04">
        <w:rPr>
          <w:b/>
          <w:bCs/>
          <w:sz w:val="18"/>
          <w:szCs w:val="18"/>
        </w:rPr>
        <w:t>10.1</w:t>
      </w:r>
      <w:r w:rsidRPr="007B2D04">
        <w:rPr>
          <w:b/>
          <w:bCs/>
          <w:sz w:val="18"/>
          <w:szCs w:val="18"/>
        </w:rPr>
        <w:t>: Online</w:t>
      </w:r>
      <w:r w:rsidRPr="00E750DF">
        <w:rPr>
          <w:b/>
          <w:bCs/>
          <w:sz w:val="18"/>
          <w:szCs w:val="18"/>
        </w:rPr>
        <w:t xml:space="preserve"> poll results of common sounds heard</w:t>
      </w:r>
      <w:r w:rsidRPr="00E750DF">
        <w:rPr>
          <w:rStyle w:val="EndnoteReference"/>
          <w:b/>
          <w:bCs/>
          <w:sz w:val="18"/>
          <w:szCs w:val="18"/>
        </w:rPr>
        <w:endnoteReference w:id="213"/>
      </w:r>
    </w:p>
    <w:p w14:paraId="54E1A7D9" w14:textId="333D02EE" w:rsidR="005C70DF" w:rsidRDefault="00B71B60" w:rsidP="005C70DF">
      <w:r>
        <w:rPr>
          <w:noProof/>
        </w:rPr>
        <w:drawing>
          <wp:anchor distT="0" distB="0" distL="114300" distR="114300" simplePos="0" relativeHeight="251658242" behindDoc="0" locked="0" layoutInCell="1" allowOverlap="1" wp14:anchorId="301CDE90" wp14:editId="12E50E9D">
            <wp:simplePos x="0" y="0"/>
            <wp:positionH relativeFrom="column">
              <wp:posOffset>0</wp:posOffset>
            </wp:positionH>
            <wp:positionV relativeFrom="paragraph">
              <wp:posOffset>7751</wp:posOffset>
            </wp:positionV>
            <wp:extent cx="3469369" cy="2443656"/>
            <wp:effectExtent l="19050" t="19050" r="17145" b="13970"/>
            <wp:wrapSquare wrapText="bothSides"/>
            <wp:docPr id="1563879299" name="Picture 38" descr="A diagram of tinni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879299" name="Picture 38" descr="A diagram of tinnitu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69369" cy="2443656"/>
                    </a:xfrm>
                    <a:prstGeom prst="rect">
                      <a:avLst/>
                    </a:prstGeom>
                    <a:noFill/>
                    <a:ln w="3175">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5C70DF" w:rsidRPr="000A4F14">
        <w:t>Tinnitus is the perception of ringing, buzzing, or other sounds in the ears or head without an external source. It can vary in intensity and may be constant or intermittent, often affecting quality of life. According to the latest research, approximately 1 in 7 adults experience tinnitus. In the UK alone, this translates to over 7 million adults living with the condition, highlighting its widespread impact on the population</w:t>
      </w:r>
      <w:r w:rsidR="005C70DF" w:rsidRPr="00D84004">
        <w:rPr>
          <w:vertAlign w:val="superscript"/>
        </w:rPr>
        <w:endnoteReference w:id="214"/>
      </w:r>
      <w:r w:rsidR="00D84004">
        <w:t>.</w:t>
      </w:r>
      <w:r w:rsidR="00326678" w:rsidRPr="00326678">
        <w:t>Studies show a wide range in how common tinnitus is among children. In the general paediatric population</w:t>
      </w:r>
      <w:r w:rsidR="00326678">
        <w:t xml:space="preserve">, </w:t>
      </w:r>
      <w:r w:rsidR="00326678" w:rsidRPr="00326678">
        <w:t>including those with normal hearing</w:t>
      </w:r>
      <w:r w:rsidR="00326678">
        <w:t xml:space="preserve">, </w:t>
      </w:r>
      <w:r w:rsidR="00326678" w:rsidRPr="00326678">
        <w:t>estimates range from 4.7% to 46%. Among children with hearing loss, the reported prevalence is higher, ranging from 23.5% to 62.2%</w:t>
      </w:r>
      <w:r w:rsidR="003E3E94">
        <w:rPr>
          <w:rStyle w:val="EndnoteReference"/>
        </w:rPr>
        <w:endnoteReference w:id="215"/>
      </w:r>
    </w:p>
    <w:p w14:paraId="69EF72B2" w14:textId="0CF1E123" w:rsidR="007A1C6B" w:rsidRPr="002A0840" w:rsidRDefault="007A1C6B" w:rsidP="00E63EBF">
      <w:pPr>
        <w:jc w:val="center"/>
        <w:rPr>
          <w:b/>
          <w:sz w:val="18"/>
          <w:szCs w:val="18"/>
        </w:rPr>
      </w:pPr>
      <w:r w:rsidRPr="002A0840">
        <w:rPr>
          <w:b/>
          <w:sz w:val="18"/>
          <w:szCs w:val="18"/>
        </w:rPr>
        <w:t xml:space="preserve">Source: </w:t>
      </w:r>
      <w:r w:rsidR="00D84004" w:rsidRPr="002A0840">
        <w:rPr>
          <w:b/>
          <w:sz w:val="18"/>
          <w:szCs w:val="18"/>
        </w:rPr>
        <w:t>Hearing Link Services.</w:t>
      </w:r>
    </w:p>
    <w:p w14:paraId="6FF10519" w14:textId="443C3B40" w:rsidR="005C70DF" w:rsidRPr="000A4F14" w:rsidRDefault="005C70DF" w:rsidP="005C70DF">
      <w:r w:rsidRPr="000A4F14">
        <w:t xml:space="preserve">Tinnitus is influenced by various factors. </w:t>
      </w:r>
      <w:r w:rsidR="00F42BF4">
        <w:t>I</w:t>
      </w:r>
      <w:r w:rsidR="00C87EAD">
        <w:t xml:space="preserve">n children </w:t>
      </w:r>
      <w:r w:rsidR="00F42BF4">
        <w:t>t</w:t>
      </w:r>
      <w:r w:rsidR="00F42BF4" w:rsidRPr="00F42BF4">
        <w:t>innitus can be associated with underlying conditions requiring medical assessment</w:t>
      </w:r>
      <w:r w:rsidR="00F42BF4">
        <w:t xml:space="preserve">, </w:t>
      </w:r>
      <w:r w:rsidR="00F42BF4" w:rsidRPr="00F42BF4">
        <w:t>such as glue ear, hearing loss, or ear infection</w:t>
      </w:r>
      <w:r w:rsidR="006B57E9">
        <w:rPr>
          <w:rStyle w:val="EndnoteReference"/>
        </w:rPr>
        <w:endnoteReference w:id="216"/>
      </w:r>
      <w:r w:rsidR="004129FC">
        <w:t>.</w:t>
      </w:r>
      <w:r w:rsidR="00F42BF4" w:rsidRPr="00F42BF4" w:rsidDel="00C87EAD">
        <w:t xml:space="preserve"> </w:t>
      </w:r>
      <w:r w:rsidRPr="000A4F14">
        <w:t xml:space="preserve">Other contributing factors include earwax buildup, ear infections, and injuries to the head or neck that affect </w:t>
      </w:r>
      <w:r w:rsidRPr="000A4F14">
        <w:lastRenderedPageBreak/>
        <w:t>the auditory system. Less common causes involve conditions such as Ménière’s disease, jaw joint disorders, and tumours like acoustic neuromas. Circulatory issues, including high blood pressure and vascular malformations near the ear, may also lead to tinnitus. Additionally, chronic illnesses such as diabetes, thyroid problems, migraines, anaemia, and autoimmune diseases like lupus or multiple sclerosis have been linked to the condition</w:t>
      </w:r>
      <w:r w:rsidRPr="00F61406">
        <w:rPr>
          <w:vertAlign w:val="superscript"/>
        </w:rPr>
        <w:endnoteReference w:id="217"/>
      </w:r>
      <w:r w:rsidR="00F61406">
        <w:t>.</w:t>
      </w:r>
    </w:p>
    <w:p w14:paraId="0C5D850C" w14:textId="77777777" w:rsidR="005C70DF" w:rsidRPr="003F2F23" w:rsidRDefault="005C70DF" w:rsidP="005C70DF">
      <w:pPr>
        <w:pStyle w:val="Heading4"/>
        <w:rPr>
          <w:sz w:val="24"/>
          <w:szCs w:val="28"/>
        </w:rPr>
      </w:pPr>
      <w:r w:rsidRPr="003F2F23">
        <w:rPr>
          <w:sz w:val="24"/>
          <w:szCs w:val="28"/>
        </w:rPr>
        <w:t xml:space="preserve">Physical disabilities with associated sensory impairment </w:t>
      </w:r>
    </w:p>
    <w:p w14:paraId="15088F77" w14:textId="593B5B4C" w:rsidR="005C70DF" w:rsidRDefault="005C70DF" w:rsidP="005C70DF">
      <w:r w:rsidRPr="000A4F14">
        <w:t xml:space="preserve">There are </w:t>
      </w:r>
      <w:proofErr w:type="gramStart"/>
      <w:r w:rsidRPr="000A4F14">
        <w:t>a number of</w:t>
      </w:r>
      <w:proofErr w:type="gramEnd"/>
      <w:r w:rsidRPr="000A4F14">
        <w:t xml:space="preserve"> physical health conditions that are associated with sensory impairments including cerebral palsy, spina bifida, neuro-muscular dystrophies, and spinal cord injuries</w:t>
      </w:r>
      <w:r w:rsidRPr="000051D7">
        <w:rPr>
          <w:vertAlign w:val="superscript"/>
        </w:rPr>
        <w:endnoteReference w:id="218"/>
      </w:r>
      <w:r w:rsidR="000051D7">
        <w:t>.</w:t>
      </w:r>
      <w:r w:rsidR="00886F3D">
        <w:t xml:space="preserve"> See </w:t>
      </w:r>
      <w:r w:rsidR="007B2D04">
        <w:t>C</w:t>
      </w:r>
      <w:r w:rsidR="00886F3D">
        <w:t xml:space="preserve">hapter </w:t>
      </w:r>
      <w:r w:rsidR="007B2D04">
        <w:t xml:space="preserve">11 </w:t>
      </w:r>
      <w:r w:rsidR="00886F3D">
        <w:t>for further insight into physical disabilities.</w:t>
      </w:r>
      <w:r w:rsidRPr="000051D7">
        <w:rPr>
          <w:vertAlign w:val="superscript"/>
        </w:rPr>
        <w:t xml:space="preserve"> </w:t>
      </w:r>
    </w:p>
    <w:p w14:paraId="04748081" w14:textId="77777777" w:rsidR="005C70DF" w:rsidRPr="00FE0D21" w:rsidRDefault="005C70DF" w:rsidP="005C70DF">
      <w:pPr>
        <w:pStyle w:val="Heading3"/>
        <w:rPr>
          <w:color w:val="006B70"/>
        </w:rPr>
      </w:pPr>
      <w:bookmarkStart w:id="369" w:name="_Toc205386959"/>
      <w:bookmarkStart w:id="370" w:name="_Toc205388029"/>
      <w:bookmarkStart w:id="371" w:name="_Toc205446040"/>
      <w:r w:rsidRPr="00FE0D21">
        <w:rPr>
          <w:color w:val="006B70"/>
        </w:rPr>
        <w:t>Local Picture</w:t>
      </w:r>
      <w:bookmarkEnd w:id="369"/>
      <w:bookmarkEnd w:id="370"/>
      <w:bookmarkEnd w:id="371"/>
    </w:p>
    <w:p w14:paraId="04729827" w14:textId="0F615967" w:rsidR="005C70DF" w:rsidRPr="00456CAB" w:rsidRDefault="005C70DF" w:rsidP="005C70DF">
      <w:pPr>
        <w:pStyle w:val="Heading4"/>
        <w:rPr>
          <w:sz w:val="24"/>
          <w:szCs w:val="28"/>
        </w:rPr>
      </w:pPr>
      <w:r w:rsidRPr="00456CAB">
        <w:rPr>
          <w:sz w:val="24"/>
          <w:szCs w:val="28"/>
        </w:rPr>
        <w:t>Hearing impairment</w:t>
      </w:r>
      <w:r w:rsidR="003D727E">
        <w:rPr>
          <w:sz w:val="24"/>
          <w:szCs w:val="28"/>
        </w:rPr>
        <w:t xml:space="preserve"> (HI)</w:t>
      </w:r>
    </w:p>
    <w:p w14:paraId="3B43C7FD" w14:textId="38AB595E" w:rsidR="005C70DF" w:rsidRDefault="005C70DF" w:rsidP="005C70DF">
      <w:r>
        <w:t>3.4% of the total EHCP</w:t>
      </w:r>
      <w:r w:rsidR="00EE44AC">
        <w:t>s</w:t>
      </w:r>
      <w:r>
        <w:t xml:space="preserve"> in Tower Hamlets are for children with a </w:t>
      </w:r>
      <w:r w:rsidR="003D727E">
        <w:t>HI</w:t>
      </w:r>
      <w:r>
        <w:t xml:space="preserve">, with a near even split of female (52%) and male (48%) children. </w:t>
      </w:r>
      <w:r w:rsidR="00E47BC1">
        <w:t xml:space="preserve">Progressive hearing loss is seen more particularly in secondary-aged children. </w:t>
      </w:r>
      <w:proofErr w:type="gramStart"/>
      <w:r w:rsidR="009439DC">
        <w:t>T</w:t>
      </w:r>
      <w:r>
        <w:t>he majority of</w:t>
      </w:r>
      <w:proofErr w:type="gramEnd"/>
      <w:r>
        <w:t xml:space="preserve"> </w:t>
      </w:r>
      <w:r w:rsidR="009439DC">
        <w:t xml:space="preserve">these </w:t>
      </w:r>
      <w:r>
        <w:t>children are of Asian Bangladeshi heritage (51.6%)</w:t>
      </w:r>
      <w:r w:rsidR="00A94496">
        <w:t xml:space="preserve">, although </w:t>
      </w:r>
      <w:r w:rsidR="009439DC">
        <w:t xml:space="preserve">this suggests that this group is still underrepresented as 62.6% of all pupils in schools in Tower Hamlets are of Asian Bangladeshi heritage, according to the </w:t>
      </w:r>
      <w:r w:rsidR="002360E5">
        <w:t>latest school census data</w:t>
      </w:r>
      <w:r w:rsidR="00A232AA">
        <w:rPr>
          <w:rStyle w:val="EndnoteReference"/>
        </w:rPr>
        <w:endnoteReference w:id="219"/>
      </w:r>
      <w:r w:rsidR="002360E5">
        <w:t>.</w:t>
      </w:r>
    </w:p>
    <w:p w14:paraId="676EF321" w14:textId="691B40CA" w:rsidR="00FF75E6" w:rsidRDefault="005C70DF" w:rsidP="005C70DF">
      <w:r w:rsidRPr="006C60F3">
        <w:t>Data from stakeholder</w:t>
      </w:r>
      <w:r w:rsidR="005565B6" w:rsidRPr="006C60F3">
        <w:t xml:space="preserve">s </w:t>
      </w:r>
      <w:r w:rsidR="00D1374F">
        <w:t xml:space="preserve">and a service evaluation carried out </w:t>
      </w:r>
      <w:r w:rsidR="0037211A">
        <w:t>in the borough</w:t>
      </w:r>
      <w:r w:rsidR="00D1374F">
        <w:t xml:space="preserve"> </w:t>
      </w:r>
      <w:r w:rsidR="00A20FAE" w:rsidRPr="006C60F3">
        <w:t>reported</w:t>
      </w:r>
      <w:r w:rsidRPr="006C60F3">
        <w:t xml:space="preserve"> </w:t>
      </w:r>
      <w:r w:rsidR="00464074">
        <w:t xml:space="preserve">that Tower Hamlets </w:t>
      </w:r>
      <w:r w:rsidR="00641F25">
        <w:t xml:space="preserve">has </w:t>
      </w:r>
      <w:r w:rsidR="00FC5E72">
        <w:t xml:space="preserve">the second </w:t>
      </w:r>
      <w:r w:rsidR="00641F25">
        <w:t xml:space="preserve">highest rates of </w:t>
      </w:r>
      <w:r w:rsidR="002647F8">
        <w:t xml:space="preserve">deaf </w:t>
      </w:r>
      <w:r w:rsidR="0050555C" w:rsidRPr="006C60F3">
        <w:t>children</w:t>
      </w:r>
      <w:r w:rsidR="0050555C">
        <w:t xml:space="preserve"> and</w:t>
      </w:r>
      <w:r>
        <w:t xml:space="preserve"> young people </w:t>
      </w:r>
      <w:r w:rsidR="00464074">
        <w:t>in London</w:t>
      </w:r>
      <w:r w:rsidR="005C0FE5">
        <w:rPr>
          <w:rStyle w:val="EndnoteReference"/>
        </w:rPr>
        <w:endnoteReference w:id="220"/>
      </w:r>
      <w:r w:rsidR="006D7449" w:rsidRPr="006D7449">
        <w:rPr>
          <w:vertAlign w:val="superscript"/>
        </w:rPr>
        <w:fldChar w:fldCharType="begin"/>
      </w:r>
      <w:r w:rsidR="006D7449" w:rsidRPr="006D7449">
        <w:rPr>
          <w:vertAlign w:val="superscript"/>
        </w:rPr>
        <w:instrText xml:space="preserve"> NOTEREF _Ref205388801 \h  \* MERGEFORMAT </w:instrText>
      </w:r>
      <w:r w:rsidR="006D7449" w:rsidRPr="006D7449">
        <w:rPr>
          <w:vertAlign w:val="superscript"/>
        </w:rPr>
      </w:r>
      <w:r w:rsidR="006D7449" w:rsidRPr="006D7449">
        <w:rPr>
          <w:vertAlign w:val="superscript"/>
        </w:rPr>
        <w:fldChar w:fldCharType="separate"/>
      </w:r>
      <w:r w:rsidR="008722C4">
        <w:rPr>
          <w:b/>
          <w:bCs/>
          <w:vertAlign w:val="superscript"/>
          <w:lang w:val="en-US"/>
        </w:rPr>
        <w:t>Error! Bookmark not defined.</w:t>
      </w:r>
      <w:r w:rsidR="006D7449" w:rsidRPr="006D7449">
        <w:rPr>
          <w:vertAlign w:val="superscript"/>
        </w:rPr>
        <w:fldChar w:fldCharType="end"/>
      </w:r>
      <w:r>
        <w:t xml:space="preserve">. </w:t>
      </w:r>
      <w:r w:rsidR="006C24ED">
        <w:t xml:space="preserve">In addition, </w:t>
      </w:r>
      <w:r w:rsidR="00B862A1">
        <w:t>a</w:t>
      </w:r>
      <w:r>
        <w:t xml:space="preserve"> </w:t>
      </w:r>
      <w:r w:rsidR="00574F43">
        <w:t xml:space="preserve">recent </w:t>
      </w:r>
      <w:r>
        <w:t>c</w:t>
      </w:r>
      <w:r w:rsidRPr="009327A6">
        <w:t>aseload review of deaf children with cochlear implants in Tower Hamlets</w:t>
      </w:r>
      <w:r w:rsidR="00574F43">
        <w:t xml:space="preserve"> reported:</w:t>
      </w:r>
    </w:p>
    <w:p w14:paraId="73F14E34" w14:textId="6BE6B9E1" w:rsidR="00FF75E6" w:rsidRDefault="005C70DF" w:rsidP="00BF63ED">
      <w:pPr>
        <w:pStyle w:val="ListParagraph"/>
        <w:numPr>
          <w:ilvl w:val="0"/>
          <w:numId w:val="36"/>
        </w:numPr>
      </w:pPr>
      <w:r w:rsidRPr="002D635E">
        <w:t xml:space="preserve">98% </w:t>
      </w:r>
      <w:r w:rsidR="00E16241">
        <w:t xml:space="preserve">of children and young people </w:t>
      </w:r>
      <w:r w:rsidRPr="002D635E">
        <w:t xml:space="preserve">are from </w:t>
      </w:r>
      <w:r w:rsidR="00097450">
        <w:t>ethnic diverse</w:t>
      </w:r>
      <w:r w:rsidR="005F7C35">
        <w:t xml:space="preserve"> </w:t>
      </w:r>
      <w:r w:rsidRPr="002D635E">
        <w:t>backgrounds (mostly Bengali)</w:t>
      </w:r>
    </w:p>
    <w:p w14:paraId="0644ADEE" w14:textId="0D75EB67" w:rsidR="00E16241" w:rsidRDefault="005C70DF" w:rsidP="00BF63ED">
      <w:pPr>
        <w:pStyle w:val="ListParagraph"/>
        <w:numPr>
          <w:ilvl w:val="0"/>
          <w:numId w:val="36"/>
        </w:numPr>
      </w:pPr>
      <w:r w:rsidRPr="002D635E">
        <w:t>64% use</w:t>
      </w:r>
      <w:r w:rsidR="00941AD1">
        <w:t>d</w:t>
      </w:r>
      <w:r w:rsidRPr="002D635E">
        <w:t xml:space="preserve"> </w:t>
      </w:r>
      <w:r w:rsidR="0055641A" w:rsidRPr="0055641A">
        <w:t>additional language to English at home</w:t>
      </w:r>
      <w:r w:rsidR="0055641A" w:rsidRPr="0055641A" w:rsidDel="0055641A">
        <w:t xml:space="preserve"> </w:t>
      </w:r>
    </w:p>
    <w:p w14:paraId="654E6F9C" w14:textId="67275CC9" w:rsidR="00FF75E6" w:rsidRDefault="005C70DF" w:rsidP="00BF63ED">
      <w:pPr>
        <w:pStyle w:val="ListParagraph"/>
        <w:numPr>
          <w:ilvl w:val="0"/>
          <w:numId w:val="36"/>
        </w:numPr>
      </w:pPr>
      <w:r w:rsidRPr="002D635E">
        <w:t xml:space="preserve">45% receive free school meals </w:t>
      </w:r>
    </w:p>
    <w:p w14:paraId="2E94E289" w14:textId="4C2CE007" w:rsidR="00E1417F" w:rsidRDefault="00E1417F" w:rsidP="00BF63ED">
      <w:pPr>
        <w:pStyle w:val="ListParagraph"/>
        <w:numPr>
          <w:ilvl w:val="0"/>
          <w:numId w:val="36"/>
        </w:numPr>
      </w:pPr>
      <w:r>
        <w:t>52% had a communication difference in addition to deafness</w:t>
      </w:r>
    </w:p>
    <w:p w14:paraId="471D3C19" w14:textId="18A4678D" w:rsidR="005565B6" w:rsidRDefault="005565B6" w:rsidP="005565B6">
      <w:r>
        <w:t>For those on the caseload of ‘The Deafness Speech and Language Therapy team’, o</w:t>
      </w:r>
      <w:r w:rsidRPr="002D635E">
        <w:t xml:space="preserve">nly 7% </w:t>
      </w:r>
      <w:r w:rsidR="003D4707" w:rsidRPr="003D4707">
        <w:t>received a cochlear implant before the ideal 12</w:t>
      </w:r>
      <w:r w:rsidR="003D4707">
        <w:t xml:space="preserve"> </w:t>
      </w:r>
      <w:r w:rsidR="003D4707" w:rsidRPr="003D4707">
        <w:t>mo</w:t>
      </w:r>
      <w:r w:rsidR="003D4707">
        <w:t>nths</w:t>
      </w:r>
      <w:r w:rsidR="003D4707" w:rsidRPr="003D4707" w:rsidDel="003D4707">
        <w:t xml:space="preserve"> </w:t>
      </w:r>
      <w:r w:rsidRPr="002D635E">
        <w:t>of age</w:t>
      </w:r>
      <w:r>
        <w:t xml:space="preserve">, </w:t>
      </w:r>
      <w:r w:rsidRPr="002D635E">
        <w:t>an important window for language development</w:t>
      </w:r>
      <w:r>
        <w:rPr>
          <w:rStyle w:val="EndnoteReference"/>
        </w:rPr>
        <w:endnoteReference w:id="221"/>
      </w:r>
      <w:r w:rsidRPr="002D635E">
        <w:t>.</w:t>
      </w:r>
    </w:p>
    <w:p w14:paraId="3A57544A" w14:textId="40DCA3F4" w:rsidR="00873D37" w:rsidRDefault="000D0808" w:rsidP="00873D37">
      <w:r>
        <w:t xml:space="preserve">According to stakeholder interviews with professionals working in supporting deaf children and young people, </w:t>
      </w:r>
      <w:r w:rsidR="00FE64D6">
        <w:t xml:space="preserve">free </w:t>
      </w:r>
      <w:r w:rsidR="001A7154">
        <w:t xml:space="preserve">British Sign Language (BSL) classes </w:t>
      </w:r>
      <w:r w:rsidR="00A25101">
        <w:t xml:space="preserve">are offered at </w:t>
      </w:r>
      <w:r w:rsidR="00854DF8">
        <w:t>stay and play groups for pre-school children</w:t>
      </w:r>
      <w:r w:rsidR="00726F70">
        <w:t xml:space="preserve">. These classes </w:t>
      </w:r>
      <w:r w:rsidR="001A7154">
        <w:t xml:space="preserve">have </w:t>
      </w:r>
      <w:r w:rsidR="00A5458F">
        <w:t>received a</w:t>
      </w:r>
      <w:r w:rsidR="001A7154">
        <w:t xml:space="preserve"> positive attendance rate</w:t>
      </w:r>
      <w:r w:rsidR="00445B60">
        <w:t xml:space="preserve"> (53%)</w:t>
      </w:r>
      <w:r w:rsidR="001A7154">
        <w:t>, but demand outstrips availability</w:t>
      </w:r>
      <w:r w:rsidR="001D0A18">
        <w:t xml:space="preserve"> and there are currently limitations on </w:t>
      </w:r>
      <w:r w:rsidR="00F77174">
        <w:t xml:space="preserve">numbers </w:t>
      </w:r>
      <w:r w:rsidR="005D05BE">
        <w:t xml:space="preserve">which results in </w:t>
      </w:r>
      <w:r w:rsidR="00741F79">
        <w:t xml:space="preserve">people not being able to </w:t>
      </w:r>
      <w:r w:rsidR="0033192D">
        <w:t>access classes if they have already done so previously making it difficult to reach suitable levels of fluency</w:t>
      </w:r>
      <w:r w:rsidR="001A7154">
        <w:t>.</w:t>
      </w:r>
      <w:r w:rsidR="004A70E8">
        <w:t xml:space="preserve"> </w:t>
      </w:r>
      <w:r w:rsidR="005C70DF" w:rsidRPr="002D635E">
        <w:t xml:space="preserve"> </w:t>
      </w:r>
    </w:p>
    <w:p w14:paraId="2BA22196" w14:textId="0BBE9560" w:rsidR="005C70DF" w:rsidRPr="00456CAB" w:rsidRDefault="005C70DF" w:rsidP="005C70DF">
      <w:pPr>
        <w:pStyle w:val="Heading4"/>
        <w:rPr>
          <w:sz w:val="24"/>
          <w:szCs w:val="28"/>
        </w:rPr>
      </w:pPr>
      <w:r w:rsidRPr="00456CAB">
        <w:rPr>
          <w:sz w:val="24"/>
          <w:szCs w:val="28"/>
        </w:rPr>
        <w:t>Visual impairment</w:t>
      </w:r>
      <w:r w:rsidR="002547F1">
        <w:rPr>
          <w:sz w:val="24"/>
          <w:szCs w:val="28"/>
        </w:rPr>
        <w:t xml:space="preserve"> (VI)</w:t>
      </w:r>
    </w:p>
    <w:p w14:paraId="05EF36CF" w14:textId="04D18589" w:rsidR="005C70DF" w:rsidRDefault="00454F04" w:rsidP="005C70DF">
      <w:r>
        <w:t>Approximately</w:t>
      </w:r>
      <w:r w:rsidR="005C70DF">
        <w:t xml:space="preserve"> 1.1%</w:t>
      </w:r>
      <w:r w:rsidR="00D27755">
        <w:t xml:space="preserve"> (n=47)</w:t>
      </w:r>
      <w:r w:rsidR="005C70DF">
        <w:t xml:space="preserve"> of the total EHCPs in Tower Hamlets are for children with </w:t>
      </w:r>
      <w:r w:rsidR="0081645E">
        <w:t>a primary need of</w:t>
      </w:r>
      <w:r w:rsidR="005C70DF">
        <w:t xml:space="preserve"> </w:t>
      </w:r>
      <w:r w:rsidR="002547F1">
        <w:t>VI</w:t>
      </w:r>
      <w:r w:rsidR="005C70DF">
        <w:t xml:space="preserve">. </w:t>
      </w:r>
      <w:r w:rsidR="00C47ED5">
        <w:t xml:space="preserve">51% of whom were female and 49% were </w:t>
      </w:r>
      <w:r w:rsidR="005C70DF" w:rsidRPr="00B66EE8">
        <w:t xml:space="preserve">male. Although many children with </w:t>
      </w:r>
      <w:r w:rsidR="00D2555B">
        <w:t xml:space="preserve">VI </w:t>
      </w:r>
      <w:r w:rsidR="005C70DF" w:rsidRPr="00B66EE8">
        <w:t>have been identified, data on their ethnicity has not</w:t>
      </w:r>
      <w:r w:rsidR="00C0108A">
        <w:t xml:space="preserve"> been </w:t>
      </w:r>
      <w:r w:rsidR="004C4BB9">
        <w:t>recorded</w:t>
      </w:r>
      <w:r w:rsidR="005C70DF" w:rsidRPr="00B66EE8">
        <w:t>. For th</w:t>
      </w:r>
      <w:r>
        <w:t xml:space="preserve">ose </w:t>
      </w:r>
      <w:r w:rsidR="005C70DF" w:rsidRPr="00B66EE8">
        <w:t xml:space="preserve">whose ethnicity has been </w:t>
      </w:r>
      <w:r w:rsidR="00303CE0">
        <w:t>captured</w:t>
      </w:r>
      <w:r w:rsidR="005C70DF" w:rsidRPr="00B66EE8">
        <w:t xml:space="preserve">, </w:t>
      </w:r>
      <w:proofErr w:type="gramStart"/>
      <w:r w:rsidR="005C70DF" w:rsidRPr="00B66EE8">
        <w:lastRenderedPageBreak/>
        <w:t>the majority of</w:t>
      </w:r>
      <w:proofErr w:type="gramEnd"/>
      <w:r w:rsidR="005C70DF" w:rsidRPr="00B66EE8">
        <w:t xml:space="preserve"> children </w:t>
      </w:r>
      <w:r>
        <w:t xml:space="preserve">and young people </w:t>
      </w:r>
      <w:r w:rsidR="005C70DF" w:rsidRPr="00B66EE8">
        <w:t>are of</w:t>
      </w:r>
      <w:r w:rsidR="005C70DF">
        <w:t xml:space="preserve"> Asian</w:t>
      </w:r>
      <w:r w:rsidR="005C70DF" w:rsidRPr="00B66EE8">
        <w:t xml:space="preserve"> Bangladeshi heritage (51.</w:t>
      </w:r>
      <w:r w:rsidR="005C70DF">
        <w:t>1</w:t>
      </w:r>
      <w:r w:rsidR="005C70DF" w:rsidRPr="00B66EE8">
        <w:t>%</w:t>
      </w:r>
      <w:proofErr w:type="gramStart"/>
      <w:r w:rsidR="005C70DF" w:rsidRPr="00B66EE8">
        <w:t>)</w:t>
      </w:r>
      <w:r w:rsidR="00EE001D">
        <w:t xml:space="preserve">, </w:t>
      </w:r>
      <w:r w:rsidR="00EE001D" w:rsidRPr="00EE001D">
        <w:t xml:space="preserve"> </w:t>
      </w:r>
      <w:r w:rsidR="00EE001D">
        <w:t>although</w:t>
      </w:r>
      <w:proofErr w:type="gramEnd"/>
      <w:r w:rsidR="00EE001D">
        <w:t>, as 62.6% of all pupils in schools in Tower Hamlets are of Asian Bangladeshi heritage</w:t>
      </w:r>
      <w:r w:rsidR="00DD462D">
        <w:rPr>
          <w:rStyle w:val="EndnoteReference"/>
        </w:rPr>
        <w:endnoteReference w:id="222"/>
      </w:r>
      <w:r w:rsidR="00EE001D">
        <w:t>, this group still appears to be underrepresented.</w:t>
      </w:r>
      <w:r w:rsidR="00B9017E">
        <w:t xml:space="preserve"> </w:t>
      </w:r>
      <w:r w:rsidR="00B04902">
        <w:t>However,</w:t>
      </w:r>
      <w:r w:rsidR="008D1AA2">
        <w:t xml:space="preserve"> 25.5% of ethnicity data </w:t>
      </w:r>
      <w:r w:rsidR="008D6CF4">
        <w:t>was ‘not yet obtained’</w:t>
      </w:r>
      <w:r w:rsidR="00AD373B">
        <w:t xml:space="preserve">. </w:t>
      </w:r>
    </w:p>
    <w:p w14:paraId="45166955" w14:textId="05EEB5E5" w:rsidR="005C70DF" w:rsidRPr="00456CAB" w:rsidRDefault="005C70DF" w:rsidP="005C70DF">
      <w:pPr>
        <w:pStyle w:val="Heading4"/>
        <w:rPr>
          <w:sz w:val="24"/>
          <w:szCs w:val="28"/>
        </w:rPr>
      </w:pPr>
      <w:r w:rsidRPr="00456CAB">
        <w:rPr>
          <w:sz w:val="24"/>
          <w:szCs w:val="28"/>
        </w:rPr>
        <w:t>Multisensory impairment</w:t>
      </w:r>
      <w:r w:rsidR="00303CE0">
        <w:rPr>
          <w:sz w:val="24"/>
          <w:szCs w:val="28"/>
        </w:rPr>
        <w:t xml:space="preserve"> (MSI)</w:t>
      </w:r>
    </w:p>
    <w:p w14:paraId="07D3BC52" w14:textId="42D4D8C9" w:rsidR="005C70DF" w:rsidRDefault="005307B4" w:rsidP="005C70DF">
      <w:r>
        <w:t xml:space="preserve">In 2023/24, </w:t>
      </w:r>
      <w:r w:rsidR="005C70DF">
        <w:t xml:space="preserve">0.4% </w:t>
      </w:r>
      <w:r w:rsidR="00E05F50">
        <w:t>(n=20)</w:t>
      </w:r>
      <w:r w:rsidR="005C70DF">
        <w:t xml:space="preserve"> of the total EHCP</w:t>
      </w:r>
      <w:r w:rsidR="00303CE0">
        <w:t>s</w:t>
      </w:r>
      <w:r w:rsidR="005C70DF">
        <w:t xml:space="preserve"> in Tower Hamlets </w:t>
      </w:r>
      <w:r>
        <w:t xml:space="preserve">were </w:t>
      </w:r>
      <w:r w:rsidR="005C70DF">
        <w:t xml:space="preserve">for children with </w:t>
      </w:r>
      <w:r w:rsidR="00303CE0">
        <w:t>MSI’s</w:t>
      </w:r>
      <w:r w:rsidR="005C70DF">
        <w:t xml:space="preserve">, </w:t>
      </w:r>
      <w:r w:rsidR="003247F2">
        <w:t xml:space="preserve">a particularly rare disability and </w:t>
      </w:r>
      <w:r w:rsidR="005C70DF">
        <w:t xml:space="preserve">one of the least prevalent forms of disability in the area. Around two thirds of children who have EHCPs for multisensory impairment were male (70%). For half </w:t>
      </w:r>
      <w:r w:rsidR="00236D15">
        <w:t>(50%; n=</w:t>
      </w:r>
      <w:r w:rsidR="0000377D">
        <w:t>10</w:t>
      </w:r>
      <w:r w:rsidR="00236D15">
        <w:t>)</w:t>
      </w:r>
      <w:r w:rsidR="005C70DF">
        <w:t xml:space="preserve"> of the children with an EHCP for </w:t>
      </w:r>
      <w:r w:rsidR="00303CE0">
        <w:t xml:space="preserve">MSI </w:t>
      </w:r>
      <w:r w:rsidR="005C70DF">
        <w:t>their ethnicity could not be obtained</w:t>
      </w:r>
      <w:r>
        <w:t xml:space="preserve">. For the remaining half, </w:t>
      </w:r>
      <w:r w:rsidR="005C70DF">
        <w:t xml:space="preserve">30% </w:t>
      </w:r>
      <w:r>
        <w:t>identified as</w:t>
      </w:r>
      <w:r w:rsidR="005C70DF">
        <w:t xml:space="preserve"> </w:t>
      </w:r>
      <w:r>
        <w:t>W</w:t>
      </w:r>
      <w:r w:rsidR="005C70DF">
        <w:t xml:space="preserve">hite British and 15% Asian Bangladeshi. </w:t>
      </w:r>
    </w:p>
    <w:p w14:paraId="60EC527B" w14:textId="77777777" w:rsidR="005C70DF" w:rsidRPr="001751D8" w:rsidRDefault="005C70DF" w:rsidP="005C70DF">
      <w:pPr>
        <w:pStyle w:val="Heading3"/>
        <w:rPr>
          <w:color w:val="006B70"/>
        </w:rPr>
      </w:pPr>
      <w:bookmarkStart w:id="372" w:name="_Toc205386960"/>
      <w:bookmarkStart w:id="373" w:name="_Toc205388030"/>
      <w:bookmarkStart w:id="374" w:name="_Toc205446041"/>
      <w:r w:rsidRPr="001751D8">
        <w:rPr>
          <w:color w:val="006B70"/>
        </w:rPr>
        <w:t>Diagnosis</w:t>
      </w:r>
      <w:bookmarkEnd w:id="372"/>
      <w:bookmarkEnd w:id="373"/>
      <w:bookmarkEnd w:id="374"/>
      <w:r w:rsidRPr="001751D8">
        <w:rPr>
          <w:color w:val="006B70"/>
        </w:rPr>
        <w:t xml:space="preserve"> </w:t>
      </w:r>
    </w:p>
    <w:p w14:paraId="65251777" w14:textId="20C525D8" w:rsidR="005C70DF" w:rsidRPr="00650558" w:rsidRDefault="005C70DF" w:rsidP="005C70DF">
      <w:pPr>
        <w:pStyle w:val="Heading4"/>
        <w:rPr>
          <w:sz w:val="24"/>
          <w:szCs w:val="28"/>
        </w:rPr>
      </w:pPr>
      <w:r w:rsidRPr="00650558">
        <w:rPr>
          <w:sz w:val="24"/>
          <w:szCs w:val="28"/>
        </w:rPr>
        <w:t xml:space="preserve"> Hearing Impairment</w:t>
      </w:r>
      <w:r w:rsidR="003D727E">
        <w:rPr>
          <w:sz w:val="24"/>
          <w:szCs w:val="28"/>
        </w:rPr>
        <w:t xml:space="preserve"> (HI)</w:t>
      </w:r>
    </w:p>
    <w:p w14:paraId="5B0227D1" w14:textId="22CCA793" w:rsidR="005C70DF" w:rsidRDefault="005C70DF" w:rsidP="00A14113">
      <w:r w:rsidRPr="003D0D57">
        <w:t xml:space="preserve">The diagnostic approach for </w:t>
      </w:r>
      <w:r w:rsidR="003D727E">
        <w:t xml:space="preserve">HI </w:t>
      </w:r>
      <w:r w:rsidR="3F5E4A87">
        <w:t>for newborn babies and children</w:t>
      </w:r>
      <w:r>
        <w:t xml:space="preserve"> </w:t>
      </w:r>
      <w:r w:rsidRPr="003D0D57">
        <w:t>involves a structured, multi-step assessment</w:t>
      </w:r>
      <w:r w:rsidR="6B69A549">
        <w:t>.</w:t>
      </w:r>
    </w:p>
    <w:p w14:paraId="069B6E61" w14:textId="2B05125E" w:rsidR="6B69A549" w:rsidRDefault="6B69A549" w:rsidP="00A14113">
      <w:pPr>
        <w:rPr>
          <w:rFonts w:eastAsia="Calibri"/>
        </w:rPr>
      </w:pPr>
      <w:r w:rsidRPr="0850AABE">
        <w:rPr>
          <w:rFonts w:eastAsia="Calibri"/>
          <w:szCs w:val="22"/>
        </w:rPr>
        <w:t xml:space="preserve">Newborn hearing screening is offered in hospital before discharge or arranged within the first few weeks by a healthcare professional. The initial test, usually the automated otoacoustic emission (AOAE) test, is quick, safe, and ideally completed within the first 4 to 5 weeks of life. If clear results are not obtained, often due to movement, background noise, or fluid in the </w:t>
      </w:r>
      <w:r w:rsidRPr="496CF80F">
        <w:rPr>
          <w:rFonts w:eastAsia="Calibri"/>
          <w:szCs w:val="22"/>
        </w:rPr>
        <w:t>ear, a</w:t>
      </w:r>
      <w:r w:rsidRPr="0850AABE">
        <w:rPr>
          <w:rFonts w:eastAsia="Calibri"/>
          <w:szCs w:val="22"/>
        </w:rPr>
        <w:t xml:space="preserve"> second test may be needed, including a repeat AOAE or the automated auditory brainstem response (AABR) test. </w:t>
      </w:r>
      <w:r w:rsidR="005D0420">
        <w:rPr>
          <w:rFonts w:eastAsia="Calibri"/>
          <w:szCs w:val="22"/>
        </w:rPr>
        <w:t>Although this is</w:t>
      </w:r>
      <w:r w:rsidR="000E78CA">
        <w:rPr>
          <w:rFonts w:eastAsia="Calibri"/>
          <w:szCs w:val="22"/>
        </w:rPr>
        <w:t xml:space="preserve"> only used for some babies.</w:t>
      </w:r>
      <w:r w:rsidR="005D0420">
        <w:rPr>
          <w:rFonts w:eastAsia="Calibri"/>
          <w:szCs w:val="22"/>
        </w:rPr>
        <w:t xml:space="preserve"> </w:t>
      </w:r>
      <w:r w:rsidRPr="0850AABE">
        <w:rPr>
          <w:rFonts w:eastAsia="Calibri"/>
          <w:szCs w:val="22"/>
        </w:rPr>
        <w:t>Babies requiring further assessment are referred to audiology within 4 weeks. These follow-up tests are painless, take 1–2 hours, and parents are encouraged to keep their baby comfortable during the appointment. Results are typically shared at the end of the visit, along with any next steps</w:t>
      </w:r>
      <w:r w:rsidR="00EC1517">
        <w:rPr>
          <w:rStyle w:val="EndnoteReference"/>
          <w:rFonts w:eastAsia="Calibri"/>
          <w:szCs w:val="22"/>
        </w:rPr>
        <w:endnoteReference w:id="223"/>
      </w:r>
      <w:r w:rsidR="00346DB3">
        <w:rPr>
          <w:rFonts w:eastAsia="Calibri"/>
          <w:szCs w:val="22"/>
        </w:rPr>
        <w:t>.</w:t>
      </w:r>
    </w:p>
    <w:p w14:paraId="0387D5FE" w14:textId="11DFEA05" w:rsidR="276E601C" w:rsidRDefault="13BA3B7D" w:rsidP="00A14113">
      <w:pPr>
        <w:rPr>
          <w:rFonts w:eastAsia="Calibri"/>
        </w:rPr>
      </w:pPr>
      <w:r w:rsidRPr="4EC165E3">
        <w:rPr>
          <w:rFonts w:eastAsia="Calibri"/>
        </w:rPr>
        <w:t>As children grow older</w:t>
      </w:r>
      <w:r w:rsidR="00DA505D">
        <w:rPr>
          <w:rFonts w:eastAsia="Calibri"/>
        </w:rPr>
        <w:t xml:space="preserve">, if </w:t>
      </w:r>
      <w:r w:rsidR="00DA505D" w:rsidRPr="179959F1">
        <w:rPr>
          <w:rFonts w:eastAsia="Calibri"/>
          <w:szCs w:val="22"/>
        </w:rPr>
        <w:t>p</w:t>
      </w:r>
      <w:r w:rsidR="5133F0A5" w:rsidRPr="179959F1">
        <w:rPr>
          <w:rFonts w:eastAsia="Calibri"/>
          <w:szCs w:val="22"/>
        </w:rPr>
        <w:t>arents, health visitors</w:t>
      </w:r>
      <w:r w:rsidR="00ED171E">
        <w:rPr>
          <w:rFonts w:eastAsia="Calibri"/>
          <w:szCs w:val="22"/>
        </w:rPr>
        <w:t xml:space="preserve"> </w:t>
      </w:r>
      <w:r w:rsidR="5133F0A5" w:rsidRPr="179959F1">
        <w:rPr>
          <w:rFonts w:eastAsia="Calibri"/>
          <w:szCs w:val="22"/>
        </w:rPr>
        <w:t xml:space="preserve">or professionals </w:t>
      </w:r>
      <w:r w:rsidR="5133F0A5" w:rsidRPr="4EC165E3">
        <w:rPr>
          <w:rFonts w:eastAsia="Calibri"/>
        </w:rPr>
        <w:t>s</w:t>
      </w:r>
      <w:r w:rsidR="5133F0A5" w:rsidRPr="4EC165E3">
        <w:rPr>
          <w:rFonts w:eastAsia="Calibri"/>
          <w:szCs w:val="22"/>
        </w:rPr>
        <w:t>tart to suspect a child might</w:t>
      </w:r>
      <w:r w:rsidR="5133F0A5" w:rsidRPr="179959F1">
        <w:rPr>
          <w:rFonts w:eastAsia="Calibri"/>
          <w:szCs w:val="22"/>
        </w:rPr>
        <w:t xml:space="preserve"> have hearing loss, they can request a referral for a hearing test.</w:t>
      </w:r>
      <w:r w:rsidR="00BF2891" w:rsidRPr="00BF2891">
        <w:rPr>
          <w:rFonts w:eastAsia="Calibri"/>
        </w:rPr>
        <w:t xml:space="preserve"> </w:t>
      </w:r>
      <w:r w:rsidR="5133F0A5" w:rsidRPr="179959F1">
        <w:rPr>
          <w:rFonts w:eastAsia="Calibri"/>
          <w:szCs w:val="22"/>
        </w:rPr>
        <w:t xml:space="preserve">GPs or </w:t>
      </w:r>
      <w:r w:rsidR="004D3B16">
        <w:rPr>
          <w:rFonts w:eastAsia="Calibri"/>
          <w:szCs w:val="22"/>
        </w:rPr>
        <w:t>SLTs</w:t>
      </w:r>
      <w:r w:rsidR="5133F0A5" w:rsidRPr="179959F1">
        <w:rPr>
          <w:rFonts w:eastAsia="Calibri"/>
          <w:szCs w:val="22"/>
        </w:rPr>
        <w:t xml:space="preserve"> can refer the child to an audiologist, who will carry out age-appropriate assessments such as Visual Reinforcement Audiometry (VRA) for younger children and Play Audiometry for older children</w:t>
      </w:r>
      <w:r w:rsidR="00EC1517">
        <w:rPr>
          <w:rStyle w:val="EndnoteReference"/>
          <w:rFonts w:eastAsia="Calibri"/>
          <w:szCs w:val="22"/>
        </w:rPr>
        <w:endnoteReference w:id="224"/>
      </w:r>
      <w:r w:rsidR="5133F0A5" w:rsidRPr="179959F1">
        <w:rPr>
          <w:rFonts w:eastAsia="Calibri"/>
          <w:szCs w:val="22"/>
        </w:rPr>
        <w:t>. These tests help determine the presence, type (conductive, sensorineural, or mixed), and severity (mild to profound) of any hearing loss</w:t>
      </w:r>
      <w:r w:rsidR="008D422A">
        <w:rPr>
          <w:rStyle w:val="EndnoteReference"/>
          <w:rFonts w:eastAsia="Calibri"/>
          <w:szCs w:val="22"/>
        </w:rPr>
        <w:endnoteReference w:id="225"/>
      </w:r>
      <w:r w:rsidR="00870821">
        <w:rPr>
          <w:rFonts w:eastAsia="Calibri"/>
          <w:szCs w:val="22"/>
        </w:rPr>
        <w:t>.</w:t>
      </w:r>
      <w:r w:rsidR="00BF2891" w:rsidRPr="00BF2891">
        <w:t xml:space="preserve"> </w:t>
      </w:r>
      <w:r w:rsidR="00BF2891">
        <w:t>In addition, h</w:t>
      </w:r>
      <w:r w:rsidR="00BF2891" w:rsidRPr="00BF2891">
        <w:rPr>
          <w:rFonts w:eastAsia="Calibri"/>
          <w:szCs w:val="22"/>
        </w:rPr>
        <w:t xml:space="preserve">earing and vision screening is offered along with </w:t>
      </w:r>
      <w:r w:rsidR="00A878E8" w:rsidRPr="00A878E8">
        <w:rPr>
          <w:rFonts w:eastAsia="Calibri"/>
          <w:szCs w:val="22"/>
        </w:rPr>
        <w:t xml:space="preserve">National Child Measurement Programme </w:t>
      </w:r>
      <w:r w:rsidR="00A878E8">
        <w:rPr>
          <w:rFonts w:eastAsia="Calibri"/>
          <w:szCs w:val="22"/>
        </w:rPr>
        <w:t>(</w:t>
      </w:r>
      <w:r w:rsidR="00BF2891" w:rsidRPr="00BF2891">
        <w:rPr>
          <w:rFonts w:eastAsia="Calibri"/>
          <w:szCs w:val="22"/>
        </w:rPr>
        <w:t>NCMP</w:t>
      </w:r>
      <w:r w:rsidR="00A878E8">
        <w:rPr>
          <w:rFonts w:eastAsia="Calibri"/>
          <w:szCs w:val="22"/>
        </w:rPr>
        <w:t>)</w:t>
      </w:r>
      <w:r w:rsidR="00BF2891" w:rsidRPr="00BF2891">
        <w:rPr>
          <w:rFonts w:eastAsia="Calibri"/>
          <w:szCs w:val="22"/>
        </w:rPr>
        <w:t xml:space="preserve"> in reception (</w:t>
      </w:r>
      <w:r w:rsidR="00A628CC">
        <w:rPr>
          <w:rFonts w:eastAsia="Calibri"/>
          <w:szCs w:val="22"/>
        </w:rPr>
        <w:t xml:space="preserve">at the </w:t>
      </w:r>
      <w:r w:rsidR="00BF2891" w:rsidRPr="00BF2891">
        <w:rPr>
          <w:rFonts w:eastAsia="Calibri"/>
          <w:szCs w:val="22"/>
        </w:rPr>
        <w:t>start of school)</w:t>
      </w:r>
      <w:r w:rsidR="00A628CC">
        <w:rPr>
          <w:rFonts w:eastAsia="Calibri"/>
          <w:szCs w:val="22"/>
        </w:rPr>
        <w:t>.</w:t>
      </w:r>
    </w:p>
    <w:p w14:paraId="73FC45FF" w14:textId="0FE57F8B" w:rsidR="005C70DF" w:rsidRPr="00650558" w:rsidRDefault="005C70DF" w:rsidP="005C70DF">
      <w:pPr>
        <w:pStyle w:val="Heading4"/>
        <w:rPr>
          <w:sz w:val="24"/>
          <w:szCs w:val="28"/>
        </w:rPr>
      </w:pPr>
      <w:r w:rsidRPr="00650558">
        <w:rPr>
          <w:sz w:val="24"/>
          <w:szCs w:val="28"/>
        </w:rPr>
        <w:t xml:space="preserve">Visual Impairment </w:t>
      </w:r>
      <w:r w:rsidR="00870821">
        <w:rPr>
          <w:sz w:val="24"/>
          <w:szCs w:val="28"/>
        </w:rPr>
        <w:t>(VI)</w:t>
      </w:r>
    </w:p>
    <w:p w14:paraId="4B3BEA6F" w14:textId="75C5C8EC" w:rsidR="52A61C45" w:rsidRDefault="2A2E98A0" w:rsidP="00F240EB">
      <w:pPr>
        <w:rPr>
          <w:rFonts w:eastAsia="Calibri"/>
        </w:rPr>
      </w:pPr>
      <w:r w:rsidRPr="0E38245E">
        <w:rPr>
          <w:rFonts w:eastAsia="Calibri"/>
          <w:szCs w:val="22"/>
        </w:rPr>
        <w:t>Children’s eyes are routinely checked at key stages to identify vision problems early. Initial checks occur within 72 hours of birth and again at 6 to 8 weeks as part of physical examinations. At around 1 year and again between 2 and 2.5 years, parents may be asked about any vision concerns during developmental reviews, with referrals made if needed. At age 4 or 5, most children receive vision screening in school to detect reduced vision. If this is not offered locally, parents should arrange an eye test with an optician. Vision concerns can be raised at any time with a GP or optometrist.</w:t>
      </w:r>
      <w:r w:rsidRPr="1C2C375D">
        <w:rPr>
          <w:rFonts w:eastAsia="Calibri"/>
          <w:szCs w:val="22"/>
        </w:rPr>
        <w:t xml:space="preserve"> </w:t>
      </w:r>
    </w:p>
    <w:p w14:paraId="27B771CA" w14:textId="6F2B2A44" w:rsidR="52A61C45" w:rsidRDefault="2A2E98A0" w:rsidP="00F240EB">
      <w:pPr>
        <w:rPr>
          <w:rFonts w:eastAsia="Calibri"/>
          <w:szCs w:val="22"/>
        </w:rPr>
      </w:pPr>
      <w:r w:rsidRPr="0E38245E">
        <w:rPr>
          <w:rFonts w:eastAsia="Calibri"/>
          <w:szCs w:val="22"/>
        </w:rPr>
        <w:t xml:space="preserve">A range of age-appropriate tests are used to assess children’s vision. These include red reflex and pupil reflex tests in newborns, visual attention tests for infants, and Snellen or </w:t>
      </w:r>
      <w:proofErr w:type="spellStart"/>
      <w:r w:rsidRPr="0E38245E">
        <w:rPr>
          <w:rFonts w:eastAsia="Calibri"/>
          <w:szCs w:val="22"/>
        </w:rPr>
        <w:t>LogMAR</w:t>
      </w:r>
      <w:proofErr w:type="spellEnd"/>
      <w:r w:rsidRPr="0E38245E">
        <w:rPr>
          <w:rFonts w:eastAsia="Calibri"/>
          <w:szCs w:val="22"/>
        </w:rPr>
        <w:t xml:space="preserve"> charts for children who can recognise letters or symbols. Range of movement tests check eye muscle function, while </w:t>
      </w:r>
      <w:r w:rsidRPr="0E38245E">
        <w:rPr>
          <w:rFonts w:eastAsia="Calibri"/>
          <w:szCs w:val="22"/>
        </w:rPr>
        <w:lastRenderedPageBreak/>
        <w:t>refraction tests assess the need for glasses. Colour vision testing, such as the Ishihara test, may be used in older children if colour blindness is suspected. Early detection through these checks supports timely treatment and better long-term outcomes</w:t>
      </w:r>
      <w:r w:rsidR="008D422A">
        <w:rPr>
          <w:rStyle w:val="EndnoteReference"/>
          <w:rFonts w:eastAsia="Calibri"/>
          <w:szCs w:val="22"/>
        </w:rPr>
        <w:endnoteReference w:id="226"/>
      </w:r>
      <w:r w:rsidRPr="0E38245E">
        <w:rPr>
          <w:rFonts w:eastAsia="Calibri"/>
          <w:szCs w:val="22"/>
        </w:rPr>
        <w:t>.</w:t>
      </w:r>
    </w:p>
    <w:p w14:paraId="2967F570" w14:textId="77777777" w:rsidR="006C60F3" w:rsidRDefault="006C60F3" w:rsidP="00F240EB"/>
    <w:p w14:paraId="76CE2AD5" w14:textId="19B91FCF" w:rsidR="005C70DF" w:rsidRPr="0014602F" w:rsidRDefault="005C70DF" w:rsidP="005C70DF">
      <w:pPr>
        <w:pStyle w:val="Heading4"/>
        <w:rPr>
          <w:sz w:val="24"/>
          <w:szCs w:val="28"/>
        </w:rPr>
      </w:pPr>
      <w:r w:rsidRPr="0014602F">
        <w:rPr>
          <w:sz w:val="24"/>
          <w:szCs w:val="28"/>
        </w:rPr>
        <w:t>Multisensory impairment</w:t>
      </w:r>
      <w:r w:rsidR="00FD765D">
        <w:rPr>
          <w:sz w:val="24"/>
          <w:szCs w:val="28"/>
        </w:rPr>
        <w:t xml:space="preserve"> (MSI)</w:t>
      </w:r>
    </w:p>
    <w:p w14:paraId="5E4E2809" w14:textId="1D178B2E" w:rsidR="005C70DF" w:rsidRDefault="005C70DF" w:rsidP="005C70DF">
      <w:r w:rsidRPr="008A7184">
        <w:t>MSI</w:t>
      </w:r>
      <w:r w:rsidR="00FD765D">
        <w:t>,</w:t>
      </w:r>
      <w:r>
        <w:t xml:space="preserve"> </w:t>
      </w:r>
      <w:r w:rsidRPr="008A7184">
        <w:t>which affects both hearing and vision</w:t>
      </w:r>
      <w:r>
        <w:t xml:space="preserve">, </w:t>
      </w:r>
      <w:r w:rsidRPr="008A7184">
        <w:t>can result from various causes. Some children are born with MSI, while others develop it later due to illness, injury, or progressive conditions that worsen over time</w:t>
      </w:r>
      <w:r>
        <w:rPr>
          <w:rStyle w:val="EndnoteReference"/>
        </w:rPr>
        <w:endnoteReference w:id="227"/>
      </w:r>
      <w:r w:rsidRPr="008A7184">
        <w:t>.</w:t>
      </w:r>
    </w:p>
    <w:p w14:paraId="7762C871" w14:textId="77777777" w:rsidR="005C70DF" w:rsidRDefault="005C70DF" w:rsidP="005C70DF">
      <w:r>
        <w:t xml:space="preserve">MSI may be identified shortly after birth or during later health assessments. If a baby is born with </w:t>
      </w:r>
      <w:proofErr w:type="spellStart"/>
      <w:r w:rsidRPr="000127C3">
        <w:t>deafblindness</w:t>
      </w:r>
      <w:proofErr w:type="spellEnd"/>
      <w:r w:rsidRPr="000127C3">
        <w:t>, this is typically</w:t>
      </w:r>
      <w:r>
        <w:t xml:space="preserve"> detected through the routine newborn screening process. This screening includes a series of checks to identify any significant health concerns present from birth, including those affecting hearing and vision. As children grow, further health checks continue. Children and young people who have both a visual and hearing impairment that significantly affects daily activities, such as communication, access to information, and mobility, may benefit from a Deafblind Guidance Assessment</w:t>
      </w:r>
      <w:r>
        <w:rPr>
          <w:rStyle w:val="EndnoteReference"/>
        </w:rPr>
        <w:endnoteReference w:id="228"/>
      </w:r>
      <w:r>
        <w:t xml:space="preserve">. </w:t>
      </w:r>
    </w:p>
    <w:p w14:paraId="23B09BD3" w14:textId="77777777" w:rsidR="005C70DF" w:rsidRPr="001751D8" w:rsidRDefault="005C70DF" w:rsidP="005C70DF">
      <w:pPr>
        <w:pStyle w:val="Heading3"/>
        <w:rPr>
          <w:color w:val="006B70"/>
        </w:rPr>
      </w:pPr>
      <w:bookmarkStart w:id="375" w:name="_Toc205386961"/>
      <w:bookmarkStart w:id="376" w:name="_Toc205388031"/>
      <w:bookmarkStart w:id="377" w:name="_Toc205446042"/>
      <w:r w:rsidRPr="001751D8">
        <w:rPr>
          <w:color w:val="006B70"/>
        </w:rPr>
        <w:t>Pathway</w:t>
      </w:r>
      <w:bookmarkEnd w:id="375"/>
      <w:bookmarkEnd w:id="376"/>
      <w:bookmarkEnd w:id="377"/>
      <w:r w:rsidRPr="001751D8">
        <w:rPr>
          <w:color w:val="006B70"/>
        </w:rPr>
        <w:t xml:space="preserve"> </w:t>
      </w:r>
    </w:p>
    <w:p w14:paraId="4956C265" w14:textId="6BBC6617" w:rsidR="005C70DF" w:rsidRPr="00B86DFC" w:rsidRDefault="005C70DF" w:rsidP="005C70DF">
      <w:pPr>
        <w:pStyle w:val="Heading4"/>
        <w:rPr>
          <w:sz w:val="24"/>
          <w:szCs w:val="28"/>
        </w:rPr>
      </w:pPr>
      <w:r w:rsidRPr="00B86DFC">
        <w:rPr>
          <w:sz w:val="24"/>
          <w:szCs w:val="28"/>
        </w:rPr>
        <w:t>Hearing impairment</w:t>
      </w:r>
      <w:r w:rsidR="004866E0">
        <w:rPr>
          <w:sz w:val="24"/>
          <w:szCs w:val="28"/>
        </w:rPr>
        <w:t xml:space="preserve"> (HI)</w:t>
      </w:r>
    </w:p>
    <w:p w14:paraId="206C873E" w14:textId="29B74001" w:rsidR="005C70DF" w:rsidRPr="00AD3DD6" w:rsidRDefault="005C70DF" w:rsidP="005C70DF">
      <w:r w:rsidRPr="00AD3DD6">
        <w:t xml:space="preserve">In the first few weeks of life, all babies are offered a routine hearing screening to help identify </w:t>
      </w:r>
      <w:r w:rsidR="007D3E2E">
        <w:t xml:space="preserve">any </w:t>
      </w:r>
      <w:r w:rsidRPr="00AD3DD6">
        <w:t>hearing loss. Around 1 to 2 in every 1,000 babies are born with hearing loss in one or both ears, which is often difficult to detect at such a young age. Early identification is important for a child’s development and allows parents to access support and information as soon as possible</w:t>
      </w:r>
      <w:r>
        <w:rPr>
          <w:rStyle w:val="EndnoteReference"/>
        </w:rPr>
        <w:endnoteReference w:id="229"/>
      </w:r>
      <w:r w:rsidRPr="00AD3DD6">
        <w:t>.</w:t>
      </w:r>
    </w:p>
    <w:p w14:paraId="7E8D143C" w14:textId="1A7ADC35" w:rsidR="005C70DF" w:rsidRPr="00464354" w:rsidRDefault="005C70DF" w:rsidP="005C70DF">
      <w:r w:rsidRPr="00AD3DD6">
        <w:t xml:space="preserve">The screening uses either the Automated Otoacoustic Emission (AOAE) test or the Automated Auditory Brainstem Response (AABR) test. The AOAE involves placing a soft earpiece in the baby’s ear to send clicking sounds; the inner ear (cochlea) usually produces an echo in response, which the equipment detects. The AABR test uses small sensors on the baby’s head and neck and plays sounds through baby-sized headphones to measure the response. The AOAE takes just a few minutes, while the AABR can take 5–30 minutes. </w:t>
      </w:r>
      <w:r w:rsidRPr="00462881">
        <w:t>The Automated Auditory Brainstem Response (AABR) test is a core component of the newborn hearing screening programme in Tower Hamlets. Although specific diagnosis rates for the AABR test in this area are not available, the overall programme is designed to identify hearing loss in newborns at an early stage, with the AABR test playing a vital role in this process</w:t>
      </w:r>
      <w:r>
        <w:rPr>
          <w:rStyle w:val="EndnoteReference"/>
        </w:rPr>
        <w:endnoteReference w:id="230"/>
      </w:r>
      <w:r w:rsidRPr="00462881">
        <w:t>.</w:t>
      </w:r>
    </w:p>
    <w:p w14:paraId="700DAEE6" w14:textId="77777777" w:rsidR="00401774" w:rsidRPr="00CA748E" w:rsidRDefault="00401774" w:rsidP="00401774">
      <w:pPr>
        <w:pStyle w:val="Heading4"/>
        <w:rPr>
          <w:sz w:val="24"/>
          <w:szCs w:val="28"/>
        </w:rPr>
      </w:pPr>
      <w:r w:rsidRPr="00CA748E">
        <w:rPr>
          <w:sz w:val="24"/>
          <w:szCs w:val="28"/>
        </w:rPr>
        <w:t>Visual impairment</w:t>
      </w:r>
      <w:r>
        <w:rPr>
          <w:sz w:val="24"/>
          <w:szCs w:val="28"/>
        </w:rPr>
        <w:t xml:space="preserve"> (VI)</w:t>
      </w:r>
    </w:p>
    <w:p w14:paraId="4D2918C7" w14:textId="658E69B2" w:rsidR="000905B0" w:rsidRDefault="0019435F" w:rsidP="00B168D5">
      <w:r w:rsidRPr="0019435F">
        <w:t>The visual impairment (VI) pathway for children in Tower Hamlets involves early identification through school-based vision screening, formal diagnosis, and coordinated support following confirmation of need. Vision screening is carried out in schools to detect potential issues such as short-sightedness, long-sightedness, or amblyopia (“lazy eye”). Children who do not pass screening are referred to the Ophthalmology Department at the Royal London Hospital for further assessment and, where appropriate, a formal diagnosis. The ophthalmology team may also issue a Certificate of Vision Impairment (CVI), which can enable access to additional social care and educational support. Following diagnosis, families are referred to the Tower Hamlets Visual Impairment Team.</w:t>
      </w:r>
    </w:p>
    <w:p w14:paraId="57AD6704" w14:textId="34C6400F" w:rsidR="005C70DF" w:rsidRPr="00805FCE" w:rsidRDefault="005C70DF" w:rsidP="005C70DF">
      <w:pPr>
        <w:pStyle w:val="Heading4"/>
        <w:rPr>
          <w:sz w:val="24"/>
        </w:rPr>
      </w:pPr>
      <w:r w:rsidRPr="1BE0D140">
        <w:rPr>
          <w:sz w:val="24"/>
        </w:rPr>
        <w:lastRenderedPageBreak/>
        <w:t xml:space="preserve">Multisensory impairment </w:t>
      </w:r>
      <w:r w:rsidR="00CE02B7" w:rsidRPr="1BE0D140">
        <w:rPr>
          <w:sz w:val="24"/>
        </w:rPr>
        <w:t>(MSI)</w:t>
      </w:r>
    </w:p>
    <w:p w14:paraId="3255D90C" w14:textId="27B8E6FD" w:rsidR="006964CC" w:rsidRPr="00805FCE" w:rsidRDefault="3CF9F194" w:rsidP="004A3DDA">
      <w:r w:rsidRPr="076749CB">
        <w:t xml:space="preserve">Babies with MSI can be </w:t>
      </w:r>
      <w:r w:rsidRPr="1BE0D140">
        <w:t xml:space="preserve">identified during newborn screening, if no problems are picked up at this stage </w:t>
      </w:r>
      <w:r w:rsidR="1B71A7E2" w:rsidRPr="1BE0D140">
        <w:t>they may be picked up at routine hearing or eye tests carried out as children get older</w:t>
      </w:r>
      <w:r w:rsidR="001F05D8">
        <w:rPr>
          <w:rStyle w:val="EndnoteReference"/>
        </w:rPr>
        <w:endnoteReference w:id="231"/>
      </w:r>
      <w:r w:rsidR="1B71A7E2" w:rsidRPr="1BE0D140">
        <w:t xml:space="preserve">. </w:t>
      </w:r>
      <w:r w:rsidR="00B168D5">
        <w:t>As</w:t>
      </w:r>
      <w:r w:rsidR="006964CC" w:rsidRPr="076749CB">
        <w:t xml:space="preserve"> each child or young person with MSI presents differently, assessment must go beyond medical tests of vision and hearing alone. It is essential to include a functional assessment that evaluates how combined sensory impairments impact daily life, even where some residual vision or hearing remains</w:t>
      </w:r>
      <w:r w:rsidR="006964CC" w:rsidRPr="076749CB">
        <w:rPr>
          <w:rStyle w:val="EndnoteReference"/>
        </w:rPr>
        <w:endnoteReference w:id="232"/>
      </w:r>
      <w:r w:rsidR="006964CC" w:rsidRPr="00FD6638">
        <w:rPr>
          <w:szCs w:val="22"/>
        </w:rPr>
        <w:t>.</w:t>
      </w:r>
    </w:p>
    <w:p w14:paraId="22747DF9" w14:textId="77777777" w:rsidR="006964CC" w:rsidRPr="001751D8" w:rsidRDefault="006964CC" w:rsidP="005C70DF">
      <w:pPr>
        <w:pStyle w:val="Heading3"/>
        <w:rPr>
          <w:color w:val="006B70"/>
        </w:rPr>
      </w:pPr>
      <w:bookmarkStart w:id="378" w:name="_Toc205386962"/>
      <w:bookmarkStart w:id="379" w:name="_Toc205388032"/>
      <w:bookmarkStart w:id="380" w:name="_Toc205446043"/>
      <w:r w:rsidRPr="001751D8">
        <w:rPr>
          <w:color w:val="006B70"/>
        </w:rPr>
        <w:t>Healthy Lifestyle</w:t>
      </w:r>
      <w:bookmarkEnd w:id="378"/>
      <w:bookmarkEnd w:id="379"/>
      <w:bookmarkEnd w:id="380"/>
    </w:p>
    <w:p w14:paraId="5C1D88FC" w14:textId="6F39AE1C" w:rsidR="006964CC" w:rsidRPr="00BA6682" w:rsidRDefault="006964CC" w:rsidP="005C70DF">
      <w:pPr>
        <w:pStyle w:val="Heading4"/>
        <w:rPr>
          <w:sz w:val="24"/>
          <w:szCs w:val="28"/>
        </w:rPr>
      </w:pPr>
      <w:r w:rsidRPr="00BA6682">
        <w:rPr>
          <w:sz w:val="24"/>
          <w:szCs w:val="28"/>
        </w:rPr>
        <w:t>Hearing impairment</w:t>
      </w:r>
      <w:r w:rsidR="00132E89">
        <w:rPr>
          <w:sz w:val="24"/>
          <w:szCs w:val="28"/>
        </w:rPr>
        <w:t xml:space="preserve"> </w:t>
      </w:r>
      <w:r w:rsidR="00210EE3">
        <w:rPr>
          <w:sz w:val="24"/>
          <w:szCs w:val="28"/>
        </w:rPr>
        <w:t>(HI)</w:t>
      </w:r>
    </w:p>
    <w:p w14:paraId="6CE22E83" w14:textId="23211260" w:rsidR="006964CC" w:rsidRDefault="006964CC" w:rsidP="005C70DF">
      <w:r>
        <w:t xml:space="preserve">Individuals with </w:t>
      </w:r>
      <w:r w:rsidR="00210EE3">
        <w:t>HI</w:t>
      </w:r>
      <w:r w:rsidR="00132E89">
        <w:t>s</w:t>
      </w:r>
      <w:r w:rsidR="00210EE3">
        <w:t xml:space="preserve"> </w:t>
      </w:r>
      <w:r>
        <w:t xml:space="preserve">may experience several physical and mental health challenges due to communication barriers. In group exercise or sports settings, difficulties in understanding verbal instructions can lead to feelings of exclusion or discomfort. Safety is also a concern when auditory cues, such as alarms, signals or verbal instructions are not </w:t>
      </w:r>
      <w:r w:rsidR="00132E89">
        <w:t>accessible</w:t>
      </w:r>
      <w:r>
        <w:t xml:space="preserve">. </w:t>
      </w:r>
    </w:p>
    <w:p w14:paraId="1CCB45F2" w14:textId="0952063B" w:rsidR="006964CC" w:rsidRDefault="006964CC" w:rsidP="005C70DF">
      <w:r>
        <w:t xml:space="preserve">Hearing aid users often struggle with loud hold music, which makes telephone interactions frustrating. However, many GP surgeries and hospitals insist on telephone only appointment bookings, making it difficult for deaf patients who rely on text or email. </w:t>
      </w:r>
      <w:r w:rsidR="007A2610">
        <w:t>T</w:t>
      </w:r>
      <w:r w:rsidR="00BF0B5E" w:rsidRPr="00BF0B5E">
        <w:t>his is despite the Accessible Information Standard</w:t>
      </w:r>
      <w:r w:rsidR="00BF0B5E">
        <w:rPr>
          <w:rStyle w:val="EndnoteReference"/>
        </w:rPr>
        <w:endnoteReference w:id="233"/>
      </w:r>
      <w:r w:rsidR="00BF0B5E">
        <w:t>,</w:t>
      </w:r>
      <w:r w:rsidR="00BF0B5E" w:rsidRPr="00BF0B5E">
        <w:t xml:space="preserve"> a legal requirement for healthcare providers to communicate in patients' preferred formats</w:t>
      </w:r>
      <w:r w:rsidR="00BF0B5E">
        <w:t xml:space="preserve">. </w:t>
      </w:r>
      <w:r>
        <w:t xml:space="preserve">As a result, people frequently </w:t>
      </w:r>
      <w:proofErr w:type="gramStart"/>
      <w:r>
        <w:t>have to</w:t>
      </w:r>
      <w:proofErr w:type="gramEnd"/>
      <w:r>
        <w:t xml:space="preserve"> rely on family or friends to book appointments, compromising privacy and independence. Additionally, video or BSL interpreters are often not arrange</w:t>
      </w:r>
      <w:r w:rsidR="000A4262">
        <w:t>d</w:t>
      </w:r>
      <w:r>
        <w:t>, leading to appointment cancellations or patients missing vital information, potentially delaying essential treatment</w:t>
      </w:r>
      <w:r w:rsidR="00363665">
        <w:rPr>
          <w:rStyle w:val="EndnoteReference"/>
        </w:rPr>
        <w:endnoteReference w:id="234"/>
      </w:r>
      <w:r>
        <w:t>.</w:t>
      </w:r>
      <w:r w:rsidRPr="006B17EE">
        <w:t xml:space="preserve"> </w:t>
      </w:r>
      <w:r w:rsidRPr="00CA7B1F">
        <w:t>Furthermore, many GP practices lack essential assistive technologies such as hearing loops or vibratory pagers</w:t>
      </w:r>
      <w:r w:rsidR="00EF6D63">
        <w:rPr>
          <w:rStyle w:val="EndnoteReference"/>
        </w:rPr>
        <w:endnoteReference w:id="235"/>
      </w:r>
      <w:r w:rsidRPr="00CA7B1F">
        <w:t>.</w:t>
      </w:r>
      <w:r>
        <w:t xml:space="preserve"> Consequently, many individuals with hearing impairments report emotional distress due to feeling ignored or feel unable to communicate effectively within healthcare settings</w:t>
      </w:r>
      <w:r>
        <w:rPr>
          <w:rStyle w:val="EndnoteReference"/>
        </w:rPr>
        <w:endnoteReference w:id="236"/>
      </w:r>
      <w:r>
        <w:t>.</w:t>
      </w:r>
    </w:p>
    <w:p w14:paraId="2CCEDC7E" w14:textId="77777777" w:rsidR="00383443" w:rsidRDefault="00383443" w:rsidP="00383443">
      <w:pPr>
        <w:pStyle w:val="Heading4"/>
        <w:rPr>
          <w:sz w:val="24"/>
          <w:szCs w:val="28"/>
        </w:rPr>
      </w:pPr>
      <w:r w:rsidRPr="00BA6682">
        <w:rPr>
          <w:sz w:val="24"/>
          <w:szCs w:val="28"/>
        </w:rPr>
        <w:t>Visual impairment</w:t>
      </w:r>
      <w:r>
        <w:rPr>
          <w:sz w:val="24"/>
          <w:szCs w:val="28"/>
        </w:rPr>
        <w:t xml:space="preserve"> (VI)</w:t>
      </w:r>
    </w:p>
    <w:p w14:paraId="16ED8E97" w14:textId="77777777" w:rsidR="00383443" w:rsidRDefault="00383443" w:rsidP="00383443">
      <w:r w:rsidRPr="00BB1ABE">
        <w:t xml:space="preserve">Individuals with </w:t>
      </w:r>
      <w:r>
        <w:t xml:space="preserve">VI </w:t>
      </w:r>
      <w:r w:rsidRPr="00BB1ABE">
        <w:t>often encounter significant barriers to maintaining health and well-being due to systemic inaccessibility in their environments.</w:t>
      </w:r>
      <w:r>
        <w:t xml:space="preserve"> </w:t>
      </w:r>
      <w:r w:rsidRPr="00BB1ABE">
        <w:t>Engaging in physical activity can be particularly challenging. Safety concerns, fear of injury, and limited access to adapted facilities or equipment frequently discourage participation. Without appropriate accommodations, opportunities for exercise are significantly reduced, contributing to sedentary behavio</w:t>
      </w:r>
      <w:r>
        <w:t>u</w:t>
      </w:r>
      <w:r w:rsidRPr="00BB1ABE">
        <w:t>r and related health risks</w:t>
      </w:r>
      <w:r>
        <w:rPr>
          <w:rStyle w:val="EndnoteReference"/>
        </w:rPr>
        <w:endnoteReference w:id="237"/>
      </w:r>
      <w:r w:rsidRPr="00060561">
        <w:t xml:space="preserve">. </w:t>
      </w:r>
    </w:p>
    <w:p w14:paraId="15450FD2" w14:textId="77777777" w:rsidR="00996F94" w:rsidRDefault="00996F94" w:rsidP="00996F94">
      <w:r>
        <w:t xml:space="preserve">VIs </w:t>
      </w:r>
      <w:proofErr w:type="gramStart"/>
      <w:r>
        <w:t>are</w:t>
      </w:r>
      <w:proofErr w:type="gramEnd"/>
      <w:r>
        <w:t xml:space="preserve"> also linked to social withdrawal and isolation, which can increase the risk of depression, whilst contributing to cognitive decline over time</w:t>
      </w:r>
      <w:r>
        <w:rPr>
          <w:rStyle w:val="EndnoteReference"/>
        </w:rPr>
        <w:endnoteReference w:id="238"/>
      </w:r>
      <w:r>
        <w:t>.</w:t>
      </w:r>
    </w:p>
    <w:p w14:paraId="3283EEE7" w14:textId="77777777" w:rsidR="00383443" w:rsidRDefault="00383443" w:rsidP="00383443">
      <w:r>
        <w:t xml:space="preserve">Nutrition and food safety are also affected. Difficulty reading food labels and expiry dates may influence dietary choices and increase the risk of unsafe food consumption. These considerations often necessitate external support or the use of assistive technologies which are not always available. </w:t>
      </w:r>
    </w:p>
    <w:p w14:paraId="0A70E8AA" w14:textId="77777777" w:rsidR="00383443" w:rsidRDefault="00383443" w:rsidP="00383443">
      <w:r>
        <w:t>Many children and young people with VIs can also experience difficulties with social participation. Mobility and communication challenges can limit involvement in community activities, leading to reduced interaction and social isolation. Over time, this isolation can lead to increased risk to anxiety and depression</w:t>
      </w:r>
      <w:r>
        <w:rPr>
          <w:rStyle w:val="EndnoteReference"/>
        </w:rPr>
        <w:endnoteReference w:id="239"/>
      </w:r>
      <w:r w:rsidRPr="00060561">
        <w:t>.</w:t>
      </w:r>
    </w:p>
    <w:p w14:paraId="0CE0F2CA" w14:textId="1C06E1D0" w:rsidR="00383443" w:rsidRDefault="00383443" w:rsidP="005C70DF">
      <w:r>
        <w:lastRenderedPageBreak/>
        <w:t>For patients with VIs, health services frequently present accessibility challenges. For example, appointment letters are often sent in printed formats with small fonts that are unsuitable for screen readers or magnification tools. Many digital platforms, including appointment systems used by GP practices, are not compatible with screen readers, and fail to include essential navigation information, leading to confusion or delays in attending appointments. Additionally, individuals with V</w:t>
      </w:r>
      <w:r w:rsidR="00811F68">
        <w:t>I</w:t>
      </w:r>
      <w:r>
        <w:t>s commonly report inadequate guidance within clinical settings. For example, a lack of auditory cues, such as being called by name, makes appointments stressful and impedes independent access</w:t>
      </w:r>
      <w:r>
        <w:rPr>
          <w:rStyle w:val="EndnoteReference"/>
        </w:rPr>
        <w:endnoteReference w:id="240"/>
      </w:r>
      <w:r>
        <w:t>.</w:t>
      </w:r>
    </w:p>
    <w:p w14:paraId="41E725F3" w14:textId="77777777" w:rsidR="005C70DF" w:rsidRPr="001751D8" w:rsidRDefault="005C70DF" w:rsidP="005C70DF">
      <w:pPr>
        <w:pStyle w:val="Heading3"/>
        <w:rPr>
          <w:color w:val="006B70"/>
        </w:rPr>
      </w:pPr>
      <w:bookmarkStart w:id="381" w:name="_Toc205446044"/>
      <w:bookmarkStart w:id="382" w:name="_Toc205386963"/>
      <w:bookmarkStart w:id="383" w:name="_Toc205388033"/>
      <w:r w:rsidRPr="001751D8">
        <w:rPr>
          <w:color w:val="006B70"/>
        </w:rPr>
        <w:t>School Life</w:t>
      </w:r>
      <w:bookmarkEnd w:id="381"/>
      <w:r w:rsidRPr="001751D8">
        <w:rPr>
          <w:color w:val="006B70"/>
        </w:rPr>
        <w:t xml:space="preserve"> </w:t>
      </w:r>
      <w:bookmarkEnd w:id="382"/>
      <w:bookmarkEnd w:id="383"/>
    </w:p>
    <w:p w14:paraId="14E1B761" w14:textId="54B9D688" w:rsidR="1FBEE9EE" w:rsidRDefault="64431C22" w:rsidP="52F29B96">
      <w:pPr>
        <w:pStyle w:val="Heading4"/>
        <w:rPr>
          <w:sz w:val="24"/>
        </w:rPr>
      </w:pPr>
      <w:r w:rsidRPr="52F29B96">
        <w:rPr>
          <w:sz w:val="24"/>
        </w:rPr>
        <w:t>Hearing impairment</w:t>
      </w:r>
      <w:r w:rsidR="00235BAF">
        <w:rPr>
          <w:sz w:val="24"/>
        </w:rPr>
        <w:t xml:space="preserve"> (HI)</w:t>
      </w:r>
    </w:p>
    <w:p w14:paraId="29CD41AE" w14:textId="23920765" w:rsidR="005C70DF" w:rsidRPr="006B17EE" w:rsidRDefault="2A9E5D37" w:rsidP="47D01233">
      <w:pPr>
        <w:rPr>
          <w:rFonts w:eastAsia="Calibri"/>
          <w:szCs w:val="22"/>
        </w:rPr>
      </w:pPr>
      <w:r>
        <w:t xml:space="preserve">Research looking into the lived experiences of children with </w:t>
      </w:r>
      <w:r w:rsidR="00235BAF">
        <w:t xml:space="preserve">HI </w:t>
      </w:r>
      <w:r>
        <w:t xml:space="preserve">found that </w:t>
      </w:r>
      <w:r w:rsidRPr="52F29B96">
        <w:rPr>
          <w:rFonts w:eastAsia="Calibri"/>
          <w:szCs w:val="22"/>
        </w:rPr>
        <w:t xml:space="preserve">barriers to inclusion persist, mainly due to a lack of deaf awareness among peers, which can lead to hurtful comments, bullying, and social embarrassment. </w:t>
      </w:r>
      <w:r w:rsidR="000D0115">
        <w:rPr>
          <w:rFonts w:eastAsia="Calibri"/>
          <w:szCs w:val="22"/>
        </w:rPr>
        <w:t>To cope, s</w:t>
      </w:r>
      <w:r w:rsidRPr="52F29B96">
        <w:rPr>
          <w:rFonts w:eastAsia="Calibri"/>
          <w:szCs w:val="22"/>
        </w:rPr>
        <w:t xml:space="preserve">ome students </w:t>
      </w:r>
      <w:r w:rsidR="000D0115">
        <w:rPr>
          <w:rFonts w:eastAsia="Calibri"/>
          <w:szCs w:val="22"/>
        </w:rPr>
        <w:t xml:space="preserve">find they need to </w:t>
      </w:r>
      <w:r w:rsidRPr="52F29B96">
        <w:rPr>
          <w:rFonts w:eastAsia="Calibri"/>
          <w:szCs w:val="22"/>
        </w:rPr>
        <w:t>withdraw socially or hid</w:t>
      </w:r>
      <w:r w:rsidR="000D0115">
        <w:rPr>
          <w:rFonts w:eastAsia="Calibri"/>
          <w:szCs w:val="22"/>
        </w:rPr>
        <w:t>e</w:t>
      </w:r>
      <w:r w:rsidRPr="52F29B96">
        <w:rPr>
          <w:rFonts w:eastAsia="Calibri"/>
          <w:szCs w:val="22"/>
        </w:rPr>
        <w:t xml:space="preserve"> their hearing aids</w:t>
      </w:r>
      <w:r w:rsidR="00EA41EB">
        <w:rPr>
          <w:rStyle w:val="EndnoteReference"/>
          <w:rFonts w:eastAsia="Calibri"/>
          <w:szCs w:val="22"/>
        </w:rPr>
        <w:endnoteReference w:id="241"/>
      </w:r>
      <w:r w:rsidRPr="52F29B96">
        <w:rPr>
          <w:rFonts w:eastAsia="Calibri"/>
          <w:szCs w:val="22"/>
        </w:rPr>
        <w:t>.</w:t>
      </w:r>
      <w:r w:rsidR="4EDB3675" w:rsidRPr="47D01233">
        <w:rPr>
          <w:rFonts w:eastAsia="Calibri"/>
          <w:szCs w:val="22"/>
        </w:rPr>
        <w:t xml:space="preserve"> </w:t>
      </w:r>
    </w:p>
    <w:p w14:paraId="5BA7B963" w14:textId="2EE98FBA" w:rsidR="005C70DF" w:rsidRDefault="4EDB3675" w:rsidP="52F29B96">
      <w:pPr>
        <w:rPr>
          <w:rFonts w:eastAsia="Calibri"/>
          <w:szCs w:val="22"/>
        </w:rPr>
      </w:pPr>
      <w:r w:rsidRPr="47D01233">
        <w:rPr>
          <w:rFonts w:eastAsia="Calibri"/>
          <w:szCs w:val="22"/>
        </w:rPr>
        <w:t>In addition, research on academic achievement found that children with mild hearing loss often struggle with speech and language development and are more than twice as likely to have problems at school</w:t>
      </w:r>
      <w:r w:rsidR="00A87443" w:rsidRPr="47D01233" w:rsidDel="00A87443">
        <w:rPr>
          <w:rFonts w:eastAsia="Calibri"/>
          <w:szCs w:val="22"/>
        </w:rPr>
        <w:t xml:space="preserve"> </w:t>
      </w:r>
      <w:r w:rsidR="006E24FA">
        <w:rPr>
          <w:rStyle w:val="EndnoteReference"/>
          <w:rFonts w:eastAsia="Calibri"/>
          <w:szCs w:val="22"/>
        </w:rPr>
        <w:endnoteReference w:id="242"/>
      </w:r>
      <w:r w:rsidRPr="47D01233">
        <w:rPr>
          <w:rFonts w:eastAsia="Calibri"/>
          <w:szCs w:val="22"/>
        </w:rPr>
        <w:t xml:space="preserve">. As hearing loss becomes more severe, the impact on learning increases.  </w:t>
      </w:r>
      <w:r w:rsidR="001C6459">
        <w:rPr>
          <w:rFonts w:eastAsia="Calibri"/>
          <w:szCs w:val="22"/>
        </w:rPr>
        <w:t>Research suggests that c</w:t>
      </w:r>
      <w:r w:rsidR="001C6459" w:rsidRPr="001C6459">
        <w:rPr>
          <w:rFonts w:eastAsia="Calibri"/>
          <w:szCs w:val="22"/>
        </w:rPr>
        <w:t>hildren with mild to severe hearing loss had lower language levels than age</w:t>
      </w:r>
      <w:r w:rsidR="001C6459">
        <w:rPr>
          <w:rFonts w:eastAsia="Calibri"/>
          <w:szCs w:val="22"/>
        </w:rPr>
        <w:t xml:space="preserve"> </w:t>
      </w:r>
      <w:r w:rsidR="001C6459" w:rsidRPr="001C6459">
        <w:rPr>
          <w:rFonts w:eastAsia="Calibri"/>
          <w:szCs w:val="22"/>
        </w:rPr>
        <w:t>and socioeconomically matched hearing peers, and the gap widened with increased hearing loss severity. Among children using hearing aids, greater audibility was linked to faster language growth during the preschool years</w:t>
      </w:r>
      <w:r w:rsidR="00F74AF1">
        <w:rPr>
          <w:rStyle w:val="EndnoteReference"/>
          <w:rFonts w:eastAsia="Calibri"/>
          <w:szCs w:val="22"/>
        </w:rPr>
        <w:endnoteReference w:id="243"/>
      </w:r>
      <w:r w:rsidR="001C6459" w:rsidRPr="001C6459">
        <w:rPr>
          <w:rFonts w:eastAsia="Calibri"/>
          <w:szCs w:val="22"/>
        </w:rPr>
        <w:t>.</w:t>
      </w:r>
    </w:p>
    <w:p w14:paraId="02DF9D2F" w14:textId="77777777" w:rsidR="00383443" w:rsidRDefault="00383443" w:rsidP="00383443">
      <w:pPr>
        <w:pStyle w:val="Heading4"/>
        <w:rPr>
          <w:sz w:val="24"/>
        </w:rPr>
      </w:pPr>
      <w:r w:rsidRPr="52F29B96">
        <w:rPr>
          <w:sz w:val="24"/>
        </w:rPr>
        <w:t>Visual impairment</w:t>
      </w:r>
      <w:r>
        <w:rPr>
          <w:sz w:val="24"/>
        </w:rPr>
        <w:t xml:space="preserve"> (VI) </w:t>
      </w:r>
    </w:p>
    <w:p w14:paraId="51173881" w14:textId="513BA31E" w:rsidR="00383443" w:rsidRPr="00383443" w:rsidRDefault="00383443" w:rsidP="52F29B96">
      <w:r>
        <w:t>Children and young people with V</w:t>
      </w:r>
      <w:r w:rsidR="00F302A9">
        <w:t>I</w:t>
      </w:r>
      <w:r>
        <w:t xml:space="preserve">s experience </w:t>
      </w:r>
      <w:proofErr w:type="gramStart"/>
      <w:r>
        <w:t>a number of</w:t>
      </w:r>
      <w:proofErr w:type="gramEnd"/>
      <w:r>
        <w:t xml:space="preserve"> challenges in coping with school life. They are at a higher risk of low self-esteem, difficulties at school, and isolation. Many report struggles with making friends and are more likely to experience teasing or bullying from peers</w:t>
      </w:r>
      <w:r w:rsidRPr="0ACD3109">
        <w:rPr>
          <w:rStyle w:val="EndnoteReference"/>
        </w:rPr>
        <w:endnoteReference w:id="244"/>
      </w:r>
      <w:r>
        <w:t>.</w:t>
      </w:r>
      <w:r w:rsidR="0048421E">
        <w:t xml:space="preserve"> In </w:t>
      </w:r>
      <w:proofErr w:type="gramStart"/>
      <w:r w:rsidR="0048421E">
        <w:t>addition</w:t>
      </w:r>
      <w:proofErr w:type="gramEnd"/>
      <w:r w:rsidR="0048421E">
        <w:t xml:space="preserve"> </w:t>
      </w:r>
      <w:r w:rsidR="00B979F8">
        <w:t xml:space="preserve">children and young people report barriers to participation in Physical </w:t>
      </w:r>
      <w:r w:rsidR="00052E1A">
        <w:t>Education</w:t>
      </w:r>
      <w:r w:rsidR="00B979F8">
        <w:t xml:space="preserve"> (PE) both in mainstream schools and specialist schools</w:t>
      </w:r>
      <w:r w:rsidR="00052E1A">
        <w:rPr>
          <w:rStyle w:val="EndnoteReference"/>
        </w:rPr>
        <w:endnoteReference w:id="245"/>
      </w:r>
      <w:r w:rsidR="00A93C1E">
        <w:rPr>
          <w:rStyle w:val="EndnoteReference"/>
        </w:rPr>
        <w:endnoteReference w:id="246"/>
      </w:r>
      <w:r w:rsidR="00382A8E">
        <w:t>.</w:t>
      </w:r>
      <w:r>
        <w:t xml:space="preserve"> These issues can have lasting effects, highlighting the need for supportive environments and inclusive practices in schools and communities.</w:t>
      </w:r>
    </w:p>
    <w:p w14:paraId="48D1269A" w14:textId="01E73B2B" w:rsidR="7AD4E0C3" w:rsidRDefault="7AD4E0C3" w:rsidP="47D01233">
      <w:pPr>
        <w:pStyle w:val="Heading4"/>
        <w:rPr>
          <w:sz w:val="24"/>
        </w:rPr>
      </w:pPr>
      <w:r w:rsidRPr="47D01233">
        <w:rPr>
          <w:sz w:val="24"/>
        </w:rPr>
        <w:t>Multisensory impairment</w:t>
      </w:r>
      <w:r w:rsidR="00A942AC">
        <w:rPr>
          <w:sz w:val="24"/>
        </w:rPr>
        <w:t xml:space="preserve"> (MSI)</w:t>
      </w:r>
    </w:p>
    <w:p w14:paraId="0147E86A" w14:textId="01CD7E33" w:rsidR="7AD4E0C3" w:rsidRDefault="7AD4E0C3" w:rsidP="00A942AC">
      <w:pPr>
        <w:rPr>
          <w:rFonts w:eastAsia="Calibri"/>
        </w:rPr>
      </w:pPr>
      <w:r w:rsidRPr="076749CB">
        <w:rPr>
          <w:rFonts w:eastAsia="Calibri"/>
        </w:rPr>
        <w:t xml:space="preserve">Children with MSI face challenges at school </w:t>
      </w:r>
      <w:r w:rsidR="00A942AC" w:rsidRPr="076749CB">
        <w:rPr>
          <w:rFonts w:eastAsia="Calibri"/>
        </w:rPr>
        <w:t>regarding</w:t>
      </w:r>
      <w:r w:rsidRPr="076749CB">
        <w:rPr>
          <w:rFonts w:eastAsia="Calibri"/>
        </w:rPr>
        <w:t xml:space="preserve"> their ability to access information, communicate, and move confidently in their environment. Without appropriate support, these children may only engage with what is immediately around them, limiting their learning and understanding of the wider world</w:t>
      </w:r>
      <w:r w:rsidR="001617C2">
        <w:rPr>
          <w:rStyle w:val="EndnoteReference"/>
          <w:rFonts w:eastAsia="Calibri"/>
        </w:rPr>
        <w:endnoteReference w:id="247"/>
      </w:r>
      <w:r w:rsidRPr="076749CB">
        <w:rPr>
          <w:rFonts w:eastAsia="Calibri"/>
        </w:rPr>
        <w:t>.</w:t>
      </w:r>
      <w:r w:rsidR="65670352" w:rsidRPr="076749CB">
        <w:rPr>
          <w:rFonts w:eastAsia="Calibri"/>
        </w:rPr>
        <w:t xml:space="preserve"> Children and young people with MSI often experience social isolation, with parents being their main source of interaction outside </w:t>
      </w:r>
      <w:r w:rsidR="65670352" w:rsidRPr="076749CB">
        <w:rPr>
          <w:rFonts w:eastAsia="Calibri"/>
          <w:szCs w:val="22"/>
        </w:rPr>
        <w:t>school</w:t>
      </w:r>
      <w:r w:rsidR="00985E0C">
        <w:rPr>
          <w:rStyle w:val="EndnoteReference"/>
          <w:rFonts w:eastAsia="Calibri"/>
          <w:szCs w:val="22"/>
        </w:rPr>
        <w:endnoteReference w:id="248"/>
      </w:r>
      <w:r w:rsidR="65670352" w:rsidRPr="076749CB">
        <w:rPr>
          <w:rFonts w:eastAsia="Calibri"/>
        </w:rPr>
        <w:t>. Communication and mobility challenges limit their independence and access to social activities. Environmental barriers such as poor lighting, unclear signage, transport difficulties, and limited participation in subjects like Physical Education further reduce their opportunities for social inclusi</w:t>
      </w:r>
      <w:r w:rsidR="6805C94D" w:rsidRPr="076749CB">
        <w:rPr>
          <w:rFonts w:eastAsia="Calibri"/>
        </w:rPr>
        <w:t>on</w:t>
      </w:r>
      <w:r w:rsidR="00BA1717">
        <w:rPr>
          <w:rStyle w:val="EndnoteReference"/>
          <w:rFonts w:eastAsia="Calibri"/>
        </w:rPr>
        <w:endnoteReference w:id="249"/>
      </w:r>
      <w:r w:rsidR="6805C94D" w:rsidRPr="076749CB">
        <w:rPr>
          <w:rFonts w:eastAsia="Calibri"/>
        </w:rPr>
        <w:t>.</w:t>
      </w:r>
    </w:p>
    <w:bookmarkEnd w:id="270"/>
    <w:p w14:paraId="0CC50B2F" w14:textId="77777777" w:rsidR="00954DA6" w:rsidRDefault="00954DA6" w:rsidP="00A942AC">
      <w:pPr>
        <w:rPr>
          <w:rFonts w:eastAsia="Calibri"/>
        </w:rPr>
      </w:pPr>
    </w:p>
    <w:p w14:paraId="4C7FEA33" w14:textId="77777777" w:rsidR="005C70DF" w:rsidRPr="001751D8" w:rsidRDefault="005C70DF" w:rsidP="005C70DF">
      <w:pPr>
        <w:pStyle w:val="Heading3"/>
        <w:rPr>
          <w:color w:val="006B70"/>
        </w:rPr>
      </w:pPr>
      <w:bookmarkStart w:id="384" w:name="_Toc205386964"/>
      <w:bookmarkStart w:id="385" w:name="_Toc205388034"/>
      <w:bookmarkStart w:id="386" w:name="_Toc205446045"/>
      <w:r w:rsidRPr="001751D8">
        <w:rPr>
          <w:color w:val="006B70"/>
        </w:rPr>
        <w:lastRenderedPageBreak/>
        <w:t>Outcomes</w:t>
      </w:r>
      <w:bookmarkEnd w:id="384"/>
      <w:bookmarkEnd w:id="385"/>
      <w:bookmarkEnd w:id="386"/>
      <w:r w:rsidRPr="001751D8">
        <w:rPr>
          <w:color w:val="006B70"/>
        </w:rPr>
        <w:t xml:space="preserve"> </w:t>
      </w:r>
    </w:p>
    <w:p w14:paraId="62487B32" w14:textId="425AFA08" w:rsidR="005C70DF" w:rsidRPr="00CB4288" w:rsidRDefault="005C70DF" w:rsidP="005C70DF">
      <w:pPr>
        <w:pStyle w:val="Heading4"/>
        <w:rPr>
          <w:sz w:val="24"/>
          <w:szCs w:val="28"/>
        </w:rPr>
      </w:pPr>
      <w:r w:rsidRPr="00CB4288">
        <w:rPr>
          <w:sz w:val="24"/>
          <w:szCs w:val="28"/>
        </w:rPr>
        <w:t>Hearing impairments</w:t>
      </w:r>
      <w:r w:rsidR="00954DA6">
        <w:rPr>
          <w:sz w:val="24"/>
          <w:szCs w:val="28"/>
        </w:rPr>
        <w:t xml:space="preserve"> (HI) </w:t>
      </w:r>
    </w:p>
    <w:p w14:paraId="11AB10BF" w14:textId="24B3F7D3" w:rsidR="005C70DF" w:rsidRDefault="003A3689" w:rsidP="005C70DF">
      <w:r>
        <w:t xml:space="preserve">HIs </w:t>
      </w:r>
      <w:r w:rsidR="005C70DF" w:rsidRPr="00437136">
        <w:t>are associated with a broad range of consequences for the child’s cognitive, social, and emotional development</w:t>
      </w:r>
      <w:r w:rsidR="005C70DF">
        <w:rPr>
          <w:rStyle w:val="EndnoteReference"/>
        </w:rPr>
        <w:endnoteReference w:id="250"/>
      </w:r>
      <w:r w:rsidR="00FA23D6" w:rsidRPr="00FA23D6">
        <w:rPr>
          <w:vertAlign w:val="superscript"/>
        </w:rPr>
        <w:t>,</w:t>
      </w:r>
      <w:r w:rsidR="005C70DF">
        <w:rPr>
          <w:rStyle w:val="EndnoteReference"/>
        </w:rPr>
        <w:endnoteReference w:id="251"/>
      </w:r>
      <w:r w:rsidR="005C70DF" w:rsidRPr="00437136">
        <w:t xml:space="preserve">. </w:t>
      </w:r>
      <w:r w:rsidR="005C70DF">
        <w:t xml:space="preserve">Research suggests that children with </w:t>
      </w:r>
      <w:r>
        <w:t xml:space="preserve">a HI </w:t>
      </w:r>
      <w:r w:rsidR="005C70DF">
        <w:t>report significantly lower quality of life compared to children with normal hearing</w:t>
      </w:r>
      <w:r w:rsidR="005C70DF">
        <w:rPr>
          <w:rStyle w:val="EndnoteReference"/>
        </w:rPr>
        <w:endnoteReference w:id="252"/>
      </w:r>
      <w:r w:rsidR="005C70DF">
        <w:t xml:space="preserve">. In addition, young people with </w:t>
      </w:r>
      <w:r w:rsidR="00A63D29">
        <w:t xml:space="preserve">a HI </w:t>
      </w:r>
      <w:r w:rsidR="005C70DF">
        <w:t xml:space="preserve">were 21-39% less likely to attend college/university and twice as likely to experience work </w:t>
      </w:r>
      <w:r w:rsidR="00A63D29">
        <w:t xml:space="preserve">related </w:t>
      </w:r>
      <w:r w:rsidR="005C70DF">
        <w:t xml:space="preserve">stress than people without a </w:t>
      </w:r>
      <w:r w:rsidR="00A63D29">
        <w:t>HI</w:t>
      </w:r>
      <w:r w:rsidR="005C70DF">
        <w:rPr>
          <w:rStyle w:val="EndnoteReference"/>
        </w:rPr>
        <w:endnoteReference w:id="253"/>
      </w:r>
      <w:r w:rsidR="005C70DF">
        <w:t xml:space="preserve">.  </w:t>
      </w:r>
    </w:p>
    <w:p w14:paraId="37C98F72" w14:textId="50181620" w:rsidR="005C70DF" w:rsidRPr="00A867F8" w:rsidRDefault="005C70DF" w:rsidP="005C70DF">
      <w:pPr>
        <w:rPr>
          <w:b/>
          <w:bCs/>
        </w:rPr>
      </w:pPr>
      <w:r w:rsidRPr="00A813C4">
        <w:t>Fitting hearing aids or cochlear implants in the first months of life can put many children on a near</w:t>
      </w:r>
      <w:r w:rsidRPr="00A813C4">
        <w:rPr>
          <w:rFonts w:ascii="Cambria Math" w:hAnsi="Cambria Math" w:cs="Cambria Math"/>
        </w:rPr>
        <w:t>‑</w:t>
      </w:r>
      <w:r w:rsidRPr="00A813C4">
        <w:t>typical language path, especially when families use the devices consistently and have good support. Even so, children with hearing loss face higher risks of challenges with memory, attention, and other thinking skills that affect school and later employment</w:t>
      </w:r>
      <w:r>
        <w:rPr>
          <w:rStyle w:val="EndnoteReference"/>
        </w:rPr>
        <w:endnoteReference w:id="254"/>
      </w:r>
      <w:r w:rsidR="00FA23D6" w:rsidRPr="00FA23D6">
        <w:rPr>
          <w:vertAlign w:val="superscript"/>
        </w:rPr>
        <w:t>,</w:t>
      </w:r>
      <w:r>
        <w:rPr>
          <w:rStyle w:val="EndnoteReference"/>
        </w:rPr>
        <w:endnoteReference w:id="255"/>
      </w:r>
      <w:r w:rsidRPr="00A813C4">
        <w:t xml:space="preserve">. </w:t>
      </w:r>
    </w:p>
    <w:p w14:paraId="4A90E0FB" w14:textId="77777777" w:rsidR="005C70DF" w:rsidRPr="0067717D" w:rsidRDefault="005C70DF" w:rsidP="005C70DF">
      <w:r w:rsidRPr="0067717D">
        <w:t>Early intervention with hearing aids or cochlear implants is associated with significantly better outcomes in speech, language development, and overall functional abilities. Improved speech perception is linked to stronger language skills and higher cognitive function. Furthermore, children with better language and functional performance tend to show more positive psychosocial development</w:t>
      </w:r>
      <w:r>
        <w:rPr>
          <w:rStyle w:val="EndnoteReference"/>
        </w:rPr>
        <w:endnoteReference w:id="256"/>
      </w:r>
      <w:r w:rsidRPr="0067717D">
        <w:t>.</w:t>
      </w:r>
    </w:p>
    <w:p w14:paraId="3313CB7C" w14:textId="0BA35F11" w:rsidR="005C70DF" w:rsidRDefault="005C70DF" w:rsidP="005C70DF">
      <w:r w:rsidRPr="008A070E">
        <w:t>Compared to distraction-based hearing screening, newborn hearing screening was linked to better developmental outcomes at ages 3</w:t>
      </w:r>
      <w:r w:rsidR="00280375">
        <w:t>-</w:t>
      </w:r>
      <w:r w:rsidRPr="008A070E">
        <w:t>5 in children with permanent hearing loss</w:t>
      </w:r>
      <w:r>
        <w:rPr>
          <w:rStyle w:val="EndnoteReference"/>
        </w:rPr>
        <w:endnoteReference w:id="257"/>
      </w:r>
      <w:r w:rsidRPr="008A070E">
        <w:t>.</w:t>
      </w:r>
      <w:r>
        <w:t xml:space="preserve"> A study </w:t>
      </w:r>
      <w:r w:rsidRPr="00146801">
        <w:t>found that children with ongoing hearing problems or ear infections around age 4–5 were more likely to have emotional and social difficulties by age 10</w:t>
      </w:r>
      <w:r w:rsidR="00280375">
        <w:t>-</w:t>
      </w:r>
      <w:r w:rsidRPr="00146801">
        <w:t xml:space="preserve">11. These issues were less common in children who had hearing problems as babies, possibly </w:t>
      </w:r>
      <w:r w:rsidR="0027621A">
        <w:t>as</w:t>
      </w:r>
      <w:r w:rsidRPr="00146801">
        <w:t xml:space="preserve"> early issues often improve or are treated. Hearing problems during preschool years</w:t>
      </w:r>
      <w:r>
        <w:t xml:space="preserve">, </w:t>
      </w:r>
      <w:r w:rsidRPr="00146801">
        <w:t>a key time for learning and social development</w:t>
      </w:r>
      <w:r>
        <w:t xml:space="preserve">, </w:t>
      </w:r>
      <w:r w:rsidRPr="00146801">
        <w:t xml:space="preserve">may have a </w:t>
      </w:r>
      <w:r w:rsidR="006627BC">
        <w:t xml:space="preserve">greater </w:t>
      </w:r>
      <w:r w:rsidRPr="00146801">
        <w:t>long-term impact. The</w:t>
      </w:r>
      <w:r w:rsidR="006627BC">
        <w:t>se</w:t>
      </w:r>
      <w:r w:rsidRPr="00146801">
        <w:t xml:space="preserve"> findings highlight the importance of early detection and support for young children with hearing issues to help protect their emotional and social wellbeing</w:t>
      </w:r>
      <w:r>
        <w:rPr>
          <w:rStyle w:val="EndnoteReference"/>
        </w:rPr>
        <w:endnoteReference w:id="258"/>
      </w:r>
      <w:r w:rsidRPr="00146801">
        <w:t>.</w:t>
      </w:r>
    </w:p>
    <w:p w14:paraId="442A1981" w14:textId="77777777" w:rsidR="00383443" w:rsidRPr="00CB4288" w:rsidRDefault="00383443" w:rsidP="00383443">
      <w:pPr>
        <w:pStyle w:val="Heading4"/>
        <w:rPr>
          <w:sz w:val="24"/>
          <w:szCs w:val="28"/>
        </w:rPr>
      </w:pPr>
      <w:r w:rsidRPr="00CB4288">
        <w:rPr>
          <w:sz w:val="24"/>
          <w:szCs w:val="28"/>
        </w:rPr>
        <w:t>Visual impairment</w:t>
      </w:r>
      <w:r>
        <w:rPr>
          <w:sz w:val="24"/>
          <w:szCs w:val="28"/>
        </w:rPr>
        <w:t xml:space="preserve"> (VI)</w:t>
      </w:r>
    </w:p>
    <w:p w14:paraId="22AF8FBD" w14:textId="608A9C7B" w:rsidR="00383443" w:rsidRDefault="00383443" w:rsidP="005C70DF">
      <w:r w:rsidRPr="007925C1">
        <w:t xml:space="preserve">Children and young people with </w:t>
      </w:r>
      <w:r>
        <w:t xml:space="preserve">VI </w:t>
      </w:r>
      <w:r w:rsidRPr="007925C1">
        <w:t>may face challenges that affect their quality of life</w:t>
      </w:r>
      <w:r w:rsidRPr="006A5567">
        <w:rPr>
          <w:rStyle w:val="EndnoteReference"/>
        </w:rPr>
        <w:endnoteReference w:id="259"/>
      </w:r>
      <w:r w:rsidRPr="007925C1">
        <w:t>, emotional wellbeing</w:t>
      </w:r>
      <w:r>
        <w:rPr>
          <w:rStyle w:val="EndnoteReference"/>
        </w:rPr>
        <w:endnoteReference w:id="260"/>
      </w:r>
      <w:r w:rsidRPr="007925C1">
        <w:t>, and social development</w:t>
      </w:r>
      <w:r>
        <w:rPr>
          <w:rStyle w:val="EndnoteReference"/>
        </w:rPr>
        <w:endnoteReference w:id="261"/>
      </w:r>
      <w:r w:rsidRPr="007925C1">
        <w:t xml:space="preserve">. </w:t>
      </w:r>
      <w:r>
        <w:t>Some r</w:t>
      </w:r>
      <w:r w:rsidRPr="007D7996">
        <w:t>esearch</w:t>
      </w:r>
      <w:r>
        <w:t xml:space="preserve"> indicates adults</w:t>
      </w:r>
      <w:r w:rsidRPr="007D7996">
        <w:t xml:space="preserve"> with </w:t>
      </w:r>
      <w:r>
        <w:t>V</w:t>
      </w:r>
      <w:r w:rsidR="00AC6056">
        <w:t>I</w:t>
      </w:r>
      <w:r>
        <w:t xml:space="preserve">s </w:t>
      </w:r>
      <w:r w:rsidRPr="007D7996">
        <w:t xml:space="preserve">are more likely to experience depression and anxiety. </w:t>
      </w:r>
    </w:p>
    <w:p w14:paraId="57322DF7" w14:textId="46D4AA00" w:rsidR="005C70DF" w:rsidRPr="005277E0" w:rsidRDefault="005C70DF" w:rsidP="005C70DF">
      <w:pPr>
        <w:pStyle w:val="Heading4"/>
        <w:rPr>
          <w:sz w:val="24"/>
          <w:szCs w:val="28"/>
        </w:rPr>
      </w:pPr>
      <w:r w:rsidRPr="005277E0">
        <w:rPr>
          <w:sz w:val="24"/>
          <w:szCs w:val="28"/>
        </w:rPr>
        <w:t>Multisensory impairment</w:t>
      </w:r>
      <w:r w:rsidR="00B3261E">
        <w:rPr>
          <w:sz w:val="24"/>
          <w:szCs w:val="28"/>
        </w:rPr>
        <w:t xml:space="preserve"> (MSI)</w:t>
      </w:r>
    </w:p>
    <w:p w14:paraId="3B1A500C" w14:textId="77777777" w:rsidR="005C70DF" w:rsidRPr="002826D5" w:rsidRDefault="005C70DF" w:rsidP="005C70DF">
      <w:pPr>
        <w:pStyle w:val="NormalWeb"/>
        <w:rPr>
          <w:rFonts w:ascii="Calibri" w:hAnsi="Calibri" w:cs="Calibri"/>
          <w:sz w:val="22"/>
        </w:rPr>
      </w:pPr>
      <w:r w:rsidRPr="22332D84">
        <w:rPr>
          <w:rFonts w:ascii="Calibri" w:hAnsi="Calibri" w:cs="Calibri"/>
          <w:sz w:val="22"/>
          <w:szCs w:val="22"/>
        </w:rPr>
        <w:t>MSI is strongly linked to depression</w:t>
      </w:r>
      <w:r w:rsidRPr="22332D84">
        <w:rPr>
          <w:rFonts w:ascii="Calibri" w:hAnsi="Calibri" w:cs="Calibri"/>
          <w:sz w:val="22"/>
          <w:szCs w:val="22"/>
          <w:vertAlign w:val="superscript"/>
        </w:rPr>
        <w:endnoteReference w:id="262"/>
      </w:r>
      <w:r w:rsidRPr="22332D84">
        <w:rPr>
          <w:rFonts w:ascii="Calibri" w:hAnsi="Calibri" w:cs="Calibri"/>
          <w:sz w:val="22"/>
          <w:szCs w:val="22"/>
        </w:rPr>
        <w:t>, cognitive decline</w:t>
      </w:r>
      <w:r w:rsidRPr="22332D84">
        <w:rPr>
          <w:rStyle w:val="EndnoteReference"/>
          <w:rFonts w:ascii="Calibri" w:hAnsi="Calibri" w:cs="Calibri"/>
          <w:sz w:val="22"/>
          <w:szCs w:val="22"/>
        </w:rPr>
        <w:endnoteReference w:id="263"/>
      </w:r>
      <w:r w:rsidRPr="22332D84">
        <w:rPr>
          <w:rFonts w:ascii="Calibri" w:hAnsi="Calibri" w:cs="Calibri"/>
          <w:sz w:val="22"/>
          <w:szCs w:val="22"/>
        </w:rPr>
        <w:t>, and reduced quality of life</w:t>
      </w:r>
      <w:r w:rsidRPr="22332D84">
        <w:rPr>
          <w:rStyle w:val="EndnoteReference"/>
          <w:rFonts w:ascii="Calibri" w:hAnsi="Calibri" w:cs="Calibri"/>
          <w:sz w:val="22"/>
          <w:szCs w:val="22"/>
        </w:rPr>
        <w:endnoteReference w:id="264"/>
      </w:r>
      <w:r w:rsidRPr="22332D84">
        <w:rPr>
          <w:rFonts w:ascii="Calibri" w:hAnsi="Calibri" w:cs="Calibri"/>
          <w:sz w:val="22"/>
          <w:szCs w:val="22"/>
        </w:rPr>
        <w:t>. People with MSI face challenges in activities of daily living and social engagement. MSI correlates with higher mortality</w:t>
      </w:r>
      <w:r w:rsidRPr="22332D84">
        <w:rPr>
          <w:rStyle w:val="EndnoteReference"/>
          <w:rFonts w:ascii="Calibri" w:hAnsi="Calibri" w:cs="Calibri"/>
          <w:sz w:val="22"/>
          <w:szCs w:val="22"/>
        </w:rPr>
        <w:endnoteReference w:id="265"/>
      </w:r>
      <w:r w:rsidRPr="22332D84">
        <w:rPr>
          <w:rFonts w:ascii="Calibri" w:hAnsi="Calibri" w:cs="Calibri"/>
          <w:sz w:val="22"/>
          <w:szCs w:val="22"/>
        </w:rPr>
        <w:t>, worse general health, and impaired functioning</w:t>
      </w:r>
      <w:r w:rsidRPr="22332D84">
        <w:rPr>
          <w:rStyle w:val="EndnoteReference"/>
          <w:rFonts w:ascii="Calibri" w:hAnsi="Calibri" w:cs="Calibri"/>
          <w:sz w:val="22"/>
          <w:szCs w:val="22"/>
        </w:rPr>
        <w:endnoteReference w:id="266"/>
      </w:r>
      <w:r w:rsidRPr="22332D84">
        <w:rPr>
          <w:rFonts w:ascii="Calibri" w:hAnsi="Calibri" w:cs="Calibri"/>
          <w:sz w:val="22"/>
          <w:szCs w:val="22"/>
        </w:rPr>
        <w:t>.</w:t>
      </w:r>
    </w:p>
    <w:p w14:paraId="7B7DA4BD" w14:textId="71D39A51" w:rsidR="005C70DF" w:rsidRPr="001751D8" w:rsidRDefault="005C70DF" w:rsidP="005C70DF">
      <w:pPr>
        <w:pStyle w:val="Heading3"/>
        <w:rPr>
          <w:color w:val="006B70"/>
        </w:rPr>
      </w:pPr>
      <w:bookmarkStart w:id="387" w:name="_Toc205386965"/>
      <w:bookmarkStart w:id="388" w:name="_Toc205388035"/>
      <w:bookmarkStart w:id="389" w:name="_Toc205446046"/>
      <w:r w:rsidRPr="001751D8">
        <w:rPr>
          <w:color w:val="006B70"/>
        </w:rPr>
        <w:t>Transitions</w:t>
      </w:r>
      <w:bookmarkEnd w:id="387"/>
      <w:bookmarkEnd w:id="388"/>
      <w:bookmarkEnd w:id="389"/>
      <w:r w:rsidRPr="001751D8">
        <w:rPr>
          <w:color w:val="006B70"/>
        </w:rPr>
        <w:t xml:space="preserve"> </w:t>
      </w:r>
    </w:p>
    <w:p w14:paraId="2C02E178" w14:textId="34F817F3" w:rsidR="005C70DF" w:rsidRPr="00603C5C" w:rsidRDefault="005C70DF" w:rsidP="005C70DF">
      <w:r w:rsidRPr="00603C5C">
        <w:t xml:space="preserve">Tower Hamlets has a range of services available to support young people with </w:t>
      </w:r>
      <w:r w:rsidR="610FB3E3" w:rsidRPr="00603C5C">
        <w:t>visual and hearing impairments</w:t>
      </w:r>
      <w:r w:rsidR="00266779">
        <w:t xml:space="preserve"> (</w:t>
      </w:r>
      <w:r w:rsidRPr="00603C5C">
        <w:t xml:space="preserve">including children with </w:t>
      </w:r>
      <w:r w:rsidR="006627BC">
        <w:t>MSIs</w:t>
      </w:r>
      <w:r w:rsidR="00266779">
        <w:t xml:space="preserve">) </w:t>
      </w:r>
      <w:r w:rsidRPr="00603C5C">
        <w:t xml:space="preserve">move from </w:t>
      </w:r>
      <w:r w:rsidR="00266779" w:rsidRPr="00603C5C">
        <w:t>children</w:t>
      </w:r>
      <w:r w:rsidRPr="00603C5C">
        <w:t xml:space="preserve"> to adult services. </w:t>
      </w:r>
    </w:p>
    <w:p w14:paraId="0590833A" w14:textId="0FF08684" w:rsidR="005C70DF" w:rsidRPr="00603C5C" w:rsidRDefault="005C70DF" w:rsidP="005C70DF">
      <w:r w:rsidRPr="00603C5C">
        <w:rPr>
          <w:b/>
          <w:bCs/>
        </w:rPr>
        <w:t>SEND Information, Advice and Support Service (SEND IASS)</w:t>
      </w:r>
      <w:r w:rsidRPr="00603C5C">
        <w:t xml:space="preserve">: SEND IASS provides impartial advice, information, and support to parents and carers of children and young people with SEND, </w:t>
      </w:r>
      <w:r w:rsidR="0F0B6346" w:rsidRPr="00603C5C">
        <w:t>including children with sensory impairment</w:t>
      </w:r>
      <w:r w:rsidRPr="00603C5C">
        <w:t xml:space="preserve">, from birth to age 25. The service covers a range of areas including </w:t>
      </w:r>
      <w:r w:rsidRPr="00603C5C">
        <w:lastRenderedPageBreak/>
        <w:t>education, health, and social care. Support offered includes casework, access to specialist support groups</w:t>
      </w:r>
      <w:r w:rsidR="008B0FAE">
        <w:t xml:space="preserve"> </w:t>
      </w:r>
      <w:r w:rsidRPr="00603C5C">
        <w:t>and guidance on matters such as school admissions, exclusions, and bullying.</w:t>
      </w:r>
    </w:p>
    <w:p w14:paraId="1406F841" w14:textId="62FA0DAE" w:rsidR="005C70DF" w:rsidRPr="00603C5C" w:rsidRDefault="005C70DF" w:rsidP="005C70DF">
      <w:r w:rsidRPr="00603C5C">
        <w:rPr>
          <w:b/>
          <w:bCs/>
        </w:rPr>
        <w:t>Tower Hamlets Transition Support Team:</w:t>
      </w:r>
      <w:r w:rsidRPr="00603C5C">
        <w:t xml:space="preserve"> This team offers targeted support </w:t>
      </w:r>
      <w:r w:rsidR="669B0C7F" w:rsidRPr="00603C5C">
        <w:t xml:space="preserve">for children and </w:t>
      </w:r>
      <w:r w:rsidR="00C47B3B" w:rsidRPr="00603C5C">
        <w:t>young</w:t>
      </w:r>
      <w:r w:rsidR="669B0C7F" w:rsidRPr="00603C5C">
        <w:t xml:space="preserve"> people with sensory impairment </w:t>
      </w:r>
      <w:r w:rsidRPr="00603C5C">
        <w:t xml:space="preserve">during the transition from </w:t>
      </w:r>
      <w:r w:rsidR="00801DE5" w:rsidRPr="00603C5C">
        <w:t>children</w:t>
      </w:r>
      <w:r w:rsidRPr="00603C5C">
        <w:t xml:space="preserve"> to adult services. They provide impartial guidance to help families manage changes in care and education pathways. The team can also assist with school-related issues such as admissions, managed moves, exclusions, and bullying.</w:t>
      </w:r>
    </w:p>
    <w:p w14:paraId="6A6E8138" w14:textId="6B991AB1" w:rsidR="005C70DF" w:rsidRPr="00603C5C" w:rsidRDefault="005C70DF" w:rsidP="005C70DF">
      <w:r w:rsidRPr="00603C5C">
        <w:rPr>
          <w:b/>
          <w:bCs/>
        </w:rPr>
        <w:t>Tower Hamlets Local Offer:</w:t>
      </w:r>
      <w:r w:rsidRPr="00603C5C">
        <w:t xml:space="preserve"> The Local Offer is an online directory that brings together information on services and resources available for children and young people with SEND, including those with hearing </w:t>
      </w:r>
      <w:r w:rsidR="79ABD2D0" w:rsidRPr="00603C5C">
        <w:t xml:space="preserve">and visual </w:t>
      </w:r>
      <w:r w:rsidRPr="00603C5C">
        <w:t>impairments. It includes comprehensive guidance on preparing for adulthood and transitioning to adult services.</w:t>
      </w:r>
    </w:p>
    <w:p w14:paraId="2C60369C" w14:textId="2FFE33DC" w:rsidR="005C70DF" w:rsidRPr="00603C5C" w:rsidRDefault="005C70DF" w:rsidP="005C70DF">
      <w:r w:rsidRPr="00603C5C">
        <w:rPr>
          <w:b/>
          <w:bCs/>
        </w:rPr>
        <w:t>Tower Hamlets Sensory Support Service for Children and Young People:</w:t>
      </w:r>
      <w:r w:rsidRPr="00603C5C">
        <w:t xml:space="preserve"> This specialist service supports children and young people with hearing impairments. While not solely focused on transitions, the team may be able to offer advice and assistance to support children during periods of change, particularly in relation to their sensory needs.</w:t>
      </w:r>
    </w:p>
    <w:p w14:paraId="7D17FBC1" w14:textId="7EE6FE89" w:rsidR="005C70DF" w:rsidRPr="001751D8" w:rsidRDefault="005C70DF" w:rsidP="005C70DF">
      <w:pPr>
        <w:pStyle w:val="Heading3"/>
        <w:rPr>
          <w:color w:val="006B70"/>
        </w:rPr>
      </w:pPr>
      <w:bookmarkStart w:id="390" w:name="_Toc211414030"/>
      <w:bookmarkStart w:id="391" w:name="_Toc211439889"/>
      <w:bookmarkStart w:id="392" w:name="_Toc205386966"/>
      <w:bookmarkStart w:id="393" w:name="_Toc205388036"/>
      <w:bookmarkStart w:id="394" w:name="_Toc205446047"/>
      <w:bookmarkEnd w:id="390"/>
      <w:bookmarkEnd w:id="391"/>
      <w:r w:rsidRPr="001751D8">
        <w:rPr>
          <w:color w:val="006B70"/>
        </w:rPr>
        <w:t>What works (</w:t>
      </w:r>
      <w:r w:rsidR="00462A0A" w:rsidRPr="001751D8">
        <w:rPr>
          <w:color w:val="006B70"/>
        </w:rPr>
        <w:t>evidence-based</w:t>
      </w:r>
      <w:r w:rsidRPr="001751D8">
        <w:rPr>
          <w:color w:val="006B70"/>
        </w:rPr>
        <w:t xml:space="preserve"> practice)</w:t>
      </w:r>
      <w:bookmarkEnd w:id="392"/>
      <w:bookmarkEnd w:id="393"/>
      <w:bookmarkEnd w:id="394"/>
      <w:r w:rsidRPr="001751D8">
        <w:rPr>
          <w:color w:val="006B70"/>
        </w:rPr>
        <w:t xml:space="preserve"> </w:t>
      </w:r>
    </w:p>
    <w:p w14:paraId="1C2225BC" w14:textId="3F4DE679" w:rsidR="005C70DF" w:rsidRPr="005704D2" w:rsidRDefault="005C70DF" w:rsidP="005C70DF">
      <w:pPr>
        <w:pStyle w:val="Heading4"/>
        <w:rPr>
          <w:sz w:val="24"/>
          <w:szCs w:val="28"/>
        </w:rPr>
      </w:pPr>
      <w:r w:rsidRPr="005704D2">
        <w:rPr>
          <w:sz w:val="24"/>
          <w:szCs w:val="28"/>
        </w:rPr>
        <w:t>Hearing impairment</w:t>
      </w:r>
      <w:r w:rsidR="00383443">
        <w:rPr>
          <w:sz w:val="24"/>
          <w:szCs w:val="28"/>
        </w:rPr>
        <w:t xml:space="preserve"> (HI)</w:t>
      </w:r>
    </w:p>
    <w:p w14:paraId="74E6A370" w14:textId="799E6997" w:rsidR="005C70DF" w:rsidRPr="00A867F8" w:rsidRDefault="005C70DF" w:rsidP="005C70DF">
      <w:pPr>
        <w:rPr>
          <w:b/>
          <w:bCs/>
        </w:rPr>
      </w:pPr>
      <w:r w:rsidRPr="005704D2">
        <w:rPr>
          <w:b/>
          <w:bCs/>
        </w:rPr>
        <w:t>Speech and language</w:t>
      </w:r>
      <w:r w:rsidR="00A867F8">
        <w:rPr>
          <w:b/>
          <w:bCs/>
        </w:rPr>
        <w:t xml:space="preserve">: </w:t>
      </w:r>
      <w:r w:rsidRPr="00B44EBF">
        <w:t>Early identification of hearing loss in infants</w:t>
      </w:r>
      <w:r>
        <w:t xml:space="preserve">, </w:t>
      </w:r>
      <w:r w:rsidRPr="00B44EBF">
        <w:t>ideally within the first few months of life</w:t>
      </w:r>
      <w:r>
        <w:t xml:space="preserve">, </w:t>
      </w:r>
      <w:r w:rsidRPr="00B44EBF">
        <w:t xml:space="preserve">enables timely access to intervention services, significantly improving speech, language, and social-emotional development. </w:t>
      </w:r>
      <w:r w:rsidR="00462A0A">
        <w:t xml:space="preserve">Research </w:t>
      </w:r>
      <w:r w:rsidRPr="00B44EBF">
        <w:t xml:space="preserve">consistently </w:t>
      </w:r>
      <w:r w:rsidR="00462A0A">
        <w:t>indicates</w:t>
      </w:r>
      <w:r w:rsidRPr="00B44EBF">
        <w:t xml:space="preserve"> children who receive early intervention demonstrate stronger language skills (spoken and signed)</w:t>
      </w:r>
      <w:r w:rsidR="009439DF">
        <w:t xml:space="preserve"> at key stages</w:t>
      </w:r>
      <w:r w:rsidRPr="00B44EBF">
        <w:t>, compared to those diagnosed later</w:t>
      </w:r>
      <w:r>
        <w:rPr>
          <w:rStyle w:val="EndnoteReference"/>
        </w:rPr>
        <w:endnoteReference w:id="267"/>
      </w:r>
      <w:r w:rsidRPr="00B44EBF">
        <w:t>.</w:t>
      </w:r>
    </w:p>
    <w:p w14:paraId="0CEFA1A6" w14:textId="316D501A" w:rsidR="005C70DF" w:rsidRPr="00A867F8" w:rsidRDefault="005C70DF" w:rsidP="005C70DF">
      <w:pPr>
        <w:rPr>
          <w:b/>
          <w:bCs/>
        </w:rPr>
      </w:pPr>
      <w:r w:rsidRPr="005704D2">
        <w:rPr>
          <w:b/>
          <w:bCs/>
        </w:rPr>
        <w:t>Needs of the parents/caregivers</w:t>
      </w:r>
      <w:r w:rsidR="00A867F8">
        <w:rPr>
          <w:b/>
          <w:bCs/>
        </w:rPr>
        <w:t xml:space="preserve">: </w:t>
      </w:r>
      <w:r w:rsidR="006D4236" w:rsidRPr="00EF0A5A">
        <w:t xml:space="preserve">Research </w:t>
      </w:r>
      <w:r w:rsidR="006D4236" w:rsidRPr="00293C95">
        <w:t>shows that parents of children with hearing loss often find the diagnostic period overwhelming. Two main challenges emerge: uncertainty about what happens after diagnosis and difficulty navigating early intervention services. This underscores the need for clear information, timely guidance, and strong emotional support to help families manage early intervention and support their child’s development</w:t>
      </w:r>
      <w:r>
        <w:rPr>
          <w:rStyle w:val="EndnoteReference"/>
        </w:rPr>
        <w:endnoteReference w:id="268"/>
      </w:r>
      <w:r w:rsidRPr="006021AB">
        <w:t>.</w:t>
      </w:r>
    </w:p>
    <w:p w14:paraId="60190C82" w14:textId="78BC9639" w:rsidR="005C70DF" w:rsidRPr="006021AB" w:rsidRDefault="0031500A" w:rsidP="0031500A">
      <w:r>
        <w:t>Clear, unbiased, and timely information is essential for families of children with hearing loss. They need accurate guidance on the condition, communication options, technology, and services, yet many feel underinformed or receive biased advice, pointing to a need for better professional collaboration. A family-centred approach, built on partnership, respect for values, and mentoring, is important. Regionally tailored guides in multiple formats should be widely available and include peer support, deaf role models, and parent networks, which are often overlooked. Home visits by multidisciplinary teams and opportunities to meet other families can ease emotional strain and improve engagement in early intervention.</w:t>
      </w:r>
      <w:r w:rsidR="005C70DF">
        <w:rPr>
          <w:rStyle w:val="EndnoteReference"/>
        </w:rPr>
        <w:endnoteReference w:id="269"/>
      </w:r>
      <w:r w:rsidR="005C70DF" w:rsidRPr="00747690">
        <w:t>.</w:t>
      </w:r>
    </w:p>
    <w:p w14:paraId="2A70CE24" w14:textId="1F95E0F0" w:rsidR="005C70DF" w:rsidRPr="00A867F8" w:rsidRDefault="005C70DF" w:rsidP="005C70DF">
      <w:pPr>
        <w:rPr>
          <w:b/>
          <w:bCs/>
        </w:rPr>
      </w:pPr>
      <w:r w:rsidRPr="005704D2">
        <w:rPr>
          <w:b/>
          <w:bCs/>
        </w:rPr>
        <w:t>Online education provision</w:t>
      </w:r>
      <w:r w:rsidR="00A867F8">
        <w:rPr>
          <w:b/>
          <w:bCs/>
        </w:rPr>
        <w:t xml:space="preserve">: </w:t>
      </w:r>
      <w:r w:rsidR="00BD4888" w:rsidRPr="00293C95">
        <w:t xml:space="preserve">Online education can be more accessible for some children and young people with hearing loss, but only when </w:t>
      </w:r>
      <w:proofErr w:type="spellStart"/>
      <w:r w:rsidR="00BD4888" w:rsidRPr="00293C95">
        <w:t>well planned</w:t>
      </w:r>
      <w:proofErr w:type="spellEnd"/>
      <w:r w:rsidR="00BD4888" w:rsidRPr="00293C95">
        <w:t xml:space="preserve"> and properly supported. Research during the Covid-19 pandemic suggests that platforms like Zoom are hard to use without tailored help, and visual materials should include captions, high-quality audio, and reliable speech-to-text tools. Because online </w:t>
      </w:r>
      <w:r w:rsidR="00BD4888" w:rsidRPr="00293C95">
        <w:lastRenderedPageBreak/>
        <w:t>learning can also increase social isolation, steps to maintain social connection are essential</w:t>
      </w:r>
      <w:r w:rsidR="00BD4888">
        <w:t xml:space="preserve"> such as providing access to </w:t>
      </w:r>
      <w:r w:rsidR="00B77FF5">
        <w:t>counselling services</w:t>
      </w:r>
      <w:r w:rsidR="00BD4888" w:rsidRPr="00293C95" w:rsidDel="00BD4888">
        <w:t xml:space="preserve"> </w:t>
      </w:r>
      <w:r>
        <w:rPr>
          <w:rStyle w:val="EndnoteReference"/>
        </w:rPr>
        <w:endnoteReference w:id="270"/>
      </w:r>
      <w:r w:rsidRPr="003078B6">
        <w:t>.</w:t>
      </w:r>
    </w:p>
    <w:p w14:paraId="0C2E48F3" w14:textId="573524F2" w:rsidR="00D21A92" w:rsidRDefault="005C70DF" w:rsidP="00C61991">
      <w:r w:rsidRPr="005704D2">
        <w:rPr>
          <w:b/>
          <w:bCs/>
        </w:rPr>
        <w:t>Inclusion in mainstream school</w:t>
      </w:r>
      <w:r w:rsidR="00A867F8">
        <w:t xml:space="preserve">: </w:t>
      </w:r>
      <w:r w:rsidR="00C61991">
        <w:t xml:space="preserve">Research with students who have hearing loss, their parents, and teachers identified key factors affecting inclusion in mainstream schools. The biggest facilitator was the teacher’s role, supporting speech and language, academic progress, and awareness of hearing loss. Supportive staff, involved parents, understanding peers, and student self-advocacy also helped. </w:t>
      </w:r>
      <w:r w:rsidR="008F3BAA">
        <w:t>B</w:t>
      </w:r>
      <w:r w:rsidR="00C61991">
        <w:t xml:space="preserve">arriers included poor teacher preparation, inconsistent use of assistive technology, and an overemphasis on the hearing loss that </w:t>
      </w:r>
      <w:proofErr w:type="gramStart"/>
      <w:r w:rsidR="008F3BAA">
        <w:t>sometimes lowered</w:t>
      </w:r>
      <w:proofErr w:type="gramEnd"/>
      <w:r w:rsidR="00C61991">
        <w:t xml:space="preserve"> expectations. Inclusion depended on coordinated support from families, educators, and peers. The findings s</w:t>
      </w:r>
      <w:r w:rsidR="0083020B">
        <w:t>uggest</w:t>
      </w:r>
      <w:r w:rsidR="00C61991">
        <w:t xml:space="preserve"> that placing a child in a mainstream school isn’t enough, targeted support, awareness, and inclusive attitudes are </w:t>
      </w:r>
      <w:r w:rsidR="008F3BAA">
        <w:t>needed</w:t>
      </w:r>
      <w:r w:rsidR="00C61991">
        <w:t>.</w:t>
      </w:r>
      <w:r w:rsidR="009338AA">
        <w:rPr>
          <w:rStyle w:val="EndnoteReference"/>
        </w:rPr>
        <w:endnoteReference w:id="271"/>
      </w:r>
      <w:r w:rsidR="009338AA" w:rsidRPr="003A2BB8">
        <w:t>.</w:t>
      </w:r>
    </w:p>
    <w:p w14:paraId="7A5C044A" w14:textId="2C7C5DD4" w:rsidR="005F4417" w:rsidRPr="006021AB" w:rsidRDefault="00060E75" w:rsidP="00C61991">
      <w:r w:rsidRPr="00293C95">
        <w:rPr>
          <w:b/>
          <w:bCs/>
        </w:rPr>
        <w:t xml:space="preserve">Role of parents in </w:t>
      </w:r>
      <w:r w:rsidR="00BF009B" w:rsidRPr="00293C95">
        <w:rPr>
          <w:b/>
          <w:bCs/>
        </w:rPr>
        <w:t>child</w:t>
      </w:r>
      <w:r w:rsidR="004A106F">
        <w:rPr>
          <w:b/>
          <w:bCs/>
        </w:rPr>
        <w:t>ren’s</w:t>
      </w:r>
      <w:r w:rsidR="00BF009B" w:rsidRPr="00293C95">
        <w:rPr>
          <w:b/>
          <w:bCs/>
        </w:rPr>
        <w:t xml:space="preserve"> development</w:t>
      </w:r>
      <w:r w:rsidR="004A106F">
        <w:rPr>
          <w:b/>
          <w:bCs/>
        </w:rPr>
        <w:t xml:space="preserve"> of literacy:</w:t>
      </w:r>
      <w:r w:rsidR="00EE3198">
        <w:t xml:space="preserve"> </w:t>
      </w:r>
      <w:r w:rsidR="00EE3198" w:rsidRPr="00EE3198">
        <w:t>At-home sign language training can be effective for parents and carers of children with hearing loss. Early, consistent access to an accessible language</w:t>
      </w:r>
      <w:r w:rsidR="00EE3198">
        <w:t xml:space="preserve">, </w:t>
      </w:r>
      <w:r w:rsidR="00EE3198" w:rsidRPr="00EE3198">
        <w:t>signed or spoken</w:t>
      </w:r>
      <w:r w:rsidR="00EE3198">
        <w:t xml:space="preserve"> can be important</w:t>
      </w:r>
      <w:r w:rsidR="00EE3198" w:rsidRPr="00EE3198">
        <w:t xml:space="preserve"> for development, and early exposure to sign language can boost English literacy in deaf children. Parent-led programs show promise for improving children’s language skills, but more research is needed to understand best practices and long-term outcomes</w:t>
      </w:r>
      <w:r w:rsidR="00EC6269">
        <w:rPr>
          <w:rStyle w:val="EndnoteReference"/>
        </w:rPr>
        <w:endnoteReference w:id="272"/>
      </w:r>
      <w:r w:rsidR="00EE3198" w:rsidRPr="00EE3198">
        <w:t>.</w:t>
      </w:r>
    </w:p>
    <w:p w14:paraId="4E0E787E" w14:textId="6F6E2F08" w:rsidR="005C70DF" w:rsidRPr="0023020E" w:rsidRDefault="005C70DF" w:rsidP="005C70DF">
      <w:pPr>
        <w:pStyle w:val="Heading4"/>
        <w:rPr>
          <w:sz w:val="24"/>
          <w:szCs w:val="28"/>
        </w:rPr>
      </w:pPr>
      <w:r w:rsidRPr="0023020E">
        <w:rPr>
          <w:sz w:val="24"/>
          <w:szCs w:val="28"/>
        </w:rPr>
        <w:t>Visual impairment</w:t>
      </w:r>
      <w:r w:rsidR="002227A0">
        <w:rPr>
          <w:sz w:val="24"/>
          <w:szCs w:val="28"/>
        </w:rPr>
        <w:t xml:space="preserve"> (VI) </w:t>
      </w:r>
    </w:p>
    <w:p w14:paraId="1316519F" w14:textId="56663670" w:rsidR="005C70DF" w:rsidRDefault="00784B30" w:rsidP="005C70DF">
      <w:r w:rsidRPr="00293C95">
        <w:rPr>
          <w:b/>
          <w:bCs/>
        </w:rPr>
        <w:t>Role of parents and caregivers:</w:t>
      </w:r>
      <w:r>
        <w:t xml:space="preserve"> </w:t>
      </w:r>
      <w:r w:rsidRPr="00784B30">
        <w:t>Recent studies show that the severity of vision loss can affect children’s social, emotional, and cognitive development, but these effects are not fixed. Supportive parenting, effective communication, and early intervention can offset challenges. When parents adapt their behaviour</w:t>
      </w:r>
      <w:r>
        <w:t xml:space="preserve">, </w:t>
      </w:r>
      <w:r w:rsidRPr="00784B30">
        <w:t>by offering rich interaction and adjusting communication</w:t>
      </w:r>
      <w:r>
        <w:t xml:space="preserve">, </w:t>
      </w:r>
      <w:r w:rsidRPr="00784B30">
        <w:t xml:space="preserve">children with visual impairment can develop language and social skills </w:t>
      </w:r>
      <w:proofErr w:type="gramStart"/>
      <w:r w:rsidRPr="00784B30">
        <w:t>similar to</w:t>
      </w:r>
      <w:proofErr w:type="gramEnd"/>
      <w:r w:rsidRPr="00784B30">
        <w:t xml:space="preserve"> sighted peers. The quality of caregiver interactions is especially important in shaping outcomes.</w:t>
      </w:r>
      <w:r w:rsidR="005C70DF">
        <w:rPr>
          <w:rStyle w:val="EndnoteReference"/>
        </w:rPr>
        <w:endnoteReference w:id="273"/>
      </w:r>
      <w:r w:rsidR="005C70DF">
        <w:t xml:space="preserve">. </w:t>
      </w:r>
      <w:r w:rsidR="00216791" w:rsidRPr="00216791">
        <w:t xml:space="preserve">Research has </w:t>
      </w:r>
      <w:r w:rsidR="004F7E82">
        <w:t xml:space="preserve">also shown that </w:t>
      </w:r>
      <w:r w:rsidR="00216791" w:rsidRPr="00216791">
        <w:t>traditionally focused on communication and motor skills in children with visual impairment, but newer perspectives stress the importance of environment, personal interests, confidence, and social participation. Studies show that supportive settings, respect for a child’s preferences, and a strong sense of self can improve outcomes</w:t>
      </w:r>
      <w:r w:rsidR="00D102EC">
        <w:rPr>
          <w:rStyle w:val="EndnoteReference"/>
        </w:rPr>
        <w:endnoteReference w:id="274"/>
      </w:r>
      <w:r w:rsidR="00216791" w:rsidRPr="00216791">
        <w:t>. Although severe VI can delay language and cognitive development, early home-based interventions can lessen these effects and reduce parental stress. While vision loss isn’t reversible, supportive parenting, early intervention, and rich social interaction help children thrive. Broadening the focus beyond skill-building to include well-being, environment, and participation offers a more effective, holistic approach.</w:t>
      </w:r>
      <w:r w:rsidR="005C70DF">
        <w:rPr>
          <w:rStyle w:val="EndnoteReference"/>
        </w:rPr>
        <w:endnoteReference w:id="275"/>
      </w:r>
      <w:r w:rsidR="005C70DF">
        <w:t>.</w:t>
      </w:r>
    </w:p>
    <w:p w14:paraId="2B1827E9" w14:textId="59C4BAC7" w:rsidR="00DC683C" w:rsidRPr="00E750DF" w:rsidRDefault="00EC49DD" w:rsidP="005C70DF">
      <w:pPr>
        <w:rPr>
          <w:b/>
          <w:bCs/>
          <w:sz w:val="18"/>
          <w:szCs w:val="18"/>
        </w:rPr>
      </w:pPr>
      <w:r w:rsidRPr="007B2D04">
        <w:rPr>
          <w:b/>
          <w:bCs/>
          <w:sz w:val="18"/>
          <w:szCs w:val="18"/>
        </w:rPr>
        <w:t xml:space="preserve">Figure </w:t>
      </w:r>
      <w:r w:rsidR="007B2D04" w:rsidRPr="007B2D04">
        <w:rPr>
          <w:b/>
          <w:bCs/>
          <w:sz w:val="18"/>
          <w:szCs w:val="18"/>
        </w:rPr>
        <w:t>10.2</w:t>
      </w:r>
      <w:r w:rsidRPr="007B2D04">
        <w:rPr>
          <w:b/>
          <w:bCs/>
          <w:sz w:val="18"/>
          <w:szCs w:val="18"/>
        </w:rPr>
        <w:t>:</w:t>
      </w:r>
      <w:r w:rsidRPr="00E750DF">
        <w:rPr>
          <w:b/>
          <w:bCs/>
          <w:sz w:val="18"/>
          <w:szCs w:val="18"/>
        </w:rPr>
        <w:t xml:space="preserve"> Example strategies for </w:t>
      </w:r>
      <w:r w:rsidR="0056365F" w:rsidRPr="00E750DF">
        <w:rPr>
          <w:b/>
          <w:bCs/>
          <w:sz w:val="18"/>
          <w:szCs w:val="18"/>
        </w:rPr>
        <w:t>parents to help support their child</w:t>
      </w:r>
      <w:r w:rsidR="000F4A4D" w:rsidRPr="00E750DF">
        <w:rPr>
          <w:b/>
          <w:bCs/>
          <w:sz w:val="18"/>
          <w:szCs w:val="18"/>
        </w:rPr>
        <w:t xml:space="preserve"> with visual impairment</w:t>
      </w:r>
    </w:p>
    <w:p w14:paraId="730E9013" w14:textId="615D9F50" w:rsidR="0056365F" w:rsidRDefault="00465CB4" w:rsidP="005C70DF">
      <w:r>
        <w:rPr>
          <w:noProof/>
        </w:rPr>
        <w:lastRenderedPageBreak/>
        <w:t xml:space="preserve">  </w:t>
      </w:r>
      <w:r w:rsidR="0056365F">
        <w:rPr>
          <w:noProof/>
        </w:rPr>
        <w:drawing>
          <wp:inline distT="0" distB="0" distL="0" distR="0" wp14:anchorId="6665F7CE" wp14:editId="2D647E68">
            <wp:extent cx="5734685" cy="2560955"/>
            <wp:effectExtent l="0" t="0" r="0" b="0"/>
            <wp:docPr id="2097435705" name="Picture 51" descr="Visual understanding can be supported by having lots of very familiar things to look at. it helps if objects and toys can be held or positioned close to your child so they can look at each part and not be confused by a cluttered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435705" name="Picture 51" descr="Visual understanding can be supported by having lots of very familiar things to look at. it helps if objects and toys can be held or positioned close to your child so they can look at each part and not be confused by a cluttered background.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4685" cy="2560955"/>
                    </a:xfrm>
                    <a:prstGeom prst="rect">
                      <a:avLst/>
                    </a:prstGeom>
                    <a:noFill/>
                    <a:ln>
                      <a:noFill/>
                    </a:ln>
                  </pic:spPr>
                </pic:pic>
              </a:graphicData>
            </a:graphic>
          </wp:inline>
        </w:drawing>
      </w:r>
    </w:p>
    <w:p w14:paraId="7B8253EC" w14:textId="7A58BFA8" w:rsidR="006964CC" w:rsidRPr="007B2D04" w:rsidRDefault="006964CC" w:rsidP="00E750DF">
      <w:pPr>
        <w:jc w:val="right"/>
        <w:rPr>
          <w:b/>
          <w:bCs/>
          <w:sz w:val="16"/>
          <w:szCs w:val="16"/>
        </w:rPr>
      </w:pPr>
      <w:r w:rsidRPr="007B2D04">
        <w:rPr>
          <w:b/>
          <w:bCs/>
          <w:sz w:val="16"/>
          <w:szCs w:val="16"/>
        </w:rPr>
        <w:t>Source: RNIB Information about vision impairment: Guide for parents</w:t>
      </w:r>
      <w:r w:rsidRPr="007B2D04">
        <w:rPr>
          <w:rStyle w:val="EndnoteReference"/>
          <w:b/>
          <w:bCs/>
          <w:sz w:val="16"/>
          <w:szCs w:val="16"/>
        </w:rPr>
        <w:endnoteReference w:id="276"/>
      </w:r>
    </w:p>
    <w:p w14:paraId="4CCB0AE3" w14:textId="2A434C11" w:rsidR="006964CC" w:rsidRPr="00A867F8" w:rsidRDefault="006964CC" w:rsidP="005C70DF">
      <w:pPr>
        <w:rPr>
          <w:b/>
          <w:bCs/>
        </w:rPr>
      </w:pPr>
      <w:r w:rsidRPr="005C79FD">
        <w:rPr>
          <w:b/>
          <w:bCs/>
        </w:rPr>
        <w:t>School support</w:t>
      </w:r>
      <w:r w:rsidR="00A867F8">
        <w:rPr>
          <w:b/>
          <w:bCs/>
        </w:rPr>
        <w:t xml:space="preserve">: </w:t>
      </w:r>
      <w:r w:rsidR="00A048C3" w:rsidRPr="00A048C3">
        <w:t xml:space="preserve">Research shows that strong support from family and friends can reduce emotional difficulties and improve mental well-being in children with </w:t>
      </w:r>
      <w:r w:rsidR="009F3DBE">
        <w:t>VI</w:t>
      </w:r>
      <w:r w:rsidR="00A048C3" w:rsidRPr="00293C95">
        <w:rPr>
          <w:b/>
          <w:bCs/>
        </w:rPr>
        <w:t xml:space="preserve">. </w:t>
      </w:r>
      <w:r w:rsidR="00C7408B" w:rsidRPr="00293C95">
        <w:t xml:space="preserve">Although Tower Hamlets does not have a specialist school for VI, research suggests that </w:t>
      </w:r>
      <w:r w:rsidR="00C7408B" w:rsidRPr="00C7408B">
        <w:t>s</w:t>
      </w:r>
      <w:r w:rsidR="00A048C3" w:rsidRPr="00C7408B">
        <w:t>chool type (mainstream vs. special education) may influence mental health outcomes, though findings vary across</w:t>
      </w:r>
      <w:r w:rsidR="00A048C3" w:rsidRPr="00A048C3">
        <w:t xml:space="preserve"> countries, likely due to differences in education systems, support structures</w:t>
      </w:r>
      <w:r w:rsidR="00D047E6">
        <w:t xml:space="preserve"> </w:t>
      </w:r>
      <w:r w:rsidR="00A048C3" w:rsidRPr="00A048C3">
        <w:t>and severity of impairments. Parents and teachers play a key role in identifying early signs of emotional distress, particularly in safe and supportive environments. Whil</w:t>
      </w:r>
      <w:r w:rsidR="00D047E6">
        <w:t>st</w:t>
      </w:r>
      <w:r w:rsidR="00A048C3" w:rsidRPr="00A048C3">
        <w:t xml:space="preserve"> </w:t>
      </w:r>
      <w:r w:rsidR="00D047E6">
        <w:t xml:space="preserve">VI </w:t>
      </w:r>
      <w:r w:rsidR="00A048C3" w:rsidRPr="00A048C3">
        <w:t>can increase the risk of mental health challenges, early intervention, targeted support and inclusive social experiences can help protect and promote emotional well-being</w:t>
      </w:r>
      <w:r>
        <w:rPr>
          <w:rStyle w:val="EndnoteReference"/>
        </w:rPr>
        <w:endnoteReference w:id="277"/>
      </w:r>
      <w:r>
        <w:t>.</w:t>
      </w:r>
    </w:p>
    <w:p w14:paraId="246D8015" w14:textId="414200EA" w:rsidR="006964CC" w:rsidRPr="009A5258" w:rsidRDefault="006964CC" w:rsidP="005C70DF">
      <w:pPr>
        <w:pStyle w:val="Heading4"/>
        <w:rPr>
          <w:sz w:val="24"/>
          <w:szCs w:val="28"/>
        </w:rPr>
      </w:pPr>
      <w:r w:rsidRPr="009A5258">
        <w:rPr>
          <w:sz w:val="24"/>
          <w:szCs w:val="28"/>
        </w:rPr>
        <w:t>Multisensory impairment</w:t>
      </w:r>
      <w:r w:rsidR="00A048C3">
        <w:rPr>
          <w:sz w:val="24"/>
          <w:szCs w:val="28"/>
        </w:rPr>
        <w:t xml:space="preserve"> (MS</w:t>
      </w:r>
      <w:r w:rsidR="002627B4">
        <w:rPr>
          <w:sz w:val="24"/>
          <w:szCs w:val="28"/>
        </w:rPr>
        <w:t>I</w:t>
      </w:r>
      <w:r w:rsidR="00A048C3">
        <w:rPr>
          <w:sz w:val="24"/>
          <w:szCs w:val="28"/>
        </w:rPr>
        <w:t>)</w:t>
      </w:r>
    </w:p>
    <w:p w14:paraId="17D76266" w14:textId="72C9F8CC" w:rsidR="006964CC" w:rsidRDefault="006964CC" w:rsidP="005C70DF">
      <w:r w:rsidRPr="0054402C">
        <w:t>Before a child with MSI begins nursery, primary, or secondary school, local authorities should demonstrate proactive planning to ensure inclusive and supportive education. This includes familiarisation visits for the child and family, staff-wide training on MSI</w:t>
      </w:r>
      <w:r w:rsidR="00600BA2">
        <w:t xml:space="preserve"> </w:t>
      </w:r>
      <w:r w:rsidRPr="0054402C">
        <w:t>and input from specialist teachers and communication support professionals such as sign language interpreters. Schools should also involve therapists and deliver a tailored curriculum that supports sensory development, communication, mobility, and independence.</w:t>
      </w:r>
      <w:r>
        <w:t xml:space="preserve"> </w:t>
      </w:r>
      <w:r w:rsidRPr="0054402C">
        <w:t xml:space="preserve">The learning environment should be physically accessible and equipped with appropriate aids and technology. </w:t>
      </w:r>
      <w:r w:rsidR="00AF2B6A">
        <w:t>Due to the complexity associated with</w:t>
      </w:r>
      <w:r w:rsidRPr="0054402C">
        <w:t xml:space="preserve"> MSI, it</w:t>
      </w:r>
      <w:r w:rsidR="00AF2B6A">
        <w:t xml:space="preserve"> is </w:t>
      </w:r>
      <w:r w:rsidR="004C15D6">
        <w:t>necessary</w:t>
      </w:r>
      <w:r w:rsidRPr="0054402C">
        <w:t xml:space="preserve"> to involve a range of professionals</w:t>
      </w:r>
      <w:r>
        <w:t xml:space="preserve">, </w:t>
      </w:r>
      <w:r w:rsidRPr="0054402C">
        <w:t>such as physiotherapists, occupational therapists, speech and language therapists, and specialist teachers</w:t>
      </w:r>
      <w:r>
        <w:t xml:space="preserve">, </w:t>
      </w:r>
      <w:r w:rsidRPr="0054402C">
        <w:t>to advise on suitable tools and strategies. Trying different equipment can help identify what works best.</w:t>
      </w:r>
      <w:r>
        <w:t xml:space="preserve"> </w:t>
      </w:r>
      <w:r w:rsidRPr="0054402C">
        <w:t>Under equality law, schools must take “reasonable steps” to provide auxiliary aids to reduce barriers for pupils</w:t>
      </w:r>
      <w:r w:rsidR="000A02AE">
        <w:t xml:space="preserve"> with disabilities</w:t>
      </w:r>
      <w:r w:rsidRPr="0054402C">
        <w:t>. These aids may include communication support (e.g., interpreters or note-takers), assistive technology (e.g., videophones, hearing systems), or human assistance.</w:t>
      </w:r>
      <w:r w:rsidR="004C7EC7">
        <w:t xml:space="preserve"> Which in turn would also be useful for children with </w:t>
      </w:r>
      <w:r w:rsidR="000A47C2">
        <w:t>isolated VI or HI.</w:t>
      </w:r>
      <w:r w:rsidRPr="0054402C">
        <w:t xml:space="preserve"> These efforts are essential to promoting full participation and learning for students with MSI in mainstream education</w:t>
      </w:r>
      <w:r>
        <w:rPr>
          <w:rStyle w:val="EndnoteReference"/>
        </w:rPr>
        <w:endnoteReference w:id="278"/>
      </w:r>
      <w:r w:rsidRPr="0054402C">
        <w:t>.</w:t>
      </w:r>
    </w:p>
    <w:p w14:paraId="6533CFAF" w14:textId="538C5B3A" w:rsidR="008A16F3" w:rsidRPr="0054402C" w:rsidRDefault="00BB6389" w:rsidP="005C70DF">
      <w:pPr>
        <w:rPr>
          <w:rFonts w:eastAsia="Calibri"/>
        </w:rPr>
      </w:pPr>
      <w:r w:rsidRPr="00BB6389">
        <w:t xml:space="preserve">Tower Hamlets shows an interest in building knowledge in this area. For example, one stakeholder interviewed for this JSNA carried out a small, unpublished study exploring the relationship between </w:t>
      </w:r>
      <w:r w:rsidRPr="00BB6389">
        <w:lastRenderedPageBreak/>
        <w:t>mobility support and the development of symbolic communication in children with MSI. The study suggested that children with MSI who do not learn to walk are less likely to develop symbolic communication</w:t>
      </w:r>
      <w:r w:rsidR="7EA09AF4" w:rsidRPr="713EAE42">
        <w:rPr>
          <w:rFonts w:eastAsia="Segoe UI"/>
        </w:rPr>
        <w:t>.</w:t>
      </w:r>
    </w:p>
    <w:p w14:paraId="76F2BC83" w14:textId="781110E8" w:rsidR="005C70DF" w:rsidRPr="001751D8" w:rsidRDefault="005C70DF" w:rsidP="005C70DF">
      <w:pPr>
        <w:pStyle w:val="Heading3"/>
        <w:rPr>
          <w:color w:val="006B70"/>
        </w:rPr>
      </w:pPr>
      <w:bookmarkStart w:id="395" w:name="_Toc205386967"/>
      <w:bookmarkStart w:id="396" w:name="_Toc205388037"/>
      <w:bookmarkStart w:id="397" w:name="_Toc205446048"/>
      <w:r w:rsidRPr="001751D8">
        <w:rPr>
          <w:color w:val="006B70"/>
        </w:rPr>
        <w:t>Support services</w:t>
      </w:r>
      <w:bookmarkEnd w:id="395"/>
      <w:bookmarkEnd w:id="396"/>
      <w:bookmarkEnd w:id="397"/>
      <w:r w:rsidRPr="001751D8">
        <w:rPr>
          <w:color w:val="006B70"/>
        </w:rPr>
        <w:t xml:space="preserve"> </w:t>
      </w:r>
    </w:p>
    <w:p w14:paraId="5936EA45" w14:textId="19E07DB4" w:rsidR="005C70DF" w:rsidRPr="00CA748E" w:rsidRDefault="005C70DF" w:rsidP="005C70DF">
      <w:pPr>
        <w:pStyle w:val="Heading4"/>
        <w:rPr>
          <w:sz w:val="24"/>
          <w:szCs w:val="28"/>
        </w:rPr>
      </w:pPr>
      <w:r w:rsidRPr="00CA748E">
        <w:rPr>
          <w:sz w:val="24"/>
          <w:szCs w:val="28"/>
        </w:rPr>
        <w:t>Hearing impairment</w:t>
      </w:r>
      <w:r w:rsidR="00D124AE">
        <w:rPr>
          <w:sz w:val="24"/>
          <w:szCs w:val="28"/>
        </w:rPr>
        <w:t xml:space="preserve"> (HI)</w:t>
      </w:r>
    </w:p>
    <w:p w14:paraId="2AC63C7F" w14:textId="490C3A6C" w:rsidR="005C70DF" w:rsidRDefault="005C70DF" w:rsidP="005C70DF">
      <w:pPr>
        <w:jc w:val="left"/>
      </w:pPr>
      <w:r w:rsidRPr="00522D1B">
        <w:t xml:space="preserve">Support for children with hearing </w:t>
      </w:r>
      <w:r w:rsidR="00D124AE">
        <w:t>HIs</w:t>
      </w:r>
      <w:r w:rsidRPr="00522D1B">
        <w:t xml:space="preserve"> in Tower Hamlets is available through the Sensory Support Service, the Deaf Support Base at St Paul’s Way Trust School, and the Tower Hamlets Deaf Children’s Society. These services provide specialist teaching, audiological support, and family support networks.</w:t>
      </w:r>
    </w:p>
    <w:p w14:paraId="120BAF67" w14:textId="14C50EFC" w:rsidR="005C70DF" w:rsidRPr="00522D1B" w:rsidRDefault="005C70DF" w:rsidP="005C70DF">
      <w:pPr>
        <w:jc w:val="left"/>
      </w:pPr>
      <w:r w:rsidRPr="002E21B4">
        <w:rPr>
          <w:b/>
          <w:bCs/>
        </w:rPr>
        <w:t xml:space="preserve">Speech and Language </w:t>
      </w:r>
      <w:r>
        <w:rPr>
          <w:b/>
          <w:bCs/>
        </w:rPr>
        <w:t xml:space="preserve">Therapy and Occupational Therapy </w:t>
      </w:r>
      <w:r w:rsidRPr="002E21B4">
        <w:rPr>
          <w:b/>
          <w:bCs/>
        </w:rPr>
        <w:t>service</w:t>
      </w:r>
      <w:r>
        <w:t xml:space="preserve">: </w:t>
      </w:r>
      <w:r w:rsidRPr="002D635E">
        <w:t>the local speech and language therapy team delivers tailored, bilingual interventions, offers family support sessions and BSL classes, and works closely with multi-agency professionals to improve outcomes and reduce language deprivation</w:t>
      </w:r>
      <w:r w:rsidR="0037652F">
        <w:t>.</w:t>
      </w:r>
    </w:p>
    <w:p w14:paraId="7F319415" w14:textId="587C7688" w:rsidR="005C70DF" w:rsidRPr="00F7452C" w:rsidRDefault="005C70DF" w:rsidP="005C70DF">
      <w:pPr>
        <w:jc w:val="left"/>
        <w:rPr>
          <w:b/>
          <w:bCs/>
        </w:rPr>
      </w:pPr>
      <w:r w:rsidRPr="00C724E7">
        <w:rPr>
          <w:b/>
          <w:bCs/>
        </w:rPr>
        <w:t xml:space="preserve">Deaf Support Base </w:t>
      </w:r>
      <w:r>
        <w:rPr>
          <w:b/>
          <w:bCs/>
        </w:rPr>
        <w:t xml:space="preserve">(DSB) </w:t>
      </w:r>
      <w:r w:rsidRPr="00C724E7">
        <w:rPr>
          <w:b/>
          <w:bCs/>
        </w:rPr>
        <w:t>at St Paul’s Way Trust School</w:t>
      </w:r>
      <w:r w:rsidR="00F7452C">
        <w:rPr>
          <w:b/>
          <w:bCs/>
        </w:rPr>
        <w:t xml:space="preserve">: </w:t>
      </w:r>
      <w:r>
        <w:t>A s</w:t>
      </w:r>
      <w:r w:rsidRPr="00824950">
        <w:t>pecialist provision for deaf students, offering integrated support within a mainstream secondary school</w:t>
      </w:r>
      <w:r>
        <w:t xml:space="preserve">, </w:t>
      </w:r>
      <w:r w:rsidRPr="00824950">
        <w:t xml:space="preserve">the only one of its kind in Tower Hamlets. The DSB also offers regular sessions with </w:t>
      </w:r>
      <w:r w:rsidR="00870AF2">
        <w:t>SLTs</w:t>
      </w:r>
      <w:r w:rsidR="00CE58ED">
        <w:t>,</w:t>
      </w:r>
      <w:r w:rsidRPr="00824950">
        <w:t xml:space="preserve"> Healthy Minds workshops, and BSL classes. Ongoing collaboration with Hackney Ark audiologists and the Tower Hamlets Peripatetic Team ensures specialist support is consistently available.</w:t>
      </w:r>
    </w:p>
    <w:p w14:paraId="390CE9E3" w14:textId="4C14CEF1" w:rsidR="005C70DF" w:rsidRPr="00CE58ED" w:rsidRDefault="005C70DF" w:rsidP="005C70DF">
      <w:pPr>
        <w:jc w:val="left"/>
        <w:rPr>
          <w:b/>
          <w:bCs/>
        </w:rPr>
      </w:pPr>
      <w:r w:rsidRPr="00C724E7">
        <w:rPr>
          <w:b/>
          <w:bCs/>
        </w:rPr>
        <w:t>Tower Hamlets Deaf Children’s Society</w:t>
      </w:r>
      <w:r w:rsidR="00CE58ED">
        <w:rPr>
          <w:b/>
          <w:bCs/>
        </w:rPr>
        <w:t xml:space="preserve">: </w:t>
      </w:r>
      <w:r>
        <w:t>R</w:t>
      </w:r>
      <w:r w:rsidRPr="00642F9B">
        <w:t xml:space="preserve">un by a volunteer committee of parents of deaf children, </w:t>
      </w:r>
      <w:r w:rsidR="00060B5B">
        <w:t xml:space="preserve">this society </w:t>
      </w:r>
      <w:r w:rsidRPr="00642F9B">
        <w:t>provides a free support network for deaf children, young people (ages 0–18)</w:t>
      </w:r>
      <w:r w:rsidR="007F565C">
        <w:t xml:space="preserve"> </w:t>
      </w:r>
      <w:r w:rsidRPr="00642F9B">
        <w:t>and their families in Tower Hamlets. Activities such as summer trips, seasonal events, coffee mornings, and parent workshops are held throughout the year (term time only) to strengthen the local deaf community. The society also advocates for appropriate services relating to childhood deafness, hearing loss, hearing aids, and cochlear implants. Membership is free.</w:t>
      </w:r>
    </w:p>
    <w:p w14:paraId="1804D27D" w14:textId="31CF9824" w:rsidR="005C70DF" w:rsidRDefault="005C70DF" w:rsidP="005C70DF">
      <w:pPr>
        <w:jc w:val="left"/>
      </w:pPr>
      <w:r w:rsidRPr="00880BD0">
        <w:rPr>
          <w:b/>
          <w:bCs/>
        </w:rPr>
        <w:t>Ready Steady Go</w:t>
      </w:r>
      <w:r w:rsidR="00CE58ED">
        <w:rPr>
          <w:b/>
          <w:bCs/>
        </w:rPr>
        <w:t xml:space="preserve">: </w:t>
      </w:r>
      <w:r>
        <w:t>A</w:t>
      </w:r>
      <w:r w:rsidRPr="00880BD0">
        <w:t xml:space="preserve"> support group for parents of preschool-aged deaf and partially hearing children. The sessions use a </w:t>
      </w:r>
      <w:r>
        <w:t>‘</w:t>
      </w:r>
      <w:r w:rsidRPr="00880BD0">
        <w:t>Total Communication Approach</w:t>
      </w:r>
      <w:r>
        <w:t>’</w:t>
      </w:r>
      <w:r w:rsidRPr="00880BD0">
        <w:t>, incorporating various communication methods to help children develop effective understanding and communication skills.</w:t>
      </w:r>
    </w:p>
    <w:p w14:paraId="014C0773" w14:textId="0CB0A385" w:rsidR="002C6886" w:rsidRPr="00293C95" w:rsidRDefault="002C6886" w:rsidP="005C70DF">
      <w:pPr>
        <w:jc w:val="left"/>
      </w:pPr>
      <w:r w:rsidRPr="002C6886">
        <w:rPr>
          <w:b/>
          <w:bCs/>
        </w:rPr>
        <w:t xml:space="preserve">Short Break Services: </w:t>
      </w:r>
      <w:r w:rsidRPr="00293C95">
        <w:t xml:space="preserve">Provide opportunities for children and young people with disabilities to take part in fun and inclusive activities, build independence, and make friends, while giving parents and carers a break from their caring responsibilities. Under the </w:t>
      </w:r>
      <w:r w:rsidRPr="00293C95">
        <w:rPr>
          <w:i/>
          <w:iCs/>
        </w:rPr>
        <w:t>Children Act 1989</w:t>
      </w:r>
      <w:r w:rsidRPr="00293C95">
        <w:t xml:space="preserve"> and the </w:t>
      </w:r>
      <w:r w:rsidRPr="00293C95">
        <w:rPr>
          <w:i/>
          <w:iCs/>
        </w:rPr>
        <w:t>Breaks for Carers of Disabled Children Regulations (2010)</w:t>
      </w:r>
      <w:r w:rsidRPr="00293C95">
        <w:t>, local authorities must offer such support. In Tower Hamlets, short breaks are available for children aged 5 and over with ASD, complex health needs, sensory impairments, or other disabilities.</w:t>
      </w:r>
    </w:p>
    <w:p w14:paraId="0C0BBEA9" w14:textId="609AD439" w:rsidR="005C70DF" w:rsidRPr="00CA748E" w:rsidRDefault="005C70DF" w:rsidP="005C70DF">
      <w:pPr>
        <w:pStyle w:val="Heading4"/>
        <w:rPr>
          <w:sz w:val="24"/>
          <w:szCs w:val="28"/>
        </w:rPr>
      </w:pPr>
      <w:r w:rsidRPr="00CA748E">
        <w:rPr>
          <w:sz w:val="24"/>
          <w:szCs w:val="28"/>
        </w:rPr>
        <w:t>Visual impairment</w:t>
      </w:r>
      <w:r w:rsidR="006575A1">
        <w:rPr>
          <w:sz w:val="24"/>
          <w:szCs w:val="28"/>
        </w:rPr>
        <w:t xml:space="preserve"> (VI) </w:t>
      </w:r>
    </w:p>
    <w:p w14:paraId="7E1327AF" w14:textId="454528D3" w:rsidR="005C70DF" w:rsidRPr="00DD7289" w:rsidRDefault="005C70DF" w:rsidP="005C70DF">
      <w:pPr>
        <w:jc w:val="left"/>
        <w:rPr>
          <w:b/>
          <w:bCs/>
        </w:rPr>
      </w:pPr>
      <w:r w:rsidRPr="003D12BE">
        <w:rPr>
          <w:b/>
          <w:bCs/>
        </w:rPr>
        <w:t>Sensory Support Service</w:t>
      </w:r>
      <w:r w:rsidR="00DD7289">
        <w:rPr>
          <w:b/>
          <w:bCs/>
        </w:rPr>
        <w:t xml:space="preserve">: </w:t>
      </w:r>
      <w:r>
        <w:t>I</w:t>
      </w:r>
      <w:r w:rsidRPr="00522D1B">
        <w:t xml:space="preserve">ncludes specialist teachers for </w:t>
      </w:r>
      <w:r w:rsidR="004B7F01">
        <w:t xml:space="preserve">VI </w:t>
      </w:r>
      <w:r w:rsidRPr="00522D1B">
        <w:t>children, including those with additional needs. The service runs DOVES, a playgroup for</w:t>
      </w:r>
      <w:r w:rsidR="00A61521">
        <w:t xml:space="preserve"> VI </w:t>
      </w:r>
      <w:r w:rsidRPr="00522D1B">
        <w:t xml:space="preserve">children aged 0-4 and their families, providing early intervention and social opportunities. </w:t>
      </w:r>
    </w:p>
    <w:p w14:paraId="018A5C84" w14:textId="006260C0" w:rsidR="005C70DF" w:rsidRPr="008158F9" w:rsidRDefault="005C70DF" w:rsidP="005C70DF">
      <w:pPr>
        <w:jc w:val="left"/>
        <w:rPr>
          <w:b/>
          <w:bCs/>
        </w:rPr>
      </w:pPr>
      <w:r>
        <w:rPr>
          <w:b/>
          <w:bCs/>
        </w:rPr>
        <w:lastRenderedPageBreak/>
        <w:t>Visual Impairment Team</w:t>
      </w:r>
      <w:r w:rsidR="008158F9">
        <w:rPr>
          <w:b/>
          <w:bCs/>
        </w:rPr>
        <w:t xml:space="preserve">: </w:t>
      </w:r>
      <w:r>
        <w:t>A</w:t>
      </w:r>
      <w:r w:rsidRPr="00A61B27">
        <w:t xml:space="preserve"> team of specialist teachers of the </w:t>
      </w:r>
      <w:r w:rsidR="00A61521">
        <w:t>VI</w:t>
      </w:r>
      <w:r w:rsidRPr="00A61B27">
        <w:t>, providing support for babies, children, and young people aged 0</w:t>
      </w:r>
      <w:r w:rsidR="00E835C3">
        <w:t>-</w:t>
      </w:r>
      <w:r>
        <w:t>25</w:t>
      </w:r>
      <w:r w:rsidRPr="00A61B27">
        <w:t xml:space="preserve"> with diagnosed </w:t>
      </w:r>
      <w:r w:rsidR="004B7F01">
        <w:t>VIs</w:t>
      </w:r>
      <w:r w:rsidRPr="00A61B27">
        <w:t xml:space="preserve">, including those with additional and complex needs. </w:t>
      </w:r>
      <w:r>
        <w:t xml:space="preserve">The </w:t>
      </w:r>
      <w:r w:rsidRPr="00A61B27">
        <w:t>team also includes professionals such as bilingual instructors and a Braille instructor</w:t>
      </w:r>
      <w:r>
        <w:t xml:space="preserve">. </w:t>
      </w:r>
      <w:r w:rsidRPr="00730E55">
        <w:t xml:space="preserve">Services include Braille instruction, </w:t>
      </w:r>
      <w:proofErr w:type="spellStart"/>
      <w:r w:rsidRPr="00730E55">
        <w:t>habilitation</w:t>
      </w:r>
      <w:proofErr w:type="spellEnd"/>
      <w:r w:rsidRPr="00730E55">
        <w:t xml:space="preserve"> (independent living and mobility training), and support for families, schools, and settings.</w:t>
      </w:r>
      <w:r>
        <w:t xml:space="preserve"> The team is funded via a direct skills grant contributed to only by mainstream schools.</w:t>
      </w:r>
    </w:p>
    <w:p w14:paraId="340BD2D3" w14:textId="3859CA8C" w:rsidR="005C70DF" w:rsidRPr="00CA748E" w:rsidRDefault="005C70DF" w:rsidP="005C70DF">
      <w:pPr>
        <w:pStyle w:val="Heading4"/>
        <w:rPr>
          <w:sz w:val="24"/>
          <w:szCs w:val="28"/>
        </w:rPr>
      </w:pPr>
      <w:r w:rsidRPr="00CA748E">
        <w:rPr>
          <w:sz w:val="24"/>
          <w:szCs w:val="28"/>
        </w:rPr>
        <w:t>General</w:t>
      </w:r>
      <w:r w:rsidR="00BA2BAD">
        <w:rPr>
          <w:sz w:val="24"/>
          <w:szCs w:val="28"/>
        </w:rPr>
        <w:t xml:space="preserve"> and </w:t>
      </w:r>
      <w:r w:rsidRPr="00CA748E">
        <w:rPr>
          <w:sz w:val="24"/>
          <w:szCs w:val="28"/>
        </w:rPr>
        <w:t>combined support</w:t>
      </w:r>
    </w:p>
    <w:p w14:paraId="5877C3CF" w14:textId="678F0A0B" w:rsidR="005C70DF" w:rsidRPr="005E7357" w:rsidRDefault="005C70DF" w:rsidP="005C70DF">
      <w:pPr>
        <w:rPr>
          <w:b/>
          <w:bCs/>
        </w:rPr>
      </w:pPr>
      <w:r w:rsidRPr="00507C64">
        <w:rPr>
          <w:b/>
          <w:bCs/>
        </w:rPr>
        <w:t>Tower Hamlets Education Wellbeing Service</w:t>
      </w:r>
      <w:r w:rsidR="005E7357">
        <w:rPr>
          <w:b/>
          <w:bCs/>
        </w:rPr>
        <w:t xml:space="preserve">: </w:t>
      </w:r>
      <w:r w:rsidRPr="00522D1B">
        <w:t>An NHS service working alongside Step Forward and Docklands Outreach, to support the emotional and mental wellbeing of children and young people aged 4</w:t>
      </w:r>
      <w:r w:rsidR="00E835C3">
        <w:t>-1</w:t>
      </w:r>
      <w:r w:rsidRPr="00522D1B">
        <w:t xml:space="preserve">9. Through evidence-based self-help, parent and </w:t>
      </w:r>
      <w:proofErr w:type="spellStart"/>
      <w:r w:rsidRPr="00522D1B">
        <w:t>carer</w:t>
      </w:r>
      <w:proofErr w:type="spellEnd"/>
      <w:r w:rsidRPr="00522D1B">
        <w:t xml:space="preserve"> guidance, and a Whole School Approach, they aim to give young people a voice and ensure their wellbeing is prioritised across the school community.</w:t>
      </w:r>
    </w:p>
    <w:p w14:paraId="5D59354F" w14:textId="5681AF8B" w:rsidR="005C70DF" w:rsidRPr="0000339A" w:rsidRDefault="005C70DF" w:rsidP="005C70DF">
      <w:pPr>
        <w:rPr>
          <w:b/>
          <w:bCs/>
        </w:rPr>
      </w:pPr>
      <w:r w:rsidRPr="00522D1B">
        <w:rPr>
          <w:b/>
          <w:bCs/>
        </w:rPr>
        <w:t>The Sight and Hearing Service</w:t>
      </w:r>
      <w:r w:rsidR="0000339A">
        <w:rPr>
          <w:b/>
          <w:bCs/>
        </w:rPr>
        <w:t xml:space="preserve">: </w:t>
      </w:r>
      <w:r w:rsidR="001836D7">
        <w:t>This service supports</w:t>
      </w:r>
      <w:r w:rsidRPr="00522D1B">
        <w:t xml:space="preserve"> adults in Tower Hamlets who are blind, partially sighted, deaf, hard of hearing, or deafblind, aiming to promote independence, equality, and inclusion through personalised, needs-led services. Services include information and advice, assessments related to sensory loss, provision of specialist equipment, vision rehabilitation, mobility and travel training, braille classes, IT advice, and connections to local groups and NHS services. As part of the Reablement Service, </w:t>
      </w:r>
      <w:r>
        <w:t>they</w:t>
      </w:r>
      <w:r w:rsidRPr="00522D1B">
        <w:t xml:space="preserve"> also provide additional support from Reablement Officers when needed. To access the service, individuals must be over 18 and live in Tower Hamlets.</w:t>
      </w:r>
    </w:p>
    <w:p w14:paraId="51AC928D" w14:textId="7EBAC793" w:rsidR="005C70DF" w:rsidRPr="003D040A" w:rsidRDefault="005C70DF" w:rsidP="005C70DF">
      <w:pPr>
        <w:jc w:val="left"/>
        <w:rPr>
          <w:b/>
          <w:bCs/>
        </w:rPr>
      </w:pPr>
      <w:r w:rsidRPr="009E5C5E">
        <w:rPr>
          <w:b/>
          <w:bCs/>
        </w:rPr>
        <w:t>The Educational Psychology Service</w:t>
      </w:r>
      <w:r w:rsidR="003D040A">
        <w:rPr>
          <w:b/>
          <w:bCs/>
        </w:rPr>
        <w:t xml:space="preserve">: </w:t>
      </w:r>
      <w:r w:rsidRPr="001B107A">
        <w:t>The Educational Psychology Service (EPS), part of the Education and Partnerships Directorate, supports the development, learning, and emotional wellbeing of children and young people aged 0</w:t>
      </w:r>
      <w:r w:rsidR="007F5461">
        <w:t>-</w:t>
      </w:r>
      <w:r w:rsidRPr="001B107A">
        <w:t>25 in Tower Hamlets.</w:t>
      </w:r>
      <w:r w:rsidRPr="009E5C5E">
        <w:t xml:space="preserve"> They also offer staff training, parent support, and strategic input to schools and the local authority. Every state-funded school in the borough has a link E</w:t>
      </w:r>
      <w:r w:rsidR="00D1609B">
        <w:t>ducational Psychologist</w:t>
      </w:r>
      <w:r w:rsidRPr="009E5C5E">
        <w:t>, and a drop-in service is available through SENDIASS for parents and young people aged 16</w:t>
      </w:r>
      <w:r w:rsidR="00D1609B">
        <w:t>-</w:t>
      </w:r>
      <w:r w:rsidRPr="009E5C5E">
        <w:t>25.</w:t>
      </w:r>
    </w:p>
    <w:p w14:paraId="2AD0CE45" w14:textId="20D6F339" w:rsidR="005C70DF" w:rsidRPr="00E35060" w:rsidRDefault="005C70DF" w:rsidP="005C70DF">
      <w:pPr>
        <w:rPr>
          <w:b/>
          <w:bCs/>
        </w:rPr>
      </w:pPr>
      <w:r w:rsidRPr="009426D7">
        <w:rPr>
          <w:b/>
          <w:bCs/>
        </w:rPr>
        <w:t>SEND Information, Advice and Support Service (SEND IASS)</w:t>
      </w:r>
      <w:r w:rsidR="00E35060">
        <w:rPr>
          <w:b/>
          <w:bCs/>
        </w:rPr>
        <w:t xml:space="preserve">: </w:t>
      </w:r>
      <w:r>
        <w:t>SEND IASS provides impartial advice, information, and support to parents and carers of children and young people with</w:t>
      </w:r>
      <w:r w:rsidR="00616195">
        <w:t xml:space="preserve"> SEND</w:t>
      </w:r>
      <w:r>
        <w:t xml:space="preserve">, from birth to age 25. </w:t>
      </w:r>
      <w:r w:rsidR="003D570A">
        <w:t>People can self</w:t>
      </w:r>
      <w:r w:rsidR="00865E14">
        <w:t>-</w:t>
      </w:r>
      <w:r w:rsidR="003D570A">
        <w:t xml:space="preserve">refer to this service. </w:t>
      </w:r>
      <w:r>
        <w:t>The service covers a range of areas including education, health, and social care. Support offered includes casework, access to specialist support groups, and guidance on matters such as school admissions, exclusions, and bullying.</w:t>
      </w:r>
    </w:p>
    <w:p w14:paraId="2785F7EC" w14:textId="77777777" w:rsidR="005C70DF" w:rsidRPr="00B7138F" w:rsidRDefault="005C70DF" w:rsidP="005C70DF">
      <w:pPr>
        <w:pStyle w:val="Heading3"/>
        <w:rPr>
          <w:color w:val="006B70"/>
        </w:rPr>
      </w:pPr>
      <w:r w:rsidRPr="00B7138F">
        <w:rPr>
          <w:rFonts w:ascii="Times New Roman" w:hAnsi="Times New Roman" w:cs="Times New Roman"/>
          <w:color w:val="006B70"/>
        </w:rPr>
        <w:t xml:space="preserve"> </w:t>
      </w:r>
      <w:bookmarkStart w:id="398" w:name="_Toc205386968"/>
      <w:bookmarkStart w:id="399" w:name="_Toc205388038"/>
      <w:bookmarkStart w:id="400" w:name="_Toc205446049"/>
      <w:r w:rsidRPr="00B7138F">
        <w:rPr>
          <w:color w:val="006B70"/>
        </w:rPr>
        <w:t>Gaps</w:t>
      </w:r>
      <w:bookmarkEnd w:id="398"/>
      <w:bookmarkEnd w:id="399"/>
      <w:bookmarkEnd w:id="400"/>
      <w:r w:rsidRPr="00B7138F">
        <w:rPr>
          <w:color w:val="006B70"/>
        </w:rPr>
        <w:t xml:space="preserve"> </w:t>
      </w:r>
    </w:p>
    <w:p w14:paraId="2CCCCCD6" w14:textId="08063386" w:rsidR="00145450" w:rsidRDefault="005C70DF" w:rsidP="005C70DF">
      <w:r>
        <w:t xml:space="preserve">There are currently </w:t>
      </w:r>
      <w:r w:rsidR="00B42460">
        <w:t>several</w:t>
      </w:r>
      <w:r>
        <w:t xml:space="preserve"> gaps in the provision of services and support for children and young people with sensory impairments as identified through the literature and interviews with stakeholders</w:t>
      </w:r>
      <w:r w:rsidR="00143DB1">
        <w:t>:</w:t>
      </w:r>
    </w:p>
    <w:p w14:paraId="03E2BFB0" w14:textId="779947FB" w:rsidR="00A14D10" w:rsidRDefault="000534B2" w:rsidP="00BF63ED">
      <w:pPr>
        <w:pStyle w:val="ListParagraph"/>
        <w:numPr>
          <w:ilvl w:val="0"/>
          <w:numId w:val="49"/>
        </w:numPr>
      </w:pPr>
      <w:r w:rsidRPr="00D733D9">
        <w:rPr>
          <w:b/>
          <w:bCs/>
        </w:rPr>
        <w:t>Funding misalignment:</w:t>
      </w:r>
      <w:r w:rsidR="00A867F8">
        <w:t xml:space="preserve"> </w:t>
      </w:r>
      <w:r w:rsidR="00A14D10" w:rsidRPr="00A14D10">
        <w:t xml:space="preserve">There is a mismatch between the funding special schools receive and the expectation they provide specialist support for children with sensory impairments (deafness, </w:t>
      </w:r>
      <w:r w:rsidR="008B43E2">
        <w:t>VI</w:t>
      </w:r>
      <w:r w:rsidR="00A14D10" w:rsidRPr="00A14D10">
        <w:t>, or MSI). Many schools struggle to employ staff with mandatory qualifications in these areas. Existing support</w:t>
      </w:r>
      <w:r w:rsidR="00A14D10">
        <w:t xml:space="preserve"> </w:t>
      </w:r>
      <w:r w:rsidR="00A14D10" w:rsidRPr="00A14D10">
        <w:t xml:space="preserve">is </w:t>
      </w:r>
      <w:r w:rsidR="00DD7289" w:rsidRPr="00A14D10">
        <w:t>overstretched and</w:t>
      </w:r>
      <w:r w:rsidR="00A14D10" w:rsidRPr="00A14D10">
        <w:t xml:space="preserve"> no longer reflects the </w:t>
      </w:r>
      <w:r w:rsidR="008441BC">
        <w:t>rising</w:t>
      </w:r>
      <w:r w:rsidR="00A14D10" w:rsidRPr="00A14D10">
        <w:t xml:space="preserve"> complexity and volume of need.</w:t>
      </w:r>
    </w:p>
    <w:p w14:paraId="593E86E5" w14:textId="4E6B4D30" w:rsidR="005C70DF" w:rsidRDefault="00D12D97" w:rsidP="00BF63ED">
      <w:pPr>
        <w:pStyle w:val="ListParagraph"/>
        <w:numPr>
          <w:ilvl w:val="0"/>
          <w:numId w:val="49"/>
        </w:numPr>
      </w:pPr>
      <w:r w:rsidRPr="00D12D97">
        <w:rPr>
          <w:b/>
          <w:bCs/>
        </w:rPr>
        <w:lastRenderedPageBreak/>
        <w:t>Funding gap:</w:t>
      </w:r>
      <w:r>
        <w:t xml:space="preserve"> </w:t>
      </w:r>
      <w:r w:rsidR="00D756E5">
        <w:t>Stakeholder interviews highlight that t</w:t>
      </w:r>
      <w:r w:rsidR="005C70DF">
        <w:t xml:space="preserve">he vision impairment team </w:t>
      </w:r>
      <w:r w:rsidR="008441BC">
        <w:t xml:space="preserve">is solely </w:t>
      </w:r>
      <w:r w:rsidR="005C70DF">
        <w:t>funded by mainstream schools</w:t>
      </w:r>
      <w:r w:rsidR="009637A8">
        <w:t xml:space="preserve">, creating </w:t>
      </w:r>
      <w:r w:rsidR="005C70DF">
        <w:t xml:space="preserve">a significant funding gap for children in special schools. </w:t>
      </w:r>
      <w:r w:rsidR="009637A8">
        <w:t>As a result, support</w:t>
      </w:r>
      <w:r w:rsidR="005C70DF">
        <w:t xml:space="preserve"> in these schools is often limited</w:t>
      </w:r>
      <w:r w:rsidR="009637A8">
        <w:t xml:space="preserve">, </w:t>
      </w:r>
      <w:r w:rsidR="005C70DF">
        <w:t xml:space="preserve">underfunded and is provided informally or </w:t>
      </w:r>
      <w:r w:rsidR="009637A8">
        <w:t>on</w:t>
      </w:r>
      <w:r w:rsidR="005C70DF">
        <w:t xml:space="preserve"> a minimal basis. </w:t>
      </w:r>
      <w:r w:rsidR="00135746" w:rsidRPr="00135746">
        <w:t>Services such as qualified MSI teachers are rarely available due to limited financial resources.</w:t>
      </w:r>
    </w:p>
    <w:p w14:paraId="4EC9F594" w14:textId="057CFE96" w:rsidR="005C70DF" w:rsidRDefault="00BE07AB" w:rsidP="00BF63ED">
      <w:pPr>
        <w:pStyle w:val="ListParagraph"/>
        <w:numPr>
          <w:ilvl w:val="0"/>
          <w:numId w:val="49"/>
        </w:numPr>
      </w:pPr>
      <w:r w:rsidRPr="00D733D9">
        <w:rPr>
          <w:b/>
          <w:bCs/>
        </w:rPr>
        <w:t>Resource</w:t>
      </w:r>
      <w:r w:rsidR="00A67643" w:rsidRPr="00D733D9">
        <w:rPr>
          <w:b/>
          <w:bCs/>
        </w:rPr>
        <w:t xml:space="preserve"> provision:</w:t>
      </w:r>
      <w:r w:rsidR="00A67643">
        <w:t xml:space="preserve"> </w:t>
      </w:r>
      <w:r w:rsidR="00351108">
        <w:t>Insights from stakeholder interviews suggested that c</w:t>
      </w:r>
      <w:r w:rsidR="005B7FCB" w:rsidRPr="005B7FCB">
        <w:t>hildren with MSI are underrepresented in the allocation of</w:t>
      </w:r>
      <w:r w:rsidR="006B28D9">
        <w:t xml:space="preserve"> </w:t>
      </w:r>
      <w:r w:rsidR="005B7FCB" w:rsidRPr="005B7FCB">
        <w:t>EHCPs, especially in special schools</w:t>
      </w:r>
      <w:r w:rsidR="005B7FCB">
        <w:t xml:space="preserve">. </w:t>
      </w:r>
      <w:r w:rsidR="005C70DF">
        <w:t xml:space="preserve">There is </w:t>
      </w:r>
      <w:r w:rsidR="005B7FCB">
        <w:t xml:space="preserve">currently </w:t>
      </w:r>
      <w:r w:rsidR="005C70DF">
        <w:t>only one qualified</w:t>
      </w:r>
      <w:r w:rsidR="005B7FCB">
        <w:t xml:space="preserve"> MSI</w:t>
      </w:r>
      <w:r w:rsidR="005C70DF">
        <w:t xml:space="preserve"> teacher in Tower Hamlets</w:t>
      </w:r>
      <w:r w:rsidR="005B7FCB">
        <w:t>, a level of provision</w:t>
      </w:r>
      <w:r w:rsidR="005C70DF">
        <w:t xml:space="preserve"> which is not </w:t>
      </w:r>
      <w:r w:rsidR="00A33A01">
        <w:t xml:space="preserve">seen as </w:t>
      </w:r>
      <w:r w:rsidR="00DD7289">
        <w:t>sustainable,</w:t>
      </w:r>
      <w:r w:rsidR="005C70DF">
        <w:t xml:space="preserve"> or representative of th</w:t>
      </w:r>
      <w:r w:rsidR="0018128E">
        <w:t>e actual need.</w:t>
      </w:r>
      <w:r w:rsidR="005C70DF">
        <w:t xml:space="preserve"> </w:t>
      </w:r>
    </w:p>
    <w:p w14:paraId="6B4E747F" w14:textId="3868CAA9" w:rsidR="005C70DF" w:rsidRDefault="00A67643" w:rsidP="00BF63ED">
      <w:pPr>
        <w:pStyle w:val="ListParagraph"/>
        <w:numPr>
          <w:ilvl w:val="0"/>
          <w:numId w:val="49"/>
        </w:numPr>
      </w:pPr>
      <w:r w:rsidRPr="00D733D9">
        <w:rPr>
          <w:b/>
          <w:bCs/>
        </w:rPr>
        <w:t>Language difficulties</w:t>
      </w:r>
      <w:r>
        <w:t xml:space="preserve">: </w:t>
      </w:r>
      <w:r w:rsidR="007A1DDA" w:rsidRPr="007A1DDA">
        <w:t>Many families in Tower Hamlets encounter language barriers that can limit access to services and support. Even when interpreters are available, these may not always be fully utilised, sometimes leading to misunderstandings during appointments. Limited awareness of entitlements, particularly regarding specialist services and EHCPs, can further complicate access</w:t>
      </w:r>
      <w:r w:rsidR="005C70DF">
        <w:t>.</w:t>
      </w:r>
    </w:p>
    <w:p w14:paraId="3BD81603" w14:textId="4A7C59C8" w:rsidR="005C70DF" w:rsidRDefault="00314928" w:rsidP="00BF63ED">
      <w:pPr>
        <w:pStyle w:val="ListParagraph"/>
        <w:numPr>
          <w:ilvl w:val="0"/>
          <w:numId w:val="49"/>
        </w:numPr>
      </w:pPr>
      <w:r w:rsidRPr="00D733D9">
        <w:rPr>
          <w:b/>
          <w:bCs/>
        </w:rPr>
        <w:t>Limited BSL offering:</w:t>
      </w:r>
      <w:r>
        <w:t xml:space="preserve"> </w:t>
      </w:r>
      <w:r w:rsidR="00E25F53" w:rsidRPr="00E25F53">
        <w:t>Although there is strong interest in BSL classes, current provision is limited. Demand exceeds supply, and for those who can access classes, there is insufficient capacity to build or maintain fluency. Presently, provision consists of a single free session, which is inadequate for ongoing development.</w:t>
      </w:r>
    </w:p>
    <w:p w14:paraId="261255E8" w14:textId="2D91069F" w:rsidR="00961350" w:rsidRDefault="00155395" w:rsidP="00BF63ED">
      <w:pPr>
        <w:pStyle w:val="ListParagraph"/>
        <w:numPr>
          <w:ilvl w:val="0"/>
          <w:numId w:val="49"/>
        </w:numPr>
      </w:pPr>
      <w:r w:rsidRPr="00D733D9">
        <w:rPr>
          <w:b/>
          <w:bCs/>
        </w:rPr>
        <w:t>Condition focused approach:</w:t>
      </w:r>
      <w:r>
        <w:t xml:space="preserve"> </w:t>
      </w:r>
      <w:r w:rsidR="00961350" w:rsidRPr="00961350">
        <w:t xml:space="preserve">An increased focus on autism in recent years may be overshadowing the identification of other conditions, such as </w:t>
      </w:r>
      <w:r w:rsidR="00D124AE">
        <w:t>HIs</w:t>
      </w:r>
      <w:r w:rsidR="00961350" w:rsidRPr="00961350">
        <w:t xml:space="preserve">. </w:t>
      </w:r>
      <w:proofErr w:type="gramStart"/>
      <w:r w:rsidR="00597CEA" w:rsidRPr="00961350">
        <w:t>This raise</w:t>
      </w:r>
      <w:r w:rsidR="00A537BD">
        <w:t>s</w:t>
      </w:r>
      <w:proofErr w:type="gramEnd"/>
      <w:r w:rsidR="00A537BD">
        <w:t xml:space="preserve"> </w:t>
      </w:r>
      <w:r w:rsidR="00961350" w:rsidRPr="00961350">
        <w:t>concerns that hearing loss may go undetected</w:t>
      </w:r>
      <w:r w:rsidR="00597CEA">
        <w:t xml:space="preserve">. Given the progressive nature of hearing </w:t>
      </w:r>
      <w:r w:rsidR="00A537BD">
        <w:t xml:space="preserve">loss, </w:t>
      </w:r>
      <w:r w:rsidR="00A537BD" w:rsidRPr="00961350">
        <w:t>early</w:t>
      </w:r>
      <w:r w:rsidR="00597CEA" w:rsidRPr="00F605A9">
        <w:t xml:space="preserve"> detection remains critical.</w:t>
      </w:r>
    </w:p>
    <w:p w14:paraId="6BD13DE4" w14:textId="77777777" w:rsidR="005C70DF" w:rsidRPr="00B7138F" w:rsidRDefault="005C70DF" w:rsidP="005C70DF">
      <w:pPr>
        <w:pStyle w:val="Heading3"/>
        <w:rPr>
          <w:color w:val="006B70"/>
        </w:rPr>
      </w:pPr>
      <w:bookmarkStart w:id="401" w:name="_Toc205386969"/>
      <w:bookmarkStart w:id="402" w:name="_Toc205388039"/>
      <w:bookmarkStart w:id="403" w:name="_Toc205446050"/>
      <w:r w:rsidRPr="00B7138F">
        <w:rPr>
          <w:color w:val="006B70"/>
        </w:rPr>
        <w:t>Recommendations</w:t>
      </w:r>
      <w:bookmarkEnd w:id="401"/>
      <w:bookmarkEnd w:id="402"/>
      <w:bookmarkEnd w:id="403"/>
      <w:r w:rsidRPr="00B7138F">
        <w:rPr>
          <w:color w:val="006B70"/>
        </w:rPr>
        <w:t xml:space="preserve">   </w:t>
      </w:r>
    </w:p>
    <w:p w14:paraId="1A4B82B5" w14:textId="33F8C30C" w:rsidR="00EE76B5" w:rsidRDefault="00EE76B5" w:rsidP="00EE76B5">
      <w:r w:rsidRPr="00EE76B5">
        <w:t xml:space="preserve">The following recommendations have been identified to address key challenges, build on existing strengths, and improve outcomes for children and young people with </w:t>
      </w:r>
      <w:r>
        <w:t xml:space="preserve">sensory impairments </w:t>
      </w:r>
      <w:r w:rsidRPr="00EE76B5">
        <w:t>in Tower Hamlet</w:t>
      </w:r>
      <w:r>
        <w:t>s:</w:t>
      </w:r>
    </w:p>
    <w:p w14:paraId="16F67162" w14:textId="55222753" w:rsidR="00AF5C60" w:rsidRDefault="00A54CCD" w:rsidP="00BF63ED">
      <w:pPr>
        <w:pStyle w:val="ListParagraph"/>
        <w:numPr>
          <w:ilvl w:val="0"/>
          <w:numId w:val="55"/>
        </w:numPr>
      </w:pPr>
      <w:r w:rsidRPr="00B42460">
        <w:rPr>
          <w:b/>
          <w:bCs/>
        </w:rPr>
        <w:t>British Sign Language (BSL) provision</w:t>
      </w:r>
      <w:r w:rsidR="00A23E5F" w:rsidRPr="00B42460">
        <w:rPr>
          <w:b/>
          <w:bCs/>
          <w:i/>
          <w:iCs/>
        </w:rPr>
        <w:t>:</w:t>
      </w:r>
      <w:r w:rsidR="00A23E5F" w:rsidRPr="00B42460">
        <w:rPr>
          <w:i/>
          <w:iCs/>
        </w:rPr>
        <w:t xml:space="preserve"> </w:t>
      </w:r>
      <w:r w:rsidR="00AF5C60" w:rsidRPr="00AF5C60">
        <w:t>Increase the availability and frequency of BSL classes, ensuring sustained access for families, including those from non-English-speaking backgrounds.</w:t>
      </w:r>
      <w:r w:rsidR="007E6BF3">
        <w:t xml:space="preserve"> </w:t>
      </w:r>
      <w:r w:rsidR="00AF5C60" w:rsidRPr="00AF5C60">
        <w:t>Provision should move beyond one-off sessions to structured, progressive learning opportunities that support long-term language development and communication within the home.</w:t>
      </w:r>
    </w:p>
    <w:p w14:paraId="1F7DEA40" w14:textId="6D469AD4" w:rsidR="00FF76AF" w:rsidRDefault="00A54CCD" w:rsidP="00BF63ED">
      <w:pPr>
        <w:pStyle w:val="ListParagraph"/>
        <w:numPr>
          <w:ilvl w:val="0"/>
          <w:numId w:val="55"/>
        </w:numPr>
      </w:pPr>
      <w:r w:rsidRPr="00B42460">
        <w:rPr>
          <w:b/>
          <w:bCs/>
        </w:rPr>
        <w:t>Accessible information at diagnosis:</w:t>
      </w:r>
      <w:r w:rsidR="006C3D5E" w:rsidRPr="00B42460">
        <w:rPr>
          <w:i/>
          <w:iCs/>
        </w:rPr>
        <w:t xml:space="preserve"> </w:t>
      </w:r>
      <w:r w:rsidR="008D2C7A" w:rsidRPr="008D2C7A">
        <w:t>Provide timely, clear, and emotionally supportive information at the point of diagnosis. This should include multi-format guidance (e.g. written, video, translated) and connect families with peer support networks, deaf role models, and information on interpreting rights. Materials should be culturally sensitive and tailored to varying literacy levels.</w:t>
      </w:r>
    </w:p>
    <w:p w14:paraId="05959138" w14:textId="02E7660C" w:rsidR="00B75C2F" w:rsidRDefault="00FF76AF">
      <w:pPr>
        <w:pStyle w:val="ListParagraph"/>
        <w:numPr>
          <w:ilvl w:val="0"/>
          <w:numId w:val="55"/>
        </w:numPr>
      </w:pPr>
      <w:r w:rsidRPr="00B75C2F">
        <w:rPr>
          <w:b/>
          <w:bCs/>
        </w:rPr>
        <w:t xml:space="preserve">Cross-sector </w:t>
      </w:r>
      <w:r w:rsidR="00B75C2F" w:rsidRPr="00B75C2F">
        <w:rPr>
          <w:b/>
          <w:bCs/>
        </w:rPr>
        <w:t xml:space="preserve">and multidisciplinary teams: </w:t>
      </w:r>
      <w:r w:rsidR="00B75C2F" w:rsidRPr="00293C95">
        <w:t xml:space="preserve">Strengthen collaboration between education, health, and social care through formal MDT structures. MDTs should include Qualified Teachers of the Deaf and Visually Impaired, Educational Psychologists, Speech and Language </w:t>
      </w:r>
      <w:r w:rsidR="00B75C2F" w:rsidRPr="00293C95">
        <w:lastRenderedPageBreak/>
        <w:t>Therapists, Occupational Therapists, Sensory Support Workers, and relevant health professionals such as Paediatric Audiologists and Ophthalmologists. These teams should work jointly with SENCOs and family support practitioners to provide coordinated assessment and intervention planning.</w:t>
      </w:r>
    </w:p>
    <w:p w14:paraId="2DB01E9D" w14:textId="70E93D1C" w:rsidR="005C70DF" w:rsidRDefault="00FF76AF">
      <w:pPr>
        <w:pStyle w:val="ListParagraph"/>
        <w:numPr>
          <w:ilvl w:val="0"/>
          <w:numId w:val="55"/>
        </w:numPr>
      </w:pPr>
      <w:r w:rsidRPr="00B75C2F">
        <w:rPr>
          <w:b/>
          <w:bCs/>
        </w:rPr>
        <w:t>Strengthen frontline staff training</w:t>
      </w:r>
      <w:r w:rsidR="006C3D5E" w:rsidRPr="00B75C2F">
        <w:rPr>
          <w:b/>
          <w:bCs/>
          <w:i/>
          <w:iCs/>
        </w:rPr>
        <w:t>:</w:t>
      </w:r>
      <w:r w:rsidR="006C3D5E" w:rsidRPr="00B75C2F">
        <w:rPr>
          <w:i/>
          <w:iCs/>
        </w:rPr>
        <w:t xml:space="preserve"> </w:t>
      </w:r>
      <w:r w:rsidR="003B6C28" w:rsidRPr="003B6C28">
        <w:t>Ensure all frontline staff</w:t>
      </w:r>
      <w:r w:rsidR="00423553">
        <w:t xml:space="preserve">, </w:t>
      </w:r>
      <w:r w:rsidR="003B6C28" w:rsidRPr="003B6C28">
        <w:t>including health visitors, school nurses, early years practitioners, and social workers</w:t>
      </w:r>
      <w:r w:rsidR="00423553">
        <w:t xml:space="preserve">, </w:t>
      </w:r>
      <w:r w:rsidR="003B6C28" w:rsidRPr="003B6C28">
        <w:t>receive training on hearing, visual, and multisensory impairments. Training should equip staff to identify early signs of sensory needs and to support families in accessing specialist services.</w:t>
      </w:r>
    </w:p>
    <w:p w14:paraId="5B6042D2" w14:textId="64A2C8FC" w:rsidR="00BF0A00" w:rsidRPr="00B42460" w:rsidRDefault="00122ED2">
      <w:pPr>
        <w:pStyle w:val="ListParagraph"/>
        <w:numPr>
          <w:ilvl w:val="0"/>
          <w:numId w:val="55"/>
        </w:numPr>
        <w:rPr>
          <w:b/>
          <w:bCs/>
        </w:rPr>
      </w:pPr>
      <w:r w:rsidRPr="00BF0A00">
        <w:rPr>
          <w:b/>
          <w:bCs/>
        </w:rPr>
        <w:t xml:space="preserve">Specialist pathways: </w:t>
      </w:r>
      <w:r w:rsidR="00BF0A00" w:rsidRPr="00293C95">
        <w:t>Develop clear pathways for children and young people with sensory impairments</w:t>
      </w:r>
      <w:r w:rsidR="00BF0A00">
        <w:t>,</w:t>
      </w:r>
      <w:r w:rsidR="00BF0A00" w:rsidRPr="00293C95">
        <w:t xml:space="preserve"> including those who are deaf, have visual impairments (VI), or multi-sensory impairments (MSI). Pathways should outline referral routes, assessment processes, and transition support across early years, school, and post-16 education, ensuring equitable access to specialist teaching, rehabilitation, and assistive technology.</w:t>
      </w:r>
    </w:p>
    <w:p w14:paraId="0BACA614" w14:textId="5D044806" w:rsidR="00A03EBE" w:rsidRDefault="00AB3FF3">
      <w:pPr>
        <w:pStyle w:val="ListParagraph"/>
        <w:numPr>
          <w:ilvl w:val="0"/>
          <w:numId w:val="55"/>
        </w:numPr>
      </w:pPr>
      <w:r w:rsidRPr="00A03EBE">
        <w:rPr>
          <w:b/>
          <w:bCs/>
        </w:rPr>
        <w:t>Equitable funding:</w:t>
      </w:r>
      <w:r>
        <w:t xml:space="preserve"> </w:t>
      </w:r>
      <w:r w:rsidR="00A03EBE" w:rsidRPr="00A03EBE">
        <w:t>Review the current allocation of high-needs and specialist SEND funding to ensure it reflects the prevalence and complexity of sensory impairments in Tower Hamlets. While core funding structures are statutory, the local area partnership can influence how resources are prioritised within existing budgets and advocate regionally for fairer funding models that recognise sensory needs.</w:t>
      </w:r>
    </w:p>
    <w:p w14:paraId="7DCE97A1" w14:textId="57D19EFB" w:rsidR="00CC1AE1" w:rsidRDefault="00AB3FF3">
      <w:pPr>
        <w:pStyle w:val="ListParagraph"/>
        <w:numPr>
          <w:ilvl w:val="0"/>
          <w:numId w:val="55"/>
        </w:numPr>
      </w:pPr>
      <w:r w:rsidRPr="004D2153">
        <w:rPr>
          <w:b/>
          <w:bCs/>
        </w:rPr>
        <w:t>Expand support provision:</w:t>
      </w:r>
      <w:r>
        <w:t xml:space="preserve"> </w:t>
      </w:r>
      <w:r w:rsidR="004D2153" w:rsidRPr="004D2153">
        <w:rPr>
          <w:b/>
          <w:bCs/>
        </w:rPr>
        <w:t>Qualified Teachers of Multi-Sensory Impairments (QTMSI):</w:t>
      </w:r>
      <w:r w:rsidR="004D2153" w:rsidRPr="004D2153">
        <w:t xml:space="preserve"> Introduce or expand access to QTMSIs</w:t>
      </w:r>
      <w:r w:rsidR="00B90E90">
        <w:t xml:space="preserve">, </w:t>
      </w:r>
      <w:r w:rsidR="004D2153" w:rsidRPr="004D2153">
        <w:t>specialist teachers trained to support children and young people with combined hearing and vision loss. This expertise is distinct from Qualified Teachers of the Deaf (</w:t>
      </w:r>
      <w:proofErr w:type="spellStart"/>
      <w:r w:rsidR="004D2153" w:rsidRPr="004D2153">
        <w:t>QToD</w:t>
      </w:r>
      <w:proofErr w:type="spellEnd"/>
      <w:r w:rsidR="004D2153" w:rsidRPr="004D2153">
        <w:t>) and Qualified Teachers of the Visually Impaired (QTVI), and is particularly important for ensuring appropriate assessment, environmental adaptation, and communication strategies for those with complex sensory needs.</w:t>
      </w:r>
    </w:p>
    <w:p w14:paraId="11E6246A" w14:textId="68A1ABF8" w:rsidR="0001746B" w:rsidRDefault="0001746B">
      <w:pPr>
        <w:pStyle w:val="ListParagraph"/>
        <w:numPr>
          <w:ilvl w:val="0"/>
          <w:numId w:val="55"/>
        </w:numPr>
      </w:pPr>
      <w:r w:rsidRPr="004D2153">
        <w:rPr>
          <w:b/>
          <w:bCs/>
        </w:rPr>
        <w:t>School readiness</w:t>
      </w:r>
      <w:r>
        <w:t xml:space="preserve">: </w:t>
      </w:r>
      <w:r w:rsidR="00F33ABC" w:rsidRPr="00F33ABC">
        <w:t xml:space="preserve">Support schools to prepare for the inclusion of children with MSI by offering familiarisation visits, </w:t>
      </w:r>
      <w:r w:rsidR="00CA65CB" w:rsidRPr="00F33ABC">
        <w:t>whole staff</w:t>
      </w:r>
      <w:r w:rsidR="00F33ABC" w:rsidRPr="00F33ABC">
        <w:t xml:space="preserve"> training on MSI, and development of tailored, accessible curricula. Schools should be equipped with resources and knowledge to meet sensory needs from the outset.</w:t>
      </w:r>
    </w:p>
    <w:p w14:paraId="3F894D8F" w14:textId="266659ED" w:rsidR="00C72CD1" w:rsidRDefault="0001746B" w:rsidP="00BF63ED">
      <w:pPr>
        <w:pStyle w:val="ListParagraph"/>
        <w:numPr>
          <w:ilvl w:val="0"/>
          <w:numId w:val="55"/>
        </w:numPr>
      </w:pPr>
      <w:r w:rsidRPr="00B42460">
        <w:rPr>
          <w:b/>
          <w:bCs/>
        </w:rPr>
        <w:t>Accessible and supportive environments:</w:t>
      </w:r>
      <w:r>
        <w:t xml:space="preserve"> </w:t>
      </w:r>
      <w:r w:rsidR="00F33ABC" w:rsidRPr="00F33ABC">
        <w:t>Equip classrooms and learning spaces with appropriate assistive technologies, visual and auditory supports, and access to mental health and mobility services. Learning environments should foster both academic progress and social inclusion.</w:t>
      </w:r>
    </w:p>
    <w:p w14:paraId="558BC3CC" w14:textId="62025B80" w:rsidR="00221CC2" w:rsidRDefault="000D6648">
      <w:pPr>
        <w:pStyle w:val="ListParagraph"/>
        <w:numPr>
          <w:ilvl w:val="0"/>
          <w:numId w:val="55"/>
        </w:numPr>
      </w:pPr>
      <w:r w:rsidRPr="00B42460">
        <w:rPr>
          <w:b/>
          <w:bCs/>
        </w:rPr>
        <w:t>Tracking and responding</w:t>
      </w:r>
      <w:r>
        <w:t xml:space="preserve">: </w:t>
      </w:r>
      <w:r w:rsidR="00221CC2" w:rsidRPr="00221CC2">
        <w:t>Strengthen local data collection and monitoring of children and young people with sensory impairments, including early identification, service access, and educational outcomes. Use this data to inform commissioning, identify unmet need, and ensure responsive planning across education, health, and social care.</w:t>
      </w:r>
    </w:p>
    <w:p w14:paraId="77B0CB15" w14:textId="510C88D7" w:rsidR="00F43F01" w:rsidRPr="00B7138F" w:rsidRDefault="00F43F01" w:rsidP="00293C95">
      <w:pPr>
        <w:pStyle w:val="Heading3"/>
        <w:rPr>
          <w:color w:val="006B70"/>
        </w:rPr>
      </w:pPr>
      <w:bookmarkStart w:id="404" w:name="_Toc205386970"/>
      <w:bookmarkStart w:id="405" w:name="_Toc205388040"/>
      <w:bookmarkStart w:id="406" w:name="_Toc205446051"/>
      <w:r w:rsidRPr="00B7138F">
        <w:rPr>
          <w:color w:val="006B70"/>
        </w:rPr>
        <w:t>Summary</w:t>
      </w:r>
      <w:bookmarkEnd w:id="404"/>
      <w:bookmarkEnd w:id="405"/>
      <w:bookmarkEnd w:id="406"/>
    </w:p>
    <w:p w14:paraId="59A113B2" w14:textId="7A1826E0" w:rsidR="008D5C3B" w:rsidRDefault="008D5C3B" w:rsidP="00423A9F">
      <w:r>
        <w:t>Hearing and vision impairments can significantly impact children</w:t>
      </w:r>
      <w:r w:rsidR="00332483">
        <w:t xml:space="preserve"> and young people’s </w:t>
      </w:r>
      <w:r>
        <w:t xml:space="preserve">development and wellbeing. Causes range from genetics and infections to environmental factors </w:t>
      </w:r>
      <w:r w:rsidR="00B37C82">
        <w:t>such as</w:t>
      </w:r>
      <w:r>
        <w:t xml:space="preserve"> noise exposure. </w:t>
      </w:r>
      <w:r>
        <w:lastRenderedPageBreak/>
        <w:t>Some children experience MSI</w:t>
      </w:r>
      <w:r w:rsidR="00B37C82">
        <w:t>’s</w:t>
      </w:r>
      <w:r>
        <w:t>, which affect both hearing and vision, often linked to complex conditions. Early screening through hearing and vision tests helps with timely identification. Without the right support, children with sensory impairments can face challenges in education, communication, and social inclusion, leading to poorer outcomes later in life.</w:t>
      </w:r>
    </w:p>
    <w:p w14:paraId="4FA40684" w14:textId="629AD915" w:rsidR="004F483C" w:rsidRDefault="004F483C" w:rsidP="00423A9F">
      <w:r>
        <w:t>Early intervention, inclusive education, and strong support systems are essential to improving outcomes. Family involvement, trained school staff and emotionally supportive environments help children thrive. Tower Hamlets provides various services, including specialist teaching, therapy, and family support, but gaps remain in funding, staffing, British Sign Language (BSL) access, and support in special schools.</w:t>
      </w:r>
    </w:p>
    <w:p w14:paraId="2F108C23" w14:textId="3B62224E" w:rsidR="006D466A" w:rsidRDefault="006D466A" w:rsidP="00423A9F">
      <w:r w:rsidRPr="006D466A">
        <w:t>Tower Hamlets demonstrates positive approaches in this area, offering a wide range of resources, support, and a clear commitment to improving outcomes. However, there are still opportunities for further development. Key recommendations include expanding BSL provision, enhancing coordination across services, and establishing clear pathways for young people with sensory needs beyond school age.</w:t>
      </w:r>
      <w:r w:rsidR="003416F7">
        <w:t xml:space="preserve"> </w:t>
      </w:r>
    </w:p>
    <w:p w14:paraId="279D5280" w14:textId="3B4AA3CC" w:rsidR="004E04E1" w:rsidRPr="00553E6A" w:rsidRDefault="004E04E1" w:rsidP="00C75730">
      <w:pPr>
        <w:pStyle w:val="Heading2"/>
      </w:pPr>
      <w:bookmarkStart w:id="407" w:name="_Toc211414163"/>
      <w:bookmarkStart w:id="408" w:name="_Toc211440062"/>
      <w:r>
        <w:t>Physical Needs</w:t>
      </w:r>
      <w:bookmarkEnd w:id="407"/>
      <w:bookmarkEnd w:id="408"/>
    </w:p>
    <w:p w14:paraId="5972B591" w14:textId="77777777" w:rsidR="004E04E1" w:rsidRPr="00161860" w:rsidRDefault="004E04E1" w:rsidP="00A84E67">
      <w:r w:rsidRPr="00161860">
        <w:t>For the purposes of this JSNA, physical needs refer to limitations or disabilities that affect a person’s physical functioning. This includes, but is not limited to, mobility challenges, hearing impairments, and other physical conditions that may require specialist support or equipment. Physical and sensory needs are often interconnected and, as such, are explored across both the physical and sensory needs chapters. Specifically, hearing and visual impairments are addressed within the sensory needs’ sections.</w:t>
      </w:r>
    </w:p>
    <w:p w14:paraId="20AC56F1" w14:textId="77777777" w:rsidR="004E04E1" w:rsidRPr="00161860" w:rsidRDefault="004E04E1" w:rsidP="00A84E67">
      <w:r w:rsidRPr="00161860">
        <w:t>A child with a physical difficulty may have a diagnosed medical condition that impacts their physical abilities, or they may present with delayed physical development due to an undiagnosed issue. Children and young people with physical disabilities may experience challenges with mobility, coordination, or stamina, and may need adjustments to their learning environment, specialised equipment, or support with everyday activities.</w:t>
      </w:r>
    </w:p>
    <w:p w14:paraId="0E90182C" w14:textId="77777777" w:rsidR="00C31379" w:rsidRDefault="004E04E1" w:rsidP="00C31379">
      <w:r w:rsidRPr="00EC6113">
        <w:t>Physical disabilities encompass a range of conditions that affect a person's movement, coordination, and physical abilities. These can include: </w:t>
      </w:r>
    </w:p>
    <w:p w14:paraId="48FC0170" w14:textId="77777777" w:rsidR="00C31379" w:rsidRDefault="004E04E1" w:rsidP="00BF63ED">
      <w:pPr>
        <w:pStyle w:val="ListParagraph"/>
        <w:numPr>
          <w:ilvl w:val="0"/>
          <w:numId w:val="50"/>
        </w:numPr>
      </w:pPr>
      <w:r w:rsidRPr="00C31379">
        <w:rPr>
          <w:b/>
          <w:bCs/>
        </w:rPr>
        <w:t>Mobility</w:t>
      </w:r>
      <w:r w:rsidRPr="00EC6113">
        <w:t xml:space="preserve"> </w:t>
      </w:r>
      <w:r w:rsidRPr="00C31379">
        <w:rPr>
          <w:b/>
          <w:bCs/>
        </w:rPr>
        <w:t>impairments</w:t>
      </w:r>
      <w:r w:rsidRPr="00EC6113">
        <w:t>: Difficulty with walking, standing, or using limbs. </w:t>
      </w:r>
    </w:p>
    <w:p w14:paraId="06CFFB09" w14:textId="77777777" w:rsidR="00C31379" w:rsidRDefault="004E04E1" w:rsidP="00BF63ED">
      <w:pPr>
        <w:pStyle w:val="ListParagraph"/>
        <w:numPr>
          <w:ilvl w:val="0"/>
          <w:numId w:val="50"/>
        </w:numPr>
      </w:pPr>
      <w:r w:rsidRPr="00C31379">
        <w:rPr>
          <w:b/>
          <w:bCs/>
        </w:rPr>
        <w:t>Dexterity limitations:</w:t>
      </w:r>
      <w:r w:rsidRPr="00EC6113">
        <w:t> Challenges with fine motor skills, such as writing or using tools. </w:t>
      </w:r>
    </w:p>
    <w:p w14:paraId="73DE3779" w14:textId="77777777" w:rsidR="00C31379" w:rsidRDefault="004E04E1" w:rsidP="00BF63ED">
      <w:pPr>
        <w:pStyle w:val="ListParagraph"/>
        <w:numPr>
          <w:ilvl w:val="0"/>
          <w:numId w:val="50"/>
        </w:numPr>
      </w:pPr>
      <w:r w:rsidRPr="00C31379">
        <w:rPr>
          <w:b/>
          <w:bCs/>
        </w:rPr>
        <w:t>Stamina issues:</w:t>
      </w:r>
      <w:r w:rsidRPr="00EC6113">
        <w:t> Fatigue or limited endurance. </w:t>
      </w:r>
    </w:p>
    <w:p w14:paraId="2F03076E" w14:textId="77777777" w:rsidR="004E04E1" w:rsidRDefault="004E04E1" w:rsidP="00BF63ED">
      <w:pPr>
        <w:pStyle w:val="ListParagraph"/>
        <w:numPr>
          <w:ilvl w:val="0"/>
          <w:numId w:val="50"/>
        </w:numPr>
      </w:pPr>
      <w:r w:rsidRPr="00C31379">
        <w:rPr>
          <w:b/>
          <w:bCs/>
        </w:rPr>
        <w:t>Other physical impairments:</w:t>
      </w:r>
      <w:r w:rsidRPr="00EC6113">
        <w:t> Conditions like respiratory disorders, epilepsy, or sensory impairments (like visual or hearing impairments) that impact physical functioning. </w:t>
      </w:r>
    </w:p>
    <w:p w14:paraId="2240E526" w14:textId="77777777" w:rsidR="004E04E1" w:rsidRPr="00B7138F" w:rsidRDefault="004E04E1" w:rsidP="00723EF5">
      <w:pPr>
        <w:pStyle w:val="Heading3"/>
        <w:rPr>
          <w:color w:val="006B70"/>
        </w:rPr>
      </w:pPr>
      <w:bookmarkStart w:id="409" w:name="_Toc205386972"/>
      <w:bookmarkStart w:id="410" w:name="_Toc205388042"/>
      <w:bookmarkStart w:id="411" w:name="_Toc205446053"/>
      <w:r w:rsidRPr="00B7138F">
        <w:rPr>
          <w:color w:val="006B70"/>
        </w:rPr>
        <w:t>Causal Factors</w:t>
      </w:r>
      <w:bookmarkEnd w:id="409"/>
      <w:bookmarkEnd w:id="410"/>
      <w:bookmarkEnd w:id="411"/>
      <w:r w:rsidRPr="00B7138F">
        <w:rPr>
          <w:color w:val="006B70"/>
        </w:rPr>
        <w:t xml:space="preserve">  </w:t>
      </w:r>
    </w:p>
    <w:p w14:paraId="2EA3A2A5" w14:textId="77777777" w:rsidR="004E04E1" w:rsidRDefault="004E04E1" w:rsidP="009B3F34">
      <w:pPr>
        <w:rPr>
          <w:b/>
          <w:bCs/>
        </w:rPr>
      </w:pPr>
      <w:r w:rsidRPr="00EC6113">
        <w:t>Physical disabilities can stem from various causes, broadly categori</w:t>
      </w:r>
      <w:r>
        <w:t>s</w:t>
      </w:r>
      <w:r w:rsidRPr="00EC6113">
        <w:t xml:space="preserve">ed as congenital (present at birth) or acquired (developed later in life). Congenital disabilities can result from genetic factors, prenatal </w:t>
      </w:r>
      <w:r w:rsidRPr="00EC6113">
        <w:lastRenderedPageBreak/>
        <w:t>conditions, or birth trauma. Acquired disabilities can be caused by accidents, injuries, illnesses, or degenerative conditions.</w:t>
      </w:r>
    </w:p>
    <w:p w14:paraId="56A3647D" w14:textId="77777777" w:rsidR="004E04E1" w:rsidRPr="00EC6113" w:rsidRDefault="004E04E1" w:rsidP="009B3F34">
      <w:r w:rsidRPr="00EC6113">
        <w:t xml:space="preserve">Congenital </w:t>
      </w:r>
      <w:r>
        <w:t>c</w:t>
      </w:r>
      <w:r w:rsidRPr="00EC6113">
        <w:t>auses:</w:t>
      </w:r>
    </w:p>
    <w:p w14:paraId="5552F35D" w14:textId="77777777" w:rsidR="004E04E1" w:rsidRPr="00EC6113" w:rsidRDefault="004E04E1" w:rsidP="00BF63ED">
      <w:pPr>
        <w:pStyle w:val="ListParagraph"/>
        <w:numPr>
          <w:ilvl w:val="0"/>
          <w:numId w:val="37"/>
        </w:numPr>
      </w:pPr>
      <w:r w:rsidRPr="009B3F34">
        <w:rPr>
          <w:b/>
          <w:bCs/>
        </w:rPr>
        <w:t>Genetic factors:</w:t>
      </w:r>
      <w:r w:rsidRPr="00EC6113">
        <w:t> Inherited conditions can lead to physical disabilities.</w:t>
      </w:r>
    </w:p>
    <w:p w14:paraId="6A4F1C76" w14:textId="74C11CA0" w:rsidR="004E04E1" w:rsidRPr="00EC6113" w:rsidRDefault="004E04E1" w:rsidP="00BF63ED">
      <w:pPr>
        <w:pStyle w:val="ListParagraph"/>
        <w:numPr>
          <w:ilvl w:val="0"/>
          <w:numId w:val="37"/>
        </w:numPr>
      </w:pPr>
      <w:r w:rsidRPr="009B3F34">
        <w:rPr>
          <w:b/>
          <w:bCs/>
        </w:rPr>
        <w:t>Prenatal conditions:</w:t>
      </w:r>
      <w:r w:rsidRPr="00EC6113">
        <w:t> Problems during foetal development can result in physical impairments.</w:t>
      </w:r>
      <w:r w:rsidR="00061793">
        <w:t xml:space="preserve"> </w:t>
      </w:r>
      <w:r w:rsidR="00A47024">
        <w:t xml:space="preserve">For example, </w:t>
      </w:r>
      <w:r w:rsidR="00B827DB">
        <w:t>cerebral palsy due to lack of oxygen in the womb or foetal growth restriction due to maternal malnutrition.</w:t>
      </w:r>
      <w:r w:rsidR="00061793">
        <w:t xml:space="preserve"> </w:t>
      </w:r>
    </w:p>
    <w:p w14:paraId="7803C75C" w14:textId="1870A29B" w:rsidR="004E04E1" w:rsidRDefault="004E04E1" w:rsidP="00BF63ED">
      <w:pPr>
        <w:pStyle w:val="ListParagraph"/>
        <w:numPr>
          <w:ilvl w:val="0"/>
          <w:numId w:val="37"/>
        </w:numPr>
      </w:pPr>
      <w:r w:rsidRPr="009B3F34">
        <w:rPr>
          <w:b/>
          <w:bCs/>
        </w:rPr>
        <w:t>Birth trauma:</w:t>
      </w:r>
      <w:r w:rsidRPr="00EC6113">
        <w:t> Injury during delivery, such as oxygen deprivation or prematurity, can cause disabilities. </w:t>
      </w:r>
    </w:p>
    <w:p w14:paraId="162C399B" w14:textId="7D15C31A" w:rsidR="00C80B11" w:rsidRPr="00EC6113" w:rsidRDefault="00C80B11" w:rsidP="00BF63ED">
      <w:pPr>
        <w:pStyle w:val="ListParagraph"/>
        <w:numPr>
          <w:ilvl w:val="0"/>
          <w:numId w:val="37"/>
        </w:numPr>
      </w:pPr>
      <w:r>
        <w:rPr>
          <w:b/>
          <w:bCs/>
        </w:rPr>
        <w:t>Cong</w:t>
      </w:r>
      <w:r w:rsidR="00FC5865">
        <w:rPr>
          <w:b/>
          <w:bCs/>
        </w:rPr>
        <w:t>enital malformations:</w:t>
      </w:r>
      <w:r w:rsidR="00FC5865">
        <w:t xml:space="preserve"> </w:t>
      </w:r>
      <w:r w:rsidR="00DA21A4">
        <w:t>Also known as congenital abnormalities or birth defects</w:t>
      </w:r>
      <w:r w:rsidR="007A061B">
        <w:t xml:space="preserve"> which occur at or before birth. </w:t>
      </w:r>
      <w:r w:rsidR="002A7231">
        <w:t>Examples include,</w:t>
      </w:r>
      <w:r w:rsidR="00452AAB">
        <w:t xml:space="preserve"> </w:t>
      </w:r>
      <w:r w:rsidR="002A7231">
        <w:t xml:space="preserve">heart defects, spina bifida, cleft lip / palate. </w:t>
      </w:r>
    </w:p>
    <w:p w14:paraId="44041539" w14:textId="77777777" w:rsidR="004E04E1" w:rsidRPr="00EC6113" w:rsidRDefault="004E04E1" w:rsidP="009B3F34">
      <w:r w:rsidRPr="00EC6113">
        <w:t xml:space="preserve">Acquired </w:t>
      </w:r>
      <w:r>
        <w:t>c</w:t>
      </w:r>
      <w:r w:rsidRPr="00EC6113">
        <w:t>auses:</w:t>
      </w:r>
    </w:p>
    <w:p w14:paraId="6BAF0ED6" w14:textId="0C45C03F" w:rsidR="004E04E1" w:rsidRDefault="004E04E1" w:rsidP="00BF63ED">
      <w:pPr>
        <w:pStyle w:val="ListParagraph"/>
        <w:numPr>
          <w:ilvl w:val="0"/>
          <w:numId w:val="38"/>
        </w:numPr>
      </w:pPr>
      <w:r w:rsidRPr="009B3F34">
        <w:rPr>
          <w:b/>
          <w:bCs/>
        </w:rPr>
        <w:t>Accidents and injuries:</w:t>
      </w:r>
      <w:r>
        <w:t xml:space="preserve"> </w:t>
      </w:r>
      <w:r w:rsidRPr="00EC6113">
        <w:t xml:space="preserve">Traumatic injuries </w:t>
      </w:r>
      <w:r w:rsidR="00343350">
        <w:t>can lead to physical disabilities.</w:t>
      </w:r>
      <w:r w:rsidR="00343350" w:rsidRPr="00EC6113">
        <w:t xml:space="preserve"> </w:t>
      </w:r>
      <w:r w:rsidR="00DB2C46">
        <w:t>For example:</w:t>
      </w:r>
    </w:p>
    <w:p w14:paraId="278EA661" w14:textId="27DB4134" w:rsidR="00DB2C46" w:rsidRDefault="00DB2C46" w:rsidP="00DB2C46">
      <w:pPr>
        <w:pStyle w:val="ListParagraph"/>
        <w:numPr>
          <w:ilvl w:val="1"/>
          <w:numId w:val="38"/>
        </w:numPr>
      </w:pPr>
      <w:r>
        <w:t>Spinal Cord injuries: Damage to the spinal cord can result in loss of function and mobility.</w:t>
      </w:r>
    </w:p>
    <w:p w14:paraId="2C5C18D9" w14:textId="4E936681" w:rsidR="00DB2C46" w:rsidRPr="00EC6113" w:rsidRDefault="00DB2C46" w:rsidP="00293C95">
      <w:pPr>
        <w:pStyle w:val="ListParagraph"/>
        <w:numPr>
          <w:ilvl w:val="1"/>
          <w:numId w:val="38"/>
        </w:numPr>
      </w:pPr>
      <w:r w:rsidRPr="00293C95">
        <w:t>Brain injuries:</w:t>
      </w:r>
      <w:r>
        <w:t xml:space="preserve"> </w:t>
      </w:r>
      <w:r w:rsidRPr="00EC6113">
        <w:t>Head and brain injuries, whether from falls, accidents, or other causes, can have lifelong physical or mental consequences. </w:t>
      </w:r>
    </w:p>
    <w:p w14:paraId="35D90D7F" w14:textId="1F85787E" w:rsidR="004E04E1" w:rsidRDefault="004E04E1" w:rsidP="00BF63ED">
      <w:pPr>
        <w:pStyle w:val="ListParagraph"/>
        <w:numPr>
          <w:ilvl w:val="0"/>
          <w:numId w:val="38"/>
        </w:numPr>
      </w:pPr>
      <w:r w:rsidRPr="009B3F34">
        <w:rPr>
          <w:b/>
          <w:bCs/>
        </w:rPr>
        <w:t xml:space="preserve">Illnesses and </w:t>
      </w:r>
      <w:r w:rsidR="007C3C67">
        <w:rPr>
          <w:b/>
          <w:bCs/>
        </w:rPr>
        <w:t>degenerative conditions</w:t>
      </w:r>
      <w:r w:rsidRPr="009B3F34">
        <w:rPr>
          <w:b/>
          <w:bCs/>
        </w:rPr>
        <w:t>:</w:t>
      </w:r>
      <w:r>
        <w:t xml:space="preserve"> </w:t>
      </w:r>
      <w:r w:rsidR="002972E7">
        <w:t xml:space="preserve">These may be contracted or develop after birth, </w:t>
      </w:r>
      <w:r w:rsidR="007273E1">
        <w:t xml:space="preserve">or which can progressively worsen over time after birth, causing gradual loss of physical function.  Examples </w:t>
      </w:r>
      <w:r w:rsidR="006F645B">
        <w:t>include:</w:t>
      </w:r>
    </w:p>
    <w:p w14:paraId="1DD0B061" w14:textId="65707E7E" w:rsidR="006F645B" w:rsidRPr="00293C95" w:rsidRDefault="006F645B" w:rsidP="006F645B">
      <w:pPr>
        <w:pStyle w:val="ListParagraph"/>
        <w:numPr>
          <w:ilvl w:val="1"/>
          <w:numId w:val="38"/>
        </w:numPr>
      </w:pPr>
      <w:r>
        <w:rPr>
          <w:b/>
          <w:bCs/>
        </w:rPr>
        <w:t xml:space="preserve">Illnesses: </w:t>
      </w:r>
      <w:r w:rsidRPr="00293C95">
        <w:t>Stroke causing brain damage affecting movement and coordination</w:t>
      </w:r>
      <w:r w:rsidR="00F52597">
        <w:t xml:space="preserve"> or </w:t>
      </w:r>
      <w:r w:rsidR="004E2F5F">
        <w:t>traumatic infections such</w:t>
      </w:r>
      <w:r w:rsidR="00422A51">
        <w:t xml:space="preserve"> or severe arthritis (</w:t>
      </w:r>
      <w:r w:rsidR="0049673A">
        <w:t>i.e. J</w:t>
      </w:r>
      <w:r w:rsidR="0013627E">
        <w:t xml:space="preserve">uvenile </w:t>
      </w:r>
      <w:r w:rsidR="0049673A">
        <w:t>Idiopathic Arthritis)</w:t>
      </w:r>
      <w:r w:rsidR="00B8354B">
        <w:t xml:space="preserve"> which can reduce mobility. </w:t>
      </w:r>
    </w:p>
    <w:p w14:paraId="6746013B" w14:textId="20C2A5A9" w:rsidR="006F645B" w:rsidRPr="00EC6113" w:rsidRDefault="006F645B" w:rsidP="00293C95">
      <w:pPr>
        <w:pStyle w:val="ListParagraph"/>
        <w:numPr>
          <w:ilvl w:val="1"/>
          <w:numId w:val="38"/>
        </w:numPr>
      </w:pPr>
      <w:r>
        <w:rPr>
          <w:b/>
          <w:bCs/>
        </w:rPr>
        <w:t>Degenerative conditions:</w:t>
      </w:r>
      <w:r w:rsidR="00B8354B">
        <w:rPr>
          <w:b/>
          <w:bCs/>
        </w:rPr>
        <w:t xml:space="preserve"> </w:t>
      </w:r>
      <w:r w:rsidR="00B8354B" w:rsidRPr="00293C95">
        <w:t xml:space="preserve">Muscular </w:t>
      </w:r>
      <w:r w:rsidR="00A90A3E" w:rsidRPr="00293C95">
        <w:t>dystrophy causing progressive weakening of muscles</w:t>
      </w:r>
      <w:r w:rsidR="000D437D" w:rsidRPr="00293C95">
        <w:t xml:space="preserve"> or Charcot</w:t>
      </w:r>
      <w:r w:rsidR="00265FE7" w:rsidRPr="00293C95">
        <w:t xml:space="preserve">-Marie-Tooth Disease </w:t>
      </w:r>
      <w:r w:rsidR="00BA3610" w:rsidRPr="00293C95">
        <w:t>causing gradual muscle weakness and foot deformities.</w:t>
      </w:r>
      <w:r w:rsidR="00BA3610">
        <w:rPr>
          <w:b/>
          <w:bCs/>
        </w:rPr>
        <w:t xml:space="preserve"> </w:t>
      </w:r>
    </w:p>
    <w:p w14:paraId="78A31094" w14:textId="77777777" w:rsidR="004E04E1" w:rsidRPr="00EC6113" w:rsidRDefault="004E04E1" w:rsidP="009B3F34">
      <w:r w:rsidRPr="00EC6113">
        <w:t xml:space="preserve">It's important to note that the experience of physical disability is unique to </w:t>
      </w:r>
      <w:proofErr w:type="gramStart"/>
      <w:r w:rsidRPr="00EC6113">
        <w:t>each individual</w:t>
      </w:r>
      <w:proofErr w:type="gramEnd"/>
      <w:r w:rsidRPr="00EC6113">
        <w:t>, and the causes can be diverse. </w:t>
      </w:r>
    </w:p>
    <w:p w14:paraId="22C00430" w14:textId="77777777" w:rsidR="004E04E1" w:rsidRPr="00B7138F" w:rsidRDefault="004E04E1" w:rsidP="007E20E0">
      <w:pPr>
        <w:pStyle w:val="Heading3"/>
        <w:rPr>
          <w:color w:val="006B70"/>
        </w:rPr>
      </w:pPr>
      <w:r w:rsidRPr="00B7138F">
        <w:rPr>
          <w:color w:val="006B70"/>
        </w:rPr>
        <w:t> </w:t>
      </w:r>
      <w:bookmarkStart w:id="412" w:name="_Toc205386973"/>
      <w:bookmarkStart w:id="413" w:name="_Toc205388043"/>
      <w:bookmarkStart w:id="414" w:name="_Toc205446054"/>
      <w:r w:rsidRPr="00B7138F">
        <w:rPr>
          <w:color w:val="006B70"/>
        </w:rPr>
        <w:t>Local Picture</w:t>
      </w:r>
      <w:bookmarkEnd w:id="412"/>
      <w:bookmarkEnd w:id="413"/>
      <w:bookmarkEnd w:id="414"/>
      <w:r w:rsidRPr="00B7138F">
        <w:rPr>
          <w:color w:val="006B70"/>
        </w:rPr>
        <w:t xml:space="preserve"> </w:t>
      </w:r>
    </w:p>
    <w:p w14:paraId="3B6D7A2F" w14:textId="4E5C7B71" w:rsidR="004E04E1" w:rsidRPr="00364EA8" w:rsidRDefault="004E04E1" w:rsidP="00723EF5">
      <w:r>
        <w:t>In 2024, there were 95 children and young people with a physical disability in a school setting in receipt of SEN support and a further 134 registered on an EHC</w:t>
      </w:r>
      <w:r w:rsidR="0051337C">
        <w:t>P</w:t>
      </w:r>
      <w:r w:rsidR="00983A78" w:rsidRPr="00293C95">
        <w:rPr>
          <w:vertAlign w:val="superscript"/>
        </w:rPr>
        <w:t>.</w:t>
      </w:r>
      <w:r w:rsidR="00983A78" w:rsidRPr="00293C95">
        <w:rPr>
          <w:vertAlign w:val="superscript"/>
        </w:rPr>
        <w:fldChar w:fldCharType="begin"/>
      </w:r>
      <w:r w:rsidR="00983A78" w:rsidRPr="00293C95">
        <w:rPr>
          <w:vertAlign w:val="superscript"/>
        </w:rPr>
        <w:instrText xml:space="preserve"> NOTEREF _Ref204587357 \h  \* MERGEFORMAT </w:instrText>
      </w:r>
      <w:r w:rsidR="00983A78" w:rsidRPr="00293C95">
        <w:rPr>
          <w:vertAlign w:val="superscript"/>
        </w:rPr>
      </w:r>
      <w:r w:rsidR="00983A78" w:rsidRPr="00293C95">
        <w:rPr>
          <w:vertAlign w:val="superscript"/>
        </w:rPr>
        <w:fldChar w:fldCharType="separate"/>
      </w:r>
      <w:r w:rsidR="008722C4">
        <w:rPr>
          <w:vertAlign w:val="superscript"/>
        </w:rPr>
        <w:t>3</w:t>
      </w:r>
      <w:r w:rsidR="00983A78" w:rsidRPr="00293C95">
        <w:rPr>
          <w:vertAlign w:val="superscript"/>
        </w:rPr>
        <w:fldChar w:fldCharType="end"/>
      </w:r>
      <w:r>
        <w:t xml:space="preserve"> Of all children and young people in receipt </w:t>
      </w:r>
      <w:r w:rsidRPr="00364EA8">
        <w:t>of an EHC</w:t>
      </w:r>
      <w:r w:rsidR="0051337C" w:rsidRPr="00364EA8">
        <w:t>P</w:t>
      </w:r>
      <w:r w:rsidRPr="00364EA8">
        <w:t xml:space="preserve">, 2% had a primary need as a physical disability. </w:t>
      </w:r>
    </w:p>
    <w:p w14:paraId="71F52142" w14:textId="28A9DDED" w:rsidR="004E04E1" w:rsidRPr="00364EA8" w:rsidRDefault="00DB7F89" w:rsidP="00723EF5">
      <w:r w:rsidRPr="00293C95">
        <w:t xml:space="preserve">In Tower Hamlets, </w:t>
      </w:r>
      <w:r w:rsidR="004E04E1" w:rsidRPr="00364EA8">
        <w:t xml:space="preserve">42.9% of those in receipt of a EHP plan for a physical disability are from the Bangladeshi community. A further 25.7% have not had their ethnicity recorded, highlighted continued challenges with the recording of data associated with ethnicity. 9.3% are from a white-British background, and a further 6.4% identified as Black-African. </w:t>
      </w:r>
    </w:p>
    <w:p w14:paraId="7EB2B57C" w14:textId="0EA0EB16" w:rsidR="00155646" w:rsidRPr="00155646" w:rsidRDefault="004E04E1" w:rsidP="00293C95">
      <w:pPr>
        <w:jc w:val="left"/>
      </w:pPr>
      <w:r w:rsidRPr="00364EA8">
        <w:lastRenderedPageBreak/>
        <w:t>There are more males than females in receipt of</w:t>
      </w:r>
      <w:r w:rsidR="00AE7902" w:rsidRPr="00364EA8">
        <w:t xml:space="preserve"> a</w:t>
      </w:r>
      <w:r w:rsidRPr="00364EA8">
        <w:t>n EHC</w:t>
      </w:r>
      <w:r w:rsidR="0051337C" w:rsidRPr="00364EA8">
        <w:t>P</w:t>
      </w:r>
      <w:r w:rsidRPr="00364EA8">
        <w:t xml:space="preserve">, 63% and 37% respectively. </w:t>
      </w:r>
      <w:r w:rsidR="00CE4549" w:rsidRPr="00CE4549">
        <w:t>Most EHCP plans begin at age 4, typically in line with the beginning of primary school. Of children and young people with an EHCP for a physical disability, 91% live in areas experiencing some of the highest levels of deprivation across Tower Hamlets.</w:t>
      </w:r>
    </w:p>
    <w:p w14:paraId="59B3F0CE" w14:textId="77777777" w:rsidR="004E04E1" w:rsidRPr="00B7138F" w:rsidRDefault="004E04E1" w:rsidP="00723EF5">
      <w:pPr>
        <w:pStyle w:val="Heading3"/>
        <w:rPr>
          <w:color w:val="006B70"/>
        </w:rPr>
      </w:pPr>
      <w:bookmarkStart w:id="415" w:name="_Toc211414039"/>
      <w:bookmarkStart w:id="416" w:name="_Toc211439898"/>
      <w:bookmarkStart w:id="417" w:name="_Toc211414040"/>
      <w:bookmarkStart w:id="418" w:name="_Toc211439899"/>
      <w:bookmarkStart w:id="419" w:name="_Toc211414041"/>
      <w:bookmarkStart w:id="420" w:name="_Toc211439900"/>
      <w:bookmarkStart w:id="421" w:name="_Toc211414042"/>
      <w:bookmarkStart w:id="422" w:name="_Toc211439901"/>
      <w:bookmarkStart w:id="423" w:name="_Toc211414043"/>
      <w:bookmarkStart w:id="424" w:name="_Toc211439902"/>
      <w:bookmarkStart w:id="425" w:name="_Toc211414044"/>
      <w:bookmarkStart w:id="426" w:name="_Toc211439903"/>
      <w:bookmarkStart w:id="427" w:name="_Toc211414045"/>
      <w:bookmarkStart w:id="428" w:name="_Toc211439904"/>
      <w:bookmarkStart w:id="429" w:name="_Toc205386974"/>
      <w:bookmarkStart w:id="430" w:name="_Toc205388044"/>
      <w:bookmarkStart w:id="431" w:name="_Toc205446055"/>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r w:rsidRPr="00B7138F">
        <w:rPr>
          <w:color w:val="006B70"/>
        </w:rPr>
        <w:t>Diagnosis</w:t>
      </w:r>
      <w:bookmarkEnd w:id="429"/>
      <w:bookmarkEnd w:id="430"/>
      <w:bookmarkEnd w:id="431"/>
      <w:r w:rsidRPr="00B7138F">
        <w:rPr>
          <w:color w:val="006B70"/>
        </w:rPr>
        <w:t xml:space="preserve"> </w:t>
      </w:r>
    </w:p>
    <w:p w14:paraId="675BA545" w14:textId="77777777" w:rsidR="00600CBA" w:rsidRDefault="004E04E1" w:rsidP="00723EF5">
      <w:r>
        <w:t>In some cases, there is</w:t>
      </w:r>
      <w:r w:rsidR="00464747">
        <w:t xml:space="preserve"> </w:t>
      </w:r>
      <w:r>
        <w:t>n</w:t>
      </w:r>
      <w:r w:rsidR="00EE050E">
        <w:t>o</w:t>
      </w:r>
      <w:r>
        <w:t xml:space="preserve"> single test of diagnosis and therefore a combination of approaches are undertaken to determine the diagnosis. Consequently, t</w:t>
      </w:r>
      <w:r w:rsidRPr="000F3F8F">
        <w:t>he process can take time, sometimes involving ongoing monitoring of developmental milestones over months or even years. </w:t>
      </w:r>
    </w:p>
    <w:p w14:paraId="5076D78F" w14:textId="5CAE6263" w:rsidR="00600CBA" w:rsidRPr="00CA499C" w:rsidRDefault="00CA499C" w:rsidP="00723EF5">
      <w:r w:rsidRPr="00293C95">
        <w:t>For some conditions, diagnosis and early identification may begin before birth or shortly after delivery. Antenatal screening, including ultrasound scans and genetic testing, can detect certain congenital abnormalities such as spina bifida, heart defects, or limb differences. Postnatal checks, such as the NHS Newborn and Infant Physical Examination, can also identify early signs of physical or sensory impairments. Early identification at these stages enables timely intervention and family support.</w:t>
      </w:r>
    </w:p>
    <w:p w14:paraId="6729F20A" w14:textId="38592F42" w:rsidR="004E04E1" w:rsidRDefault="004E04E1" w:rsidP="00723EF5">
      <w:r w:rsidRPr="000F3F8F">
        <w:t>A definitive diagnosis may not always be immediately possible, and a "working" or "interim" diagnosis might be given to allow for support and treatment while further investigations are conducted. </w:t>
      </w:r>
    </w:p>
    <w:p w14:paraId="21700B18" w14:textId="435D8442" w:rsidR="0064708B" w:rsidRPr="0064708B" w:rsidRDefault="0064708B" w:rsidP="00723EF5">
      <w:r w:rsidRPr="00293C95">
        <w:t>Diagnosis processes vary depending on the nature and severity of the child’s presentation. For most children, assessments may involve GPs, paediatricians, physiotherapists, occupational therapists and other specialists, supported by a multidisciplinary approach. Parents play a crucial role in providing developmental information and participating in decisions around care.</w:t>
      </w:r>
    </w:p>
    <w:p w14:paraId="6A7A668F" w14:textId="77777777" w:rsidR="004E04E1" w:rsidRDefault="004E04E1" w:rsidP="00723EF5">
      <w:r>
        <w:t xml:space="preserve">The time it takes to reach a diagnosis can vary significantly depending on the complexity of the condition. This may be reflective of how diagnosis increases with age. </w:t>
      </w:r>
    </w:p>
    <w:p w14:paraId="74BD7029" w14:textId="77777777" w:rsidR="004E04E1" w:rsidRDefault="004E04E1" w:rsidP="00723EF5">
      <w:r>
        <w:t xml:space="preserve">Early detection remains a critical component of the diagnosis approach, to allow for timely intervention and support. </w:t>
      </w:r>
    </w:p>
    <w:p w14:paraId="2284CA89" w14:textId="77777777" w:rsidR="004E04E1" w:rsidRDefault="004E04E1" w:rsidP="00F469F9">
      <w:pPr>
        <w:pStyle w:val="Heading5"/>
      </w:pPr>
      <w:r>
        <w:t>Down Syndrome (DS):</w:t>
      </w:r>
    </w:p>
    <w:p w14:paraId="5B5AA423" w14:textId="77777777" w:rsidR="004E04E1" w:rsidRDefault="004E04E1" w:rsidP="00723EF5">
      <w:r>
        <w:t xml:space="preserve">Diagnosis of DS is through a combination of physical exams, screening and diagnostic tests. This is facilitated at both pre- and postnatal stage. </w:t>
      </w:r>
    </w:p>
    <w:p w14:paraId="3F57BFA9" w14:textId="77777777" w:rsidR="004E04E1" w:rsidRDefault="004E04E1" w:rsidP="00723EF5">
      <w:r>
        <w:t>Between 10 and 14 weeks of pregnancy:</w:t>
      </w:r>
    </w:p>
    <w:p w14:paraId="24609448" w14:textId="77777777" w:rsidR="004E04E1" w:rsidRDefault="004E04E1" w:rsidP="00BF63ED">
      <w:pPr>
        <w:pStyle w:val="ListParagraph"/>
        <w:numPr>
          <w:ilvl w:val="0"/>
          <w:numId w:val="25"/>
        </w:numPr>
        <w:spacing w:before="0" w:after="160" w:line="264" w:lineRule="auto"/>
        <w:contextualSpacing/>
      </w:pPr>
      <w:r>
        <w:t xml:space="preserve">Testing for DS is undertaken together with screening for </w:t>
      </w:r>
      <w:proofErr w:type="spellStart"/>
      <w:r>
        <w:t>trisomies</w:t>
      </w:r>
      <w:proofErr w:type="spellEnd"/>
      <w:r>
        <w:t xml:space="preserve"> 18 and 13.</w:t>
      </w:r>
    </w:p>
    <w:p w14:paraId="2825587D" w14:textId="77777777" w:rsidR="004E04E1" w:rsidRDefault="004E04E1" w:rsidP="00BF63ED">
      <w:pPr>
        <w:pStyle w:val="ListParagraph"/>
        <w:numPr>
          <w:ilvl w:val="0"/>
          <w:numId w:val="25"/>
        </w:numPr>
        <w:spacing w:before="0" w:after="160" w:line="264" w:lineRule="auto"/>
        <w:contextualSpacing/>
      </w:pPr>
      <w:r>
        <w:t xml:space="preserve">This screening is known as the ‘combined test’, combining an ultrasound with a blood test. </w:t>
      </w:r>
    </w:p>
    <w:p w14:paraId="3BC06E14" w14:textId="12091ABA" w:rsidR="004E04E1" w:rsidRDefault="004E04E1" w:rsidP="00BF63ED">
      <w:pPr>
        <w:pStyle w:val="ListParagraph"/>
        <w:numPr>
          <w:ilvl w:val="0"/>
          <w:numId w:val="25"/>
        </w:numPr>
        <w:spacing w:before="0" w:after="160" w:line="264" w:lineRule="auto"/>
        <w:contextualSpacing/>
      </w:pPr>
      <w:r>
        <w:t xml:space="preserve">Alongside the age of the mother, the information from these two tests </w:t>
      </w:r>
      <w:r w:rsidR="00ED1AB4">
        <w:t>is</w:t>
      </w:r>
      <w:r>
        <w:t xml:space="preserve"> then used to assess the chance of the baby having DS. </w:t>
      </w:r>
      <w:r>
        <w:tab/>
      </w:r>
    </w:p>
    <w:p w14:paraId="604BD7B8" w14:textId="77777777" w:rsidR="004E04E1" w:rsidRDefault="004E04E1" w:rsidP="00BF63ED">
      <w:pPr>
        <w:pStyle w:val="ListParagraph"/>
        <w:numPr>
          <w:ilvl w:val="0"/>
          <w:numId w:val="25"/>
        </w:numPr>
        <w:spacing w:before="0" w:after="160" w:line="264" w:lineRule="auto"/>
        <w:contextualSpacing/>
      </w:pPr>
      <w:r>
        <w:t>If the foetus chance is found to be higher than 1 in 150, the mother is offered either non-invasive prenatal testing or an invasive test</w:t>
      </w:r>
      <w:r>
        <w:rPr>
          <w:rStyle w:val="EndnoteReference"/>
        </w:rPr>
        <w:endnoteReference w:id="279"/>
      </w:r>
      <w:r>
        <w:t>.</w:t>
      </w:r>
    </w:p>
    <w:p w14:paraId="589FA19B" w14:textId="77777777" w:rsidR="004E04E1" w:rsidRDefault="004E04E1" w:rsidP="00723EF5">
      <w:r>
        <w:t>Between 14 and 20 weeks of pregnancy:</w:t>
      </w:r>
    </w:p>
    <w:p w14:paraId="7F07A97F" w14:textId="77777777" w:rsidR="004E04E1" w:rsidRDefault="004E04E1" w:rsidP="00BF63ED">
      <w:pPr>
        <w:pStyle w:val="ListParagraph"/>
        <w:numPr>
          <w:ilvl w:val="0"/>
          <w:numId w:val="26"/>
        </w:numPr>
        <w:spacing w:before="0" w:after="160" w:line="264" w:lineRule="auto"/>
        <w:contextualSpacing/>
      </w:pPr>
      <w:r>
        <w:t xml:space="preserve">If presenting too late for the combined test, at this stage, a quadruple screening test can be undertaken. It is not considered as accurate as the combined test. </w:t>
      </w:r>
    </w:p>
    <w:p w14:paraId="63FE6672" w14:textId="77777777" w:rsidR="004E04E1" w:rsidRDefault="004E04E1" w:rsidP="00BF63ED">
      <w:pPr>
        <w:pStyle w:val="ListParagraph"/>
        <w:numPr>
          <w:ilvl w:val="0"/>
          <w:numId w:val="26"/>
        </w:numPr>
        <w:spacing w:before="0" w:after="160" w:line="264" w:lineRule="auto"/>
        <w:contextualSpacing/>
      </w:pPr>
      <w:r>
        <w:t xml:space="preserve">When the chance of DS found to be higher than 1 in 150, further testing is offered. </w:t>
      </w:r>
    </w:p>
    <w:p w14:paraId="31AD0040" w14:textId="77777777" w:rsidR="004E04E1" w:rsidRDefault="004E04E1" w:rsidP="00723EF5">
      <w:r>
        <w:lastRenderedPageBreak/>
        <w:t>Fewer than 1 in 20 results will be considered higher chance. For those where a higher chance is identified, there are three options for further assessment and testing:</w:t>
      </w:r>
    </w:p>
    <w:p w14:paraId="54EF731C" w14:textId="77777777" w:rsidR="004E04E1" w:rsidRDefault="004E04E1" w:rsidP="00BF63ED">
      <w:pPr>
        <w:pStyle w:val="ListParagraph"/>
        <w:numPr>
          <w:ilvl w:val="0"/>
          <w:numId w:val="27"/>
        </w:numPr>
        <w:spacing w:before="0" w:after="160" w:line="264" w:lineRule="auto"/>
        <w:contextualSpacing/>
      </w:pPr>
      <w:r>
        <w:t>Not have any further testing</w:t>
      </w:r>
    </w:p>
    <w:p w14:paraId="011FED8A" w14:textId="77777777" w:rsidR="004E04E1" w:rsidRDefault="004E04E1" w:rsidP="00BF63ED">
      <w:pPr>
        <w:pStyle w:val="ListParagraph"/>
        <w:numPr>
          <w:ilvl w:val="0"/>
          <w:numId w:val="27"/>
        </w:numPr>
        <w:spacing w:before="0" w:after="160" w:line="264" w:lineRule="auto"/>
        <w:contextualSpacing/>
      </w:pPr>
      <w:r>
        <w:t>Have a second screening test called non-invasive prenatal testing (NIPT) – a blood test providing a more accurate screening result</w:t>
      </w:r>
    </w:p>
    <w:p w14:paraId="40E87DFB" w14:textId="77777777" w:rsidR="004E04E1" w:rsidRDefault="004E04E1" w:rsidP="00BF63ED">
      <w:pPr>
        <w:pStyle w:val="ListParagraph"/>
        <w:numPr>
          <w:ilvl w:val="0"/>
          <w:numId w:val="27"/>
        </w:numPr>
        <w:spacing w:before="0" w:after="160" w:line="264" w:lineRule="auto"/>
        <w:contextualSpacing/>
      </w:pPr>
      <w:r>
        <w:t>Have a diagnostic test which will advise for certain whether the baby has DS or not.</w:t>
      </w:r>
    </w:p>
    <w:p w14:paraId="3235DE87" w14:textId="77777777" w:rsidR="004E04E1" w:rsidRPr="00293C95" w:rsidRDefault="004E04E1" w:rsidP="00723EF5">
      <w:pPr>
        <w:rPr>
          <w:b/>
          <w:bCs/>
        </w:rPr>
      </w:pPr>
      <w:r w:rsidRPr="00293C95">
        <w:rPr>
          <w:b/>
          <w:bCs/>
        </w:rPr>
        <w:t>Postnatal diagnosis:</w:t>
      </w:r>
    </w:p>
    <w:p w14:paraId="57A6A5E7" w14:textId="77777777" w:rsidR="004E04E1" w:rsidRDefault="004E04E1" w:rsidP="00723EF5">
      <w:r>
        <w:t xml:space="preserve">During initial newborn examinations, any suspected dysmorphic features / other abnormalities should be identified and appropriately responded to. At this stage, a combination of physical examinations and genetic testing is undertaken. Following on from </w:t>
      </w:r>
      <w:r w:rsidRPr="00007B18">
        <w:t>this</w:t>
      </w:r>
      <w:r>
        <w:t xml:space="preserve"> testing and </w:t>
      </w:r>
      <w:r w:rsidRPr="00007B18">
        <w:t>depending</w:t>
      </w:r>
      <w:r>
        <w:t xml:space="preserve"> on the results, a diagnosis may be given.</w:t>
      </w:r>
    </w:p>
    <w:p w14:paraId="7DF014A5" w14:textId="2B738A04" w:rsidR="005318E5" w:rsidRPr="00B7138F" w:rsidRDefault="005318E5" w:rsidP="005318E5">
      <w:pPr>
        <w:pStyle w:val="Heading3"/>
        <w:rPr>
          <w:color w:val="006B70"/>
        </w:rPr>
      </w:pPr>
      <w:r w:rsidRPr="00B7138F">
        <w:rPr>
          <w:color w:val="006B70"/>
        </w:rPr>
        <w:t>Pathway</w:t>
      </w:r>
    </w:p>
    <w:p w14:paraId="2BA81391" w14:textId="77777777" w:rsidR="00CA50C4" w:rsidRPr="00CA50C4" w:rsidRDefault="00CA50C4" w:rsidP="00293C95">
      <w:r w:rsidRPr="00CA50C4">
        <w:t>Once a physical disability has been identified, either prenatally, postnatally, or through early developmental screening, children and families are referred to local health, education and social care services for coordinated assessment and support.</w:t>
      </w:r>
    </w:p>
    <w:p w14:paraId="6A037EBC" w14:textId="50AE004C" w:rsidR="00CA50C4" w:rsidRPr="00CA50C4" w:rsidRDefault="00CA50C4" w:rsidP="00293C95">
      <w:r w:rsidRPr="00CA50C4">
        <w:t xml:space="preserve">In Tower Hamlets, pathways for children with physical disabilities typically involve a </w:t>
      </w:r>
      <w:r w:rsidRPr="00293C95">
        <w:t>multi-agency approach</w:t>
      </w:r>
      <w:r w:rsidR="00513900">
        <w:t>,</w:t>
      </w:r>
      <w:r w:rsidRPr="00CA50C4">
        <w:t xml:space="preserve"> including the community paediatrics team, occupational therapy, physiotherapy, and educational support through SEN services. Referrals may also come from </w:t>
      </w:r>
      <w:r w:rsidRPr="00293C95">
        <w:t>GPs, health visitors, or early years settings</w:t>
      </w:r>
      <w:r w:rsidRPr="00CA50C4">
        <w:t xml:space="preserve"> where concerns arise about motor skills, coordination, or mobility.</w:t>
      </w:r>
    </w:p>
    <w:p w14:paraId="6A10C100" w14:textId="10579762" w:rsidR="005318E5" w:rsidRPr="005318E5" w:rsidRDefault="00CA50C4" w:rsidP="005318E5">
      <w:r w:rsidRPr="00CA50C4">
        <w:t xml:space="preserve">The pathway emphasises </w:t>
      </w:r>
      <w:r w:rsidRPr="00293C95">
        <w:t>early identification, integrated planning, and access to support at the right time</w:t>
      </w:r>
      <w:r w:rsidRPr="00CA50C4">
        <w:t xml:space="preserve">, in line with the SEND Code of Practice (DfE &amp; </w:t>
      </w:r>
      <w:proofErr w:type="spellStart"/>
      <w:r w:rsidRPr="00CA50C4">
        <w:t>DoH</w:t>
      </w:r>
      <w:proofErr w:type="spellEnd"/>
      <w:r w:rsidRPr="00CA50C4">
        <w:t>, 2015). Families are supported through coordinated care planning and review meetings that ensure health and education professionals work together to meet each child’s needs.</w:t>
      </w:r>
    </w:p>
    <w:p w14:paraId="2BB7C26E" w14:textId="77777777" w:rsidR="004E04E1" w:rsidRPr="00DA2DB1" w:rsidRDefault="004E04E1" w:rsidP="00723EF5">
      <w:pPr>
        <w:pStyle w:val="Heading3"/>
        <w:rPr>
          <w:color w:val="006B70"/>
        </w:rPr>
      </w:pPr>
      <w:bookmarkStart w:id="432" w:name="_Toc211414048"/>
      <w:bookmarkStart w:id="433" w:name="_Toc211439907"/>
      <w:bookmarkStart w:id="434" w:name="_Toc211414049"/>
      <w:bookmarkStart w:id="435" w:name="_Toc211439908"/>
      <w:bookmarkStart w:id="436" w:name="_Toc211414050"/>
      <w:bookmarkStart w:id="437" w:name="_Toc211439909"/>
      <w:bookmarkStart w:id="438" w:name="_Toc205386976"/>
      <w:bookmarkStart w:id="439" w:name="_Toc205388046"/>
      <w:bookmarkStart w:id="440" w:name="_Toc205446057"/>
      <w:bookmarkEnd w:id="432"/>
      <w:bookmarkEnd w:id="433"/>
      <w:bookmarkEnd w:id="434"/>
      <w:bookmarkEnd w:id="435"/>
      <w:bookmarkEnd w:id="436"/>
      <w:bookmarkEnd w:id="437"/>
      <w:r w:rsidRPr="00DA2DB1">
        <w:rPr>
          <w:color w:val="006B70"/>
        </w:rPr>
        <w:t>Healthy Lifestyle</w:t>
      </w:r>
      <w:bookmarkEnd w:id="438"/>
      <w:bookmarkEnd w:id="439"/>
      <w:bookmarkEnd w:id="440"/>
      <w:r w:rsidRPr="00DA2DB1">
        <w:rPr>
          <w:color w:val="006B70"/>
        </w:rPr>
        <w:t xml:space="preserve"> </w:t>
      </w:r>
    </w:p>
    <w:p w14:paraId="43AABD12" w14:textId="77777777" w:rsidR="004E04E1" w:rsidRDefault="004E04E1" w:rsidP="00723EF5">
      <w:r>
        <w:t xml:space="preserve">Children and young people with physical disabilities may require additional support and equipment to access learning and participate in daily life. Establishing a healthy lifestyle is both achievable and critical for individuals with physical disabilities. </w:t>
      </w:r>
    </w:p>
    <w:p w14:paraId="0824347C" w14:textId="77777777" w:rsidR="004E04E1" w:rsidRDefault="004E04E1" w:rsidP="00723EF5">
      <w:r w:rsidRPr="006F1A3A">
        <w:rPr>
          <w:b/>
          <w:bCs/>
        </w:rPr>
        <w:t>Physical activity:</w:t>
      </w:r>
      <w:r>
        <w:t xml:space="preserve"> Children and young people with physical disabilities may have a lower perceived ability to engage in physical activity, leading to decreased motivation</w:t>
      </w:r>
      <w:r>
        <w:rPr>
          <w:rStyle w:val="EndnoteReference"/>
        </w:rPr>
        <w:endnoteReference w:id="280"/>
      </w:r>
      <w:r>
        <w:t xml:space="preserve">. Furthermore, certain physical disabilities can cause pain or fatigue, limiting the duration and intensity of physical activity.  Often a lack of accessible facilities and programmes create additional barriers to engagement. </w:t>
      </w:r>
    </w:p>
    <w:p w14:paraId="6FFE1D76" w14:textId="77777777" w:rsidR="004E04E1" w:rsidRDefault="004E04E1" w:rsidP="00723EF5">
      <w:r w:rsidRPr="006F1A3A">
        <w:rPr>
          <w:b/>
          <w:bCs/>
        </w:rPr>
        <w:t>Diet and hydration:</w:t>
      </w:r>
      <w:r>
        <w:t xml:space="preserve"> Some children and young people may have difficulties with eating and drinking. This may be because they are not necessarily able to make physical movements to bite, chew and swallow food and drink</w:t>
      </w:r>
      <w:r>
        <w:rPr>
          <w:rStyle w:val="EndnoteReference"/>
        </w:rPr>
        <w:endnoteReference w:id="281"/>
      </w:r>
      <w:r>
        <w:t xml:space="preserve">. </w:t>
      </w:r>
    </w:p>
    <w:p w14:paraId="02BD1C5A" w14:textId="77777777" w:rsidR="004E04E1" w:rsidRDefault="004E04E1" w:rsidP="00723EF5">
      <w:r>
        <w:rPr>
          <w:b/>
          <w:bCs/>
        </w:rPr>
        <w:t>Sleep:</w:t>
      </w:r>
      <w:r>
        <w:t xml:space="preserve"> </w:t>
      </w:r>
      <w:r w:rsidRPr="006F1A3A">
        <w:t>Physical disabilities can significantly impact sleep patterns and duration in children and young people, leading to difficulties with both falling asleep and staying asleep. These challenges can arise from a variety of factors, including physical discomfort, pain, breathing difficulties, and the use of</w:t>
      </w:r>
      <w:r>
        <w:t xml:space="preserve"> medical</w:t>
      </w:r>
      <w:r w:rsidRPr="006F1A3A">
        <w:t xml:space="preserve"> technolog</w:t>
      </w:r>
      <w:r>
        <w:t>y that may be in use</w:t>
      </w:r>
      <w:r>
        <w:rPr>
          <w:rStyle w:val="EndnoteReference"/>
        </w:rPr>
        <w:endnoteReference w:id="282"/>
      </w:r>
      <w:r>
        <w:t>.</w:t>
      </w:r>
    </w:p>
    <w:p w14:paraId="2BF54C23" w14:textId="77777777" w:rsidR="004E04E1" w:rsidRDefault="004E04E1" w:rsidP="00723EF5">
      <w:r>
        <w:rPr>
          <w:b/>
          <w:bCs/>
        </w:rPr>
        <w:lastRenderedPageBreak/>
        <w:t>Mental health:</w:t>
      </w:r>
      <w:r>
        <w:t xml:space="preserve"> Children and young people with physical disabilities face increased risk of mental health challenges, including anxiety, depression and feelings of isolation. These challenges can be exacerbated by social stigma, limitations on activities and difficulty accessing appropriate support. Conversely, mental health difficulties can also impact physical and health and contribute to the development or worsening of physical disabilities</w:t>
      </w:r>
      <w:r>
        <w:rPr>
          <w:rStyle w:val="EndnoteReference"/>
        </w:rPr>
        <w:endnoteReference w:id="283"/>
      </w:r>
      <w:r>
        <w:t xml:space="preserve">. </w:t>
      </w:r>
    </w:p>
    <w:p w14:paraId="48F17811" w14:textId="77777777" w:rsidR="004E04E1" w:rsidRDefault="004E04E1" w:rsidP="00F469F9">
      <w:pPr>
        <w:pStyle w:val="Heading5"/>
      </w:pPr>
      <w:r>
        <w:t>Down Syndrome</w:t>
      </w:r>
    </w:p>
    <w:p w14:paraId="7297FEB0" w14:textId="77777777" w:rsidR="004E04E1" w:rsidRDefault="004E04E1" w:rsidP="00723EF5">
      <w:r>
        <w:t xml:space="preserve">Children and young people with DS can experience a wide variety of challenges in maintaining a healthy lifestyle. They may be particularly susceptible to infections, whilst also living with greater risk of some health conditions which can introduce further challenges. However, </w:t>
      </w:r>
      <w:proofErr w:type="gramStart"/>
      <w:r>
        <w:t>each individual</w:t>
      </w:r>
      <w:proofErr w:type="gramEnd"/>
      <w:r>
        <w:t xml:space="preserve"> with DS is different and not every person will have serious health problems.</w:t>
      </w:r>
    </w:p>
    <w:p w14:paraId="6CCC595C" w14:textId="1D450D23" w:rsidR="00FB10AF" w:rsidRDefault="00FB10AF" w:rsidP="00723EF5">
      <w:r w:rsidRPr="00FB10AF">
        <w:t>That said, some symptoms have historically been viewed as inherent to Down syndrome, leading to missed underlying conditions</w:t>
      </w:r>
      <w:r w:rsidR="00D84D16">
        <w:t xml:space="preserve"> </w:t>
      </w:r>
      <w:r w:rsidRPr="00FB10AF">
        <w:t>a phenomenon known as diagnostic overshadowing. A proactive, tailored programme of health surveillance that recognises potential comorbidities can ensure timely treatment and better outcomes</w:t>
      </w:r>
      <w:r w:rsidR="00583DF0">
        <w:rPr>
          <w:rStyle w:val="EndnoteReference"/>
        </w:rPr>
        <w:endnoteReference w:id="284"/>
      </w:r>
      <w:r w:rsidRPr="00FB10AF">
        <w:t>. With appropriate care, individuals with Down syndrome can enjoy good health, independence, and a quality of life extending well into their 60s, 70s, and beyond</w:t>
      </w:r>
      <w:r>
        <w:rPr>
          <w:rStyle w:val="EndnoteReference"/>
        </w:rPr>
        <w:endnoteReference w:id="285"/>
      </w:r>
      <w:r>
        <w:t>.</w:t>
      </w:r>
    </w:p>
    <w:p w14:paraId="4B9A7A0E" w14:textId="116BDD3C" w:rsidR="002628D7" w:rsidRDefault="002628D7" w:rsidP="00723EF5">
      <w:r w:rsidRPr="002628D7">
        <w:t>Barriers to healthy living may include developmental delays, reduced muscle tone, or sleep and swallowing difficulties, all of which can affect daily routines, participation in activity</w:t>
      </w:r>
      <w:r w:rsidR="001D6BF6">
        <w:rPr>
          <w:rStyle w:val="EndnoteReference"/>
        </w:rPr>
        <w:endnoteReference w:id="286"/>
      </w:r>
      <w:r w:rsidRPr="002628D7">
        <w:t>, and dietary choices. Environmental barriers, such as limited accessibility of public spaces, can also restrict opportunities for physical and social engagement</w:t>
      </w:r>
      <w:r w:rsidR="00C05411" w:rsidRPr="00293C95">
        <w:rPr>
          <w:vertAlign w:val="superscript"/>
        </w:rPr>
        <w:fldChar w:fldCharType="begin"/>
      </w:r>
      <w:r w:rsidR="00C05411" w:rsidRPr="00293C95">
        <w:rPr>
          <w:vertAlign w:val="superscript"/>
        </w:rPr>
        <w:instrText xml:space="preserve"> NOTEREF _Ref210998049 \h </w:instrText>
      </w:r>
      <w:r w:rsidR="00C05411">
        <w:rPr>
          <w:vertAlign w:val="superscript"/>
        </w:rPr>
        <w:instrText xml:space="preserve"> \* MERGEFORMAT </w:instrText>
      </w:r>
      <w:r w:rsidR="00C05411" w:rsidRPr="00293C95">
        <w:rPr>
          <w:vertAlign w:val="superscript"/>
        </w:rPr>
      </w:r>
      <w:r w:rsidR="00C05411" w:rsidRPr="00293C95">
        <w:rPr>
          <w:vertAlign w:val="superscript"/>
        </w:rPr>
        <w:fldChar w:fldCharType="separate"/>
      </w:r>
      <w:r w:rsidR="008722C4">
        <w:rPr>
          <w:b/>
          <w:bCs/>
          <w:vertAlign w:val="superscript"/>
          <w:lang w:val="en-US"/>
        </w:rPr>
        <w:t>Error! Bookmark not defined.</w:t>
      </w:r>
      <w:r w:rsidR="00C05411" w:rsidRPr="00293C95">
        <w:rPr>
          <w:vertAlign w:val="superscript"/>
        </w:rPr>
        <w:fldChar w:fldCharType="end"/>
      </w:r>
      <w:r w:rsidR="00C05411">
        <w:rPr>
          <w:rStyle w:val="EndnoteReference"/>
        </w:rPr>
        <w:t xml:space="preserve"> </w:t>
      </w:r>
      <w:r w:rsidR="008C7A2B">
        <w:rPr>
          <w:rStyle w:val="EndnoteReference"/>
        </w:rPr>
        <w:endnoteReference w:id="287"/>
      </w:r>
      <w:r w:rsidR="00611BED">
        <w:t xml:space="preserve"> </w:t>
      </w:r>
      <w:r w:rsidR="00611BED">
        <w:rPr>
          <w:rStyle w:val="EndnoteReference"/>
        </w:rPr>
        <w:endnoteReference w:id="288"/>
      </w:r>
      <w:r w:rsidR="00C11019">
        <w:t xml:space="preserve"> </w:t>
      </w:r>
      <w:r w:rsidR="00C11019">
        <w:rPr>
          <w:rStyle w:val="EndnoteReference"/>
        </w:rPr>
        <w:endnoteReference w:id="289"/>
      </w:r>
      <w:r w:rsidRPr="002628D7">
        <w:t>.</w:t>
      </w:r>
    </w:p>
    <w:p w14:paraId="703FB837" w14:textId="5EBE74FA" w:rsidR="004E04E1" w:rsidRDefault="004E04E1" w:rsidP="00723EF5">
      <w:r>
        <w:t>Promotion of healthy lifestyles include a focus on individualised, positive approaches to nutrition, physical activity and social support. Engraining positive habits from a young age can support transitions into adulthood.</w:t>
      </w:r>
    </w:p>
    <w:p w14:paraId="578AF703" w14:textId="77777777" w:rsidR="004E04E1" w:rsidRPr="00DF03EF" w:rsidRDefault="004E04E1" w:rsidP="00F469F9">
      <w:pPr>
        <w:pStyle w:val="Heading5"/>
      </w:pPr>
      <w:r w:rsidRPr="00DF03EF">
        <w:t>Cerebral Palsy</w:t>
      </w:r>
    </w:p>
    <w:p w14:paraId="093310A0" w14:textId="77777777" w:rsidR="004E04E1" w:rsidRDefault="004E04E1" w:rsidP="00723EF5">
      <w:r w:rsidRPr="000E42C1">
        <w:t>Individuals with cerebral palsy often face numerous barriers to physical activity, including physical limitations, lack of accessible facilities, and social factors. These barriers can lead to reduced physical activity levels, increased sedentary behaviour, and potential health consequence</w:t>
      </w:r>
      <w:r>
        <w:rPr>
          <w:rStyle w:val="EndnoteReference"/>
        </w:rPr>
        <w:endnoteReference w:id="290"/>
      </w:r>
      <w:r>
        <w:t>. However, promoting physical activity and healthy eating is crucial for managing cerebral palsy and preventing secondary health issues</w:t>
      </w:r>
      <w:r>
        <w:rPr>
          <w:rStyle w:val="EndnoteReference"/>
        </w:rPr>
        <w:endnoteReference w:id="291"/>
      </w:r>
      <w:r>
        <w:t>.  Adaptive equipment such as wheelchairs, walking aids and specialised exercise machines can enable individuals to participate in physical activities.</w:t>
      </w:r>
    </w:p>
    <w:p w14:paraId="07117823" w14:textId="77777777" w:rsidR="004E04E1" w:rsidRDefault="004E04E1" w:rsidP="00723EF5">
      <w:r>
        <w:t>Physical limitations and swallowing difficulties can make accessing and consuming heathy food difficult. This can also influence the ability to self-feed. Additionally, certain medications used to manage cerebral palsy can cause appetite loss and nausea, leading to deficiencies in specific vitamins and minerals. Furthermore, cerebral palsy can increase the risk of constipation and gastroesophageal reflux, which can further impact appetite and eating habits</w:t>
      </w:r>
      <w:r>
        <w:rPr>
          <w:rStyle w:val="EndnoteReference"/>
        </w:rPr>
        <w:endnoteReference w:id="292"/>
      </w:r>
      <w:r>
        <w:t>.</w:t>
      </w:r>
    </w:p>
    <w:p w14:paraId="443A780F" w14:textId="77777777" w:rsidR="004E04E1" w:rsidRPr="00457C59" w:rsidRDefault="004E04E1" w:rsidP="00723EF5">
      <w:pPr>
        <w:pStyle w:val="Heading3"/>
        <w:rPr>
          <w:color w:val="006B70"/>
        </w:rPr>
      </w:pPr>
      <w:bookmarkStart w:id="441" w:name="_Toc205386977"/>
      <w:bookmarkStart w:id="442" w:name="_Toc205388047"/>
      <w:bookmarkStart w:id="443" w:name="_Toc205446058"/>
      <w:r w:rsidRPr="00457C59">
        <w:rPr>
          <w:color w:val="006B70"/>
        </w:rPr>
        <w:t>School Life</w:t>
      </w:r>
      <w:bookmarkEnd w:id="441"/>
      <w:bookmarkEnd w:id="442"/>
      <w:bookmarkEnd w:id="443"/>
      <w:r w:rsidRPr="00457C59">
        <w:rPr>
          <w:color w:val="006B70"/>
        </w:rPr>
        <w:t xml:space="preserve"> </w:t>
      </w:r>
    </w:p>
    <w:p w14:paraId="121CAAC6" w14:textId="77777777" w:rsidR="004E04E1" w:rsidRDefault="004E04E1" w:rsidP="00723EF5">
      <w:r w:rsidRPr="00C8706D">
        <w:t xml:space="preserve">Children with physical disabilities can face </w:t>
      </w:r>
      <w:r>
        <w:t xml:space="preserve">both </w:t>
      </w:r>
      <w:r w:rsidRPr="00C8706D">
        <w:t>unique challenges and positive experiences in their school lives. These experiences are influenced by factors like the type and severity of the disability, the school environment, and the support systems in place. </w:t>
      </w:r>
      <w:r>
        <w:t>Whilst</w:t>
      </w:r>
      <w:r w:rsidRPr="00C8706D">
        <w:t xml:space="preserve"> some students thrive in inclusive settings, others may encounter barriers related to accessibility, social integration, and the availability </w:t>
      </w:r>
      <w:r w:rsidRPr="00C8706D">
        <w:lastRenderedPageBreak/>
        <w:t>of appropriate support</w:t>
      </w:r>
      <w:r>
        <w:rPr>
          <w:rStyle w:val="EndnoteReference"/>
        </w:rPr>
        <w:endnoteReference w:id="293"/>
      </w:r>
      <w:r w:rsidRPr="00C8706D">
        <w:t>. </w:t>
      </w:r>
      <w:r>
        <w:t xml:space="preserve">Children and young people with physical needs typically require specific support and adaptations to thrive in school. </w:t>
      </w:r>
    </w:p>
    <w:p w14:paraId="70D020CE" w14:textId="77777777" w:rsidR="004E04E1" w:rsidRDefault="004E04E1" w:rsidP="00723EF5">
      <w:r w:rsidRPr="00FB7910">
        <w:rPr>
          <w:b/>
          <w:bCs/>
        </w:rPr>
        <w:t>Social inclusion:</w:t>
      </w:r>
      <w:r>
        <w:t xml:space="preserve"> Students with physical disabilities may experience bullying, prejudice and social isolation, leading to anxiety, depression and low self-esteem</w:t>
      </w:r>
      <w:r>
        <w:rPr>
          <w:rStyle w:val="EndnoteReference"/>
        </w:rPr>
        <w:endnoteReference w:id="294"/>
      </w:r>
      <w:r>
        <w:t xml:space="preserve">. </w:t>
      </w:r>
    </w:p>
    <w:p w14:paraId="0C86BE46" w14:textId="6FBFEE2D" w:rsidR="00BA6EF4" w:rsidRDefault="004E04E1" w:rsidP="00723EF5">
      <w:r w:rsidRPr="00FB7910">
        <w:rPr>
          <w:b/>
          <w:bCs/>
        </w:rPr>
        <w:t>Accessibility:</w:t>
      </w:r>
      <w:r>
        <w:t xml:space="preserve"> Physical environments such as playgrounds, toilets and transportation may not be adequately design for students with physical disabilities and therefore create barriers to participation. Identifying needs early and provision appropriate support, such as specialised equipment or tailored learning strategies is crucial to support academic development. </w:t>
      </w:r>
      <w:r w:rsidR="00300D64">
        <w:t xml:space="preserve">This is applicable to not just schools but play and </w:t>
      </w:r>
      <w:r w:rsidR="00300D64" w:rsidRPr="000B3320">
        <w:t xml:space="preserve">recreation – see figure </w:t>
      </w:r>
      <w:r w:rsidR="000B3320" w:rsidRPr="000B3320">
        <w:t>11.1</w:t>
      </w:r>
      <w:r w:rsidR="00300D64" w:rsidRPr="000B3320">
        <w:t>.</w:t>
      </w:r>
    </w:p>
    <w:p w14:paraId="3218FB98" w14:textId="4B5885A7" w:rsidR="00300D64" w:rsidRPr="000B3320" w:rsidRDefault="00300D64" w:rsidP="00723EF5">
      <w:pPr>
        <w:rPr>
          <w:b/>
          <w:bCs/>
          <w:sz w:val="18"/>
          <w:szCs w:val="18"/>
        </w:rPr>
      </w:pPr>
      <w:r w:rsidRPr="000B3320">
        <w:rPr>
          <w:b/>
          <w:bCs/>
          <w:sz w:val="18"/>
          <w:szCs w:val="18"/>
        </w:rPr>
        <w:t xml:space="preserve">Figure </w:t>
      </w:r>
      <w:r w:rsidR="000B3320" w:rsidRPr="000B3320">
        <w:rPr>
          <w:b/>
          <w:bCs/>
          <w:sz w:val="18"/>
          <w:szCs w:val="18"/>
        </w:rPr>
        <w:t>11.1</w:t>
      </w:r>
      <w:r w:rsidRPr="000B3320">
        <w:rPr>
          <w:b/>
          <w:bCs/>
          <w:sz w:val="18"/>
          <w:szCs w:val="18"/>
        </w:rPr>
        <w:t>: Experience of people with disabilities and the extent they can access a range of spaces with opportunities for play and recreation</w:t>
      </w:r>
      <w:r w:rsidR="004C2B74" w:rsidRPr="000B3320">
        <w:rPr>
          <w:b/>
          <w:bCs/>
          <w:sz w:val="18"/>
          <w:szCs w:val="18"/>
        </w:rPr>
        <w:t xml:space="preserve"> in Tower Hamlets</w:t>
      </w:r>
      <w:r w:rsidRPr="000B3320">
        <w:rPr>
          <w:b/>
          <w:bCs/>
          <w:sz w:val="18"/>
          <w:szCs w:val="18"/>
        </w:rPr>
        <w:t>.</w:t>
      </w:r>
    </w:p>
    <w:p w14:paraId="329064A1" w14:textId="77777777" w:rsidR="004C2B74" w:rsidRDefault="00C1111D" w:rsidP="00E750DF">
      <w:pPr>
        <w:jc w:val="center"/>
      </w:pPr>
      <w:r>
        <w:rPr>
          <w:noProof/>
        </w:rPr>
        <w:drawing>
          <wp:inline distT="0" distB="0" distL="0" distR="0" wp14:anchorId="607D33C2" wp14:editId="1CEB57AF">
            <wp:extent cx="3693226" cy="1947362"/>
            <wp:effectExtent l="19050" t="19050" r="21590" b="15240"/>
            <wp:docPr id="933249714" name="Picture 48" descr="Graph showing disability verses spaces for play and re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49714" name="Picture 48" descr="Graph showing disability verses spaces for play and recreati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98283" cy="1950029"/>
                    </a:xfrm>
                    <a:prstGeom prst="rect">
                      <a:avLst/>
                    </a:prstGeom>
                    <a:noFill/>
                    <a:ln>
                      <a:solidFill>
                        <a:schemeClr val="bg1">
                          <a:lumMod val="75000"/>
                        </a:schemeClr>
                      </a:solidFill>
                    </a:ln>
                  </pic:spPr>
                </pic:pic>
              </a:graphicData>
            </a:graphic>
          </wp:inline>
        </w:drawing>
      </w:r>
    </w:p>
    <w:p w14:paraId="386E9456" w14:textId="6F8D918D" w:rsidR="006964CC" w:rsidRPr="000B3320" w:rsidRDefault="006964CC" w:rsidP="00E750DF">
      <w:pPr>
        <w:jc w:val="right"/>
        <w:rPr>
          <w:b/>
          <w:bCs/>
          <w:sz w:val="18"/>
          <w:szCs w:val="18"/>
        </w:rPr>
      </w:pPr>
      <w:r w:rsidRPr="000B3320">
        <w:rPr>
          <w:b/>
          <w:bCs/>
          <w:sz w:val="18"/>
          <w:szCs w:val="18"/>
        </w:rPr>
        <w:t>Source: Healthwatch Tower Hamlets</w:t>
      </w:r>
      <w:r w:rsidRPr="000B3320">
        <w:rPr>
          <w:rStyle w:val="EndnoteReference"/>
          <w:b/>
          <w:bCs/>
          <w:sz w:val="18"/>
          <w:szCs w:val="18"/>
        </w:rPr>
        <w:endnoteReference w:id="295"/>
      </w:r>
    </w:p>
    <w:p w14:paraId="467A204A" w14:textId="0068AA08" w:rsidR="002C4EFF" w:rsidRDefault="006964CC" w:rsidP="00723EF5">
      <w:r>
        <w:rPr>
          <w:b/>
          <w:bCs/>
        </w:rPr>
        <w:t>Mainstream schools:</w:t>
      </w:r>
      <w:r>
        <w:t xml:space="preserve"> Pupils can thrive in mainstream schools with appropriate support and accommodations. The type and level of support needed will vary based on individual needs, which may include SEN support or an EHC</w:t>
      </w:r>
      <w:r w:rsidR="0051337C">
        <w:t>P</w:t>
      </w:r>
      <w:r>
        <w:t xml:space="preserve">. Collaboration between parents, teachers and healthcare professionals is crucial for creating an inclusive and supportive environment. </w:t>
      </w:r>
    </w:p>
    <w:p w14:paraId="144D408F" w14:textId="6AEAA2F2" w:rsidR="006964CC" w:rsidRDefault="002C4EFF" w:rsidP="00723EF5">
      <w:r>
        <w:t>M</w:t>
      </w:r>
      <w:r w:rsidR="00B04841" w:rsidRPr="009F511C">
        <w:t>ost children with physical disabilities have typical cognitive abilities and can excel academically in mainstream settings when appropriate support, accessibility, and inclusive teaching practices are in place.</w:t>
      </w:r>
    </w:p>
    <w:p w14:paraId="0CACDF45" w14:textId="455A3315" w:rsidR="00F56824" w:rsidRPr="008E3052" w:rsidRDefault="00F56824" w:rsidP="00723EF5">
      <w:r w:rsidRPr="00F56824">
        <w:t>Although education policy and disability legislation emphasise mainstream inclusion, there continues to be a strong demand for special schools to meet the needs of children with more complex or multiple disabilities, highlighting an ongoing challenge for the borough.</w:t>
      </w:r>
    </w:p>
    <w:p w14:paraId="74F0357A" w14:textId="77777777" w:rsidR="006964CC" w:rsidRPr="00457C59" w:rsidRDefault="006964CC" w:rsidP="00723EF5">
      <w:pPr>
        <w:pStyle w:val="Heading3"/>
        <w:rPr>
          <w:color w:val="006B70"/>
        </w:rPr>
      </w:pPr>
      <w:bookmarkStart w:id="444" w:name="_Toc211414053"/>
      <w:bookmarkStart w:id="445" w:name="_Toc211439912"/>
      <w:bookmarkStart w:id="446" w:name="_Toc205386978"/>
      <w:bookmarkStart w:id="447" w:name="_Toc205388048"/>
      <w:bookmarkStart w:id="448" w:name="_Toc205446059"/>
      <w:bookmarkEnd w:id="444"/>
      <w:bookmarkEnd w:id="445"/>
      <w:r w:rsidRPr="00457C59">
        <w:rPr>
          <w:color w:val="006B70"/>
        </w:rPr>
        <w:t>Outcomes</w:t>
      </w:r>
      <w:bookmarkEnd w:id="446"/>
      <w:bookmarkEnd w:id="447"/>
      <w:bookmarkEnd w:id="448"/>
      <w:r w:rsidRPr="00457C59">
        <w:rPr>
          <w:color w:val="006B70"/>
        </w:rPr>
        <w:t xml:space="preserve"> </w:t>
      </w:r>
    </w:p>
    <w:p w14:paraId="59309D2C" w14:textId="2D6A74F1" w:rsidR="006964CC" w:rsidRDefault="006964CC" w:rsidP="00293C95">
      <w:r w:rsidRPr="00524B0A">
        <w:t>Studies</w:t>
      </w:r>
      <w:bookmarkStart w:id="449" w:name="_Ref204720862"/>
      <w:r>
        <w:rPr>
          <w:rStyle w:val="EndnoteReference"/>
        </w:rPr>
        <w:endnoteReference w:id="296"/>
      </w:r>
      <w:bookmarkEnd w:id="449"/>
      <w:r w:rsidRPr="00524B0A">
        <w:t xml:space="preserve"> have shown that individuals with </w:t>
      </w:r>
      <w:r w:rsidR="00690ADD">
        <w:t xml:space="preserve">physical </w:t>
      </w:r>
      <w:r w:rsidRPr="00524B0A">
        <w:t>disabilities are more likely than people without disabilities to report</w:t>
      </w:r>
      <w:r w:rsidR="00A83D17">
        <w:t>: “p</w:t>
      </w:r>
      <w:r w:rsidRPr="00524B0A">
        <w:t>oorer overall health</w:t>
      </w:r>
      <w:r w:rsidR="00A83D17">
        <w:t>, l</w:t>
      </w:r>
      <w:r w:rsidRPr="00524B0A">
        <w:t>ess access to adequate health care; or</w:t>
      </w:r>
      <w:r w:rsidR="00A83D17">
        <w:t xml:space="preserve"> s</w:t>
      </w:r>
      <w:r w:rsidRPr="00524B0A">
        <w:t>moking and physical inactivity</w:t>
      </w:r>
      <w:r w:rsidR="00A83D17">
        <w:t>”</w:t>
      </w:r>
      <w:r w:rsidRPr="00524B0A">
        <w:t>.</w:t>
      </w:r>
    </w:p>
    <w:p w14:paraId="390A8D2E" w14:textId="6815061C" w:rsidR="006964CC" w:rsidRDefault="006964CC" w:rsidP="00723EF5">
      <w:r>
        <w:t xml:space="preserve">Additionally, those with disabilities are often at greater risk for additional health problems that can be prevented. </w:t>
      </w:r>
      <w:r w:rsidR="009361DC">
        <w:t xml:space="preserve">There </w:t>
      </w:r>
      <w:r>
        <w:t xml:space="preserve">is significant evidence demonstrating that people with disabilities have fewer life opportunities relative to those without disabilities. They are more likely to be unemployed or relatively </w:t>
      </w:r>
      <w:r>
        <w:lastRenderedPageBreak/>
        <w:t xml:space="preserve">under-employed, </w:t>
      </w:r>
      <w:r w:rsidR="00F93134">
        <w:t xml:space="preserve">more likely to be reliant on carers, </w:t>
      </w:r>
      <w:r>
        <w:t xml:space="preserve">and to live in poverty than people without disabilities. </w:t>
      </w:r>
    </w:p>
    <w:p w14:paraId="4D1B975D" w14:textId="69417595" w:rsidR="006964CC" w:rsidRDefault="006964CC" w:rsidP="00723EF5">
      <w:r>
        <w:rPr>
          <w:b/>
          <w:bCs/>
        </w:rPr>
        <w:t>Vulnerabilities to conditions:</w:t>
      </w:r>
      <w:r>
        <w:t xml:space="preserve"> </w:t>
      </w:r>
      <w:r w:rsidRPr="00524B0A">
        <w:t>People with disabilities are particularly vulnerable to gaps in health care services. Depending on the group and setting, persons with disabilities may experience greater vulnerability to secondary conditions, co-morbid conditions, age-relate</w:t>
      </w:r>
      <w:r w:rsidR="007A28FE">
        <w:t>d</w:t>
      </w:r>
      <w:r w:rsidRPr="00524B0A">
        <w:t xml:space="preserve"> conditions, engaging in health risk behaviours and higher rates of premature death</w:t>
      </w:r>
      <w:r>
        <w:rPr>
          <w:rStyle w:val="EndnoteReference"/>
        </w:rPr>
        <w:endnoteReference w:id="297"/>
      </w:r>
      <w:r w:rsidRPr="00524B0A">
        <w:t>.  </w:t>
      </w:r>
    </w:p>
    <w:p w14:paraId="368AA66C" w14:textId="77777777" w:rsidR="006964CC" w:rsidRPr="00457C59" w:rsidRDefault="006964CC" w:rsidP="00723EF5">
      <w:pPr>
        <w:pStyle w:val="Heading3"/>
        <w:rPr>
          <w:color w:val="006B70"/>
        </w:rPr>
      </w:pPr>
      <w:bookmarkStart w:id="450" w:name="_Toc205386979"/>
      <w:bookmarkStart w:id="451" w:name="_Toc205388049"/>
      <w:bookmarkStart w:id="452" w:name="_Toc205446060"/>
      <w:r w:rsidRPr="00457C59">
        <w:rPr>
          <w:color w:val="006B70"/>
        </w:rPr>
        <w:t>Transitions</w:t>
      </w:r>
      <w:bookmarkEnd w:id="450"/>
      <w:bookmarkEnd w:id="451"/>
      <w:bookmarkEnd w:id="452"/>
      <w:r w:rsidRPr="00457C59">
        <w:rPr>
          <w:color w:val="006B70"/>
        </w:rPr>
        <w:t xml:space="preserve"> </w:t>
      </w:r>
    </w:p>
    <w:p w14:paraId="001F5CB2" w14:textId="77777777" w:rsidR="006964CC" w:rsidRDefault="006964CC" w:rsidP="00723EF5">
      <w:r>
        <w:t xml:space="preserve">Transition periods, such as moving from primary school to secondary school, or beyond can be particularly challenging for students with disabilities. Inclusive education entails preparation for transitions by equipping them with the necessary skills and resources, as well as those who will continue to support them. This therefore requires the development of individualised transition plans that </w:t>
      </w:r>
      <w:proofErr w:type="gramStart"/>
      <w:r>
        <w:t>take into account</w:t>
      </w:r>
      <w:proofErr w:type="gramEnd"/>
      <w:r>
        <w:t xml:space="preserve"> the needs, strengths and goals of each person.</w:t>
      </w:r>
    </w:p>
    <w:p w14:paraId="4E33DBE0" w14:textId="77777777" w:rsidR="006964CC" w:rsidRPr="00457C59" w:rsidRDefault="006964CC" w:rsidP="00723EF5">
      <w:pPr>
        <w:pStyle w:val="Heading3"/>
        <w:rPr>
          <w:color w:val="006B70"/>
        </w:rPr>
      </w:pPr>
      <w:bookmarkStart w:id="453" w:name="_Toc205386980"/>
      <w:bookmarkStart w:id="454" w:name="_Toc205388050"/>
      <w:bookmarkStart w:id="455" w:name="_Toc205446061"/>
      <w:r w:rsidRPr="00457C59">
        <w:rPr>
          <w:color w:val="006B70"/>
        </w:rPr>
        <w:t>What works (evidence-based practice)</w:t>
      </w:r>
      <w:bookmarkEnd w:id="453"/>
      <w:bookmarkEnd w:id="454"/>
      <w:bookmarkEnd w:id="455"/>
      <w:r w:rsidRPr="00457C59">
        <w:rPr>
          <w:color w:val="006B70"/>
        </w:rPr>
        <w:t xml:space="preserve"> </w:t>
      </w:r>
    </w:p>
    <w:p w14:paraId="3686F798" w14:textId="676042A3" w:rsidR="006964CC" w:rsidRDefault="006964CC" w:rsidP="00723EF5">
      <w:r>
        <w:t>For children and young people with physical needs, a multi-faceted approach to support continues to remain central within the literature to help them to thrive. This includes</w:t>
      </w:r>
      <w:r w:rsidR="005542A2">
        <w:rPr>
          <w:rStyle w:val="EndnoteReference"/>
        </w:rPr>
        <w:endnoteReference w:id="298"/>
      </w:r>
      <w:r>
        <w:t>:</w:t>
      </w:r>
    </w:p>
    <w:p w14:paraId="72D55490" w14:textId="77777777" w:rsidR="006964CC" w:rsidRDefault="006964CC" w:rsidP="00BF63ED">
      <w:pPr>
        <w:pStyle w:val="ListParagraph"/>
        <w:numPr>
          <w:ilvl w:val="0"/>
          <w:numId w:val="29"/>
        </w:numPr>
        <w:spacing w:before="0" w:after="160" w:line="264" w:lineRule="auto"/>
        <w:contextualSpacing/>
      </w:pPr>
      <w:r>
        <w:t xml:space="preserve">Individualised assessment and planning </w:t>
      </w:r>
      <w:proofErr w:type="gramStart"/>
      <w:r>
        <w:t>in order to</w:t>
      </w:r>
      <w:proofErr w:type="gramEnd"/>
      <w:r>
        <w:t xml:space="preserve"> develop a personalised support plan which includes adjustments to the learning environment, specialist equipment and / or therapeutic interventions</w:t>
      </w:r>
    </w:p>
    <w:p w14:paraId="7D1A0A0D" w14:textId="77777777" w:rsidR="006964CC" w:rsidRDefault="006964CC" w:rsidP="00BF63ED">
      <w:pPr>
        <w:pStyle w:val="ListParagraph"/>
        <w:numPr>
          <w:ilvl w:val="0"/>
          <w:numId w:val="29"/>
        </w:numPr>
        <w:spacing w:before="0" w:after="160" w:line="264" w:lineRule="auto"/>
        <w:contextualSpacing/>
      </w:pPr>
      <w:r>
        <w:t>Targeted interventions for example, occupational therapy to support the development of fine and gross motor skills, whilst physiotherapy can focus on mobility.</w:t>
      </w:r>
    </w:p>
    <w:p w14:paraId="6B008ABB" w14:textId="77777777" w:rsidR="006964CC" w:rsidRDefault="006964CC" w:rsidP="00BF63ED">
      <w:pPr>
        <w:pStyle w:val="ListParagraph"/>
        <w:numPr>
          <w:ilvl w:val="0"/>
          <w:numId w:val="29"/>
        </w:numPr>
        <w:spacing w:before="0" w:after="160" w:line="264" w:lineRule="auto"/>
        <w:contextualSpacing/>
      </w:pPr>
      <w:r>
        <w:t>A strong collaborative approach between educators, therapists, parents and the children or young person themselves remains critical to ensure consistent and appropriate support within settings.</w:t>
      </w:r>
    </w:p>
    <w:p w14:paraId="0ED72B70" w14:textId="77777777" w:rsidR="006964CC" w:rsidRDefault="006964CC" w:rsidP="00BF63ED">
      <w:pPr>
        <w:pStyle w:val="ListParagraph"/>
        <w:numPr>
          <w:ilvl w:val="0"/>
          <w:numId w:val="29"/>
        </w:numPr>
        <w:spacing w:before="0" w:after="160" w:line="264" w:lineRule="auto"/>
        <w:contextualSpacing/>
      </w:pPr>
      <w:r w:rsidRPr="00787ECF">
        <w:t>The effectiveness of interventions needs to be regularly reviewed and adjusted based on the child's progress and changing needs. This ensures that the support remains appropriate and continues to promote positive outcomes. </w:t>
      </w:r>
    </w:p>
    <w:p w14:paraId="6FAA12C5" w14:textId="77777777" w:rsidR="006964CC" w:rsidRPr="00787ECF" w:rsidRDefault="006964CC" w:rsidP="00BF63ED">
      <w:pPr>
        <w:pStyle w:val="ListParagraph"/>
        <w:numPr>
          <w:ilvl w:val="0"/>
          <w:numId w:val="29"/>
        </w:numPr>
        <w:spacing w:before="0" w:after="160" w:line="264" w:lineRule="auto"/>
        <w:contextualSpacing/>
      </w:pPr>
      <w:r w:rsidRPr="00787ECF">
        <w:t>Recogni</w:t>
      </w:r>
      <w:r>
        <w:t>s</w:t>
      </w:r>
      <w:r w:rsidRPr="00787ECF">
        <w:t>ing and building on a child's strengths and abilities is essential. This approach fosters a positive self-image and promotes confidence in their capacity to learn and participate. </w:t>
      </w:r>
    </w:p>
    <w:p w14:paraId="6A9EFA69" w14:textId="73954471" w:rsidR="006964CC" w:rsidRDefault="006964CC" w:rsidP="00723EF5">
      <w:r w:rsidRPr="00E948EB">
        <w:rPr>
          <w:b/>
          <w:bCs/>
        </w:rPr>
        <w:t>Physical activity:</w:t>
      </w:r>
      <w:r>
        <w:t xml:space="preserve"> There is evidence showing a likely relationship between engaging in physical activity and positive health outcomes for those with physical needs. </w:t>
      </w:r>
      <w:r w:rsidRPr="00E948EB">
        <w:t> </w:t>
      </w:r>
      <w:r>
        <w:t xml:space="preserve">This includes a mixture of aerobic and strength-based </w:t>
      </w:r>
      <w:r w:rsidR="00F615AA">
        <w:t>exercises</w:t>
      </w:r>
      <w:r>
        <w:t xml:space="preserve">. </w:t>
      </w:r>
      <w:r w:rsidR="005B0045" w:rsidRPr="005B0045">
        <w:t>Physical activity is safe for children and young people with physical disabilities when adapted to their abilities, health, and developmental stage</w:t>
      </w:r>
      <w:r>
        <w:rPr>
          <w:rStyle w:val="EndnoteReference"/>
        </w:rPr>
        <w:endnoteReference w:id="299"/>
      </w:r>
      <w:r w:rsidRPr="00E948EB">
        <w:t>.</w:t>
      </w:r>
    </w:p>
    <w:p w14:paraId="654B2591" w14:textId="6535BEB1" w:rsidR="00301D89" w:rsidRPr="00E750DF" w:rsidRDefault="006964CC" w:rsidP="00723EF5">
      <w:pPr>
        <w:rPr>
          <w:b/>
          <w:bCs/>
          <w:sz w:val="18"/>
          <w:szCs w:val="18"/>
        </w:rPr>
      </w:pPr>
      <w:r w:rsidRPr="00E750DF">
        <w:rPr>
          <w:b/>
          <w:bCs/>
          <w:sz w:val="18"/>
          <w:szCs w:val="18"/>
        </w:rPr>
        <w:t xml:space="preserve">Figure </w:t>
      </w:r>
      <w:r w:rsidR="000B3320">
        <w:rPr>
          <w:b/>
          <w:bCs/>
          <w:sz w:val="18"/>
          <w:szCs w:val="18"/>
        </w:rPr>
        <w:t>11.1</w:t>
      </w:r>
      <w:r w:rsidRPr="00E750DF">
        <w:rPr>
          <w:b/>
          <w:bCs/>
          <w:sz w:val="18"/>
          <w:szCs w:val="18"/>
        </w:rPr>
        <w:t>: UK Chief Medical Officers’ Physical Activity Guidelines for Disabled Children and Disabled Young Peopl</w:t>
      </w:r>
      <w:r w:rsidR="00A72B9D">
        <w:rPr>
          <w:b/>
          <w:bCs/>
          <w:sz w:val="18"/>
          <w:szCs w:val="18"/>
        </w:rPr>
        <w:t>e</w:t>
      </w:r>
      <w:r w:rsidRPr="00E750DF">
        <w:rPr>
          <w:b/>
          <w:bCs/>
          <w:sz w:val="18"/>
          <w:szCs w:val="18"/>
        </w:rPr>
        <w:t>.</w:t>
      </w:r>
    </w:p>
    <w:p w14:paraId="43F7A288" w14:textId="0F4E7299" w:rsidR="0050030D" w:rsidRDefault="00E71C1F" w:rsidP="00777F94">
      <w:pPr>
        <w:jc w:val="center"/>
      </w:pPr>
      <w:r>
        <w:rPr>
          <w:noProof/>
        </w:rPr>
        <w:object w:dxaOrig="5950" w:dyaOrig="8420" w14:anchorId="2228DB40">
          <v:shape id="_x0000_i1027" type="#_x0000_t75" alt="A flow chart showing the benefits of physical activity for disabled children and disabled young people." style="width:295.8pt;height:418.8pt" o:ole="">
            <v:imagedata r:id="rId36" o:title=""/>
          </v:shape>
          <o:OLEObject Type="Embed" ProgID="Acrobat.Document.DC" ShapeID="_x0000_i1027" DrawAspect="Content" ObjectID="_1838902629" r:id="rId37"/>
        </w:object>
      </w:r>
    </w:p>
    <w:p w14:paraId="6C04E25D" w14:textId="2C4A3BF3" w:rsidR="00E63EBF" w:rsidRPr="000B3320" w:rsidRDefault="00E63EBF" w:rsidP="00E63EBF">
      <w:pPr>
        <w:jc w:val="right"/>
        <w:rPr>
          <w:b/>
          <w:bCs/>
          <w:sz w:val="16"/>
          <w:szCs w:val="16"/>
        </w:rPr>
      </w:pPr>
      <w:r w:rsidRPr="000B3320">
        <w:rPr>
          <w:b/>
          <w:bCs/>
          <w:sz w:val="16"/>
          <w:szCs w:val="16"/>
        </w:rPr>
        <w:t>Source:</w:t>
      </w:r>
      <w:r w:rsidR="00DD62C6" w:rsidRPr="000B3320">
        <w:rPr>
          <w:b/>
          <w:bCs/>
          <w:sz w:val="16"/>
          <w:szCs w:val="16"/>
        </w:rPr>
        <w:t xml:space="preserve"> </w:t>
      </w:r>
      <w:r w:rsidR="00A72B9D" w:rsidRPr="000B3320">
        <w:rPr>
          <w:b/>
          <w:bCs/>
          <w:sz w:val="16"/>
          <w:szCs w:val="16"/>
        </w:rPr>
        <w:t xml:space="preserve">Department of Health &amp; Social Care (2022) </w:t>
      </w:r>
      <w:r w:rsidR="00A72B9D" w:rsidRPr="000B3320">
        <w:rPr>
          <w:rStyle w:val="EndnoteReference"/>
          <w:b/>
          <w:bCs/>
          <w:sz w:val="16"/>
          <w:szCs w:val="16"/>
        </w:rPr>
        <w:endnoteReference w:id="300"/>
      </w:r>
    </w:p>
    <w:p w14:paraId="24370D84" w14:textId="77777777" w:rsidR="004E04E1" w:rsidRPr="00DF03EF" w:rsidRDefault="004E04E1" w:rsidP="00F469F9">
      <w:pPr>
        <w:pStyle w:val="Heading5"/>
      </w:pPr>
      <w:r w:rsidRPr="00DF03EF">
        <w:t>Down Syndrome</w:t>
      </w:r>
    </w:p>
    <w:p w14:paraId="6F0E4091" w14:textId="77777777" w:rsidR="004E04E1" w:rsidRDefault="004E04E1" w:rsidP="00723EF5">
      <w:r>
        <w:t>There remain significant gaps in DS research, however, research to date indicates the following evidence-based approaches to caring for and supporting children and young people with DS:</w:t>
      </w:r>
    </w:p>
    <w:p w14:paraId="65723404" w14:textId="77CA094A" w:rsidR="00FF7AF5" w:rsidRDefault="004E04E1" w:rsidP="00723EF5">
      <w:r w:rsidRPr="00013F5B">
        <w:rPr>
          <w:b/>
          <w:bCs/>
        </w:rPr>
        <w:t>Healthcare:</w:t>
      </w:r>
      <w:r>
        <w:t xml:space="preserve"> </w:t>
      </w:r>
      <w:r w:rsidR="00FF7AF5" w:rsidRPr="00FF7AF5">
        <w:t>Management is best delivered through a holistic, multi-disciplinary approach tailored to the child’s needs. This includes parental education, hearing and vision assessments, healthy lifestyle guidance, appropriate cardiac referrals, and input from paediatricians, neurologists, psychologists, physical and occupational therapists, language therapists, and audiologists</w:t>
      </w:r>
      <w:r w:rsidR="00FF7AF5">
        <w:rPr>
          <w:rStyle w:val="EndnoteReference"/>
        </w:rPr>
        <w:endnoteReference w:id="301"/>
      </w:r>
      <w:r w:rsidR="00FF7AF5" w:rsidRPr="00FF7AF5">
        <w:t>.</w:t>
      </w:r>
    </w:p>
    <w:p w14:paraId="6E8B00FE" w14:textId="271DC8D3" w:rsidR="0088216E" w:rsidRDefault="004E04E1" w:rsidP="00723EF5">
      <w:r>
        <w:rPr>
          <w:b/>
          <w:bCs/>
        </w:rPr>
        <w:t>Healthy Lifestyle:</w:t>
      </w:r>
      <w:r>
        <w:t xml:space="preserve"> </w:t>
      </w:r>
      <w:r w:rsidR="0088216E" w:rsidRPr="0088216E">
        <w:t>Effective weight management and healthy habits require a combination of education, practical strategies, and routine-building, rather than solely exercise-based programmes. Activities like walking or cycling to school and active play at home support long-term healthy behaviours, with modelling by caregivers being key</w:t>
      </w:r>
      <w:r w:rsidR="0088216E">
        <w:t xml:space="preserve"> </w:t>
      </w:r>
      <w:r w:rsidR="0088216E">
        <w:rPr>
          <w:rStyle w:val="EndnoteReference"/>
        </w:rPr>
        <w:endnoteReference w:id="302"/>
      </w:r>
      <w:r w:rsidR="0088216E">
        <w:t xml:space="preserve"> </w:t>
      </w:r>
      <w:r w:rsidR="0088216E">
        <w:rPr>
          <w:rStyle w:val="EndnoteReference"/>
        </w:rPr>
        <w:endnoteReference w:id="303"/>
      </w:r>
      <w:r w:rsidR="0088216E" w:rsidRPr="0088216E">
        <w:t>.</w:t>
      </w:r>
    </w:p>
    <w:p w14:paraId="041E2A3E" w14:textId="247F2472" w:rsidR="005A1016" w:rsidRDefault="004E04E1" w:rsidP="00723EF5">
      <w:r w:rsidRPr="00D82239">
        <w:rPr>
          <w:b/>
          <w:bCs/>
        </w:rPr>
        <w:t>Speech and language:</w:t>
      </w:r>
      <w:r>
        <w:t xml:space="preserve"> </w:t>
      </w:r>
      <w:r w:rsidR="005A1016" w:rsidRPr="005A1016">
        <w:t>Early intervention is critical to optimise communication outcomes. Encouraging shared attention</w:t>
      </w:r>
      <w:r w:rsidR="005A1016">
        <w:t xml:space="preserve">, </w:t>
      </w:r>
      <w:r w:rsidR="005A1016" w:rsidRPr="005A1016">
        <w:t>where child and caregiver focus on the same object or event</w:t>
      </w:r>
      <w:r w:rsidR="005A1016">
        <w:t xml:space="preserve">, </w:t>
      </w:r>
      <w:r w:rsidR="005A1016" w:rsidRPr="005A1016">
        <w:t>supports language development by increasing exposure to language in context</w:t>
      </w:r>
      <w:r w:rsidR="005A1016">
        <w:rPr>
          <w:rStyle w:val="EndnoteReference"/>
        </w:rPr>
        <w:endnoteReference w:id="304"/>
      </w:r>
      <w:r w:rsidR="005A1016" w:rsidRPr="005A1016">
        <w:t>.</w:t>
      </w:r>
    </w:p>
    <w:p w14:paraId="488DA848" w14:textId="7C90641E" w:rsidR="004E04E1" w:rsidRDefault="004E04E1" w:rsidP="00723EF5">
      <w:r w:rsidRPr="008413B2">
        <w:rPr>
          <w:b/>
          <w:bCs/>
        </w:rPr>
        <w:lastRenderedPageBreak/>
        <w:t>Parent-child relationship:</w:t>
      </w:r>
      <w:r>
        <w:t xml:space="preserve"> </w:t>
      </w:r>
      <w:r w:rsidR="000A6851" w:rsidRPr="000A6851">
        <w:t>Positive, responsive interactions with caregivers significantly enhance developmental gains. Early intervention should include support for family interaction patterns and resources to maximise developmental trajectories</w:t>
      </w:r>
      <w:r w:rsidR="000A6851">
        <w:rPr>
          <w:rStyle w:val="EndnoteReference"/>
        </w:rPr>
        <w:endnoteReference w:id="305"/>
      </w:r>
      <w:r w:rsidR="000A6851" w:rsidRPr="000A6851">
        <w:t>.</w:t>
      </w:r>
      <w:r w:rsidR="000A6851">
        <w:t xml:space="preserve"> </w:t>
      </w:r>
    </w:p>
    <w:p w14:paraId="7D7D9DAE" w14:textId="77777777" w:rsidR="004E04E1" w:rsidRPr="00DF03EF" w:rsidRDefault="004E04E1" w:rsidP="00F469F9">
      <w:pPr>
        <w:pStyle w:val="Heading5"/>
      </w:pPr>
      <w:r w:rsidRPr="00DF03EF">
        <w:t>Cerebral Palsy</w:t>
      </w:r>
    </w:p>
    <w:p w14:paraId="57172002" w14:textId="77777777" w:rsidR="004E04E1" w:rsidRPr="00525CB9" w:rsidRDefault="004E04E1" w:rsidP="00723EF5">
      <w:r>
        <w:t>Evidence strongly supports that children and young people with cerebral palsy can thrive with early intervention, specialised healthcare and supportive environments. This includes access to physical, speech and occupational therapy as well as education support and assistance technologies. Parental support and participation in therapy programmes are also crucial for positive outcomes</w:t>
      </w:r>
      <w:r>
        <w:rPr>
          <w:rStyle w:val="EndnoteReference"/>
        </w:rPr>
        <w:endnoteReference w:id="306"/>
      </w:r>
      <w:r>
        <w:t xml:space="preserve">. </w:t>
      </w:r>
    </w:p>
    <w:p w14:paraId="69D4A8B9" w14:textId="6DC91D38" w:rsidR="002B5B18" w:rsidRPr="00345E8B" w:rsidRDefault="004E04E1" w:rsidP="00723EF5">
      <w:r w:rsidRPr="00070683">
        <w:rPr>
          <w:b/>
          <w:bCs/>
        </w:rPr>
        <w:t>Assistive technologies:</w:t>
      </w:r>
      <w:r>
        <w:t xml:space="preserve"> </w:t>
      </w:r>
      <w:r w:rsidRPr="00070683">
        <w:t xml:space="preserve">Assistive technologies play a vital role in enhancing the independence and quality of life for individuals with cerebral palsy. Tools such as speech-generating devices, orthotics, wheelchairs, and adaptive utensils support communication, mobility, and daily living tasks. These technologies help reduce physical barriers, promote social interaction, and increase self-sufficiency. Integrated into physical, occupational, and speech therapies, they enable more effective treatment and greater participation in everyday activities. </w:t>
      </w:r>
    </w:p>
    <w:p w14:paraId="3940D8B9" w14:textId="77777777" w:rsidR="004E04E1" w:rsidRPr="00457C59" w:rsidRDefault="004E04E1" w:rsidP="00723EF5">
      <w:pPr>
        <w:pStyle w:val="Heading3"/>
        <w:rPr>
          <w:color w:val="006B70"/>
        </w:rPr>
      </w:pPr>
      <w:bookmarkStart w:id="456" w:name="_Toc205386981"/>
      <w:bookmarkStart w:id="457" w:name="_Toc205388051"/>
      <w:bookmarkStart w:id="458" w:name="_Toc205446062"/>
      <w:r w:rsidRPr="00457C59">
        <w:rPr>
          <w:color w:val="006B70"/>
        </w:rPr>
        <w:t>Support services</w:t>
      </w:r>
      <w:bookmarkEnd w:id="456"/>
      <w:bookmarkEnd w:id="457"/>
      <w:bookmarkEnd w:id="458"/>
      <w:r w:rsidRPr="00457C59">
        <w:rPr>
          <w:color w:val="006B70"/>
        </w:rPr>
        <w:t xml:space="preserve"> </w:t>
      </w:r>
    </w:p>
    <w:p w14:paraId="07C70D4C" w14:textId="4A5DC9E2" w:rsidR="004E04E1" w:rsidRDefault="004E04E1" w:rsidP="00723EF5">
      <w:r w:rsidRPr="00D21281">
        <w:t>In Tower Hamlets, children with physical impairments are supported through the</w:t>
      </w:r>
      <w:r>
        <w:t xml:space="preserve"> SEND</w:t>
      </w:r>
      <w:r w:rsidRPr="00D21281">
        <w:t xml:space="preserve"> system. This includes access to the SEND Information, Advice and Support Service (SEND IASS), advisory teachers for physically children</w:t>
      </w:r>
      <w:r w:rsidR="009E6DB7">
        <w:t xml:space="preserve"> with disabilities</w:t>
      </w:r>
      <w:r w:rsidRPr="00D21281">
        <w:t>, and specialist support within mainstream schools. The borough also has a SEND strategy that aims to ensure timely, effective, and well-coordinated support for children with SEND and their families</w:t>
      </w:r>
    </w:p>
    <w:p w14:paraId="7A55D926" w14:textId="0B16CE07" w:rsidR="004E04E1" w:rsidRDefault="004E04E1" w:rsidP="00723EF5">
      <w:r>
        <w:t>In Tower Hamlets, all children should have access to universal services (such as health visitor, general practitioner etc.) in the same way as those without a physical need. In addition, they have easy access to the following services:</w:t>
      </w:r>
    </w:p>
    <w:p w14:paraId="4A787E04" w14:textId="77777777" w:rsidR="004E04E1" w:rsidRDefault="004E04E1" w:rsidP="00BF63ED">
      <w:pPr>
        <w:pStyle w:val="ListParagraph"/>
        <w:numPr>
          <w:ilvl w:val="0"/>
          <w:numId w:val="30"/>
        </w:numPr>
        <w:spacing w:before="0" w:after="160" w:line="264" w:lineRule="auto"/>
        <w:contextualSpacing/>
      </w:pPr>
      <w:r>
        <w:t>Therapy: physiotherapy, occupational therapy, speech and language therapy</w:t>
      </w:r>
    </w:p>
    <w:p w14:paraId="0B8738FF" w14:textId="77777777" w:rsidR="004E04E1" w:rsidRDefault="004E04E1" w:rsidP="00BF63ED">
      <w:pPr>
        <w:pStyle w:val="ListParagraph"/>
        <w:numPr>
          <w:ilvl w:val="0"/>
          <w:numId w:val="30"/>
        </w:numPr>
        <w:spacing w:before="0" w:after="160" w:line="264" w:lineRule="auto"/>
        <w:contextualSpacing/>
      </w:pPr>
      <w:r>
        <w:t>Hospital Specialists: respiratory, cardiology, ENT, ophthalmology, immunology and endocrine</w:t>
      </w:r>
    </w:p>
    <w:p w14:paraId="5DA2446F" w14:textId="77777777" w:rsidR="004E04E1" w:rsidRDefault="004E04E1" w:rsidP="00BF63ED">
      <w:pPr>
        <w:pStyle w:val="ListParagraph"/>
        <w:numPr>
          <w:ilvl w:val="0"/>
          <w:numId w:val="30"/>
        </w:numPr>
        <w:spacing w:before="0" w:after="160" w:line="264" w:lineRule="auto"/>
        <w:contextualSpacing/>
      </w:pPr>
      <w:r>
        <w:t>Social Care</w:t>
      </w:r>
    </w:p>
    <w:p w14:paraId="35284033" w14:textId="77777777" w:rsidR="004E04E1" w:rsidRDefault="004E04E1" w:rsidP="00BF63ED">
      <w:pPr>
        <w:pStyle w:val="ListParagraph"/>
        <w:numPr>
          <w:ilvl w:val="0"/>
          <w:numId w:val="30"/>
        </w:numPr>
        <w:spacing w:before="0" w:after="160" w:line="264" w:lineRule="auto"/>
        <w:contextualSpacing/>
      </w:pPr>
      <w:r>
        <w:t>Education: early years support, educational psychology</w:t>
      </w:r>
    </w:p>
    <w:p w14:paraId="77FEB67F" w14:textId="69C95695" w:rsidR="003E1238" w:rsidRDefault="003E1238" w:rsidP="00723EF5">
      <w:r w:rsidRPr="003E1238">
        <w:t>In Tower Hamlets, the Local Offer provides a directory of services, resources, and information related to health, education, and social care for children and young people with additional needs. Parents and carers can access specialist advice and support via the Parent/Carer Advisory Service, which offers guidance on health, social care, benefits, and education. Through this service, families can also be directed to further sources of information and support tailored to their needs.</w:t>
      </w:r>
    </w:p>
    <w:p w14:paraId="2E23E474" w14:textId="0E3F6F00" w:rsidR="004E04E1" w:rsidRDefault="004E04E1" w:rsidP="00723EF5">
      <w:r w:rsidRPr="00DD74CE">
        <w:rPr>
          <w:b/>
          <w:bCs/>
        </w:rPr>
        <w:t>Children with disabilities (CWD)</w:t>
      </w:r>
      <w:r w:rsidR="00C35CD8">
        <w:rPr>
          <w:b/>
          <w:bCs/>
        </w:rPr>
        <w:t xml:space="preserve"> Team</w:t>
      </w:r>
      <w:r w:rsidRPr="00DD74CE">
        <w:rPr>
          <w:b/>
          <w:bCs/>
        </w:rPr>
        <w:t>:</w:t>
      </w:r>
      <w:r>
        <w:t xml:space="preserve"> </w:t>
      </w:r>
      <w:r w:rsidRPr="000306CA">
        <w:t>The CWD Team works with families</w:t>
      </w:r>
      <w:r w:rsidR="006417EC">
        <w:t xml:space="preserve"> and</w:t>
      </w:r>
      <w:r w:rsidRPr="000306CA">
        <w:t xml:space="preserve"> can arrange practical support, personal care in the home, short breaks, direct payments, counselling and residential services and can also put carers in touch with other specialist organisations.</w:t>
      </w:r>
      <w:r>
        <w:t xml:space="preserve"> Parents / carers can self-refer to this service. </w:t>
      </w:r>
    </w:p>
    <w:p w14:paraId="320007D0" w14:textId="77777777" w:rsidR="004E04E1" w:rsidRDefault="004E04E1" w:rsidP="00723EF5">
      <w:r w:rsidRPr="004D7525">
        <w:t>Further resources for specific conditions are also accessible via the local offer website.</w:t>
      </w:r>
    </w:p>
    <w:p w14:paraId="4C5497C2" w14:textId="32920EB8" w:rsidR="00883D48" w:rsidRDefault="00883D48" w:rsidP="00723EF5">
      <w:r w:rsidRPr="00B2700B">
        <w:rPr>
          <w:b/>
          <w:bCs/>
        </w:rPr>
        <w:t>Short break services:</w:t>
      </w:r>
      <w:r>
        <w:t xml:space="preserve"> </w:t>
      </w:r>
      <w:r w:rsidRPr="00883D48">
        <w:t>Short breaks enable and support children and young people with a disability to live ordinary family lives, to have fun, try new activities, gain independence and make friends</w:t>
      </w:r>
      <w:r w:rsidR="00B2700B">
        <w:t xml:space="preserve">. </w:t>
      </w:r>
      <w:r w:rsidR="00B2700B" w:rsidRPr="00B2700B">
        <w:t xml:space="preserve">They </w:t>
      </w:r>
      <w:r w:rsidR="00B2700B" w:rsidRPr="00B2700B">
        <w:lastRenderedPageBreak/>
        <w:t>provide parents and carers with a short break from their caring responsibilities.  Local authorities are required under the Children Act 1989 to provide services designed to give breaks for carers of children</w:t>
      </w:r>
      <w:r w:rsidR="009E6DB7">
        <w:t xml:space="preserve"> with disabilities</w:t>
      </w:r>
      <w:r w:rsidR="00B2700B" w:rsidRPr="00B2700B">
        <w:t>.  The ‘Breaks for Carers of Disabled Children Regulations’ (2010) sets out what local authorities should do to meet their duties in relation to the provision of short breaks.</w:t>
      </w:r>
      <w:r w:rsidR="00B2700B">
        <w:t xml:space="preserve"> </w:t>
      </w:r>
      <w:r w:rsidR="00A00C33">
        <w:t xml:space="preserve">Short breaks are available for children and young people aged 5 or over who either live with ASD or complex health needs (physical and/or </w:t>
      </w:r>
      <w:r w:rsidR="00ED1AB4">
        <w:t>learning</w:t>
      </w:r>
      <w:r w:rsidR="00A00C33">
        <w:t xml:space="preserve"> disabilities, those who require palliative care and those with sensory impairments).</w:t>
      </w:r>
      <w:r w:rsidR="00B2700B">
        <w:t xml:space="preserve"> </w:t>
      </w:r>
    </w:p>
    <w:p w14:paraId="77464B01" w14:textId="7ED68982" w:rsidR="0031155A" w:rsidRPr="00E750DF" w:rsidRDefault="0031155A" w:rsidP="00723EF5">
      <w:pPr>
        <w:rPr>
          <w:b/>
          <w:bCs/>
          <w:sz w:val="18"/>
          <w:szCs w:val="18"/>
        </w:rPr>
      </w:pPr>
      <w:r w:rsidRPr="00E750DF">
        <w:rPr>
          <w:b/>
          <w:bCs/>
          <w:sz w:val="18"/>
          <w:szCs w:val="18"/>
        </w:rPr>
        <w:t xml:space="preserve">Figure </w:t>
      </w:r>
      <w:r w:rsidR="000B3320">
        <w:rPr>
          <w:b/>
          <w:bCs/>
          <w:sz w:val="18"/>
          <w:szCs w:val="18"/>
        </w:rPr>
        <w:t>11.2</w:t>
      </w:r>
      <w:r w:rsidRPr="00E750DF">
        <w:rPr>
          <w:b/>
          <w:bCs/>
          <w:sz w:val="18"/>
          <w:szCs w:val="18"/>
        </w:rPr>
        <w:t>: Short break self-referral pathway</w:t>
      </w:r>
    </w:p>
    <w:p w14:paraId="68D807D1" w14:textId="15D9B06C" w:rsidR="005E1581" w:rsidRDefault="005B6BC2" w:rsidP="00777F94">
      <w:pPr>
        <w:jc w:val="center"/>
      </w:pPr>
      <w:r>
        <w:rPr>
          <w:noProof/>
        </w:rPr>
        <w:object w:dxaOrig="5950" w:dyaOrig="8420" w14:anchorId="7595B816">
          <v:shape id="_x0000_i1028" type="#_x0000_t75" alt="Short break self referral pathway. Child or young person is entitled to a short break and the family or a professional want to arrange the short break &#10;&#10;next box: is the preferred option an overnight short break? If yes, professional assessment route - the child or young person's lead practitioner completes a social care assessment or a common assessment framwork (CAF). It will include consideration of the child or young person's continuing health care and personal care needs. This assessment is presented to the integrated service for disabled children's funding panel. This is a meeting with a range of professionals including from children's social care and health services. If the short break is agreed by the funding panel the lead practioner informs the family that their choice of short break has been agreed and informs the short break coordinator who will coordinate the start of the short break with the service provider. If the short break is not agreed by the funding panel, the lead practitioner discusses other options with the family including accessing universal services.&#10;&#10;If the preferred option is not an overnight short break - Does the child or young person already access a specialist short break (this means a second or third specialist short break is being requested)? If yes, then the professional assessment route is required. If no, the parent or carer completes a self referral form where said form is available from the short breaks coordinator who can helpf the family complete the form if needed. If the form is not returned within two weeks, the short breaks coordinator will telephone the family. If there is still no response, the short breaks coordinator will write to the family letting them know that the case will be closed if nothing is recieved within the following two weeks.&#10;&#10;Family returns the complete self referral form to the short breaks co-ordinator. The child or young person's details will be recorded on the Children with Disabilities database. &#10;&#10;Does the child or young person meet the criteria for a specialist short break?  eg. after school or weekend club, befriending, inclusion service or holiday scheme? If yes, does the family want to revieve a payment to arrange their own short break? This is known as a direct patment and is an alternative option to accessing one of the specialised short break services described in the directory. If yes, refer to direct payment pathway or alternatively refer to the provider of choice within 7 working days. The service provider contacts the family to arrange an individual risk assessment of the child's needs. The provider will inform the family about what will happen next and when the short break can start. the service provider contacts the short break provider to confirm the outcome of the risk assessment and to confirm when the child or young person will start their short break. &#10;&#10;If no, the short breaks coordinator discussess other options with the family including accessing universal services or family is referred to the professional assessment route if appropriate.   " style="width:295.8pt;height:418.8pt" o:ole="">
            <v:imagedata r:id="rId38" o:title=""/>
          </v:shape>
          <o:OLEObject Type="Embed" ProgID="Acrobat.Document.DC" ShapeID="_x0000_i1028" DrawAspect="Content" ObjectID="_1838902630" r:id="rId39"/>
        </w:object>
      </w:r>
    </w:p>
    <w:p w14:paraId="63898170" w14:textId="684AFBBF" w:rsidR="00E63EBF" w:rsidRPr="000B3320" w:rsidRDefault="00E63EBF" w:rsidP="00E63EBF">
      <w:pPr>
        <w:jc w:val="right"/>
        <w:rPr>
          <w:b/>
          <w:bCs/>
          <w:sz w:val="16"/>
          <w:szCs w:val="16"/>
        </w:rPr>
      </w:pPr>
      <w:r w:rsidRPr="000B3320">
        <w:rPr>
          <w:b/>
          <w:bCs/>
          <w:sz w:val="16"/>
          <w:szCs w:val="16"/>
        </w:rPr>
        <w:t>Source:</w:t>
      </w:r>
      <w:r w:rsidR="001367DC" w:rsidRPr="000B3320">
        <w:rPr>
          <w:b/>
          <w:bCs/>
          <w:sz w:val="16"/>
          <w:szCs w:val="16"/>
        </w:rPr>
        <w:t xml:space="preserve"> </w:t>
      </w:r>
      <w:r w:rsidR="00CE5B21" w:rsidRPr="000B3320">
        <w:rPr>
          <w:b/>
          <w:bCs/>
          <w:sz w:val="16"/>
          <w:szCs w:val="16"/>
        </w:rPr>
        <w:t>Tower Hamlets Local Offer: Short Break Services</w:t>
      </w:r>
    </w:p>
    <w:p w14:paraId="75155F78" w14:textId="2EF9F2F4" w:rsidR="00927DA5" w:rsidRDefault="00DD00F5" w:rsidP="00723EF5">
      <w:r w:rsidRPr="00DD00F5">
        <w:rPr>
          <w:b/>
          <w:bCs/>
        </w:rPr>
        <w:t>Disabled Children’s Outreach Service (DCOS):</w:t>
      </w:r>
      <w:r>
        <w:t xml:space="preserve"> A community based, therapeutic interventions team supporting children and young people with behaviour that is challenging to understand and manage due to diagnosed developmental difficulties, disabilities and/or complex lifelong physical health needs. Eligibility for this includes children and young people with ASD (who also have severe learning disabilities or behaviour which is challenged) or children and young people with complex health needs (physical and / or learning disabilities, who require palliative care and those with sensory impairments).</w:t>
      </w:r>
    </w:p>
    <w:p w14:paraId="206E0BD3" w14:textId="084372F7" w:rsidR="005D5216" w:rsidRPr="005D5216" w:rsidRDefault="005D5216" w:rsidP="00293C95">
      <w:pPr>
        <w:spacing w:after="160" w:line="264" w:lineRule="auto"/>
      </w:pPr>
      <w:r w:rsidRPr="002440B9">
        <w:rPr>
          <w:b/>
          <w:bCs/>
        </w:rPr>
        <w:lastRenderedPageBreak/>
        <w:t>Tower Project:</w:t>
      </w:r>
      <w:r w:rsidRPr="00033192">
        <w:t xml:space="preserve"> Support children and adults aged 0-25 with SEND to build skills and make friends, as well as offering support to gain employment.</w:t>
      </w:r>
      <w:r>
        <w:t xml:space="preserve"> </w:t>
      </w:r>
    </w:p>
    <w:p w14:paraId="46388FF4" w14:textId="77777777" w:rsidR="004E04E1" w:rsidRPr="00457C59" w:rsidRDefault="004E04E1" w:rsidP="00723EF5">
      <w:pPr>
        <w:pStyle w:val="Heading3"/>
        <w:rPr>
          <w:color w:val="006B70"/>
        </w:rPr>
      </w:pPr>
      <w:r w:rsidRPr="00457C59">
        <w:rPr>
          <w:rFonts w:ascii="Times New Roman" w:hAnsi="Times New Roman" w:cs="Times New Roman"/>
          <w:color w:val="006B70"/>
        </w:rPr>
        <w:t xml:space="preserve"> </w:t>
      </w:r>
      <w:bookmarkStart w:id="459" w:name="_Toc205386982"/>
      <w:bookmarkStart w:id="460" w:name="_Toc205388052"/>
      <w:bookmarkStart w:id="461" w:name="_Toc205446063"/>
      <w:r w:rsidRPr="00457C59">
        <w:rPr>
          <w:color w:val="006B70"/>
        </w:rPr>
        <w:t>Gaps</w:t>
      </w:r>
      <w:bookmarkEnd w:id="459"/>
      <w:bookmarkEnd w:id="460"/>
      <w:bookmarkEnd w:id="461"/>
    </w:p>
    <w:p w14:paraId="02F751DF" w14:textId="72B31007" w:rsidR="004E04E1" w:rsidRDefault="00DE438A" w:rsidP="00723EF5">
      <w:r>
        <w:t>Stakeholders have shared that t</w:t>
      </w:r>
      <w:r w:rsidR="004E04E1" w:rsidRPr="00DF65DA">
        <w:t xml:space="preserve">here are notable gaps in SEND education for individuals with physical disabilities, including limited funding, poor accessibility, a lack of inclusive practices, and insufficient specialist support. These shortcomings contribute to wider achievement disparities, reduced access to essential resources, and negative educational experiences. </w:t>
      </w:r>
    </w:p>
    <w:p w14:paraId="7BE47C9B" w14:textId="5A7AC5D1" w:rsidR="00512C6B" w:rsidRDefault="00512C6B" w:rsidP="00723EF5">
      <w:r w:rsidRPr="00512C6B">
        <w:t>Stakeholders face challenges in the organisation, management, facilitation, and funding of equipment</w:t>
      </w:r>
      <w:r w:rsidR="0013272C">
        <w:t xml:space="preserve"> (</w:t>
      </w:r>
      <w:r w:rsidR="00126B41">
        <w:t xml:space="preserve">i.e. </w:t>
      </w:r>
      <w:r w:rsidR="0013272C">
        <w:t>hoisting equipment, wheelchairs)</w:t>
      </w:r>
      <w:r w:rsidRPr="00512C6B">
        <w:t>. Additionally, there is a lack of clarity regarding the regular monitoring and maintenance of this equipment. A further gap exists in the management of equipment once it is no longer neede</w:t>
      </w:r>
      <w:r w:rsidR="00745093">
        <w:t xml:space="preserve">d, </w:t>
      </w:r>
      <w:r w:rsidRPr="00512C6B">
        <w:t>for example, when a child leaves school.</w:t>
      </w:r>
    </w:p>
    <w:p w14:paraId="650C7D66" w14:textId="77777777" w:rsidR="004E04E1" w:rsidRPr="00457C59" w:rsidRDefault="004E04E1" w:rsidP="00DF594B">
      <w:pPr>
        <w:pStyle w:val="Heading3"/>
        <w:rPr>
          <w:color w:val="006B70"/>
        </w:rPr>
      </w:pPr>
      <w:bookmarkStart w:id="462" w:name="_Toc205386983"/>
      <w:bookmarkStart w:id="463" w:name="_Toc205388053"/>
      <w:bookmarkStart w:id="464" w:name="_Toc205446064"/>
      <w:r w:rsidRPr="00457C59">
        <w:rPr>
          <w:color w:val="006B70"/>
        </w:rPr>
        <w:t>Recommendations</w:t>
      </w:r>
      <w:bookmarkEnd w:id="462"/>
      <w:bookmarkEnd w:id="463"/>
      <w:bookmarkEnd w:id="464"/>
      <w:r w:rsidRPr="00457C59">
        <w:rPr>
          <w:color w:val="006B70"/>
        </w:rPr>
        <w:t xml:space="preserve"> </w:t>
      </w:r>
    </w:p>
    <w:p w14:paraId="3AE379C9" w14:textId="41A1B124" w:rsidR="00EC4817" w:rsidRPr="0077106F" w:rsidRDefault="004876AE" w:rsidP="0077106F">
      <w:r>
        <w:rPr>
          <w:b/>
          <w:bCs/>
        </w:rPr>
        <w:t xml:space="preserve">Improved coordination of equipment: </w:t>
      </w:r>
      <w:r w:rsidR="00EC4817" w:rsidRPr="00EC4817">
        <w:t>Review and streamline the approach to organising and managing equipment to ensure it can be appropriately repurposed and regularly assessed for health and safety compliance.</w:t>
      </w:r>
    </w:p>
    <w:p w14:paraId="323BD3B2" w14:textId="4567EF2A" w:rsidR="00EC4817" w:rsidRPr="00EC4817" w:rsidRDefault="00EC4817" w:rsidP="00EC4817">
      <w:pPr>
        <w:spacing w:before="0" w:after="160" w:line="278" w:lineRule="auto"/>
        <w:jc w:val="left"/>
      </w:pPr>
      <w:r w:rsidRPr="00900F1C">
        <w:t>The following recommendations are based on evidence-based research and reflect best practice approaches. While they do not necessarily indicate a gap in support provision within the borough, they highlight areas where best practice can inform and enhance current strategies</w:t>
      </w:r>
      <w:r>
        <w:t>.</w:t>
      </w:r>
    </w:p>
    <w:p w14:paraId="2B33A466" w14:textId="3303C4B5" w:rsidR="004E04E1" w:rsidRPr="00161860" w:rsidRDefault="004E04E1" w:rsidP="00BF63ED">
      <w:pPr>
        <w:pStyle w:val="ListParagraph"/>
        <w:numPr>
          <w:ilvl w:val="0"/>
          <w:numId w:val="44"/>
        </w:numPr>
      </w:pPr>
      <w:r w:rsidRPr="0059456F">
        <w:rPr>
          <w:b/>
          <w:bCs/>
        </w:rPr>
        <w:t>Multi-faceted approach:</w:t>
      </w:r>
      <w:r>
        <w:t xml:space="preserve"> Supporting children and young people requires a continuous multi-faceted approach, including access to multi-disciplinary teams, tailored therapies and assistive technologies alongside strategies to promote independence and wellbeing. </w:t>
      </w:r>
    </w:p>
    <w:p w14:paraId="7736AE93" w14:textId="77777777" w:rsidR="004E04E1" w:rsidRPr="0059456F" w:rsidRDefault="004E04E1" w:rsidP="00BF63ED">
      <w:pPr>
        <w:pStyle w:val="ListParagraph"/>
        <w:numPr>
          <w:ilvl w:val="0"/>
          <w:numId w:val="44"/>
        </w:numPr>
        <w:spacing w:line="278" w:lineRule="auto"/>
        <w:jc w:val="left"/>
        <w:rPr>
          <w:b/>
          <w:bCs/>
        </w:rPr>
      </w:pPr>
      <w:r w:rsidRPr="0059456F">
        <w:rPr>
          <w:b/>
          <w:bCs/>
        </w:rPr>
        <w:t xml:space="preserve">Funding and Support: </w:t>
      </w:r>
      <w:r w:rsidRPr="00161860">
        <w:t>It is essential to recognise and address the diverse needs of individuals with physical disabilities through sustained and targeted funding. Continued investment is crucial to support development, promote inclusion, and reduce health inequalities, ensuring equitable access to services and opportunities.</w:t>
      </w:r>
    </w:p>
    <w:p w14:paraId="05A7BB1E" w14:textId="63DE40EB" w:rsidR="001B00CF" w:rsidRPr="001B00CF" w:rsidRDefault="004E04E1" w:rsidP="00BF63ED">
      <w:pPr>
        <w:pStyle w:val="ListParagraph"/>
        <w:numPr>
          <w:ilvl w:val="0"/>
          <w:numId w:val="44"/>
        </w:numPr>
        <w:spacing w:line="278" w:lineRule="auto"/>
        <w:jc w:val="left"/>
      </w:pPr>
      <w:r w:rsidRPr="0059456F">
        <w:rPr>
          <w:b/>
          <w:bCs/>
        </w:rPr>
        <w:t>Accessibility:</w:t>
      </w:r>
      <w:r>
        <w:t xml:space="preserve"> </w:t>
      </w:r>
      <w:r w:rsidRPr="001B00CF">
        <w:t>Providing appropriate and accessible equipment is key to breaking down barriers to physical health and social inclusion. Prioritising accessibility in the design of housing, commercial spaces, and recreational facilities helps create inclusive environments where individuals with physical disabilities can fully participate in everyday life.</w:t>
      </w:r>
    </w:p>
    <w:p w14:paraId="04AA1E36" w14:textId="54E3D050" w:rsidR="001B00CF" w:rsidRPr="001B00CF" w:rsidRDefault="001B00CF" w:rsidP="00293C95">
      <w:pPr>
        <w:pStyle w:val="ListParagraph"/>
        <w:numPr>
          <w:ilvl w:val="0"/>
          <w:numId w:val="44"/>
        </w:numPr>
        <w:spacing w:line="278" w:lineRule="auto"/>
        <w:jc w:val="left"/>
      </w:pPr>
      <w:r w:rsidRPr="001B00CF">
        <w:rPr>
          <w:b/>
          <w:bCs/>
        </w:rPr>
        <w:t>Physical activity:</w:t>
      </w:r>
      <w:r w:rsidRPr="001B00CF">
        <w:t xml:space="preserve"> Promote regular, inclusive, and adaptive physical activity for children and young people with physical disabilities. Opportunities should be provided in schools, community settings, and at home, using accessible facilities and equipment when needed. Encouraging a range of activities, including aerobic, strength-based, and play-based exercises, can improve physical health, mental wellbeing, social inclusion, and overall quality of life. Education for parents, carers, and staff on safe participation and adaptation is essential to ensure engagement and sustainability.</w:t>
      </w:r>
    </w:p>
    <w:p w14:paraId="72244DE2" w14:textId="12F04657" w:rsidR="004E04E1" w:rsidRDefault="004E04E1" w:rsidP="00BF63ED">
      <w:pPr>
        <w:pStyle w:val="ListParagraph"/>
        <w:numPr>
          <w:ilvl w:val="0"/>
          <w:numId w:val="44"/>
        </w:numPr>
      </w:pPr>
      <w:r w:rsidRPr="0059456F">
        <w:rPr>
          <w:b/>
          <w:bCs/>
        </w:rPr>
        <w:t>School and education:</w:t>
      </w:r>
      <w:r>
        <w:t xml:space="preserve"> It is recommended that an individualised, person-centred approach is adopted. Each child and young person are unique and therefore the schooling environment </w:t>
      </w:r>
      <w:r>
        <w:lastRenderedPageBreak/>
        <w:t xml:space="preserve">must seek to identify individual strengths and barriers to learning, </w:t>
      </w:r>
      <w:proofErr w:type="gramStart"/>
      <w:r>
        <w:t>in order to</w:t>
      </w:r>
      <w:proofErr w:type="gramEnd"/>
      <w:r>
        <w:t xml:space="preserve"> offer differentiated learning and support. </w:t>
      </w:r>
      <w:r w:rsidRPr="00A5375A">
        <w:t> </w:t>
      </w:r>
    </w:p>
    <w:p w14:paraId="7CF48069" w14:textId="15EBA8A3" w:rsidR="004E04E1" w:rsidRDefault="004E04E1" w:rsidP="00BF63ED">
      <w:pPr>
        <w:pStyle w:val="ListParagraph"/>
        <w:numPr>
          <w:ilvl w:val="0"/>
          <w:numId w:val="44"/>
        </w:numPr>
      </w:pPr>
      <w:r w:rsidRPr="0059456F">
        <w:rPr>
          <w:b/>
          <w:bCs/>
        </w:rPr>
        <w:t>Continued learning opportunities:</w:t>
      </w:r>
      <w:r>
        <w:t xml:space="preserve"> </w:t>
      </w:r>
      <w:r w:rsidR="001126B6">
        <w:t xml:space="preserve">Students </w:t>
      </w:r>
      <w:r>
        <w:t>should be offered a broad and balanced curriculum and extra curricula opportunities, on an equal basis with</w:t>
      </w:r>
      <w:r w:rsidR="00553ABC">
        <w:t xml:space="preserve"> their peers with no physical disabilities</w:t>
      </w:r>
      <w:r>
        <w:t xml:space="preserve">.  It is important to offer continuing learning opportunities beyond </w:t>
      </w:r>
      <w:r w:rsidRPr="00C04580">
        <w:t>secondary school</w:t>
      </w:r>
      <w:r>
        <w:rPr>
          <w:rStyle w:val="EndnoteReference"/>
        </w:rPr>
        <w:endnoteReference w:id="307"/>
      </w:r>
      <w:r>
        <w:t>.</w:t>
      </w:r>
      <w:r w:rsidRPr="00490D05">
        <w:t xml:space="preserve"> </w:t>
      </w:r>
    </w:p>
    <w:p w14:paraId="07E7787C" w14:textId="366DF25D" w:rsidR="00F43F01" w:rsidRPr="00457C59" w:rsidRDefault="00F43F01" w:rsidP="00F43F01">
      <w:pPr>
        <w:pStyle w:val="Heading3"/>
        <w:rPr>
          <w:color w:val="006B70"/>
        </w:rPr>
      </w:pPr>
      <w:bookmarkStart w:id="465" w:name="_Toc205386984"/>
      <w:bookmarkStart w:id="466" w:name="_Toc205388054"/>
      <w:bookmarkStart w:id="467" w:name="_Toc205446065"/>
      <w:r w:rsidRPr="00457C59">
        <w:rPr>
          <w:color w:val="006B70"/>
        </w:rPr>
        <w:t>Summary</w:t>
      </w:r>
      <w:bookmarkEnd w:id="465"/>
      <w:bookmarkEnd w:id="466"/>
      <w:bookmarkEnd w:id="467"/>
    </w:p>
    <w:p w14:paraId="7B099401" w14:textId="77777777" w:rsidR="00EF67B1" w:rsidRPr="00EF67B1" w:rsidRDefault="00EF67B1" w:rsidP="00EF67B1">
      <w:r w:rsidRPr="00EF67B1">
        <w:t>Physical disabilities encompass a range of conditions that affect a person’s movement, coordination, and overall physical abilities, and they can arise from a wide variety of causes. Individuals with physical disabilities often face challenges related to physical activity and mental health, which may become more pronounced with age.</w:t>
      </w:r>
    </w:p>
    <w:p w14:paraId="397FF0A3" w14:textId="3D61D450" w:rsidR="00EF67B1" w:rsidRPr="00EF67B1" w:rsidRDefault="00EF67B1" w:rsidP="00EF67B1">
      <w:r w:rsidRPr="00EF67B1">
        <w:t>Tower Hamlets offers a wide variety of support services, with short breaks being a particular strength within the borough. However, challenges remain, including limited funding, ongoing accessibility issues, and a need for enhanced specialist support.</w:t>
      </w:r>
      <w:r>
        <w:t xml:space="preserve"> </w:t>
      </w:r>
      <w:r w:rsidR="00FA2F8E">
        <w:t>Drawing on evidence-based research, the recommendations aim to strengthen existing strategies across key areas such as funding, accessibility, education and life-long learning opportunities.</w:t>
      </w:r>
    </w:p>
    <w:p w14:paraId="25920E0A" w14:textId="29016590" w:rsidR="004E04E1" w:rsidRDefault="004E04E1" w:rsidP="001B7066">
      <w:pPr>
        <w:pStyle w:val="Heading2"/>
      </w:pPr>
      <w:bookmarkStart w:id="468" w:name="_Toc211414164"/>
      <w:bookmarkStart w:id="469" w:name="_Toc211440063"/>
      <w:r>
        <w:t>Community Insights</w:t>
      </w:r>
      <w:bookmarkEnd w:id="468"/>
      <w:bookmarkEnd w:id="469"/>
    </w:p>
    <w:p w14:paraId="6F314A88" w14:textId="77777777" w:rsidR="004E04E1" w:rsidRDefault="004E04E1" w:rsidP="001B7066">
      <w:pPr>
        <w:rPr>
          <w:b/>
          <w:bCs/>
        </w:rPr>
      </w:pPr>
      <w:r w:rsidRPr="005B660B">
        <w:t>Capturing the lived experiences of children and young people with SEND, as well as their parents and carers, is essential to designing services that are relevant, inclusive, and effective. These insights offer a vital understanding of how policies, services, and support systems are experienced in everyday life</w:t>
      </w:r>
      <w:r>
        <w:t xml:space="preserve"> - </w:t>
      </w:r>
      <w:r w:rsidRPr="005B660B">
        <w:t>not just how they are intended to function. Lived experience helps identify strengths, challenges, and gaps that might not be evident through quantitative data alone. Engaging meaningfully with children, young people, and their families ensures services are more responsive, person-centred, and aligned with their real needs and aspirations. It also fosters greater trust, accountability, and partnership between families and professionals, reinforcing the principle that those who are directly affected by services should play a central role in shaping them.</w:t>
      </w:r>
    </w:p>
    <w:p w14:paraId="51052663" w14:textId="77777777" w:rsidR="004E04E1" w:rsidRPr="00457C59" w:rsidRDefault="004E04E1" w:rsidP="001B7066">
      <w:pPr>
        <w:pStyle w:val="Heading3"/>
        <w:rPr>
          <w:color w:val="006B70"/>
        </w:rPr>
      </w:pPr>
      <w:bookmarkStart w:id="470" w:name="_Toc205386986"/>
      <w:bookmarkStart w:id="471" w:name="_Toc205388056"/>
      <w:bookmarkStart w:id="472" w:name="_Toc205446067"/>
      <w:r w:rsidRPr="00457C59">
        <w:rPr>
          <w:color w:val="006B70"/>
        </w:rPr>
        <w:t>Children and young people with SEND</w:t>
      </w:r>
      <w:bookmarkEnd w:id="470"/>
      <w:bookmarkEnd w:id="471"/>
      <w:bookmarkEnd w:id="472"/>
      <w:r w:rsidRPr="00457C59">
        <w:rPr>
          <w:color w:val="006B70"/>
        </w:rPr>
        <w:t xml:space="preserve"> </w:t>
      </w:r>
    </w:p>
    <w:p w14:paraId="4D9E7BDB" w14:textId="204392DE" w:rsidR="004E04E1" w:rsidRPr="00DB55A9" w:rsidRDefault="004E04E1" w:rsidP="001B7066">
      <w:r w:rsidRPr="00DB55A9">
        <w:t xml:space="preserve">There is consistent evidence that the </w:t>
      </w:r>
      <w:r w:rsidR="00EF2AC0">
        <w:t>b</w:t>
      </w:r>
      <w:r w:rsidRPr="00DB55A9">
        <w:t>orough actively engages with children and young people with SEN</w:t>
      </w:r>
      <w:r>
        <w:t>D</w:t>
      </w:r>
      <w:r w:rsidRPr="00DB55A9">
        <w:t xml:space="preserve"> to understand their lived experiences and use these insights to inform ongoing planning and service development. In 2024/2025, participation and engagement activities have contributed to several key developments, including:</w:t>
      </w:r>
    </w:p>
    <w:p w14:paraId="54025CDF" w14:textId="77777777" w:rsidR="004E04E1" w:rsidRPr="00DB55A9" w:rsidRDefault="004E04E1" w:rsidP="00BF63ED">
      <w:pPr>
        <w:numPr>
          <w:ilvl w:val="0"/>
          <w:numId w:val="32"/>
        </w:numPr>
        <w:spacing w:before="0" w:after="160" w:line="259" w:lineRule="auto"/>
        <w:jc w:val="left"/>
      </w:pPr>
      <w:r w:rsidRPr="00DB55A9">
        <w:rPr>
          <w:b/>
          <w:bCs/>
        </w:rPr>
        <w:t>Designing a Future Youth Offer for Tower Hamlets</w:t>
      </w:r>
      <w:r w:rsidRPr="00DB55A9">
        <w:t xml:space="preserve"> – A comprehensive consultation was conducted to understand the needs, preferences, ideas, and ambitions of young people, their parents, and carers.</w:t>
      </w:r>
    </w:p>
    <w:p w14:paraId="79B1A875" w14:textId="77777777" w:rsidR="004E04E1" w:rsidRPr="00DB55A9" w:rsidRDefault="004E04E1" w:rsidP="00BF63ED">
      <w:pPr>
        <w:numPr>
          <w:ilvl w:val="0"/>
          <w:numId w:val="32"/>
        </w:numPr>
        <w:spacing w:before="0" w:after="160" w:line="259" w:lineRule="auto"/>
        <w:jc w:val="left"/>
      </w:pPr>
      <w:r w:rsidRPr="00DB55A9">
        <w:rPr>
          <w:b/>
          <w:bCs/>
        </w:rPr>
        <w:t>Coproduction Charter</w:t>
      </w:r>
      <w:r w:rsidRPr="00DB55A9">
        <w:t xml:space="preserve"> – Finalised and launched, this Charter outlines shared commitments from professionals, parents/carers, and children and young people to co-produce services.</w:t>
      </w:r>
    </w:p>
    <w:p w14:paraId="2A8C8B0F" w14:textId="77777777" w:rsidR="008616F1" w:rsidRDefault="004E04E1" w:rsidP="00BF63ED">
      <w:pPr>
        <w:numPr>
          <w:ilvl w:val="0"/>
          <w:numId w:val="32"/>
        </w:numPr>
        <w:spacing w:before="0" w:after="160" w:line="259" w:lineRule="auto"/>
        <w:jc w:val="left"/>
      </w:pPr>
      <w:r w:rsidRPr="00DB55A9">
        <w:rPr>
          <w:b/>
          <w:bCs/>
        </w:rPr>
        <w:t>Local Offer</w:t>
      </w:r>
      <w:r w:rsidRPr="00DB55A9">
        <w:t xml:space="preserve"> – Routinely reviewed and updated based on feedback from parents and young people.</w:t>
      </w:r>
      <w:r w:rsidR="008616F1" w:rsidRPr="008616F1">
        <w:rPr>
          <w:noProof/>
        </w:rPr>
        <w:t xml:space="preserve"> </w:t>
      </w:r>
    </w:p>
    <w:p w14:paraId="412B97E2" w14:textId="2CB81A56" w:rsidR="008616F1" w:rsidRPr="000B3320" w:rsidRDefault="008616F1" w:rsidP="008616F1">
      <w:pPr>
        <w:spacing w:before="0" w:after="160" w:line="259" w:lineRule="auto"/>
        <w:jc w:val="left"/>
        <w:rPr>
          <w:b/>
          <w:bCs/>
          <w:sz w:val="18"/>
          <w:szCs w:val="18"/>
        </w:rPr>
      </w:pPr>
      <w:r w:rsidRPr="000B3320">
        <w:rPr>
          <w:b/>
          <w:bCs/>
          <w:sz w:val="18"/>
          <w:szCs w:val="18"/>
        </w:rPr>
        <w:lastRenderedPageBreak/>
        <w:t xml:space="preserve">Figure </w:t>
      </w:r>
      <w:r w:rsidR="000B3320" w:rsidRPr="000B3320">
        <w:rPr>
          <w:b/>
          <w:bCs/>
          <w:sz w:val="18"/>
          <w:szCs w:val="18"/>
        </w:rPr>
        <w:t>1</w:t>
      </w:r>
      <w:r w:rsidR="000B3320">
        <w:rPr>
          <w:b/>
          <w:bCs/>
          <w:sz w:val="18"/>
          <w:szCs w:val="18"/>
        </w:rPr>
        <w:t>2</w:t>
      </w:r>
      <w:r w:rsidR="000B3320" w:rsidRPr="000B3320">
        <w:rPr>
          <w:b/>
          <w:bCs/>
          <w:sz w:val="18"/>
          <w:szCs w:val="18"/>
        </w:rPr>
        <w:t>.</w:t>
      </w:r>
      <w:r w:rsidR="000B3320">
        <w:rPr>
          <w:b/>
          <w:bCs/>
          <w:sz w:val="18"/>
          <w:szCs w:val="18"/>
        </w:rPr>
        <w:t>1</w:t>
      </w:r>
      <w:r w:rsidRPr="000B3320">
        <w:rPr>
          <w:b/>
          <w:bCs/>
          <w:sz w:val="18"/>
          <w:szCs w:val="18"/>
        </w:rPr>
        <w:t xml:space="preserve"> Let’</w:t>
      </w:r>
      <w:r w:rsidR="00A07399" w:rsidRPr="000B3320">
        <w:rPr>
          <w:b/>
          <w:bCs/>
          <w:sz w:val="18"/>
          <w:szCs w:val="18"/>
        </w:rPr>
        <w:t xml:space="preserve">s Talk SEND </w:t>
      </w:r>
      <w:r w:rsidR="00E43B6D" w:rsidRPr="000B3320">
        <w:rPr>
          <w:b/>
          <w:bCs/>
          <w:sz w:val="18"/>
          <w:szCs w:val="18"/>
        </w:rPr>
        <w:t>–</w:t>
      </w:r>
      <w:r w:rsidR="00A07399" w:rsidRPr="000B3320">
        <w:rPr>
          <w:b/>
          <w:bCs/>
          <w:sz w:val="18"/>
          <w:szCs w:val="18"/>
        </w:rPr>
        <w:t xml:space="preserve"> </w:t>
      </w:r>
      <w:r w:rsidR="00E43B6D" w:rsidRPr="000B3320">
        <w:rPr>
          <w:b/>
          <w:bCs/>
          <w:sz w:val="18"/>
          <w:szCs w:val="18"/>
        </w:rPr>
        <w:t>SEND Event initiative developed in partnership with the SEND Independent Parent Forum.</w:t>
      </w:r>
      <w:r w:rsidR="00D332B5" w:rsidRPr="000B3320">
        <w:rPr>
          <w:b/>
          <w:bCs/>
          <w:sz w:val="18"/>
          <w:szCs w:val="18"/>
        </w:rPr>
        <w:t xml:space="preserve"> </w:t>
      </w:r>
      <w:r w:rsidR="00DA0D78" w:rsidRPr="000B3320">
        <w:rPr>
          <w:b/>
          <w:bCs/>
          <w:sz w:val="18"/>
          <w:szCs w:val="18"/>
        </w:rPr>
        <w:t>See an example</w:t>
      </w:r>
      <w:r w:rsidR="00D332B5" w:rsidRPr="000B3320">
        <w:rPr>
          <w:b/>
          <w:bCs/>
          <w:sz w:val="18"/>
          <w:szCs w:val="18"/>
        </w:rPr>
        <w:t xml:space="preserve"> newsletter </w:t>
      </w:r>
      <w:hyperlink r:id="rId40" w:history="1">
        <w:r w:rsidR="00D332B5" w:rsidRPr="000B3320">
          <w:rPr>
            <w:rStyle w:val="Hyperlink"/>
            <w:b/>
            <w:bCs/>
            <w:sz w:val="18"/>
            <w:szCs w:val="18"/>
          </w:rPr>
          <w:t>here</w:t>
        </w:r>
      </w:hyperlink>
      <w:r w:rsidR="00D332B5" w:rsidRPr="000B3320">
        <w:rPr>
          <w:b/>
          <w:bCs/>
          <w:sz w:val="18"/>
          <w:szCs w:val="18"/>
        </w:rPr>
        <w:t>.</w:t>
      </w:r>
    </w:p>
    <w:p w14:paraId="2F987B5A" w14:textId="1BF53F5D" w:rsidR="004E04E1" w:rsidRDefault="008616F1" w:rsidP="00024349">
      <w:pPr>
        <w:spacing w:before="0" w:after="160" w:line="259" w:lineRule="auto"/>
        <w:jc w:val="center"/>
      </w:pPr>
      <w:r>
        <w:rPr>
          <w:noProof/>
        </w:rPr>
        <w:drawing>
          <wp:inline distT="0" distB="0" distL="0" distR="0" wp14:anchorId="56713348" wp14:editId="4F8F001E">
            <wp:extent cx="5177642" cy="2911313"/>
            <wp:effectExtent l="0" t="0" r="4445" b="3810"/>
            <wp:docPr id="2017686334"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86334" name="Picture 33">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81561" cy="2913516"/>
                    </a:xfrm>
                    <a:prstGeom prst="rect">
                      <a:avLst/>
                    </a:prstGeom>
                    <a:noFill/>
                    <a:ln>
                      <a:noFill/>
                    </a:ln>
                  </pic:spPr>
                </pic:pic>
              </a:graphicData>
            </a:graphic>
          </wp:inline>
        </w:drawing>
      </w:r>
    </w:p>
    <w:p w14:paraId="09E0E77C" w14:textId="1FA40F70" w:rsidR="008616F1" w:rsidRPr="000B3320" w:rsidRDefault="00E63EBF" w:rsidP="000B3320">
      <w:pPr>
        <w:spacing w:before="0" w:after="160" w:line="259" w:lineRule="auto"/>
        <w:jc w:val="right"/>
        <w:rPr>
          <w:b/>
          <w:bCs/>
          <w:sz w:val="16"/>
          <w:szCs w:val="16"/>
        </w:rPr>
      </w:pPr>
      <w:r w:rsidRPr="000B3320">
        <w:rPr>
          <w:b/>
          <w:bCs/>
          <w:sz w:val="16"/>
          <w:szCs w:val="16"/>
        </w:rPr>
        <w:t>Source:</w:t>
      </w:r>
      <w:r w:rsidR="00234CC4" w:rsidRPr="000B3320">
        <w:rPr>
          <w:b/>
          <w:bCs/>
          <w:sz w:val="16"/>
          <w:szCs w:val="16"/>
        </w:rPr>
        <w:t xml:space="preserve"> Tower Hamlets Local Offer</w:t>
      </w:r>
    </w:p>
    <w:p w14:paraId="07C10670" w14:textId="77777777" w:rsidR="004E04E1" w:rsidRPr="00DB55A9" w:rsidRDefault="004E04E1" w:rsidP="001B7066">
      <w:r w:rsidRPr="00DB55A9">
        <w:t>Building capacity for participation and co-production remains a core strategic priority. A new workforce development initiative has been introduced to address training needs, ensuring all staff working with children, young people, and their families understand SEND and the principles of participation and co-production.</w:t>
      </w:r>
    </w:p>
    <w:p w14:paraId="1320A8E4" w14:textId="7B90CF1F" w:rsidR="004E04E1" w:rsidRPr="00DB55A9" w:rsidRDefault="004E04E1" w:rsidP="001B7066">
      <w:r w:rsidRPr="00DB55A9">
        <w:t xml:space="preserve">The </w:t>
      </w:r>
      <w:r w:rsidR="001933D4">
        <w:t>b</w:t>
      </w:r>
      <w:r w:rsidRPr="00DB55A9">
        <w:t>orough also promotes y</w:t>
      </w:r>
      <w:r w:rsidRPr="00151E97">
        <w:t>outh leadership through the Young People’s SEND Ambassador programme ("Our Time"),</w:t>
      </w:r>
      <w:r w:rsidRPr="00DB55A9">
        <w:t xml:space="preserve"> which empowers young people with SEND to engage in their communities, lead workshops, and foster inclusion and confidence. The programme helps amplify their voices and strengthen community cohesion.</w:t>
      </w:r>
    </w:p>
    <w:p w14:paraId="66FC0120" w14:textId="77777777" w:rsidR="004E04E1" w:rsidRDefault="004E04E1" w:rsidP="001B7066">
      <w:pPr>
        <w:rPr>
          <w:lang w:val="en-US"/>
        </w:rPr>
      </w:pPr>
      <w:r>
        <w:rPr>
          <w:lang w:val="en-US"/>
        </w:rPr>
        <w:t xml:space="preserve">A Young People’s SEND ambassador shares: </w:t>
      </w:r>
    </w:p>
    <w:p w14:paraId="6CC421B5" w14:textId="77777777" w:rsidR="004E04E1" w:rsidRPr="00151E97" w:rsidRDefault="004E04E1" w:rsidP="001B7066">
      <w:pPr>
        <w:jc w:val="center"/>
        <w:rPr>
          <w:i/>
          <w:iCs/>
        </w:rPr>
      </w:pPr>
      <w:r w:rsidRPr="00151E97">
        <w:rPr>
          <w:i/>
          <w:iCs/>
          <w:lang w:val="en-US"/>
        </w:rPr>
        <w:t>“</w:t>
      </w:r>
      <w:r w:rsidRPr="00151E97">
        <w:rPr>
          <w:i/>
          <w:iCs/>
        </w:rPr>
        <w:t xml:space="preserve">Participating is a nice way to meet with others so it’s </w:t>
      </w:r>
      <w:proofErr w:type="gramStart"/>
      <w:r w:rsidRPr="00151E97">
        <w:rPr>
          <w:i/>
          <w:iCs/>
        </w:rPr>
        <w:t>really good</w:t>
      </w:r>
      <w:proofErr w:type="gramEnd"/>
      <w:r w:rsidRPr="00151E97">
        <w:rPr>
          <w:i/>
          <w:iCs/>
        </w:rPr>
        <w:t xml:space="preserve"> to be part of any events which ambassador work allows you to do.</w:t>
      </w:r>
      <w:r>
        <w:rPr>
          <w:i/>
          <w:iCs/>
        </w:rPr>
        <w:t xml:space="preserve"> </w:t>
      </w:r>
      <w:r w:rsidRPr="00151E97">
        <w:rPr>
          <w:i/>
          <w:iCs/>
        </w:rPr>
        <w:t>Supporting others is a really good way to find out about different needs that young people face, and your support can make a difference.</w:t>
      </w:r>
    </w:p>
    <w:p w14:paraId="3B4E0AF9" w14:textId="77777777" w:rsidR="004E04E1" w:rsidRPr="00151E97" w:rsidRDefault="004E04E1" w:rsidP="001B7066">
      <w:pPr>
        <w:jc w:val="center"/>
        <w:rPr>
          <w:i/>
          <w:iCs/>
        </w:rPr>
      </w:pPr>
      <w:r w:rsidRPr="00151E97">
        <w:rPr>
          <w:i/>
          <w:iCs/>
        </w:rPr>
        <w:t>Representing young people with SEND is a good way to build up your confidence and feel good about having SEND yourself as you are included</w:t>
      </w:r>
      <w:r>
        <w:rPr>
          <w:i/>
          <w:iCs/>
        </w:rPr>
        <w:t>.</w:t>
      </w:r>
    </w:p>
    <w:p w14:paraId="3C07D3CA" w14:textId="77777777" w:rsidR="004E04E1" w:rsidRPr="00151E97" w:rsidRDefault="004E04E1" w:rsidP="001B7066">
      <w:pPr>
        <w:jc w:val="center"/>
        <w:rPr>
          <w:i/>
          <w:iCs/>
        </w:rPr>
      </w:pPr>
      <w:r w:rsidRPr="00151E97">
        <w:rPr>
          <w:i/>
          <w:iCs/>
        </w:rPr>
        <w:t>Connecting with others is a great way to build relationships and work on issues around SEND with others which is very important in ambassador work”</w:t>
      </w:r>
    </w:p>
    <w:p w14:paraId="1354C45A" w14:textId="77777777" w:rsidR="004E04E1" w:rsidRDefault="004E04E1" w:rsidP="001B7066">
      <w:pPr>
        <w:rPr>
          <w:lang w:val="en-US"/>
        </w:rPr>
      </w:pPr>
      <w:r>
        <w:rPr>
          <w:lang w:val="en-US"/>
        </w:rPr>
        <w:t>Examples of engagement and participation (with parents and carers as well) include:</w:t>
      </w:r>
    </w:p>
    <w:p w14:paraId="35FD6D9D" w14:textId="77777777" w:rsidR="004E04E1" w:rsidRPr="004476A4" w:rsidRDefault="004E04E1" w:rsidP="00BF63ED">
      <w:pPr>
        <w:numPr>
          <w:ilvl w:val="0"/>
          <w:numId w:val="31"/>
        </w:numPr>
        <w:spacing w:before="0" w:after="160" w:line="259" w:lineRule="auto"/>
        <w:jc w:val="left"/>
      </w:pPr>
      <w:r w:rsidRPr="004476A4">
        <w:t>SEND Improvement Board</w:t>
      </w:r>
    </w:p>
    <w:p w14:paraId="5662ED5C" w14:textId="77777777" w:rsidR="004E04E1" w:rsidRPr="004476A4" w:rsidRDefault="004E04E1" w:rsidP="00BF63ED">
      <w:pPr>
        <w:numPr>
          <w:ilvl w:val="0"/>
          <w:numId w:val="31"/>
        </w:numPr>
        <w:spacing w:before="0" w:after="160" w:line="259" w:lineRule="auto"/>
        <w:jc w:val="left"/>
      </w:pPr>
      <w:r w:rsidRPr="004476A4">
        <w:t>Coproduction Charter</w:t>
      </w:r>
    </w:p>
    <w:p w14:paraId="2C38CDA5" w14:textId="77777777" w:rsidR="004E04E1" w:rsidRPr="004476A4" w:rsidRDefault="004E04E1" w:rsidP="00BF63ED">
      <w:pPr>
        <w:numPr>
          <w:ilvl w:val="0"/>
          <w:numId w:val="31"/>
        </w:numPr>
        <w:spacing w:before="0" w:after="160" w:line="259" w:lineRule="auto"/>
        <w:jc w:val="left"/>
      </w:pPr>
      <w:r w:rsidRPr="004476A4">
        <w:t>SEND Quality Assurance Group</w:t>
      </w:r>
    </w:p>
    <w:p w14:paraId="1A360A03" w14:textId="77777777" w:rsidR="004E04E1" w:rsidRPr="004476A4" w:rsidRDefault="004E04E1" w:rsidP="00BF63ED">
      <w:pPr>
        <w:numPr>
          <w:ilvl w:val="0"/>
          <w:numId w:val="31"/>
        </w:numPr>
        <w:spacing w:before="0" w:after="160" w:line="259" w:lineRule="auto"/>
        <w:jc w:val="left"/>
      </w:pPr>
      <w:r w:rsidRPr="004476A4">
        <w:t>STAG (Special Transport Advisory Group)</w:t>
      </w:r>
    </w:p>
    <w:p w14:paraId="262ACB1D" w14:textId="77777777" w:rsidR="004E04E1" w:rsidRPr="004476A4" w:rsidRDefault="004E04E1" w:rsidP="00BF63ED">
      <w:pPr>
        <w:numPr>
          <w:ilvl w:val="0"/>
          <w:numId w:val="31"/>
        </w:numPr>
        <w:spacing w:before="0" w:after="160" w:line="259" w:lineRule="auto"/>
        <w:jc w:val="left"/>
      </w:pPr>
      <w:r w:rsidRPr="004476A4">
        <w:lastRenderedPageBreak/>
        <w:t>Local Offer Parents Advisory Group</w:t>
      </w:r>
    </w:p>
    <w:p w14:paraId="52BEEFF3" w14:textId="77777777" w:rsidR="004E04E1" w:rsidRPr="004476A4" w:rsidRDefault="004E04E1" w:rsidP="00BF63ED">
      <w:pPr>
        <w:numPr>
          <w:ilvl w:val="0"/>
          <w:numId w:val="31"/>
        </w:numPr>
        <w:spacing w:before="0" w:after="160" w:line="259" w:lineRule="auto"/>
        <w:jc w:val="left"/>
      </w:pPr>
      <w:r w:rsidRPr="004476A4">
        <w:t>Local Offer YP Advisory Group</w:t>
      </w:r>
    </w:p>
    <w:p w14:paraId="02082402" w14:textId="77777777" w:rsidR="004E04E1" w:rsidRPr="004476A4" w:rsidRDefault="004E04E1" w:rsidP="00BF63ED">
      <w:pPr>
        <w:numPr>
          <w:ilvl w:val="0"/>
          <w:numId w:val="31"/>
        </w:numPr>
        <w:spacing w:before="0" w:after="160" w:line="259" w:lineRule="auto"/>
        <w:jc w:val="left"/>
      </w:pPr>
      <w:r w:rsidRPr="004476A4">
        <w:t>Healthwatch</w:t>
      </w:r>
    </w:p>
    <w:p w14:paraId="0D5A1554" w14:textId="77777777" w:rsidR="004E04E1" w:rsidRPr="004476A4" w:rsidRDefault="004E04E1" w:rsidP="00BF63ED">
      <w:pPr>
        <w:numPr>
          <w:ilvl w:val="0"/>
          <w:numId w:val="31"/>
        </w:numPr>
        <w:spacing w:before="0" w:after="160" w:line="259" w:lineRule="auto"/>
        <w:jc w:val="left"/>
      </w:pPr>
      <w:r w:rsidRPr="004476A4">
        <w:t>CAMHS Parents Group</w:t>
      </w:r>
    </w:p>
    <w:p w14:paraId="53F0FEA0" w14:textId="77777777" w:rsidR="004E04E1" w:rsidRPr="004476A4" w:rsidRDefault="004E04E1" w:rsidP="00BF63ED">
      <w:pPr>
        <w:numPr>
          <w:ilvl w:val="0"/>
          <w:numId w:val="31"/>
        </w:numPr>
        <w:spacing w:before="0" w:after="160" w:line="259" w:lineRule="auto"/>
        <w:jc w:val="left"/>
      </w:pPr>
      <w:r w:rsidRPr="004476A4">
        <w:t>CAMHS YP Group</w:t>
      </w:r>
    </w:p>
    <w:p w14:paraId="5F651910" w14:textId="77777777" w:rsidR="004E04E1" w:rsidRDefault="004E04E1" w:rsidP="00BF63ED">
      <w:pPr>
        <w:numPr>
          <w:ilvl w:val="0"/>
          <w:numId w:val="31"/>
        </w:numPr>
        <w:spacing w:before="0" w:after="160" w:line="259" w:lineRule="auto"/>
        <w:jc w:val="left"/>
      </w:pPr>
      <w:r w:rsidRPr="004476A4">
        <w:t xml:space="preserve">ASD Pathway Working Group </w:t>
      </w:r>
    </w:p>
    <w:p w14:paraId="447F6BF4" w14:textId="77777777" w:rsidR="004E04E1" w:rsidRPr="004476A4" w:rsidRDefault="004E04E1" w:rsidP="00BF63ED">
      <w:pPr>
        <w:numPr>
          <w:ilvl w:val="0"/>
          <w:numId w:val="31"/>
        </w:numPr>
        <w:spacing w:before="0" w:after="160" w:line="259" w:lineRule="auto"/>
        <w:jc w:val="left"/>
      </w:pPr>
      <w:r w:rsidRPr="004476A4">
        <w:t>Integrated Therapies Group</w:t>
      </w:r>
    </w:p>
    <w:p w14:paraId="675D541E" w14:textId="77777777" w:rsidR="004E04E1" w:rsidRDefault="004E04E1" w:rsidP="00BF63ED">
      <w:pPr>
        <w:numPr>
          <w:ilvl w:val="0"/>
          <w:numId w:val="31"/>
        </w:numPr>
        <w:spacing w:before="0" w:after="160" w:line="259" w:lineRule="auto"/>
        <w:jc w:val="left"/>
      </w:pPr>
      <w:r w:rsidRPr="004476A4">
        <w:t>Continuing Care Group</w:t>
      </w:r>
    </w:p>
    <w:p w14:paraId="0270F2FF" w14:textId="77777777" w:rsidR="004E04E1" w:rsidRPr="00457C59" w:rsidRDefault="004E04E1" w:rsidP="001B7066">
      <w:pPr>
        <w:pStyle w:val="Heading3"/>
        <w:rPr>
          <w:color w:val="006B70"/>
        </w:rPr>
      </w:pPr>
      <w:bookmarkStart w:id="473" w:name="_Toc205386987"/>
      <w:bookmarkStart w:id="474" w:name="_Toc205388057"/>
      <w:bookmarkStart w:id="475" w:name="_Toc205446068"/>
      <w:r w:rsidRPr="00457C59">
        <w:rPr>
          <w:color w:val="006B70"/>
        </w:rPr>
        <w:t>Experiences of children and young people with SEND</w:t>
      </w:r>
      <w:bookmarkEnd w:id="473"/>
      <w:bookmarkEnd w:id="474"/>
      <w:bookmarkEnd w:id="475"/>
    </w:p>
    <w:p w14:paraId="4226C9EC" w14:textId="4FD33419" w:rsidR="001B7066" w:rsidRDefault="004E04E1" w:rsidP="001B7066">
      <w:r w:rsidRPr="00DC0DCE">
        <w:t>For the purposes</w:t>
      </w:r>
      <w:r>
        <w:t xml:space="preserve"> </w:t>
      </w:r>
      <w:r w:rsidRPr="00DC0DCE">
        <w:t>th</w:t>
      </w:r>
      <w:r>
        <w:t>is</w:t>
      </w:r>
      <w:r w:rsidRPr="00DC0DCE">
        <w:t xml:space="preserve"> JSNA, efforts were made to engage with children and young people; however, </w:t>
      </w:r>
      <w:r>
        <w:t xml:space="preserve">within the </w:t>
      </w:r>
      <w:proofErr w:type="gramStart"/>
      <w:r>
        <w:t>timelines</w:t>
      </w:r>
      <w:proofErr w:type="gramEnd"/>
      <w:r>
        <w:t xml:space="preserve"> </w:t>
      </w:r>
      <w:r w:rsidRPr="00DC0DCE">
        <w:t>engagement was limited</w:t>
      </w:r>
      <w:r w:rsidR="008556AB">
        <w:t>.</w:t>
      </w:r>
      <w:r w:rsidR="00DD6487">
        <w:t xml:space="preserve"> </w:t>
      </w:r>
      <w:r>
        <w:t>Despite this, insights gathered aligned well with wider experiences discovered and were explored in the 2024 Cabinet Office’s Disability Unity commissioned report to explore the lives, experiences and needs of children with SEND in England. These experiences highlighted</w:t>
      </w:r>
      <w:r>
        <w:rPr>
          <w:rStyle w:val="EndnoteReference"/>
        </w:rPr>
        <w:endnoteReference w:id="308"/>
      </w:r>
      <w:r>
        <w:t>:</w:t>
      </w:r>
    </w:p>
    <w:p w14:paraId="651D3FCC" w14:textId="77777777" w:rsidR="001B7066" w:rsidRPr="00DF03EF" w:rsidRDefault="001B7066" w:rsidP="00F469F9">
      <w:pPr>
        <w:pStyle w:val="Heading5"/>
      </w:pPr>
      <w:r w:rsidRPr="00DF03EF">
        <w:t>Aspirations and Positives</w:t>
      </w:r>
    </w:p>
    <w:p w14:paraId="2E255684" w14:textId="77777777" w:rsidR="001B7066" w:rsidRDefault="001B7066" w:rsidP="001B7066">
      <w:r w:rsidRPr="003F4AEA">
        <w:t>Children with SEND have the same aspirations as their peers</w:t>
      </w:r>
      <w:r>
        <w:t xml:space="preserve"> - </w:t>
      </w:r>
      <w:r w:rsidRPr="003F4AEA">
        <w:t>to live happy lives, secure good jobs, and form meaningful relationships. Many report positive experiences, especially those in inclusive mainstream schools, where their overall well-being can even surpass the national average. These children and young people place great importance on a sense of belonging, genuine friendships, and being treated equally within both school and the wider community.</w:t>
      </w:r>
    </w:p>
    <w:p w14:paraId="6974E4E3" w14:textId="77777777" w:rsidR="001B7066" w:rsidRPr="00DF03EF" w:rsidRDefault="001B7066" w:rsidP="00F469F9">
      <w:pPr>
        <w:pStyle w:val="Heading5"/>
      </w:pPr>
      <w:r w:rsidRPr="00DF03EF">
        <w:t xml:space="preserve">Safety, loneliness and bullying </w:t>
      </w:r>
    </w:p>
    <w:p w14:paraId="447DB7A0" w14:textId="77777777" w:rsidR="001B7066" w:rsidRDefault="001B7066" w:rsidP="001B7066">
      <w:r w:rsidRPr="003F4AEA">
        <w:t>Children with SEND are more likely to feel unsafe</w:t>
      </w:r>
      <w:r w:rsidRPr="0027397D">
        <w:t xml:space="preserve"> with </w:t>
      </w:r>
      <w:r w:rsidRPr="003F4AEA">
        <w:t>6% report being unhappy with their safety, compared to 4% of their peers.</w:t>
      </w:r>
      <w:r w:rsidRPr="0027397D">
        <w:t xml:space="preserve"> Loneliness was seen as a significant</w:t>
      </w:r>
      <w:r>
        <w:t xml:space="preserve"> issue, with 36% often or sometimes feeling lonely, compared to 23% of their peers. </w:t>
      </w:r>
    </w:p>
    <w:p w14:paraId="25FA42D4" w14:textId="77777777" w:rsidR="001B7066" w:rsidRPr="003F4AEA" w:rsidRDefault="001B7066" w:rsidP="001B7066">
      <w:r>
        <w:t>Bullying and discrimination was often felt, both verbal and physical and typically inked to disability or neurodivergence. Being singled out, underestimated or excluded was a recurring theme in both school and community settings.</w:t>
      </w:r>
    </w:p>
    <w:p w14:paraId="0CE2805B" w14:textId="77777777" w:rsidR="001B7066" w:rsidRPr="00DF03EF" w:rsidRDefault="001B7066" w:rsidP="00F469F9">
      <w:pPr>
        <w:pStyle w:val="Heading5"/>
      </w:pPr>
      <w:r w:rsidRPr="00DF03EF">
        <w:t>Barriers in Education</w:t>
      </w:r>
    </w:p>
    <w:p w14:paraId="6862E585" w14:textId="77777777" w:rsidR="001B7066" w:rsidRDefault="001B7066" w:rsidP="001B7066">
      <w:r>
        <w:t xml:space="preserve">It was felt that many schools lacked the resources or training to provide individualised support, with some children being excluded from mainstream education, either informally or through alternative provision when their needs are not met. </w:t>
      </w:r>
    </w:p>
    <w:p w14:paraId="350BFD94" w14:textId="77777777" w:rsidR="001B7066" w:rsidRDefault="001B7066" w:rsidP="001B7066">
      <w:r w:rsidRPr="003F4AEA">
        <w:t>Transitions such as moving between school stages or into adulthood</w:t>
      </w:r>
      <w:r>
        <w:t xml:space="preserve"> were reported to be</w:t>
      </w:r>
      <w:r w:rsidRPr="003F4AEA">
        <w:t xml:space="preserve"> especially difficult, with little consistent support.</w:t>
      </w:r>
    </w:p>
    <w:p w14:paraId="280BDD93" w14:textId="77777777" w:rsidR="001B7066" w:rsidRPr="00DF03EF" w:rsidRDefault="001B7066" w:rsidP="00F469F9">
      <w:pPr>
        <w:pStyle w:val="Heading5"/>
      </w:pPr>
      <w:r w:rsidRPr="00DF03EF">
        <w:lastRenderedPageBreak/>
        <w:t>Accessibility and Exclusion</w:t>
      </w:r>
    </w:p>
    <w:p w14:paraId="6A401CD4" w14:textId="77777777" w:rsidR="001B7066" w:rsidRPr="0004371E" w:rsidRDefault="001B7066" w:rsidP="001B7066">
      <w:r w:rsidRPr="003F4AEA">
        <w:t>Many found that public spaces, such as toilets and playgrounds, as well as things like toilets were often not designed with SEND children in mind. This results in social exclusion, limited independence, and missed childhood experiences.</w:t>
      </w:r>
    </w:p>
    <w:p w14:paraId="389ED558" w14:textId="62205DEB" w:rsidR="001533B8" w:rsidRPr="00457C59" w:rsidRDefault="001B7066" w:rsidP="001533B8">
      <w:pPr>
        <w:pStyle w:val="Heading3"/>
        <w:rPr>
          <w:color w:val="006B70"/>
        </w:rPr>
      </w:pPr>
      <w:bookmarkStart w:id="476" w:name="_Toc205386988"/>
      <w:bookmarkStart w:id="477" w:name="_Toc205388058"/>
      <w:bookmarkStart w:id="478" w:name="_Toc205446069"/>
      <w:r w:rsidRPr="00457C59">
        <w:rPr>
          <w:color w:val="006B70"/>
        </w:rPr>
        <w:t>Recommendations</w:t>
      </w:r>
      <w:bookmarkEnd w:id="476"/>
      <w:bookmarkEnd w:id="477"/>
      <w:bookmarkEnd w:id="478"/>
    </w:p>
    <w:p w14:paraId="5DD86901" w14:textId="2ABE9D26" w:rsidR="001533B8" w:rsidRPr="001533B8" w:rsidRDefault="00CF0B33" w:rsidP="001533B8">
      <w:r>
        <w:t xml:space="preserve">From the </w:t>
      </w:r>
      <w:r w:rsidR="002B394E">
        <w:t>children and young people</w:t>
      </w:r>
      <w:r>
        <w:t xml:space="preserve"> insights, the following recommendations are made:</w:t>
      </w:r>
    </w:p>
    <w:p w14:paraId="406B7320" w14:textId="77777777" w:rsidR="001B7066" w:rsidRDefault="001B7066" w:rsidP="00BF63ED">
      <w:pPr>
        <w:pStyle w:val="ListParagraph"/>
        <w:numPr>
          <w:ilvl w:val="0"/>
          <w:numId w:val="43"/>
        </w:numPr>
      </w:pPr>
      <w:r w:rsidRPr="001533B8">
        <w:rPr>
          <w:b/>
          <w:bCs/>
        </w:rPr>
        <w:t>Continued engagement:</w:t>
      </w:r>
      <w:r w:rsidRPr="00247C8E">
        <w:t xml:space="preserve"> Community engagement must be ongoing to ensure a diverse range of voices are consistently heard. Too often, engagement efforts with children and young people</w:t>
      </w:r>
      <w:r>
        <w:t xml:space="preserve"> with SEND</w:t>
      </w:r>
      <w:r w:rsidRPr="00247C8E">
        <w:t xml:space="preserve"> involve the same individuals, limiting the inclusivity and breadth of perspectives. </w:t>
      </w:r>
      <w:r>
        <w:t>Whilst this input should not be dismissed, s</w:t>
      </w:r>
      <w:r w:rsidRPr="00247C8E">
        <w:t>trengthening and broadening partnerships is essential to reach those who are typically underrepresented, ensuring services reflect the diverse needs, experiences, and aspirations of all children and young people</w:t>
      </w:r>
      <w:r>
        <w:t xml:space="preserve"> with SEND.</w:t>
      </w:r>
    </w:p>
    <w:p w14:paraId="752C6A83" w14:textId="77777777" w:rsidR="001B7066" w:rsidRDefault="001B7066" w:rsidP="00BF63ED">
      <w:pPr>
        <w:pStyle w:val="ListParagraph"/>
        <w:numPr>
          <w:ilvl w:val="0"/>
          <w:numId w:val="43"/>
        </w:numPr>
      </w:pPr>
      <w:r w:rsidRPr="001533B8">
        <w:rPr>
          <w:b/>
          <w:bCs/>
        </w:rPr>
        <w:t>Optimising reach and representation:</w:t>
      </w:r>
      <w:r>
        <w:t xml:space="preserve"> Recognise and continue to develop</w:t>
      </w:r>
      <w:r w:rsidRPr="00247C8E">
        <w:t xml:space="preserve"> and implement tailored strategies to actively </w:t>
      </w:r>
      <w:r>
        <w:t>reach a wider group of people</w:t>
      </w:r>
      <w:r w:rsidRPr="00247C8E">
        <w:t xml:space="preserve">, including those with more complex needs, from minority ethnic backgrounds, or those who are not currently engaged with services. </w:t>
      </w:r>
    </w:p>
    <w:p w14:paraId="43FF2644" w14:textId="77777777" w:rsidR="001B7066" w:rsidRDefault="001B7066" w:rsidP="00BF63ED">
      <w:pPr>
        <w:pStyle w:val="ListParagraph"/>
        <w:numPr>
          <w:ilvl w:val="0"/>
          <w:numId w:val="43"/>
        </w:numPr>
      </w:pPr>
      <w:r w:rsidRPr="001533B8">
        <w:rPr>
          <w:b/>
          <w:bCs/>
        </w:rPr>
        <w:t xml:space="preserve">Strengthen approaches to discrimination and bullying: </w:t>
      </w:r>
      <w:r w:rsidRPr="001E1EBA">
        <w:t xml:space="preserve">Enhancing strategies and approaches to address bullying and discrimination should be </w:t>
      </w:r>
      <w:r>
        <w:t>co-</w:t>
      </w:r>
      <w:r w:rsidRPr="001E1EBA">
        <w:t xml:space="preserve">developed with both children and young people with and without SEND. </w:t>
      </w:r>
      <w:r w:rsidRPr="001533B8">
        <w:rPr>
          <w:b/>
          <w:bCs/>
        </w:rPr>
        <w:t xml:space="preserve"> </w:t>
      </w:r>
      <w:r w:rsidRPr="0027397D">
        <w:t>This inclusive, participatory approach ensures that anti-bullying frameworks are grounded in lived experience, fostering a culture of empathy, peer support, and mutual respect across educational and community settings. Preventative measures should include targeted awareness campaigns, restorative practices, and staff training on identifying and responding to SEND-related bullying and microaggressions.</w:t>
      </w:r>
      <w:r>
        <w:t xml:space="preserve"> </w:t>
      </w:r>
      <w:r w:rsidRPr="0027397D">
        <w:t>Furthermore, schools and services must implement robust reporting and accountability mechanisms, ensuring that incidents are not only addressed promptly but are also used to inform continuous improvement. A whole-system approach</w:t>
      </w:r>
      <w:r>
        <w:t xml:space="preserve">, </w:t>
      </w:r>
      <w:r w:rsidRPr="0027397D">
        <w:t>spanning policy, curriculum, staff development, and peer education</w:t>
      </w:r>
      <w:r>
        <w:t xml:space="preserve"> </w:t>
      </w:r>
      <w:r w:rsidRPr="0027397D">
        <w:t>is essential to dismantle entrenched stigma, reduce social isolation, and promote genuine inclusion.</w:t>
      </w:r>
    </w:p>
    <w:p w14:paraId="2E6BD027" w14:textId="77777777" w:rsidR="001B7066" w:rsidRPr="00457C59" w:rsidRDefault="001B7066" w:rsidP="001B7066">
      <w:pPr>
        <w:pStyle w:val="Heading3"/>
        <w:rPr>
          <w:color w:val="006B70"/>
        </w:rPr>
      </w:pPr>
      <w:bookmarkStart w:id="479" w:name="_Toc205386989"/>
      <w:bookmarkStart w:id="480" w:name="_Toc205388059"/>
      <w:bookmarkStart w:id="481" w:name="_Toc205446070"/>
      <w:r w:rsidRPr="00457C59">
        <w:rPr>
          <w:color w:val="006B70"/>
        </w:rPr>
        <w:t>Parental Insights</w:t>
      </w:r>
      <w:bookmarkEnd w:id="479"/>
      <w:bookmarkEnd w:id="480"/>
      <w:bookmarkEnd w:id="481"/>
    </w:p>
    <w:p w14:paraId="791D2CA6" w14:textId="77777777" w:rsidR="001B7066" w:rsidRPr="0085660E" w:rsidRDefault="001B7066" w:rsidP="001B7066">
      <w:r w:rsidRPr="0085660E">
        <w:t xml:space="preserve">The lived experiences and insights of parents and carers are invaluable when reviewing and shaping SEND (Special Educational Needs and Disabilities) services. As the primary advocates and constant figures in children’s lives, parents and carers have a unique, first-hand understanding of the challenges within the current system. Their perspectives not only highlight systemic gaps but also provide practical, solution-focused suggestions rooted in day-to-day realities. </w:t>
      </w:r>
    </w:p>
    <w:p w14:paraId="6F46DD41" w14:textId="77777777" w:rsidR="001B7066" w:rsidRPr="00C31379" w:rsidRDefault="001B7066" w:rsidP="00F469F9">
      <w:pPr>
        <w:pStyle w:val="Heading5"/>
      </w:pPr>
      <w:r w:rsidRPr="00C31379">
        <w:t>Method</w:t>
      </w:r>
    </w:p>
    <w:p w14:paraId="0CA2F7AF" w14:textId="2BAE88AC" w:rsidR="001B7066" w:rsidRPr="0085660E" w:rsidRDefault="001B7066" w:rsidP="001B7066">
      <w:r w:rsidRPr="0085660E">
        <w:t xml:space="preserve">This </w:t>
      </w:r>
      <w:r>
        <w:t>section</w:t>
      </w:r>
      <w:r w:rsidRPr="0085660E">
        <w:t xml:space="preserve"> draws on qualitative insights gathered from over 60 parents and carers of children and young people with Special Educational Needs and Disabilities (SEND)</w:t>
      </w:r>
      <w:r w:rsidR="008C5AC8">
        <w:t xml:space="preserve"> </w:t>
      </w:r>
      <w:r w:rsidR="000D0609">
        <w:t>in</w:t>
      </w:r>
      <w:r w:rsidR="008C5AC8">
        <w:t xml:space="preserve"> Tower Hamlets</w:t>
      </w:r>
      <w:r w:rsidRPr="0085660E">
        <w:t xml:space="preserve">. Participants represented a diverse range of experiences, caring for children with varying diagnoses and needs, </w:t>
      </w:r>
      <w:r w:rsidRPr="0085660E">
        <w:lastRenderedPageBreak/>
        <w:t>including ASD, speech and language difficulties, social, emotional and mental health challenges, learning disabilities, and complex health conditions.</w:t>
      </w:r>
    </w:p>
    <w:p w14:paraId="6304ABCB" w14:textId="77777777" w:rsidR="001B7066" w:rsidRDefault="001B7066" w:rsidP="001B7066">
      <w:r w:rsidRPr="0085660E">
        <w:t>Data collection was conducted using a combination of qualitative research methods, including semi-structured focus groups, opportunistic contact during relevant community events, and one-to-one interviews. These approaches allowed for a flexible and responsive methodology that encouraged rich, first-hand narratives and context-specific reflections from parents and carers. This design aligns with established qualitative research frameworks that prioriti</w:t>
      </w:r>
      <w:r>
        <w:t>s</w:t>
      </w:r>
      <w:r w:rsidRPr="0085660E">
        <w:t>e</w:t>
      </w:r>
      <w:r>
        <w:t xml:space="preserve"> </w:t>
      </w:r>
      <w:r w:rsidRPr="0085660E">
        <w:t>lived experience, narrative depth, and participant voice</w:t>
      </w:r>
      <w:r w:rsidRPr="008A1FFD">
        <w:rPr>
          <w:vertAlign w:val="superscript"/>
        </w:rPr>
        <w:t>1</w:t>
      </w:r>
      <w:r w:rsidRPr="0085660E">
        <w:t>.</w:t>
      </w:r>
    </w:p>
    <w:p w14:paraId="453F85EE" w14:textId="77777777" w:rsidR="001B7066" w:rsidRDefault="001B7066" w:rsidP="001B7066">
      <w:r w:rsidRPr="00DA13A8">
        <w:t xml:space="preserve">Four core open-ended questions guided the discussions: </w:t>
      </w:r>
    </w:p>
    <w:p w14:paraId="3101C69E" w14:textId="77777777" w:rsidR="001B7066" w:rsidRDefault="001B7066" w:rsidP="00BF63ED">
      <w:pPr>
        <w:pStyle w:val="ListParagraph"/>
        <w:numPr>
          <w:ilvl w:val="0"/>
          <w:numId w:val="33"/>
        </w:numPr>
        <w:spacing w:before="0" w:after="160" w:line="264" w:lineRule="auto"/>
        <w:contextualSpacing/>
      </w:pPr>
      <w:r w:rsidRPr="00DA13A8">
        <w:t xml:space="preserve">What </w:t>
      </w:r>
      <w:proofErr w:type="gramStart"/>
      <w:r w:rsidRPr="00DA13A8">
        <w:t>are</w:t>
      </w:r>
      <w:proofErr w:type="gramEnd"/>
      <w:r w:rsidRPr="00DA13A8">
        <w:t xml:space="preserve"> your child’s special educational and disability needs?</w:t>
      </w:r>
    </w:p>
    <w:p w14:paraId="2C2D55FE" w14:textId="77777777" w:rsidR="001B7066" w:rsidRDefault="001B7066" w:rsidP="00BF63ED">
      <w:pPr>
        <w:pStyle w:val="ListParagraph"/>
        <w:numPr>
          <w:ilvl w:val="0"/>
          <w:numId w:val="33"/>
        </w:numPr>
        <w:spacing w:before="0" w:after="160" w:line="264" w:lineRule="auto"/>
        <w:contextualSpacing/>
      </w:pPr>
      <w:r w:rsidRPr="00DA13A8">
        <w:t>How do you feel your needs as a parent or carer of a child with SEND are being met?</w:t>
      </w:r>
    </w:p>
    <w:p w14:paraId="6248CCC2" w14:textId="77777777" w:rsidR="001B7066" w:rsidRDefault="001B7066" w:rsidP="00BF63ED">
      <w:pPr>
        <w:pStyle w:val="ListParagraph"/>
        <w:numPr>
          <w:ilvl w:val="0"/>
          <w:numId w:val="33"/>
        </w:numPr>
        <w:spacing w:before="0" w:after="160" w:line="264" w:lineRule="auto"/>
        <w:contextualSpacing/>
      </w:pPr>
      <w:r w:rsidRPr="00DA13A8">
        <w:t>What do you perceive as the current gaps in service provision?</w:t>
      </w:r>
    </w:p>
    <w:p w14:paraId="1DE4265D" w14:textId="77777777" w:rsidR="001B7066" w:rsidRDefault="001B7066" w:rsidP="00BF63ED">
      <w:pPr>
        <w:pStyle w:val="ListParagraph"/>
        <w:numPr>
          <w:ilvl w:val="0"/>
          <w:numId w:val="33"/>
        </w:numPr>
        <w:spacing w:before="0" w:after="160" w:line="264" w:lineRule="auto"/>
        <w:contextualSpacing/>
      </w:pPr>
      <w:r w:rsidRPr="00DA13A8">
        <w:t>How do you think these gaps could be addressed</w:t>
      </w:r>
      <w:r>
        <w:t>?</w:t>
      </w:r>
    </w:p>
    <w:p w14:paraId="54A0893D" w14:textId="77777777" w:rsidR="001B7066" w:rsidRPr="0085660E" w:rsidRDefault="001B7066" w:rsidP="001B7066">
      <w:r w:rsidRPr="00DA13A8">
        <w:t>The facilitator used follow-up prompts to explore responses in greater depth, encouraging participants to elaborate on their experiences and provide additional context.</w:t>
      </w:r>
    </w:p>
    <w:p w14:paraId="2DBDBFA1" w14:textId="77777777" w:rsidR="001B7066" w:rsidRDefault="001B7066" w:rsidP="001B7066">
      <w:r>
        <w:t xml:space="preserve">The one-to-one interviews and opportunistic conversations - held during coffee mornings, community group meetings, or other community events, offered an informal approach to gathering insights. These were particularly helpful for reaching parents who might not feel comfortable speaking in a group setting or who had individual stories requiring more time and space to explore. </w:t>
      </w:r>
    </w:p>
    <w:p w14:paraId="636D4E7D" w14:textId="77777777" w:rsidR="001B7066" w:rsidRPr="00FF6C8D" w:rsidRDefault="001B7066" w:rsidP="001B7066">
      <w:pPr>
        <w:rPr>
          <w:vertAlign w:val="superscript"/>
        </w:rPr>
      </w:pPr>
      <w:r>
        <w:t>Focus groups were useful to ensuring that a range of carers and parental voices were heard, and capturing a wide variety of experiences, views and feelings regarding SEND services. The interaction within a group allows insights to be built upon and differences and similarities of opinions to be expressed reflecting a rich and wide varied data</w:t>
      </w:r>
      <w:r w:rsidRPr="7F6C8952">
        <w:rPr>
          <w:vertAlign w:val="superscript"/>
        </w:rPr>
        <w:t>2</w:t>
      </w:r>
      <w:r>
        <w:rPr>
          <w:vertAlign w:val="superscript"/>
        </w:rPr>
        <w:t xml:space="preserve">. </w:t>
      </w:r>
    </w:p>
    <w:p w14:paraId="73690ACB" w14:textId="77777777" w:rsidR="001B7066" w:rsidRDefault="001B7066" w:rsidP="005663A6">
      <w:r w:rsidRPr="00765E1D">
        <w:t>Insights were grouped into three key themes</w:t>
      </w:r>
      <w:r>
        <w:t xml:space="preserve"> - </w:t>
      </w:r>
      <w:r w:rsidRPr="00765E1D">
        <w:t>education, health, and social suppor</w:t>
      </w:r>
      <w:r>
        <w:t xml:space="preserve">t, </w:t>
      </w:r>
      <w:r w:rsidRPr="00765E1D">
        <w:t>which were interwoven throughout the narratives shared by parents and carers. The following section presents a summary of the insights aligned with these themes.</w:t>
      </w:r>
    </w:p>
    <w:p w14:paraId="1FCFF17A" w14:textId="015BEB39" w:rsidR="001B7066" w:rsidRPr="00247C8E" w:rsidRDefault="001B7066" w:rsidP="00293C95">
      <w:pPr>
        <w:pStyle w:val="Heading4"/>
      </w:pPr>
      <w:bookmarkStart w:id="482" w:name="_Toc205386990"/>
      <w:bookmarkStart w:id="483" w:name="_Toc205388060"/>
      <w:bookmarkStart w:id="484" w:name="_Toc205446071"/>
      <w:r w:rsidRPr="0085660E">
        <w:t>Insights</w:t>
      </w:r>
      <w:r w:rsidR="00DF03EF">
        <w:t xml:space="preserve"> - Education</w:t>
      </w:r>
      <w:bookmarkEnd w:id="482"/>
      <w:bookmarkEnd w:id="483"/>
      <w:bookmarkEnd w:id="484"/>
    </w:p>
    <w:p w14:paraId="61469915" w14:textId="77777777" w:rsidR="001B7066" w:rsidRPr="00DF03EF" w:rsidRDefault="001B7066" w:rsidP="00F469F9">
      <w:pPr>
        <w:pStyle w:val="Heading5"/>
        <w:rPr>
          <w:rStyle w:val="Strong"/>
        </w:rPr>
      </w:pPr>
      <w:r w:rsidRPr="00DF03EF">
        <w:rPr>
          <w:rStyle w:val="Strong"/>
        </w:rPr>
        <w:t>More personalised and inclusive school support</w:t>
      </w:r>
    </w:p>
    <w:p w14:paraId="6C6BB62F" w14:textId="77777777" w:rsidR="001B7066" w:rsidRPr="0085660E" w:rsidRDefault="001B7066" w:rsidP="001B7066">
      <w:r w:rsidRPr="0085660E">
        <w:t>Parents</w:t>
      </w:r>
      <w:r>
        <w:t xml:space="preserve"> and carers</w:t>
      </w:r>
      <w:r w:rsidRPr="0085660E">
        <w:t xml:space="preserve"> consistently raised concerns about a lack of personalised support for children with SEND in mainstream education. While some schools provide effective one-to-one assistance, others rely heavily on group-based or limited support models. One parent shared frustration that, despite their child </w:t>
      </w:r>
      <w:r w:rsidRPr="00372261">
        <w:t xml:space="preserve">being on a higher support band, the child received minimal in-class help because </w:t>
      </w:r>
      <w:r w:rsidRPr="006015AB">
        <w:rPr>
          <w:i/>
          <w:iCs/>
        </w:rPr>
        <w:t xml:space="preserve">“he appears to be managing,” </w:t>
      </w:r>
      <w:r w:rsidRPr="00372261">
        <w:t>which has discouraged him from attending school. Others highlighted that even when support exists, it's often capped</w:t>
      </w:r>
      <w:r w:rsidRPr="0085660E">
        <w:t xml:space="preserve"> at two hours per day, insufficient for meeting the full scope of need.</w:t>
      </w:r>
    </w:p>
    <w:p w14:paraId="7B391711" w14:textId="77777777" w:rsidR="001B7066" w:rsidRDefault="001B7066" w:rsidP="001B7066">
      <w:r w:rsidRPr="0085660E">
        <w:t>A significant</w:t>
      </w:r>
      <w:r>
        <w:t xml:space="preserve"> perceived</w:t>
      </w:r>
      <w:r w:rsidRPr="0085660E">
        <w:t xml:space="preserve"> challenge lies in schools' reluctance to provide early support before formal diagnosis. One parent described being denied school-based support until a diagnosis was confirmed, despite ongoing difficulties. Additionally, support services such as after-school clubs often lack trained SEND staff for children over six, leaving a service gap.</w:t>
      </w:r>
    </w:p>
    <w:p w14:paraId="5836D9E4" w14:textId="77777777" w:rsidR="001B7066" w:rsidRPr="002E414B" w:rsidRDefault="001B7066" w:rsidP="00F469F9">
      <w:pPr>
        <w:pStyle w:val="Heading5"/>
      </w:pPr>
      <w:r w:rsidRPr="002E414B">
        <w:rPr>
          <w:rStyle w:val="Strong"/>
        </w:rPr>
        <w:lastRenderedPageBreak/>
        <w:t>SEND understanding and teacher training varies</w:t>
      </w:r>
    </w:p>
    <w:p w14:paraId="4B51DD43" w14:textId="77777777" w:rsidR="001B7066" w:rsidRPr="0085660E" w:rsidRDefault="001B7066" w:rsidP="001B7066">
      <w:r w:rsidRPr="0085660E">
        <w:t>The quality of SEND support often depends on individual staff knowledge and attitudes. While some parents praised SENCOs who championed their children and kept them informed</w:t>
      </w:r>
      <w:r>
        <w:t>, they</w:t>
      </w:r>
      <w:r w:rsidRPr="0085660E">
        <w:t xml:space="preserve"> noted that some staff misinterpreted behaviour and used inappropriate discipline. This mismatch results in children feeling misunderstood, further disengaging them from education.</w:t>
      </w:r>
    </w:p>
    <w:p w14:paraId="1EA24096" w14:textId="77777777" w:rsidR="001B7066" w:rsidRDefault="001B7066" w:rsidP="001B7066">
      <w:r w:rsidRPr="0085660E">
        <w:t xml:space="preserve">Teachers’ limited understanding of neurodiversity, especially autism in girls, was frequently mentioned. Parents felt professionals lacked the training to recognise less overt symptoms and adapt their approach, making advocacy a continuous struggle. </w:t>
      </w:r>
    </w:p>
    <w:p w14:paraId="51948DE3" w14:textId="77777777" w:rsidR="001B7066" w:rsidRPr="00823AC1" w:rsidRDefault="001B7066" w:rsidP="001B7066">
      <w:pPr>
        <w:jc w:val="center"/>
        <w:rPr>
          <w:i/>
          <w:iCs/>
        </w:rPr>
      </w:pPr>
      <w:r w:rsidRPr="00823AC1">
        <w:rPr>
          <w:i/>
          <w:iCs/>
        </w:rPr>
        <w:t>“It’s you versus the professional”</w:t>
      </w:r>
    </w:p>
    <w:p w14:paraId="4B141DAC" w14:textId="77777777" w:rsidR="001B7066" w:rsidRPr="002E414B" w:rsidRDefault="001B7066" w:rsidP="00F469F9">
      <w:pPr>
        <w:pStyle w:val="Heading5"/>
      </w:pPr>
      <w:r w:rsidRPr="002E414B">
        <w:rPr>
          <w:rStyle w:val="Strong"/>
        </w:rPr>
        <w:t>Transition between educational settings lacks continuity</w:t>
      </w:r>
    </w:p>
    <w:p w14:paraId="5DC33203" w14:textId="408F21D9" w:rsidR="001B7066" w:rsidRDefault="001B7066" w:rsidP="001B7066">
      <w:r w:rsidRPr="0085660E">
        <w:t>Transitions</w:t>
      </w:r>
      <w:r>
        <w:t xml:space="preserve"> - </w:t>
      </w:r>
      <w:r w:rsidRPr="0085660E">
        <w:t>both into the borough and across age groups</w:t>
      </w:r>
      <w:r>
        <w:t xml:space="preserve"> </w:t>
      </w:r>
      <w:r w:rsidRPr="0085660E">
        <w:t xml:space="preserve">were described as fragmented. One family moving into Tower Hamlets experienced a two-month delay in accessing SEN support, and only one school accepted their child’s </w:t>
      </w:r>
      <w:r>
        <w:t>EHC</w:t>
      </w:r>
      <w:r w:rsidR="0051337C">
        <w:t>P</w:t>
      </w:r>
      <w:r w:rsidRPr="0085660E">
        <w:t>, located 30 minutes from home. Meanwhile, post-16 options are limited, especially for young people who fall outside the most severe needs category. These “in-betweeners,” as described by parents, face a lack of structured continued education. Previously available foundation courses have been cut, compounding this challenge.</w:t>
      </w:r>
    </w:p>
    <w:p w14:paraId="246297D3" w14:textId="77777777" w:rsidR="001B7066" w:rsidRPr="002E414B" w:rsidRDefault="001B7066" w:rsidP="00F469F9">
      <w:pPr>
        <w:pStyle w:val="Heading5"/>
      </w:pPr>
      <w:r w:rsidRPr="002E414B">
        <w:t>Recognising individual progress and the power of personalised support</w:t>
      </w:r>
    </w:p>
    <w:p w14:paraId="7567415B" w14:textId="77777777" w:rsidR="001B7066" w:rsidRPr="0099768C" w:rsidRDefault="001B7066" w:rsidP="001B7066">
      <w:r>
        <w:t xml:space="preserve">Amid the challenges, some </w:t>
      </w:r>
      <w:r w:rsidRPr="00B333FD">
        <w:t xml:space="preserve">families </w:t>
      </w:r>
      <w:r>
        <w:t xml:space="preserve">and carers </w:t>
      </w:r>
      <w:r w:rsidRPr="00B333FD">
        <w:t>pointed to specific examples where tailored interventions helped their</w:t>
      </w:r>
      <w:r>
        <w:t xml:space="preserve"> </w:t>
      </w:r>
      <w:r w:rsidRPr="00B333FD">
        <w:t>child flourish. For instance, one parent described how a SENCO noticed their child had independently gone out</w:t>
      </w:r>
      <w:r>
        <w:t xml:space="preserve"> - </w:t>
      </w:r>
      <w:r w:rsidRPr="00B333FD">
        <w:t>an important developmental step</w:t>
      </w:r>
      <w:r>
        <w:t xml:space="preserve"> - </w:t>
      </w:r>
      <w:r w:rsidRPr="00B333FD">
        <w:t xml:space="preserve">and took the time to call the parent to celebrate the moment. The parent shared how this recognition </w:t>
      </w:r>
      <w:r w:rsidRPr="00823AC1">
        <w:rPr>
          <w:i/>
          <w:iCs/>
        </w:rPr>
        <w:t>"boosted my confidence"</w:t>
      </w:r>
      <w:r w:rsidRPr="00B333FD">
        <w:t xml:space="preserve"> illustrating how emotionally attuned responses from staff can support both the child and the wider family unit. In another example, adaptations within Langdon School were specifically mentioned as effective, with parents noting positive experiences where adjustments had been made to suit the individual child’s learning style and pace.</w:t>
      </w:r>
    </w:p>
    <w:p w14:paraId="154339BF" w14:textId="05177F89" w:rsidR="001B7066" w:rsidRPr="00715D98" w:rsidRDefault="00DF03EF" w:rsidP="00293C95">
      <w:pPr>
        <w:pStyle w:val="Heading4"/>
      </w:pPr>
      <w:bookmarkStart w:id="485" w:name="_Toc205386991"/>
      <w:bookmarkStart w:id="486" w:name="_Toc205388061"/>
      <w:bookmarkStart w:id="487" w:name="_Toc205446072"/>
      <w:r w:rsidRPr="00715D98">
        <w:rPr>
          <w:rStyle w:val="Strong"/>
          <w:rFonts w:eastAsiaTheme="majorEastAsia"/>
          <w:b/>
          <w:bCs/>
        </w:rPr>
        <w:t xml:space="preserve">Insights - </w:t>
      </w:r>
      <w:r w:rsidR="001B7066" w:rsidRPr="00715D98">
        <w:rPr>
          <w:rStyle w:val="Strong"/>
          <w:rFonts w:eastAsiaTheme="majorEastAsia"/>
          <w:b/>
          <w:bCs/>
        </w:rPr>
        <w:t>Health</w:t>
      </w:r>
      <w:bookmarkEnd w:id="485"/>
      <w:bookmarkEnd w:id="486"/>
      <w:bookmarkEnd w:id="487"/>
    </w:p>
    <w:p w14:paraId="4F0B0743" w14:textId="77777777" w:rsidR="001B7066" w:rsidRPr="002E414B" w:rsidRDefault="001B7066" w:rsidP="00F469F9">
      <w:pPr>
        <w:pStyle w:val="Heading5"/>
      </w:pPr>
      <w:r w:rsidRPr="002E414B">
        <w:rPr>
          <w:rStyle w:val="Strong"/>
        </w:rPr>
        <w:t>Long waits and overstretched therapy services</w:t>
      </w:r>
    </w:p>
    <w:p w14:paraId="75227BFD" w14:textId="7482932C" w:rsidR="001B7066" w:rsidRPr="0085660E" w:rsidRDefault="001B7066" w:rsidP="001B7066">
      <w:r>
        <w:t>SLT and OT</w:t>
      </w:r>
      <w:r w:rsidRPr="0085660E">
        <w:t xml:space="preserve"> services were identified as critical but chronically overstretched. </w:t>
      </w:r>
      <w:r w:rsidR="00882520">
        <w:t>Whilst progress has been made in this area, p</w:t>
      </w:r>
      <w:r w:rsidRPr="0085660E">
        <w:t>arents described long waiting lists</w:t>
      </w:r>
      <w:r>
        <w:t xml:space="preserve">, </w:t>
      </w:r>
      <w:r w:rsidRPr="0085660E">
        <w:t>often up to three years</w:t>
      </w:r>
      <w:r>
        <w:t xml:space="preserve">, </w:t>
      </w:r>
      <w:r w:rsidRPr="0085660E">
        <w:t xml:space="preserve">resulting in children missing early intervention opportunities. One mother reported that her child never received one-to-one therapy, only large group sessions, despite </w:t>
      </w:r>
      <w:r>
        <w:t xml:space="preserve">a </w:t>
      </w:r>
      <w:r w:rsidRPr="0085660E">
        <w:t>clear need.</w:t>
      </w:r>
    </w:p>
    <w:p w14:paraId="46FB9345" w14:textId="77777777" w:rsidR="001B7066" w:rsidRDefault="001B7066" w:rsidP="001B7066">
      <w:r>
        <w:t>However, t</w:t>
      </w:r>
      <w:r w:rsidRPr="0085660E">
        <w:t>hose who accessed support described significant progress</w:t>
      </w:r>
      <w:r>
        <w:t xml:space="preserve"> with their child’s development</w:t>
      </w:r>
      <w:r w:rsidRPr="0085660E">
        <w:t xml:space="preserve">. For instance, one parent shared: </w:t>
      </w:r>
    </w:p>
    <w:p w14:paraId="3C4D895F" w14:textId="77777777" w:rsidR="001B7066" w:rsidRPr="006015AB" w:rsidRDefault="001B7066" w:rsidP="001B7066">
      <w:pPr>
        <w:jc w:val="center"/>
        <w:rPr>
          <w:i/>
          <w:iCs/>
        </w:rPr>
      </w:pPr>
      <w:r w:rsidRPr="006015AB">
        <w:rPr>
          <w:i/>
          <w:iCs/>
        </w:rPr>
        <w:t xml:space="preserve">‘Before SLT, my child barely spoke. Now they are holding conversations.’ </w:t>
      </w:r>
    </w:p>
    <w:p w14:paraId="059BCA0C" w14:textId="77777777" w:rsidR="001B7066" w:rsidRPr="0085660E" w:rsidRDefault="001B7066" w:rsidP="001B7066">
      <w:r w:rsidRPr="0085660E">
        <w:t>Parents advocated for embedding SLTs and OTs within schools or local hubs to offer consistent, accessible support.</w:t>
      </w:r>
    </w:p>
    <w:p w14:paraId="44A2DB3E" w14:textId="77777777" w:rsidR="001B7066" w:rsidRPr="002E414B" w:rsidRDefault="001B7066" w:rsidP="00F469F9">
      <w:pPr>
        <w:pStyle w:val="Heading5"/>
      </w:pPr>
      <w:r w:rsidRPr="002E414B">
        <w:rPr>
          <w:rStyle w:val="Strong"/>
        </w:rPr>
        <w:lastRenderedPageBreak/>
        <w:t>Gaps in early support and diagnostic dependency</w:t>
      </w:r>
    </w:p>
    <w:p w14:paraId="36C1ABCC" w14:textId="77777777" w:rsidR="001B7066" w:rsidRPr="0085660E" w:rsidRDefault="001B7066" w:rsidP="001B7066">
      <w:r w:rsidRPr="0085660E">
        <w:t xml:space="preserve">Access to services often hinges on formal diagnosis, leaving children without support during crucial early periods. </w:t>
      </w:r>
      <w:r>
        <w:t xml:space="preserve">Parents and carers often explored </w:t>
      </w:r>
      <w:r w:rsidRPr="0085660E">
        <w:t>that school staff were dismissive of concerns because the child had not yet received a formal diagnosis. Others noted their GP was unaware of their child’s SEND status due to poor inter-agency communication.</w:t>
      </w:r>
    </w:p>
    <w:p w14:paraId="3EE87585" w14:textId="77777777" w:rsidR="001B7066" w:rsidRPr="0085660E" w:rsidRDefault="001B7066" w:rsidP="001B7066">
      <w:r w:rsidRPr="0085660E">
        <w:t>Some services were reported to stop entirely after children reach a certain age (e.g., 5 years), creating a critical gap during the early primary years. Parents requested greater service continuity and better coordination between professionals to avoid repeating information and fighting for basic support.</w:t>
      </w:r>
    </w:p>
    <w:p w14:paraId="76F142EF" w14:textId="77777777" w:rsidR="001B7066" w:rsidRPr="002E414B" w:rsidRDefault="001B7066" w:rsidP="00F469F9">
      <w:pPr>
        <w:pStyle w:val="Heading5"/>
      </w:pPr>
      <w:r w:rsidRPr="002E414B">
        <w:rPr>
          <w:rStyle w:val="Strong"/>
        </w:rPr>
        <w:t>Mental health needs are often overlooked</w:t>
      </w:r>
    </w:p>
    <w:p w14:paraId="20A1BFF0" w14:textId="77777777" w:rsidR="001B7066" w:rsidRDefault="001B7066" w:rsidP="001B7066">
      <w:r w:rsidRPr="0085660E">
        <w:t xml:space="preserve">Parents and children alike </w:t>
      </w:r>
      <w:r>
        <w:t>can experience</w:t>
      </w:r>
      <w:r w:rsidRPr="0085660E">
        <w:t xml:space="preserve"> </w:t>
      </w:r>
      <w:r>
        <w:t>significant</w:t>
      </w:r>
      <w:r w:rsidRPr="0085660E">
        <w:t xml:space="preserve"> emotional strain. Mental health support</w:t>
      </w:r>
      <w:r>
        <w:t xml:space="preserve">, </w:t>
      </w:r>
      <w:r w:rsidRPr="0085660E">
        <w:t>both preventative and ongoing</w:t>
      </w:r>
      <w:r>
        <w:t xml:space="preserve">, </w:t>
      </w:r>
      <w:r w:rsidRPr="0085660E">
        <w:t>was identified as a significant gap. Parents described feeling overwhelmed, burnt out, and unsupported</w:t>
      </w:r>
      <w:r w:rsidRPr="00013736">
        <w:t xml:space="preserve">. </w:t>
      </w:r>
    </w:p>
    <w:p w14:paraId="784D306D" w14:textId="77777777" w:rsidR="001B7066" w:rsidRPr="006015AB" w:rsidRDefault="001B7066" w:rsidP="001B7066">
      <w:pPr>
        <w:jc w:val="center"/>
        <w:rPr>
          <w:i/>
          <w:iCs/>
        </w:rPr>
      </w:pPr>
      <w:r w:rsidRPr="006015AB">
        <w:rPr>
          <w:i/>
          <w:iCs/>
        </w:rPr>
        <w:t>“[There’s] no recognition of the grief that people might be going through as they find out their child is neurodiverse – they are already finding it difficult, combined with issues with getting support, and not knowing who to go to”.</w:t>
      </w:r>
    </w:p>
    <w:p w14:paraId="4447C86C" w14:textId="77777777" w:rsidR="001B7066" w:rsidRPr="0085660E" w:rsidRDefault="001B7066" w:rsidP="001B7066">
      <w:r w:rsidRPr="0085660E">
        <w:t>Parents often delayed their own health needs to focus on their children, leading to declining personal wellbeing</w:t>
      </w:r>
      <w:r>
        <w:t xml:space="preserve"> and recognised a need for more holistic care for the child and caregivers, </w:t>
      </w:r>
      <w:r w:rsidRPr="0085660E">
        <w:t>particularly during the diagnostic process and major transitions.</w:t>
      </w:r>
    </w:p>
    <w:p w14:paraId="10E0B6C5" w14:textId="2B6BA042" w:rsidR="001B7066" w:rsidRPr="0085660E" w:rsidRDefault="00DF03EF" w:rsidP="00293C95">
      <w:pPr>
        <w:pStyle w:val="Heading4"/>
      </w:pPr>
      <w:bookmarkStart w:id="488" w:name="_Toc205386992"/>
      <w:bookmarkStart w:id="489" w:name="_Toc205388062"/>
      <w:bookmarkStart w:id="490" w:name="_Toc205446073"/>
      <w:r>
        <w:t>Insights – Social Support</w:t>
      </w:r>
      <w:bookmarkEnd w:id="488"/>
      <w:bookmarkEnd w:id="489"/>
      <w:bookmarkEnd w:id="490"/>
    </w:p>
    <w:p w14:paraId="17D06DC0" w14:textId="77777777" w:rsidR="001B7066" w:rsidRPr="002E414B" w:rsidRDefault="001B7066" w:rsidP="00F469F9">
      <w:pPr>
        <w:pStyle w:val="Heading5"/>
        <w:rPr>
          <w:rFonts w:ascii="Times New Roman" w:hAnsi="Times New Roman" w:cs="Times New Roman"/>
          <w:color w:val="auto"/>
          <w:sz w:val="27"/>
        </w:rPr>
      </w:pPr>
      <w:r w:rsidRPr="002E414B">
        <w:rPr>
          <w:rStyle w:val="Strong"/>
        </w:rPr>
        <w:t>Accessing services is overwhelming and inconsistent</w:t>
      </w:r>
    </w:p>
    <w:p w14:paraId="320F0B7C" w14:textId="77777777" w:rsidR="001B7066" w:rsidRPr="0085660E" w:rsidRDefault="001B7066" w:rsidP="001B7066">
      <w:r w:rsidRPr="0085660E">
        <w:t xml:space="preserve">Many parents described the process of finding, accessing, and navigating services as </w:t>
      </w:r>
      <w:r w:rsidRPr="00823AC1">
        <w:rPr>
          <w:i/>
          <w:iCs/>
        </w:rPr>
        <w:t>“exhausting.”</w:t>
      </w:r>
      <w:r w:rsidRPr="0085660E">
        <w:t xml:space="preserve"> Services operate in silos, requiring families to repeat their stories multiple times. One parent discovered their GP had no record of their child’s diagnosis</w:t>
      </w:r>
      <w:r>
        <w:t xml:space="preserve">, </w:t>
      </w:r>
      <w:r w:rsidRPr="0085660E">
        <w:t>illustrating a wider breakdown in data sharing.</w:t>
      </w:r>
    </w:p>
    <w:p w14:paraId="06385863" w14:textId="77777777" w:rsidR="001B7066" w:rsidRDefault="001B7066" w:rsidP="001B7066">
      <w:r w:rsidRPr="0085660E">
        <w:t xml:space="preserve">Parents reported needing to </w:t>
      </w:r>
      <w:r w:rsidRPr="00823AC1">
        <w:rPr>
          <w:i/>
          <w:iCs/>
        </w:rPr>
        <w:t>“chase”</w:t>
      </w:r>
      <w:r w:rsidRPr="0085660E">
        <w:t xml:space="preserve"> services constantly, with waiting list statuses often unclear. </w:t>
      </w:r>
    </w:p>
    <w:p w14:paraId="3AA37441" w14:textId="77777777" w:rsidR="001B7066" w:rsidRDefault="001B7066" w:rsidP="001B7066">
      <w:pPr>
        <w:jc w:val="center"/>
      </w:pPr>
      <w:r w:rsidRPr="00823AC1">
        <w:rPr>
          <w:i/>
          <w:iCs/>
        </w:rPr>
        <w:t>“I didn’t even know if we were still on the list,”</w:t>
      </w:r>
      <w:r w:rsidRPr="0085660E">
        <w:t xml:space="preserve"> one parent noted. </w:t>
      </w:r>
    </w:p>
    <w:p w14:paraId="2BAFB47C" w14:textId="77777777" w:rsidR="001B7066" w:rsidRPr="0085660E" w:rsidRDefault="001B7066" w:rsidP="001B7066">
      <w:pPr>
        <w:jc w:val="left"/>
      </w:pPr>
      <w:r w:rsidRPr="0085660E">
        <w:t>Others recommended practical strategies such as marking emails as “urgent” to prompt responses. The lack of transparency creates additional stress, particularly for families already coping with complex needs.</w:t>
      </w:r>
    </w:p>
    <w:p w14:paraId="0EABCED8" w14:textId="77777777" w:rsidR="001B7066" w:rsidRPr="002E414B" w:rsidRDefault="001B7066" w:rsidP="00F469F9">
      <w:pPr>
        <w:pStyle w:val="Heading5"/>
      </w:pPr>
      <w:r w:rsidRPr="002E414B">
        <w:rPr>
          <w:rStyle w:val="Strong"/>
        </w:rPr>
        <w:t>Inequities in access - particularly for marginalised families</w:t>
      </w:r>
    </w:p>
    <w:p w14:paraId="702AE71E" w14:textId="77777777" w:rsidR="001B7066" w:rsidRDefault="001B7066" w:rsidP="001B7066">
      <w:r w:rsidRPr="0085660E">
        <w:t xml:space="preserve">Language barriers, immigration status, and unfamiliarity with UK systems compound challenges for some families. </w:t>
      </w:r>
      <w:r>
        <w:t xml:space="preserve">This was reflected in the quote: </w:t>
      </w:r>
    </w:p>
    <w:p w14:paraId="38F16202" w14:textId="77777777" w:rsidR="001B7066" w:rsidRDefault="001B7066" w:rsidP="001B7066">
      <w:pPr>
        <w:jc w:val="center"/>
        <w:rPr>
          <w:i/>
          <w:iCs/>
        </w:rPr>
      </w:pPr>
      <w:r w:rsidRPr="00A31F56">
        <w:rPr>
          <w:i/>
          <w:iCs/>
        </w:rPr>
        <w:t xml:space="preserve">“If I had known, it would have made things better for my child,” </w:t>
      </w:r>
    </w:p>
    <w:p w14:paraId="1F49C729" w14:textId="77777777" w:rsidR="001B7066" w:rsidRDefault="001B7066" w:rsidP="001B7066">
      <w:r w:rsidRPr="0085660E">
        <w:t>Even for native English speakers, the Local Offer website was described as difficult to navigate. Much of the useful information was instead accessed informally, through WhatsApp parent groups or word-of-mouth.</w:t>
      </w:r>
    </w:p>
    <w:p w14:paraId="6C6A40F7" w14:textId="77777777" w:rsidR="001B7066" w:rsidRPr="002E414B" w:rsidRDefault="001B7066" w:rsidP="00F469F9">
      <w:pPr>
        <w:pStyle w:val="Heading5"/>
      </w:pPr>
      <w:r w:rsidRPr="002E414B">
        <w:rPr>
          <w:rStyle w:val="Strong"/>
        </w:rPr>
        <w:lastRenderedPageBreak/>
        <w:t>Strengths in community support and peer networks</w:t>
      </w:r>
    </w:p>
    <w:p w14:paraId="434B321A" w14:textId="77777777" w:rsidR="001B7066" w:rsidRDefault="001B7066" w:rsidP="001B7066">
      <w:r w:rsidRPr="0085660E">
        <w:t xml:space="preserve">Despite challenges, several parents noted positive experiences within their community. Peer-run coffee mornings provided emotional support and information sharing. Some parents reported excellent experiences with specific schools or SENCOs. The IASS surgeries were praised, although awareness of them remains low. </w:t>
      </w:r>
    </w:p>
    <w:p w14:paraId="36CDD85A" w14:textId="77777777" w:rsidR="001B7066" w:rsidRDefault="001B7066" w:rsidP="001B7066">
      <w:pPr>
        <w:jc w:val="center"/>
      </w:pPr>
      <w:r w:rsidRPr="000E71C3">
        <w:rPr>
          <w:i/>
          <w:iCs/>
        </w:rPr>
        <w:t>“There are lots of really great things happening, but people don’t know about them - they should be shared more widely through GPs or schools”</w:t>
      </w:r>
    </w:p>
    <w:p w14:paraId="11F1C46C" w14:textId="77777777" w:rsidR="001B7066" w:rsidRPr="0085660E" w:rsidRDefault="001B7066" w:rsidP="001B7066">
      <w:pPr>
        <w:jc w:val="left"/>
      </w:pPr>
      <w:r w:rsidRPr="0085660E">
        <w:t>Making these resources more visible and accessible could help reduce the feeling of isolation and confusion.</w:t>
      </w:r>
    </w:p>
    <w:p w14:paraId="030920E8" w14:textId="77777777" w:rsidR="001B7066" w:rsidRPr="00457C59" w:rsidRDefault="001B7066" w:rsidP="001B7066">
      <w:pPr>
        <w:pStyle w:val="Heading3"/>
        <w:rPr>
          <w:color w:val="006B70"/>
        </w:rPr>
      </w:pPr>
      <w:bookmarkStart w:id="491" w:name="_Toc205386993"/>
      <w:bookmarkStart w:id="492" w:name="_Toc205388063"/>
      <w:bookmarkStart w:id="493" w:name="_Toc205446074"/>
      <w:r w:rsidRPr="00457C59">
        <w:rPr>
          <w:color w:val="006B70"/>
        </w:rPr>
        <w:t>Recommendations</w:t>
      </w:r>
      <w:bookmarkEnd w:id="491"/>
      <w:bookmarkEnd w:id="492"/>
      <w:bookmarkEnd w:id="493"/>
    </w:p>
    <w:p w14:paraId="5216F11D" w14:textId="7AF2CE9F" w:rsidR="00843454" w:rsidRPr="00EC4817" w:rsidRDefault="00843454" w:rsidP="00843454">
      <w:pPr>
        <w:spacing w:before="0" w:after="160" w:line="278" w:lineRule="auto"/>
        <w:jc w:val="left"/>
      </w:pPr>
      <w:r w:rsidRPr="00900F1C">
        <w:t xml:space="preserve">The following recommendations are based on </w:t>
      </w:r>
      <w:r w:rsidR="006254C8">
        <w:t>insights gathered from parents and carers of children and young people with SEND:</w:t>
      </w:r>
    </w:p>
    <w:p w14:paraId="02EE00E9" w14:textId="77777777" w:rsidR="001B7066" w:rsidRDefault="001B7066" w:rsidP="00BF63ED">
      <w:pPr>
        <w:pStyle w:val="ListParagraph"/>
        <w:numPr>
          <w:ilvl w:val="0"/>
          <w:numId w:val="42"/>
        </w:numPr>
      </w:pPr>
      <w:r w:rsidRPr="001533B8">
        <w:rPr>
          <w:b/>
          <w:bCs/>
        </w:rPr>
        <w:t>Single solution to source knowledge:</w:t>
      </w:r>
      <w:r>
        <w:t xml:space="preserve"> </w:t>
      </w:r>
      <w:r w:rsidRPr="0085660E">
        <w:t>Parents strongly advocated for a single, up-to-date website or hub containing information about all local services, including SEND, therapies, mental health support, and parent networks. Several suggested QR codes linking to centralised resources, and for service details to be shared via school bulletins or GP surgeries. One parent recommended a dedicated Autism portal for Tower Hamlets.</w:t>
      </w:r>
    </w:p>
    <w:p w14:paraId="7FA58FBB" w14:textId="54754977" w:rsidR="001B7066" w:rsidRDefault="001B7066" w:rsidP="00BF63ED">
      <w:pPr>
        <w:pStyle w:val="ListParagraph"/>
        <w:numPr>
          <w:ilvl w:val="0"/>
          <w:numId w:val="42"/>
        </w:numPr>
      </w:pPr>
      <w:r w:rsidRPr="001533B8">
        <w:rPr>
          <w:b/>
          <w:bCs/>
        </w:rPr>
        <w:t>Increasing accessibility of OTs and SLTs:</w:t>
      </w:r>
      <w:r>
        <w:t xml:space="preserve"> </w:t>
      </w:r>
      <w:r w:rsidRPr="0085660E">
        <w:t xml:space="preserve">Having </w:t>
      </w:r>
      <w:r>
        <w:t>OTs and SLTs</w:t>
      </w:r>
      <w:r w:rsidRPr="0085660E">
        <w:t xml:space="preserve"> located within family hubs would improve access and help parents feel more supported. Parents also requested better guidance during key processes, including HCP transitions and when moving boroughs.</w:t>
      </w:r>
      <w:r w:rsidR="00A87584">
        <w:t xml:space="preserve"> </w:t>
      </w:r>
      <w:r w:rsidR="00071415">
        <w:t>Additionally, addressing capacity challenges would help to reduce long-waiting times.</w:t>
      </w:r>
      <w:r w:rsidR="00115336">
        <w:t xml:space="preserve"> </w:t>
      </w:r>
    </w:p>
    <w:p w14:paraId="0D87F5C5" w14:textId="4694CDD5" w:rsidR="001B7066" w:rsidRDefault="001B7066" w:rsidP="00BF63ED">
      <w:pPr>
        <w:pStyle w:val="ListParagraph"/>
        <w:numPr>
          <w:ilvl w:val="0"/>
          <w:numId w:val="42"/>
        </w:numPr>
      </w:pPr>
      <w:r w:rsidRPr="001533B8">
        <w:rPr>
          <w:b/>
          <w:bCs/>
        </w:rPr>
        <w:t>Increased knowledge and understanding:</w:t>
      </w:r>
      <w:r>
        <w:t xml:space="preserve"> </w:t>
      </w:r>
      <w:r w:rsidRPr="00F7791D">
        <w:t xml:space="preserve">Several parents suggested distributing a clear, printed guide or </w:t>
      </w:r>
      <w:r>
        <w:t>diagnosis</w:t>
      </w:r>
      <w:r w:rsidRPr="00F7791D">
        <w:t xml:space="preserve"> pack for newly diagnosed families, outlining available services, contact points, and common next steps. This could be provided at diagnosis, at school entry, or during any transition stage to help families navigate the system with greater confidence.</w:t>
      </w:r>
      <w:r w:rsidR="00FD0EBC">
        <w:t xml:space="preserve"> </w:t>
      </w:r>
      <w:r w:rsidR="00FD0EBC" w:rsidRPr="00FD0EBC">
        <w:t>Developing this resource through co-production with families and professionals would ensure that both lived and professional experiences are reflected with appropriate nuance. Additionally, local service mapping could help highlight the diversity of provision and prevent overgeneralisation.</w:t>
      </w:r>
    </w:p>
    <w:p w14:paraId="33EC4249" w14:textId="77777777" w:rsidR="001B7066" w:rsidRDefault="001B7066" w:rsidP="00BF63ED">
      <w:pPr>
        <w:pStyle w:val="ListParagraph"/>
        <w:numPr>
          <w:ilvl w:val="0"/>
          <w:numId w:val="42"/>
        </w:numPr>
      </w:pPr>
      <w:r w:rsidRPr="001533B8">
        <w:rPr>
          <w:b/>
          <w:bCs/>
        </w:rPr>
        <w:t>Expanding peer-led support networks</w:t>
      </w:r>
      <w:r>
        <w:t xml:space="preserve">: </w:t>
      </w:r>
      <w:r w:rsidRPr="00F7791D">
        <w:t>Parents also recommended expanding peer-led support networks</w:t>
      </w:r>
      <w:r>
        <w:t xml:space="preserve"> - </w:t>
      </w:r>
      <w:r w:rsidRPr="00F7791D">
        <w:t>such as local coffee mornings facilitated by experienced carers</w:t>
      </w:r>
      <w:r>
        <w:t>, whilst</w:t>
      </w:r>
      <w:r w:rsidRPr="00F7791D">
        <w:t xml:space="preserve"> ensuring these are consistently publicised through schools, GPs, and community venues. Making these groups more accessible would reduce isolation and allow families to benefit from shared lived experience earlier in their journeys.</w:t>
      </w:r>
    </w:p>
    <w:p w14:paraId="09B7BB72" w14:textId="5054F4FF" w:rsidR="001B7066" w:rsidRDefault="001B7066" w:rsidP="00BF63ED">
      <w:pPr>
        <w:pStyle w:val="ListParagraph"/>
        <w:numPr>
          <w:ilvl w:val="0"/>
          <w:numId w:val="42"/>
        </w:numPr>
      </w:pPr>
      <w:r w:rsidRPr="001533B8">
        <w:rPr>
          <w:b/>
          <w:bCs/>
        </w:rPr>
        <w:t>Post</w:t>
      </w:r>
      <w:r w:rsidR="00DF5856">
        <w:rPr>
          <w:b/>
          <w:bCs/>
        </w:rPr>
        <w:t>-</w:t>
      </w:r>
      <w:r w:rsidRPr="001533B8">
        <w:rPr>
          <w:b/>
          <w:bCs/>
        </w:rPr>
        <w:t>16 educational support:</w:t>
      </w:r>
      <w:r>
        <w:t xml:space="preserve"> </w:t>
      </w:r>
      <w:r w:rsidR="00F942E2" w:rsidRPr="00F942E2">
        <w:t xml:space="preserve">Consider what support should be available for young people aged 16 and over who do not fit into apprenticeships and are not classified as having high or complex needs. This could include continued learning opportunities, such as foundation or bridging courses, which allow young people to remain within an educational support structure while developing skills for further education, training, or </w:t>
      </w:r>
      <w:proofErr w:type="gramStart"/>
      <w:r w:rsidR="00F942E2" w:rsidRPr="00F942E2">
        <w:t>employment</w:t>
      </w:r>
      <w:r w:rsidR="00F942E2">
        <w:t>.</w:t>
      </w:r>
      <w:r w:rsidR="00F942E2" w:rsidRPr="00F942E2">
        <w:t>.</w:t>
      </w:r>
      <w:proofErr w:type="gramEnd"/>
    </w:p>
    <w:p w14:paraId="689EBE7B" w14:textId="77777777" w:rsidR="001B7066" w:rsidRDefault="001B7066" w:rsidP="00BF63ED">
      <w:pPr>
        <w:pStyle w:val="ListParagraph"/>
        <w:numPr>
          <w:ilvl w:val="0"/>
          <w:numId w:val="42"/>
        </w:numPr>
      </w:pPr>
      <w:r w:rsidRPr="001533B8">
        <w:rPr>
          <w:b/>
          <w:bCs/>
        </w:rPr>
        <w:lastRenderedPageBreak/>
        <w:t>Holistic, person-centred service coordination:</w:t>
      </w:r>
      <w:r>
        <w:t xml:space="preserve"> Continue to develop stronger cross-agency working between education, health and social care to provide joined-up, person-centred support. Shared planning and data-sharing (with appropriate protocols in place) can help ensure consistent and continuous care, reducing the burden on families to navigate complex systems alone.</w:t>
      </w:r>
    </w:p>
    <w:p w14:paraId="2CFE6C1F" w14:textId="71783A43" w:rsidR="001B7066" w:rsidRPr="00457C59" w:rsidRDefault="006254C8" w:rsidP="006254C8">
      <w:pPr>
        <w:pStyle w:val="Heading3"/>
        <w:rPr>
          <w:color w:val="006B70"/>
        </w:rPr>
      </w:pPr>
      <w:bookmarkStart w:id="494" w:name="_Toc205386994"/>
      <w:bookmarkStart w:id="495" w:name="_Toc205388064"/>
      <w:bookmarkStart w:id="496" w:name="_Toc205446075"/>
      <w:r w:rsidRPr="00457C59">
        <w:rPr>
          <w:color w:val="006B70"/>
        </w:rPr>
        <w:t>Summary</w:t>
      </w:r>
      <w:bookmarkEnd w:id="494"/>
      <w:bookmarkEnd w:id="495"/>
      <w:bookmarkEnd w:id="496"/>
    </w:p>
    <w:p w14:paraId="16B963FE" w14:textId="29EE9E86" w:rsidR="001B7066" w:rsidRPr="00C75730" w:rsidRDefault="00CB7E8A" w:rsidP="00C75730">
      <w:pPr>
        <w:rPr>
          <w:b/>
          <w:bCs/>
          <w:color w:val="87C765"/>
        </w:rPr>
      </w:pPr>
      <w:r w:rsidRPr="00CB7E8A">
        <w:t xml:space="preserve">The insights shared by children, young people, and their families provide a powerful perspective on the strengths and </w:t>
      </w:r>
      <w:r>
        <w:t>challenges</w:t>
      </w:r>
      <w:r w:rsidRPr="00CB7E8A">
        <w:t xml:space="preserve"> of current SEND services. </w:t>
      </w:r>
      <w:r w:rsidR="00766D8C">
        <w:t>In Tower Hamlets</w:t>
      </w:r>
      <w:r w:rsidRPr="00CB7E8A">
        <w:t xml:space="preserve"> there is evidence of strong engagement, meaningful coproduction, and committed professionals across education, health, and care</w:t>
      </w:r>
      <w:r w:rsidR="00766D8C">
        <w:t xml:space="preserve">. However, </w:t>
      </w:r>
      <w:r w:rsidRPr="00CB7E8A">
        <w:t xml:space="preserve">systemic challenges remain. These include access barriers, delays in diagnosis and support, variability in staff training, and a lack of coordinated, person-centred approaches. Parents and young people consistently advocate for more inclusive, accessible, and responsive services that are shaped by those who use them. Embedding lived experience at the heart of service planning and delivery </w:t>
      </w:r>
      <w:r>
        <w:t>remains</w:t>
      </w:r>
      <w:r w:rsidRPr="00CB7E8A">
        <w:t xml:space="preserve"> essential to ensuring that SEND services are effective, equitable, and trusted by the communities they serve.</w:t>
      </w:r>
    </w:p>
    <w:p w14:paraId="357D2666" w14:textId="77777777" w:rsidR="001B7066" w:rsidRDefault="001B7066" w:rsidP="001B7066">
      <w:pPr>
        <w:pStyle w:val="Heading2"/>
      </w:pPr>
      <w:bookmarkStart w:id="497" w:name="_Toc211414165"/>
      <w:bookmarkStart w:id="498" w:name="_Toc211440064"/>
      <w:r>
        <w:t>Recommendations</w:t>
      </w:r>
      <w:bookmarkEnd w:id="497"/>
      <w:bookmarkEnd w:id="498"/>
    </w:p>
    <w:p w14:paraId="4CDCFD0A" w14:textId="46A94039" w:rsidR="008C6C97" w:rsidRDefault="008C6C97" w:rsidP="009D3090">
      <w:r w:rsidRPr="008C6C97">
        <w:t>Building on the category-specific chapters that have outlined tailored recommendations for each area of need, the following section presents a cohesive set of overarching recommendations for SEND provision in Tower Hamlets. These recommendations draw together the insights and findings from across the review</w:t>
      </w:r>
      <w:r>
        <w:t xml:space="preserve">, </w:t>
      </w:r>
      <w:r w:rsidRPr="008C6C97">
        <w:t>including data analysis, stakeholder interviews, evidence-based research, and community input</w:t>
      </w:r>
      <w:r>
        <w:t xml:space="preserve">, </w:t>
      </w:r>
      <w:r w:rsidRPr="008C6C97">
        <w:t>to provide a strategic framework for system-wide improvement.</w:t>
      </w:r>
    </w:p>
    <w:p w14:paraId="10CD4274" w14:textId="097E3501" w:rsidR="009C5A4D" w:rsidRPr="00457C59" w:rsidRDefault="009C5A4D" w:rsidP="00C00E9F">
      <w:pPr>
        <w:pStyle w:val="Heading3"/>
        <w:rPr>
          <w:color w:val="006B70"/>
        </w:rPr>
      </w:pPr>
      <w:bookmarkStart w:id="499" w:name="_Toc205386996"/>
      <w:bookmarkStart w:id="500" w:name="_Toc205388066"/>
      <w:bookmarkStart w:id="501" w:name="_Toc205446077"/>
      <w:r w:rsidRPr="00457C59">
        <w:rPr>
          <w:color w:val="006B70"/>
        </w:rPr>
        <w:t>Recommendation: Adopting a need-led approach to support</w:t>
      </w:r>
      <w:bookmarkEnd w:id="499"/>
      <w:bookmarkEnd w:id="500"/>
      <w:bookmarkEnd w:id="501"/>
      <w:r w:rsidRPr="00457C59">
        <w:rPr>
          <w:color w:val="006B70"/>
        </w:rPr>
        <w:t xml:space="preserve"> </w:t>
      </w:r>
    </w:p>
    <w:p w14:paraId="7ED6C840" w14:textId="79E192DD" w:rsidR="009C5A4D" w:rsidRDefault="009C5A4D" w:rsidP="009C5A4D">
      <w:r w:rsidRPr="00961F46">
        <w:t>To ensure equitable and effective support, services should prioritise a needs-led approach rather than relying solely on diagnostic labels. Many children and young people may experience significant challenges that do not fit neatly within one diagnostic category</w:t>
      </w:r>
      <w:r>
        <w:t xml:space="preserve"> </w:t>
      </w:r>
      <w:r w:rsidRPr="00961F46">
        <w:t>or who are still awaiting assessment. A flexible, needs-focused model enables earlier intervention, reduces delays in support, and avoids the risk of some needs being overlooked simply because a formal diagnosis has not yet been made. Embedding this approach across education, health, and care systems can help ensure all children and young people receive timely, tailored support based on their unique strengths and difficulties.</w:t>
      </w:r>
      <w:r>
        <w:t xml:space="preserve"> To begin this transition, s</w:t>
      </w:r>
      <w:r w:rsidRPr="00887604">
        <w:t>ervices can develop multidisciplinary teams that collaboratively assess, and plan support based on individual needs, regardless of diagnosis. Training frontline staff to recognise a broad range of developmental and emotional challenges</w:t>
      </w:r>
      <w:r>
        <w:t xml:space="preserve"> a</w:t>
      </w:r>
      <w:r w:rsidRPr="00887604">
        <w:t>nd to respond with early, tailored interventions</w:t>
      </w:r>
      <w:r>
        <w:t xml:space="preserve"> </w:t>
      </w:r>
      <w:r w:rsidRPr="00887604">
        <w:t>can also support this shift.</w:t>
      </w:r>
    </w:p>
    <w:p w14:paraId="3FEC9CF2" w14:textId="24919839" w:rsidR="00D45FEE" w:rsidRPr="003203C8" w:rsidRDefault="00D45FEE" w:rsidP="00D45FEE">
      <w:pPr>
        <w:rPr>
          <w:lang w:val="en-US"/>
        </w:rPr>
      </w:pPr>
      <w:r w:rsidRPr="00832368">
        <w:rPr>
          <w:b/>
          <w:bCs/>
          <w:lang w:val="en-US"/>
        </w:rPr>
        <w:t>Assessment and diagnosis</w:t>
      </w:r>
      <w:r>
        <w:rPr>
          <w:b/>
          <w:bCs/>
          <w:lang w:val="en-US"/>
        </w:rPr>
        <w:t xml:space="preserve"> ADHD and ASD</w:t>
      </w:r>
      <w:r w:rsidRPr="00832368">
        <w:rPr>
          <w:b/>
          <w:bCs/>
          <w:lang w:val="en-US"/>
        </w:rPr>
        <w:t>:</w:t>
      </w:r>
      <w:r>
        <w:rPr>
          <w:lang w:val="en-US"/>
        </w:rPr>
        <w:t xml:space="preserve"> </w:t>
      </w:r>
      <w:r w:rsidRPr="00432081">
        <w:t xml:space="preserve">The overlapping characteristics of ADHD and ASD can create challenges in diagnosis, particularly given the absence of a clear, integrated pathway for cases where symptoms intersect. As a result, some young people may be referred for an autism assessment only to be redirected towards ADHD support later. </w:t>
      </w:r>
      <w:r w:rsidR="00953856" w:rsidRPr="00432081">
        <w:t>A needs-led</w:t>
      </w:r>
      <w:r w:rsidR="00885350">
        <w:t xml:space="preserve"> </w:t>
      </w:r>
      <w:r w:rsidR="00953856" w:rsidRPr="00432081">
        <w:t>approach</w:t>
      </w:r>
      <w:r>
        <w:t xml:space="preserve"> </w:t>
      </w:r>
      <w:r w:rsidRPr="00432081">
        <w:t>rather than one based solely on diagnostic categories</w:t>
      </w:r>
      <w:r>
        <w:t xml:space="preserve"> </w:t>
      </w:r>
      <w:r w:rsidRPr="00432081">
        <w:t xml:space="preserve">would help address this complexity and </w:t>
      </w:r>
      <w:r w:rsidR="00885350">
        <w:t>may lead to improved</w:t>
      </w:r>
      <w:r w:rsidRPr="00432081">
        <w:t xml:space="preserve"> outcomes for children and young people</w:t>
      </w:r>
      <w:r w:rsidR="00885350">
        <w:t>.</w:t>
      </w:r>
    </w:p>
    <w:p w14:paraId="47FFEB24" w14:textId="054D03B6" w:rsidR="00D45FEE" w:rsidRDefault="00D45FEE" w:rsidP="009C5A4D">
      <w:r w:rsidRPr="00F324DA">
        <w:rPr>
          <w:b/>
          <w:bCs/>
        </w:rPr>
        <w:lastRenderedPageBreak/>
        <w:t>Adopting a holistic approach</w:t>
      </w:r>
      <w:r>
        <w:rPr>
          <w:b/>
          <w:bCs/>
        </w:rPr>
        <w:t xml:space="preserve"> to neurodiversity</w:t>
      </w:r>
      <w:r w:rsidRPr="00F324DA">
        <w:rPr>
          <w:b/>
          <w:bCs/>
        </w:rPr>
        <w:t>:</w:t>
      </w:r>
      <w:r>
        <w:t xml:space="preserve"> </w:t>
      </w:r>
      <w:r w:rsidRPr="007D0060">
        <w:t>Neurodiversity encompasses a broad spectrum of characteristics that are not always considered in a holistic and inclusive way. This can result in fragmented pathways, over-reliance on specialised approaches, and increased demand for assessment resources and funding. Adopting a more comprehensive understanding of neurodiversity can lead to more effective, inclusive, and streamlined support for children and young people.</w:t>
      </w:r>
      <w:r>
        <w:t xml:space="preserve"> Development of borough-wide neurodiversity approaches, such as a training programme for education, health and social care to build and share understanding can reduce reliance on formal diagnosis and promote early, needs-based support. </w:t>
      </w:r>
    </w:p>
    <w:p w14:paraId="78650698" w14:textId="45FCBCA4" w:rsidR="009C5A4D" w:rsidRPr="00457C59" w:rsidRDefault="009C5A4D" w:rsidP="00B62C53">
      <w:pPr>
        <w:pStyle w:val="Heading3"/>
        <w:rPr>
          <w:color w:val="006B70"/>
        </w:rPr>
      </w:pPr>
      <w:bookmarkStart w:id="502" w:name="_Toc205386997"/>
      <w:bookmarkStart w:id="503" w:name="_Toc205388067"/>
      <w:bookmarkStart w:id="504" w:name="_Toc205446078"/>
      <w:r w:rsidRPr="00457C59">
        <w:rPr>
          <w:color w:val="006B70"/>
        </w:rPr>
        <w:t>Recommendation</w:t>
      </w:r>
      <w:r w:rsidR="00B62C53" w:rsidRPr="00457C59">
        <w:rPr>
          <w:color w:val="006B70"/>
        </w:rPr>
        <w:t xml:space="preserve">: </w:t>
      </w:r>
      <w:r w:rsidRPr="00457C59">
        <w:rPr>
          <w:color w:val="006B70"/>
        </w:rPr>
        <w:t>Promoting early and preventative support</w:t>
      </w:r>
      <w:bookmarkEnd w:id="502"/>
      <w:bookmarkEnd w:id="503"/>
      <w:bookmarkEnd w:id="504"/>
      <w:r w:rsidRPr="00457C59">
        <w:rPr>
          <w:color w:val="006B70"/>
        </w:rPr>
        <w:t xml:space="preserve"> </w:t>
      </w:r>
    </w:p>
    <w:p w14:paraId="2141E7C4" w14:textId="416F5826" w:rsidR="009C5A4D" w:rsidRDefault="009C5A4D" w:rsidP="009C5A4D">
      <w:r w:rsidRPr="0080705E">
        <w:t xml:space="preserve">Families and parents should not feel an </w:t>
      </w:r>
      <w:r>
        <w:t>EHC</w:t>
      </w:r>
      <w:r w:rsidR="0051337C">
        <w:t xml:space="preserve">P </w:t>
      </w:r>
      <w:r w:rsidRPr="0080705E">
        <w:t xml:space="preserve">is the only route to access support. </w:t>
      </w:r>
      <w:r>
        <w:t>Whilst</w:t>
      </w:r>
      <w:r w:rsidRPr="0080705E">
        <w:t xml:space="preserve"> an EHC</w:t>
      </w:r>
      <w:r w:rsidR="0051337C">
        <w:t xml:space="preserve">P </w:t>
      </w:r>
      <w:r w:rsidRPr="0080705E">
        <w:t xml:space="preserve">is necessary in some cases, ensuring adequate support is available from the earliest stages of a child's life is essential. </w:t>
      </w:r>
      <w:r>
        <w:t xml:space="preserve">Whilst the family hubs are considered a significant strength of the borough, </w:t>
      </w:r>
      <w:r w:rsidR="00810A45">
        <w:t xml:space="preserve">there are opportunities to strengthen </w:t>
      </w:r>
      <w:r>
        <w:t xml:space="preserve">home-learning or core basics of parent-child relationship and development. </w:t>
      </w:r>
      <w:r w:rsidRPr="0080705E">
        <w:t>A proactive, preventative approach is far more likely to lead to improved long-term health and wellbeing outcomes.</w:t>
      </w:r>
      <w:r>
        <w:t xml:space="preserve"> This could include increased parent educational training and learning opportunities at the pre-natal </w:t>
      </w:r>
      <w:r w:rsidR="00344B45">
        <w:t>stage to equ</w:t>
      </w:r>
      <w:r w:rsidR="00810A45">
        <w:t>ip parents and carers with a proactive approach</w:t>
      </w:r>
      <w:r w:rsidR="00BC2B16">
        <w:t xml:space="preserve"> and increased </w:t>
      </w:r>
      <w:r w:rsidR="00934D97">
        <w:t xml:space="preserve">personal responsibility </w:t>
      </w:r>
      <w:r w:rsidR="00810A45">
        <w:t xml:space="preserve">to child development. </w:t>
      </w:r>
    </w:p>
    <w:p w14:paraId="411B564F" w14:textId="70EBA8D1" w:rsidR="009C5A4D" w:rsidRPr="00457C59" w:rsidRDefault="009C5A4D" w:rsidP="00B62C53">
      <w:pPr>
        <w:pStyle w:val="Heading3"/>
        <w:rPr>
          <w:color w:val="006B70"/>
        </w:rPr>
      </w:pPr>
      <w:bookmarkStart w:id="505" w:name="_Toc205386998"/>
      <w:bookmarkStart w:id="506" w:name="_Toc205388068"/>
      <w:bookmarkStart w:id="507" w:name="_Toc205446079"/>
      <w:r w:rsidRPr="00457C59">
        <w:rPr>
          <w:color w:val="006B70"/>
        </w:rPr>
        <w:t>Recommendation</w:t>
      </w:r>
      <w:r w:rsidR="00B62C53" w:rsidRPr="00457C59">
        <w:rPr>
          <w:color w:val="006B70"/>
        </w:rPr>
        <w:t xml:space="preserve">: </w:t>
      </w:r>
      <w:r w:rsidRPr="00457C59">
        <w:rPr>
          <w:color w:val="006B70"/>
        </w:rPr>
        <w:t>Shifting from reactive to proactive approaches</w:t>
      </w:r>
      <w:bookmarkEnd w:id="505"/>
      <w:bookmarkEnd w:id="506"/>
      <w:bookmarkEnd w:id="507"/>
      <w:r w:rsidRPr="00457C59">
        <w:rPr>
          <w:color w:val="006B70"/>
        </w:rPr>
        <w:t xml:space="preserve"> </w:t>
      </w:r>
    </w:p>
    <w:p w14:paraId="50CAF069" w14:textId="51AB353B" w:rsidR="009C5A4D" w:rsidRDefault="009C5A4D" w:rsidP="009C5A4D">
      <w:r w:rsidRPr="00B10247">
        <w:t>Conduct in-depth</w:t>
      </w:r>
      <w:r w:rsidR="002B1C34">
        <w:t xml:space="preserve"> </w:t>
      </w:r>
      <w:r w:rsidRPr="00B10247">
        <w:t>research to explore the underlying causes and contributing factors driving the rise in ASD and ADHD assessments. This research should include epidemiological studies, environmental and social factors, and service access patterns to inform more proactive, targeted approaches to early identification, support, and prevention.</w:t>
      </w:r>
      <w:r>
        <w:t xml:space="preserve"> </w:t>
      </w:r>
    </w:p>
    <w:p w14:paraId="22BCD3F0" w14:textId="0FF6CE89" w:rsidR="009C5A4D" w:rsidRDefault="009C5A4D" w:rsidP="009D3090">
      <w:r w:rsidRPr="0070370C">
        <w:t xml:space="preserve">There continues to be a significant increase in </w:t>
      </w:r>
      <w:r>
        <w:t>demand for assessments</w:t>
      </w:r>
      <w:r w:rsidRPr="0070370C">
        <w:t xml:space="preserve"> of </w:t>
      </w:r>
      <w:r>
        <w:t>ASD</w:t>
      </w:r>
      <w:r w:rsidRPr="0070370C">
        <w:t xml:space="preserve"> and ADHD within the borough. However, there is limited understanding of the underlying drivers or contributing factors behind this trend. As a result, the current approach remains largely reactiv</w:t>
      </w:r>
      <w:r>
        <w:t xml:space="preserve">e, </w:t>
      </w:r>
      <w:r w:rsidRPr="0070370C">
        <w:t>focusing on assessment and diagnosis</w:t>
      </w:r>
      <w:r>
        <w:t xml:space="preserve">, </w:t>
      </w:r>
      <w:r w:rsidRPr="0070370C">
        <w:t>rather than proactive, where early identification, support, and prevention</w:t>
      </w:r>
      <w:r>
        <w:t xml:space="preserve"> </w:t>
      </w:r>
      <w:r w:rsidRPr="0070370C">
        <w:t xml:space="preserve">could be </w:t>
      </w:r>
      <w:r w:rsidR="00BA18EF">
        <w:t xml:space="preserve">further </w:t>
      </w:r>
      <w:r w:rsidRPr="0070370C">
        <w:t>prioritised.</w:t>
      </w:r>
    </w:p>
    <w:p w14:paraId="10FE3C24" w14:textId="2884C43A" w:rsidR="00E9203F" w:rsidRPr="00457C59" w:rsidRDefault="00495F61" w:rsidP="00B62C53">
      <w:pPr>
        <w:pStyle w:val="Heading3"/>
        <w:rPr>
          <w:color w:val="006B70"/>
          <w:lang w:val="en-US"/>
        </w:rPr>
      </w:pPr>
      <w:bookmarkStart w:id="508" w:name="_Toc205386999"/>
      <w:bookmarkStart w:id="509" w:name="_Toc205388069"/>
      <w:bookmarkStart w:id="510" w:name="_Toc205446080"/>
      <w:r w:rsidRPr="00457C59">
        <w:rPr>
          <w:color w:val="006B70"/>
          <w:lang w:val="en-US"/>
        </w:rPr>
        <w:t xml:space="preserve">Recommendation: </w:t>
      </w:r>
      <w:r w:rsidR="00E9203F" w:rsidRPr="00457C59">
        <w:rPr>
          <w:color w:val="006B70"/>
          <w:lang w:val="en-US"/>
        </w:rPr>
        <w:t>Strengthening data-drive</w:t>
      </w:r>
      <w:r w:rsidR="00834137" w:rsidRPr="00457C59">
        <w:rPr>
          <w:color w:val="006B70"/>
          <w:lang w:val="en-US"/>
        </w:rPr>
        <w:t>n</w:t>
      </w:r>
      <w:r w:rsidR="00E9203F" w:rsidRPr="00457C59">
        <w:rPr>
          <w:color w:val="006B70"/>
          <w:lang w:val="en-US"/>
        </w:rPr>
        <w:t xml:space="preserve"> decision making and sustainable service design</w:t>
      </w:r>
      <w:bookmarkEnd w:id="508"/>
      <w:bookmarkEnd w:id="509"/>
      <w:bookmarkEnd w:id="510"/>
      <w:r w:rsidR="00E9203F" w:rsidRPr="00457C59">
        <w:rPr>
          <w:color w:val="006B70"/>
          <w:lang w:val="en-US"/>
        </w:rPr>
        <w:t xml:space="preserve"> </w:t>
      </w:r>
    </w:p>
    <w:p w14:paraId="0CEBBD11" w14:textId="3106E5D1" w:rsidR="009D3090" w:rsidRPr="00E9203F" w:rsidRDefault="00495F61" w:rsidP="00D460BE">
      <w:pPr>
        <w:rPr>
          <w:lang w:val="en-US"/>
        </w:rPr>
      </w:pPr>
      <w:r>
        <w:rPr>
          <w:b/>
          <w:bCs/>
        </w:rPr>
        <w:t>Ethnicity data</w:t>
      </w:r>
      <w:r w:rsidRPr="00495F61">
        <w:rPr>
          <w:b/>
          <w:bCs/>
        </w:rPr>
        <w:t xml:space="preserve"> capturing:</w:t>
      </w:r>
      <w:r>
        <w:t xml:space="preserve"> </w:t>
      </w:r>
      <w:r w:rsidR="009D3090" w:rsidRPr="00412A1A">
        <w:t xml:space="preserve">In line with national challenges, there is a growing need to improve the accuracy and consistency in </w:t>
      </w:r>
      <w:r w:rsidR="003C5B03">
        <w:t xml:space="preserve">the </w:t>
      </w:r>
      <w:r w:rsidR="009D3090" w:rsidRPr="00412A1A">
        <w:t xml:space="preserve">recording and tracking </w:t>
      </w:r>
      <w:r>
        <w:t xml:space="preserve">of </w:t>
      </w:r>
      <w:r w:rsidR="009D3090" w:rsidRPr="00412A1A">
        <w:t>ethnicity data. Strengthening this</w:t>
      </w:r>
      <w:r w:rsidR="00F95BA8">
        <w:t xml:space="preserve"> data capturing</w:t>
      </w:r>
      <w:r w:rsidR="009D3090" w:rsidRPr="00412A1A">
        <w:t xml:space="preserve"> process </w:t>
      </w:r>
      <w:r w:rsidR="008A21F5" w:rsidRPr="008A21F5">
        <w:t>will allow us to examine if our services are equitable and identify emerging areas of need.</w:t>
      </w:r>
    </w:p>
    <w:p w14:paraId="54FF6EC4" w14:textId="70AB5053" w:rsidR="00A16C73" w:rsidRDefault="00347E04" w:rsidP="00D460BE">
      <w:r>
        <w:rPr>
          <w:b/>
          <w:bCs/>
        </w:rPr>
        <w:t>Decision</w:t>
      </w:r>
      <w:r w:rsidR="00495F61" w:rsidRPr="00495F61">
        <w:rPr>
          <w:b/>
          <w:bCs/>
        </w:rPr>
        <w:t xml:space="preserve"> making:</w:t>
      </w:r>
      <w:r w:rsidR="00495F61">
        <w:t xml:space="preserve"> </w:t>
      </w:r>
      <w:r w:rsidR="00CB151D" w:rsidRPr="00CB151D">
        <w:t xml:space="preserve">Data offers valuable insights that can inform the design and delivery of services. Metrics such as waiting times and the number of assessments </w:t>
      </w:r>
      <w:proofErr w:type="gramStart"/>
      <w:r w:rsidR="00CB151D" w:rsidRPr="00CB151D">
        <w:t>are</w:t>
      </w:r>
      <w:proofErr w:type="gramEnd"/>
      <w:r w:rsidR="00CB151D" w:rsidRPr="00CB151D">
        <w:t xml:space="preserve"> important, but they can sometimes drive narrowly focused responses</w:t>
      </w:r>
      <w:r w:rsidR="00CB151D">
        <w:t>, s</w:t>
      </w:r>
      <w:r w:rsidR="00CB151D" w:rsidRPr="00CB151D">
        <w:t>uch as increasing capacity</w:t>
      </w:r>
      <w:r w:rsidR="00CB151D">
        <w:t xml:space="preserve">, </w:t>
      </w:r>
      <w:r w:rsidR="00CB151D" w:rsidRPr="00CB151D">
        <w:t>which</w:t>
      </w:r>
      <w:r w:rsidR="00213F5D">
        <w:t xml:space="preserve"> m</w:t>
      </w:r>
      <w:r w:rsidR="004C2AFC">
        <w:t>a</w:t>
      </w:r>
      <w:r w:rsidR="00213F5D">
        <w:t xml:space="preserve">y offer short-term relief, </w:t>
      </w:r>
      <w:r w:rsidR="00A65499">
        <w:t>but lack long-term sustainability</w:t>
      </w:r>
      <w:r w:rsidR="00CB151D" w:rsidRPr="00CB151D">
        <w:t>. To be most effective, data should be used strategically to support both efficient and impactful service delivery</w:t>
      </w:r>
      <w:r w:rsidR="00CB151D">
        <w:t xml:space="preserve"> and design</w:t>
      </w:r>
      <w:r w:rsidR="00CB151D" w:rsidRPr="00CB151D">
        <w:t xml:space="preserve">. </w:t>
      </w:r>
      <w:r w:rsidR="00E72F08">
        <w:t xml:space="preserve">It is also important to consider what data is missing, what impact that has in terms of knowledge and understanding, and </w:t>
      </w:r>
      <w:r w:rsidR="0063759A">
        <w:t xml:space="preserve">how those gaps might be </w:t>
      </w:r>
      <w:r w:rsidR="0063759A">
        <w:lastRenderedPageBreak/>
        <w:t>addressed. Finally,</w:t>
      </w:r>
      <w:r w:rsidR="00413965">
        <w:t xml:space="preserve"> it is necessary to reflect </w:t>
      </w:r>
      <w:r w:rsidR="00CB151D" w:rsidRPr="00CB151D">
        <w:t>that data alone cannot provide the full picture. Combining data with contextual understanding</w:t>
      </w:r>
      <w:r w:rsidR="00504AC3">
        <w:t xml:space="preserve">, </w:t>
      </w:r>
      <w:r w:rsidR="00CB151D" w:rsidRPr="00CB151D">
        <w:t>such as lived experience and professional insight</w:t>
      </w:r>
      <w:r w:rsidR="00504AC3">
        <w:t xml:space="preserve"> </w:t>
      </w:r>
      <w:r w:rsidR="00CB151D" w:rsidRPr="00CB151D">
        <w:t>is essential for developing a more holistic and responsive approach to service planning.</w:t>
      </w:r>
    </w:p>
    <w:p w14:paraId="25733C01" w14:textId="732FDE2A" w:rsidR="00A16C73" w:rsidRDefault="00D80B20" w:rsidP="00D460BE">
      <w:r w:rsidRPr="00A16C73">
        <w:rPr>
          <w:b/>
          <w:bCs/>
        </w:rPr>
        <w:t>Assessing and measuring the impact of interventions and initiatives (e.g., Family Hub courses, VERBO</w:t>
      </w:r>
      <w:r w:rsidR="00880925">
        <w:rPr>
          <w:b/>
          <w:bCs/>
        </w:rPr>
        <w:t>, engagement events</w:t>
      </w:r>
      <w:r w:rsidRPr="00A16C73">
        <w:rPr>
          <w:b/>
          <w:bCs/>
        </w:rPr>
        <w:t>)</w:t>
      </w:r>
      <w:r w:rsidR="00A16C73" w:rsidRPr="00A16C73">
        <w:rPr>
          <w:b/>
          <w:bCs/>
        </w:rPr>
        <w:t>:</w:t>
      </w:r>
      <w:r w:rsidRPr="00D80B20">
        <w:t xml:space="preserve"> </w:t>
      </w:r>
      <w:r w:rsidR="00ED6A0A">
        <w:t>Assessing and measuring impact</w:t>
      </w:r>
      <w:r w:rsidR="00A16C73">
        <w:t xml:space="preserve"> is </w:t>
      </w:r>
      <w:r w:rsidRPr="00D80B20">
        <w:t xml:space="preserve">essential for understanding </w:t>
      </w:r>
      <w:r w:rsidR="00134C7F">
        <w:t xml:space="preserve">how effective interventions </w:t>
      </w:r>
      <w:r w:rsidR="00421203">
        <w:t>and initiatives launched within the borough are</w:t>
      </w:r>
      <w:r w:rsidRPr="00D80B20">
        <w:t>. Applying a formal theory of change approach ensures that these initiatives are grounded in evidence-based decision-making and are evaluated consistently for their impact. This enables the borough to continually refine and adapt its services to better meet the needs of individuals and families.</w:t>
      </w:r>
    </w:p>
    <w:p w14:paraId="4A57E65B" w14:textId="42B9E681" w:rsidR="009C5A4D" w:rsidRPr="00457C59" w:rsidRDefault="009C5A4D" w:rsidP="00B62C53">
      <w:pPr>
        <w:pStyle w:val="Heading3"/>
        <w:rPr>
          <w:color w:val="006B70"/>
        </w:rPr>
      </w:pPr>
      <w:bookmarkStart w:id="511" w:name="_Toc205387000"/>
      <w:bookmarkStart w:id="512" w:name="_Toc205388070"/>
      <w:bookmarkStart w:id="513" w:name="_Toc205446081"/>
      <w:r w:rsidRPr="00457C59">
        <w:rPr>
          <w:color w:val="006B70"/>
        </w:rPr>
        <w:t>Recommendation: Ensuring a balanced approach across all areas of need</w:t>
      </w:r>
      <w:bookmarkEnd w:id="511"/>
      <w:bookmarkEnd w:id="512"/>
      <w:bookmarkEnd w:id="513"/>
    </w:p>
    <w:p w14:paraId="437DC0BD" w14:textId="44CAAABE" w:rsidR="009C5A4D" w:rsidRPr="000130A9" w:rsidRDefault="009C5A4D" w:rsidP="00D460BE">
      <w:r w:rsidRPr="00432081">
        <w:t>The growing number of ASD assessments has rightly led to an increased focus on autism support. However, it is important to ensure that attention to other conditions is not diminished, and that a balanced approach continues to be taken across all areas of need.</w:t>
      </w:r>
    </w:p>
    <w:p w14:paraId="51A4385A" w14:textId="744F6593" w:rsidR="009D3090" w:rsidRPr="00457C59" w:rsidRDefault="00B86A0E" w:rsidP="00B62C53">
      <w:pPr>
        <w:pStyle w:val="Heading3"/>
        <w:rPr>
          <w:color w:val="006B70"/>
          <w:lang w:val="en-US"/>
        </w:rPr>
      </w:pPr>
      <w:bookmarkStart w:id="514" w:name="_Toc205387001"/>
      <w:bookmarkStart w:id="515" w:name="_Toc205388071"/>
      <w:bookmarkStart w:id="516" w:name="_Toc205446082"/>
      <w:r w:rsidRPr="00457C59">
        <w:rPr>
          <w:color w:val="006B70"/>
          <w:lang w:val="en-US"/>
        </w:rPr>
        <w:t xml:space="preserve">Recommendation: </w:t>
      </w:r>
      <w:r w:rsidR="00C3712F" w:rsidRPr="00457C59">
        <w:rPr>
          <w:color w:val="006B70"/>
          <w:lang w:val="en-US"/>
        </w:rPr>
        <w:t>Improve</w:t>
      </w:r>
      <w:r w:rsidRPr="00457C59">
        <w:rPr>
          <w:color w:val="006B70"/>
          <w:lang w:val="en-US"/>
        </w:rPr>
        <w:t xml:space="preserve"> </w:t>
      </w:r>
      <w:r w:rsidR="00C3712F" w:rsidRPr="00457C59">
        <w:rPr>
          <w:color w:val="006B70"/>
          <w:lang w:val="en-US"/>
        </w:rPr>
        <w:t xml:space="preserve">access </w:t>
      </w:r>
      <w:r w:rsidRPr="00457C59">
        <w:rPr>
          <w:color w:val="006B70"/>
          <w:lang w:val="en-US"/>
        </w:rPr>
        <w:t xml:space="preserve">of </w:t>
      </w:r>
      <w:bookmarkEnd w:id="514"/>
      <w:bookmarkEnd w:id="515"/>
      <w:bookmarkEnd w:id="516"/>
      <w:r w:rsidR="00C3712F" w:rsidRPr="00457C59">
        <w:rPr>
          <w:color w:val="006B70"/>
          <w:lang w:val="en-US"/>
        </w:rPr>
        <w:t xml:space="preserve">information and support services </w:t>
      </w:r>
    </w:p>
    <w:p w14:paraId="1909B2EB" w14:textId="0D7ABA58" w:rsidR="000749C1" w:rsidRPr="0057167D" w:rsidRDefault="009D3090" w:rsidP="00D460BE">
      <w:r w:rsidRPr="003360A2">
        <w:t xml:space="preserve">The Borough has made clear efforts to improve awareness of available support services. However, these services </w:t>
      </w:r>
      <w:r w:rsidR="00826569">
        <w:t>continue to be hard to access</w:t>
      </w:r>
      <w:r w:rsidRPr="003360A2">
        <w:t xml:space="preserve"> </w:t>
      </w:r>
      <w:r w:rsidR="00877DEB">
        <w:t>for</w:t>
      </w:r>
      <w:r w:rsidRPr="003360A2">
        <w:t xml:space="preserve"> many parents and carers.</w:t>
      </w:r>
      <w:r w:rsidR="00C40D95">
        <w:t xml:space="preserve"> For example, if you are in a specialist school, awareness of additional support offerings </w:t>
      </w:r>
      <w:r w:rsidR="00AD7D16">
        <w:t>is</w:t>
      </w:r>
      <w:r w:rsidR="00C40D95">
        <w:t xml:space="preserve"> more likely to be known than those in mainstream schools. </w:t>
      </w:r>
      <w:r w:rsidRPr="003360A2">
        <w:t xml:space="preserve">More inclusive communication strategies are </w:t>
      </w:r>
      <w:r w:rsidR="00DC77A7">
        <w:t>recommended</w:t>
      </w:r>
      <w:r w:rsidRPr="003360A2">
        <w:t xml:space="preserve"> to ensure that families are fully informed and empowered to access the help they need.</w:t>
      </w:r>
      <w:r w:rsidR="00B86A0E">
        <w:t xml:space="preserve"> This </w:t>
      </w:r>
      <w:r w:rsidR="00C40D95" w:rsidRPr="00C40D95">
        <w:t>could include improving the clarity and navigation</w:t>
      </w:r>
      <w:r w:rsidR="000C7496">
        <w:t xml:space="preserve"> and</w:t>
      </w:r>
      <w:r w:rsidR="00C40D95" w:rsidRPr="00C40D95">
        <w:t xml:space="preserve"> delivering targeted outreach through schools</w:t>
      </w:r>
      <w:r w:rsidR="000C7496">
        <w:t>.</w:t>
      </w:r>
    </w:p>
    <w:p w14:paraId="5807CAB1" w14:textId="3F6C37A1" w:rsidR="00E74311" w:rsidRPr="00457C59" w:rsidRDefault="00E74311" w:rsidP="00B62C53">
      <w:pPr>
        <w:pStyle w:val="Heading3"/>
        <w:rPr>
          <w:color w:val="006B70"/>
          <w:lang w:val="en-US"/>
        </w:rPr>
      </w:pPr>
      <w:bookmarkStart w:id="517" w:name="_Toc205387002"/>
      <w:bookmarkStart w:id="518" w:name="_Toc205388072"/>
      <w:bookmarkStart w:id="519" w:name="_Toc205446083"/>
      <w:r w:rsidRPr="00457C59">
        <w:rPr>
          <w:color w:val="006B70"/>
          <w:lang w:val="en-US"/>
        </w:rPr>
        <w:t>Recommendation: Empowering young people to understand and manage their needs</w:t>
      </w:r>
      <w:bookmarkEnd w:id="517"/>
      <w:bookmarkEnd w:id="518"/>
      <w:bookmarkEnd w:id="519"/>
    </w:p>
    <w:p w14:paraId="1922B910" w14:textId="194540B9" w:rsidR="00192013" w:rsidRDefault="009D3090" w:rsidP="00D460BE">
      <w:r w:rsidRPr="00837AD0">
        <w:t>There has been a strong and necessary focus on enhancing support for parents and carers, particularly around how they can engage with their child to support optimal development. While this remains critical, there is also a valuable opportunity to broaden the focus to include the child or young person themselves</w:t>
      </w:r>
      <w:r w:rsidR="00523FE0">
        <w:t xml:space="preserve">, </w:t>
      </w:r>
      <w:r w:rsidRPr="00837AD0">
        <w:t>empowering them to understand their needs, develop self-management strategies, and build the skills necessary to thrive throughout life.</w:t>
      </w:r>
    </w:p>
    <w:p w14:paraId="7254CC8C" w14:textId="590C8FDD" w:rsidR="00887604" w:rsidRPr="00457C59" w:rsidRDefault="00887604" w:rsidP="00B62C53">
      <w:pPr>
        <w:pStyle w:val="Heading3"/>
        <w:rPr>
          <w:color w:val="006B70"/>
        </w:rPr>
      </w:pPr>
      <w:bookmarkStart w:id="520" w:name="_Toc205387003"/>
      <w:bookmarkStart w:id="521" w:name="_Toc205388073"/>
      <w:bookmarkStart w:id="522" w:name="_Toc205446084"/>
      <w:r w:rsidRPr="00457C59">
        <w:rPr>
          <w:color w:val="006B70"/>
        </w:rPr>
        <w:t xml:space="preserve">Recommendation: </w:t>
      </w:r>
      <w:r w:rsidR="009746A7" w:rsidRPr="00457C59">
        <w:rPr>
          <w:color w:val="006B70"/>
        </w:rPr>
        <w:t>Transition pathways</w:t>
      </w:r>
      <w:bookmarkEnd w:id="520"/>
      <w:bookmarkEnd w:id="521"/>
      <w:bookmarkEnd w:id="522"/>
      <w:r w:rsidR="009746A7" w:rsidRPr="00457C59">
        <w:rPr>
          <w:color w:val="006B70"/>
        </w:rPr>
        <w:t xml:space="preserve"> </w:t>
      </w:r>
      <w:r w:rsidRPr="00457C59">
        <w:rPr>
          <w:color w:val="006B70"/>
        </w:rPr>
        <w:t xml:space="preserve"> </w:t>
      </w:r>
    </w:p>
    <w:p w14:paraId="24B709EB" w14:textId="42D6517D" w:rsidR="00027759" w:rsidRDefault="009D3090" w:rsidP="00D460BE">
      <w:r w:rsidRPr="009746A7">
        <w:rPr>
          <w:b/>
          <w:bCs/>
        </w:rPr>
        <w:t>Post</w:t>
      </w:r>
      <w:r w:rsidR="009746A7">
        <w:rPr>
          <w:b/>
          <w:bCs/>
        </w:rPr>
        <w:t>-</w:t>
      </w:r>
      <w:r w:rsidRPr="009746A7">
        <w:rPr>
          <w:b/>
          <w:bCs/>
        </w:rPr>
        <w:t>16 educational support:</w:t>
      </w:r>
      <w:r>
        <w:t xml:space="preserve"> </w:t>
      </w:r>
      <w:r w:rsidR="00EF5523" w:rsidRPr="00EF5523">
        <w:t>Develop and expand tailored post-16 support options for young people who are not suited to apprenticeships, do not meet criteria for high-complex needs, and have not achieved level 2 qualifications. This should include accessible continued learning opportunities</w:t>
      </w:r>
      <w:r w:rsidR="009931B6">
        <w:t xml:space="preserve">, </w:t>
      </w:r>
      <w:r w:rsidR="00EF5523" w:rsidRPr="00EF5523">
        <w:t>such as foundation courses</w:t>
      </w:r>
      <w:r w:rsidR="00EF5523">
        <w:t xml:space="preserve"> </w:t>
      </w:r>
      <w:r w:rsidR="00EF5523" w:rsidRPr="00EF5523">
        <w:t>that enable young people to remain engaged within an educational support structure and build essential skills for future success.</w:t>
      </w:r>
    </w:p>
    <w:p w14:paraId="353BAE6C" w14:textId="187A9346" w:rsidR="00723468" w:rsidRDefault="006061B3" w:rsidP="00D460BE">
      <w:r w:rsidRPr="00EF5523">
        <w:rPr>
          <w:b/>
          <w:bCs/>
        </w:rPr>
        <w:t>Youth to adult services:</w:t>
      </w:r>
      <w:r>
        <w:t xml:space="preserve"> </w:t>
      </w:r>
      <w:r w:rsidR="009C04C8">
        <w:t xml:space="preserve">There </w:t>
      </w:r>
      <w:r w:rsidR="00805EEB">
        <w:t>remain</w:t>
      </w:r>
      <w:r w:rsidR="009C04C8">
        <w:t xml:space="preserve"> opportunities to strengthen the support to young people</w:t>
      </w:r>
      <w:r w:rsidR="00965DD6">
        <w:t xml:space="preserve"> and families</w:t>
      </w:r>
      <w:r w:rsidR="009C04C8">
        <w:t xml:space="preserve"> as they transition from young people services and support to adults.</w:t>
      </w:r>
      <w:r w:rsidR="005B1DC5">
        <w:t xml:space="preserve"> F</w:t>
      </w:r>
      <w:r w:rsidR="00F12CF4">
        <w:t>or example: f</w:t>
      </w:r>
      <w:r w:rsidR="005B1DC5">
        <w:t xml:space="preserve">or those who </w:t>
      </w:r>
      <w:r w:rsidR="00E60A4C">
        <w:t xml:space="preserve">move across </w:t>
      </w:r>
      <w:r w:rsidR="00077B9D">
        <w:t xml:space="preserve">the </w:t>
      </w:r>
      <w:r w:rsidR="00F920EA">
        <w:t>Community, Learning</w:t>
      </w:r>
      <w:r w:rsidR="003970D2">
        <w:t xml:space="preserve"> and Disability Service</w:t>
      </w:r>
      <w:r w:rsidR="00077B9D">
        <w:t xml:space="preserve"> (CLDS) </w:t>
      </w:r>
      <w:r w:rsidR="00A3069B">
        <w:t>tends to see more joint working</w:t>
      </w:r>
      <w:r w:rsidR="00B315EE">
        <w:t xml:space="preserve">. However, </w:t>
      </w:r>
      <w:r w:rsidR="00427AA3">
        <w:t xml:space="preserve">if </w:t>
      </w:r>
      <w:r w:rsidR="00B646F2">
        <w:t xml:space="preserve">they do not meet the CLDS criteria </w:t>
      </w:r>
      <w:r w:rsidR="008C39AF">
        <w:t xml:space="preserve">this can increase </w:t>
      </w:r>
      <w:r w:rsidR="00F12CF4">
        <w:t>difficulties</w:t>
      </w:r>
      <w:r w:rsidR="00A951BF">
        <w:t xml:space="preserve"> in terms of</w:t>
      </w:r>
      <w:r w:rsidR="00077299">
        <w:t xml:space="preserve"> assessments as well as understanding who or what support can be provisioned.</w:t>
      </w:r>
      <w:r w:rsidR="001927AD">
        <w:t xml:space="preserve"> </w:t>
      </w:r>
    </w:p>
    <w:p w14:paraId="4374AC54" w14:textId="2ED9D9A7" w:rsidR="006061B3" w:rsidRPr="00D31CAE" w:rsidRDefault="00723468" w:rsidP="00D460BE">
      <w:r>
        <w:lastRenderedPageBreak/>
        <w:t>Develop clear, coordinated transition pathways regardless of criteria. This should</w:t>
      </w:r>
      <w:r w:rsidRPr="00723468">
        <w:t xml:space="preserve"> include multi-agency planning, improved communication with families, and tailored assessment processes to ensure no young person falls through gaps in service provision during this critical period.</w:t>
      </w:r>
    </w:p>
    <w:p w14:paraId="645CFD9B" w14:textId="454685DE" w:rsidR="009D3090" w:rsidRPr="00457C59" w:rsidRDefault="0094606B" w:rsidP="00B62C53">
      <w:pPr>
        <w:pStyle w:val="Heading3"/>
        <w:rPr>
          <w:color w:val="006B70"/>
        </w:rPr>
      </w:pPr>
      <w:bookmarkStart w:id="523" w:name="_Toc205387004"/>
      <w:bookmarkStart w:id="524" w:name="_Toc205388074"/>
      <w:bookmarkStart w:id="525" w:name="_Toc205446085"/>
      <w:r w:rsidRPr="00457C59">
        <w:rPr>
          <w:color w:val="006B70"/>
        </w:rPr>
        <w:t xml:space="preserve">Recommendation: </w:t>
      </w:r>
      <w:r w:rsidR="001E5C92" w:rsidRPr="00457C59">
        <w:rPr>
          <w:color w:val="006B70"/>
        </w:rPr>
        <w:t>Continuous</w:t>
      </w:r>
      <w:r w:rsidRPr="00457C59">
        <w:rPr>
          <w:color w:val="006B70"/>
        </w:rPr>
        <w:t xml:space="preserve"> learning and specialist training for SEND support</w:t>
      </w:r>
      <w:bookmarkEnd w:id="523"/>
      <w:bookmarkEnd w:id="524"/>
      <w:bookmarkEnd w:id="525"/>
      <w:r w:rsidRPr="00457C59">
        <w:rPr>
          <w:color w:val="006B70"/>
        </w:rPr>
        <w:t xml:space="preserve"> </w:t>
      </w:r>
    </w:p>
    <w:p w14:paraId="7F1E95E0" w14:textId="24F8A4E7" w:rsidR="009C5A4D" w:rsidRDefault="00064C7B" w:rsidP="009D3090">
      <w:r>
        <w:t>Understanding and support</w:t>
      </w:r>
      <w:r w:rsidR="00B103B5">
        <w:t xml:space="preserve">ing children and young people with </w:t>
      </w:r>
      <w:r>
        <w:t>SEND requires continu</w:t>
      </w:r>
      <w:r w:rsidR="004C2AFC">
        <w:t>ou</w:t>
      </w:r>
      <w:r>
        <w:t>s learning and development for</w:t>
      </w:r>
      <w:r w:rsidR="0094606B">
        <w:t xml:space="preserve"> all</w:t>
      </w:r>
      <w:r>
        <w:t xml:space="preserve"> those working </w:t>
      </w:r>
      <w:r w:rsidR="005F7BD6">
        <w:t>in</w:t>
      </w:r>
      <w:r>
        <w:t xml:space="preserve"> and around </w:t>
      </w:r>
      <w:r w:rsidR="005F7BD6">
        <w:t>the S</w:t>
      </w:r>
      <w:r>
        <w:t xml:space="preserve">END system. </w:t>
      </w:r>
      <w:r w:rsidR="00044158">
        <w:t xml:space="preserve">Ensuring </w:t>
      </w:r>
      <w:r w:rsidR="0094606B">
        <w:t xml:space="preserve">access to relevant </w:t>
      </w:r>
      <w:r w:rsidR="00044158">
        <w:t xml:space="preserve">specialist training where necessary contributes to better outcomes for those they support. </w:t>
      </w:r>
      <w:r w:rsidR="000175D4" w:rsidRPr="000175D4">
        <w:t>Additionally, as evidence and best practices continue to evolve, embedding a culture of active and continuous learning is crucial to keep approaches up to date and effective.</w:t>
      </w:r>
      <w:r w:rsidR="000175D4">
        <w:t xml:space="preserve"> Establishing </w:t>
      </w:r>
      <w:r w:rsidR="000175D4" w:rsidRPr="000175D4">
        <w:t>a comprehensive, ongoing professional development program</w:t>
      </w:r>
      <w:r w:rsidR="000175D4">
        <w:t xml:space="preserve">me </w:t>
      </w:r>
      <w:r w:rsidR="000175D4" w:rsidRPr="000175D4">
        <w:t>incorporating specialist training and regular updates based on emerging evidence and research</w:t>
      </w:r>
      <w:r w:rsidR="0057167D">
        <w:t xml:space="preserve"> will support this.</w:t>
      </w:r>
    </w:p>
    <w:p w14:paraId="5368A40A" w14:textId="708A73F9" w:rsidR="009C5A4D" w:rsidRPr="00457C59" w:rsidRDefault="009C5A4D" w:rsidP="00B62C53">
      <w:pPr>
        <w:pStyle w:val="Heading3"/>
        <w:rPr>
          <w:color w:val="006B70"/>
        </w:rPr>
      </w:pPr>
      <w:bookmarkStart w:id="526" w:name="_Toc205387005"/>
      <w:bookmarkStart w:id="527" w:name="_Toc205388075"/>
      <w:bookmarkStart w:id="528" w:name="_Toc205446086"/>
      <w:r w:rsidRPr="00457C59">
        <w:rPr>
          <w:color w:val="006B70"/>
        </w:rPr>
        <w:t>Recommendation: Provision of education support</w:t>
      </w:r>
      <w:bookmarkEnd w:id="526"/>
      <w:bookmarkEnd w:id="527"/>
      <w:bookmarkEnd w:id="528"/>
      <w:r w:rsidRPr="00457C59">
        <w:rPr>
          <w:color w:val="006B70"/>
        </w:rPr>
        <w:t xml:space="preserve"> </w:t>
      </w:r>
    </w:p>
    <w:p w14:paraId="582783A7" w14:textId="679C8973" w:rsidR="00064C7B" w:rsidRDefault="009C5A4D" w:rsidP="001F23E0">
      <w:r w:rsidRPr="0004717D">
        <w:t>Traditional classroom settings</w:t>
      </w:r>
      <w:r>
        <w:t xml:space="preserve">, typically </w:t>
      </w:r>
      <w:r w:rsidRPr="0004717D">
        <w:t>characterised by large class sizes, limited staff, and expectations for pupils to sit still and maintain attention for extended periods</w:t>
      </w:r>
      <w:r>
        <w:t xml:space="preserve"> </w:t>
      </w:r>
      <w:r w:rsidRPr="0004717D">
        <w:t>often do not meet the needs of many children with SEND. By continuing to draw on specialist expertise within the borough</w:t>
      </w:r>
      <w:r>
        <w:t xml:space="preserve"> </w:t>
      </w:r>
      <w:r w:rsidRPr="0004717D">
        <w:t xml:space="preserve">such as sharing best practice and learning from successful models in other </w:t>
      </w:r>
      <w:r w:rsidR="009902A0" w:rsidRPr="0004717D">
        <w:t>schools</w:t>
      </w:r>
      <w:r w:rsidR="001F23E0">
        <w:t xml:space="preserve">, </w:t>
      </w:r>
      <w:r w:rsidRPr="0004717D">
        <w:t xml:space="preserve">mainstream settings can </w:t>
      </w:r>
      <w:r w:rsidR="004C2AFC">
        <w:t>be better</w:t>
      </w:r>
      <w:r w:rsidRPr="0004717D">
        <w:t xml:space="preserve"> equipped to support children and young people with SEND to thrive without needing to move into specialist provision.</w:t>
      </w:r>
    </w:p>
    <w:p w14:paraId="3E57BC96" w14:textId="01A7A0FF" w:rsidR="00A55DDB" w:rsidRPr="00457C59" w:rsidRDefault="000F6E89" w:rsidP="00B62C53">
      <w:pPr>
        <w:pStyle w:val="Heading3"/>
        <w:rPr>
          <w:color w:val="006B70"/>
        </w:rPr>
      </w:pPr>
      <w:bookmarkStart w:id="529" w:name="_Toc205387006"/>
      <w:bookmarkStart w:id="530" w:name="_Toc205388076"/>
      <w:bookmarkStart w:id="531" w:name="_Toc205446087"/>
      <w:r w:rsidRPr="00457C59">
        <w:rPr>
          <w:color w:val="006B70"/>
        </w:rPr>
        <w:t xml:space="preserve">Recommendation: Continuing to strengthen </w:t>
      </w:r>
      <w:r w:rsidR="004A068F" w:rsidRPr="00457C59">
        <w:rPr>
          <w:color w:val="006B70"/>
        </w:rPr>
        <w:t>integration and multi-agency collaboration</w:t>
      </w:r>
      <w:bookmarkEnd w:id="529"/>
      <w:bookmarkEnd w:id="530"/>
      <w:bookmarkEnd w:id="531"/>
    </w:p>
    <w:p w14:paraId="3D6AD813" w14:textId="24A5DDD2" w:rsidR="00D83C26" w:rsidRPr="00D83C26" w:rsidRDefault="00D83C26" w:rsidP="001F23E0">
      <w:r w:rsidRPr="00D83C26">
        <w:t xml:space="preserve">Stakeholders highlighted various strengths in partnerships and collaborative efforts across teams, with several examples of good practice. However, siloed working approaches </w:t>
      </w:r>
      <w:r w:rsidR="00D86323" w:rsidRPr="00D83C26">
        <w:t>persist</w:t>
      </w:r>
      <w:r w:rsidRPr="00D83C26">
        <w:t>, presenting opportunities to further build and strengthen collaboration. A greater focus on fostering a collaborative culture by bringing together education, health, and social care is essential to address the holistic needs of children and young people.</w:t>
      </w:r>
      <w:r w:rsidR="007F169C">
        <w:t xml:space="preserve"> Shared learning and joint working options </w:t>
      </w:r>
      <w:r w:rsidR="00BB1B3C">
        <w:t xml:space="preserve">create more opportunities </w:t>
      </w:r>
      <w:r w:rsidRPr="00D83C26">
        <w:t xml:space="preserve">for creativity and service enhancement. Achieving this requires challenging longstanding structural barriers and systems that segment health, education, and social care. </w:t>
      </w:r>
      <w:r w:rsidR="000011DE">
        <w:t>This</w:t>
      </w:r>
      <w:r w:rsidRPr="00D83C26">
        <w:t xml:space="preserve"> collaborative approach should include a blend of formal and informal methods, using both in-person and remote options to maximi</w:t>
      </w:r>
      <w:r w:rsidR="000011DE">
        <w:t>se</w:t>
      </w:r>
      <w:r w:rsidRPr="00D83C26">
        <w:t xml:space="preserve"> flexibility and accessibility. Sharing physical spaces can also promote fluid and effective ways of working together.</w:t>
      </w:r>
    </w:p>
    <w:p w14:paraId="46F032D5" w14:textId="4C7CE9F2" w:rsidR="00D83C26" w:rsidRPr="00D83C26" w:rsidRDefault="00D83C26" w:rsidP="001F23E0">
      <w:r w:rsidRPr="00D83C26">
        <w:t>Importantly, there is a clear sense of commitment within the borough to develop community-based provisions, which provide a strong foundation for delivering effective services and support.</w:t>
      </w:r>
    </w:p>
    <w:p w14:paraId="389E29F7" w14:textId="41AB53D7" w:rsidR="00BE2645" w:rsidRPr="00457C59" w:rsidRDefault="00424FB5" w:rsidP="00B62C53">
      <w:pPr>
        <w:pStyle w:val="Heading3"/>
        <w:rPr>
          <w:color w:val="006B70"/>
        </w:rPr>
      </w:pPr>
      <w:bookmarkStart w:id="532" w:name="_Toc205387007"/>
      <w:bookmarkStart w:id="533" w:name="_Toc205388077"/>
      <w:bookmarkStart w:id="534" w:name="_Toc205446088"/>
      <w:r w:rsidRPr="00457C59">
        <w:rPr>
          <w:color w:val="006B70"/>
        </w:rPr>
        <w:t xml:space="preserve">Recommendation: Clarifying responsibilities for children placed out of Borough </w:t>
      </w:r>
      <w:r w:rsidR="00842F6F" w:rsidRPr="00457C59">
        <w:rPr>
          <w:color w:val="006B70"/>
        </w:rPr>
        <w:t>and cross border movement</w:t>
      </w:r>
      <w:bookmarkEnd w:id="532"/>
      <w:bookmarkEnd w:id="533"/>
      <w:bookmarkEnd w:id="534"/>
    </w:p>
    <w:p w14:paraId="11B58E6F" w14:textId="69A6C209" w:rsidR="00931A97" w:rsidRDefault="00BC1D80" w:rsidP="009D3090">
      <w:r>
        <w:t xml:space="preserve">There remains a lack of clarity on </w:t>
      </w:r>
      <w:r w:rsidR="00071EE3">
        <w:t xml:space="preserve">the </w:t>
      </w:r>
      <w:r>
        <w:t xml:space="preserve">responsibility and accountability </w:t>
      </w:r>
      <w:r w:rsidR="00DF51CF">
        <w:t>when children and young people are placed in schools out</w:t>
      </w:r>
      <w:r w:rsidR="00EF0A04">
        <w:t xml:space="preserve">side </w:t>
      </w:r>
      <w:r w:rsidR="00DF51CF">
        <w:t xml:space="preserve">of the borough. Other boroughs </w:t>
      </w:r>
      <w:r w:rsidR="002117DB">
        <w:t xml:space="preserve">may vary in their support offering </w:t>
      </w:r>
      <w:r w:rsidR="007029F7">
        <w:t>which can</w:t>
      </w:r>
      <w:r w:rsidR="002117DB">
        <w:t xml:space="preserve"> create difficulties in the provisioning of </w:t>
      </w:r>
      <w:r w:rsidR="004A5C6F">
        <w:t xml:space="preserve">the required </w:t>
      </w:r>
      <w:r w:rsidR="002117DB">
        <w:t xml:space="preserve">support. </w:t>
      </w:r>
      <w:r w:rsidR="00EC1CF8" w:rsidRPr="00EC1CF8">
        <w:t xml:space="preserve">For example, Tower Hamlets has an </w:t>
      </w:r>
      <w:r w:rsidR="00EC1CF8" w:rsidRPr="00EC1CF8">
        <w:lastRenderedPageBreak/>
        <w:t xml:space="preserve">auxiliary aids fund to support eligible children, but </w:t>
      </w:r>
      <w:proofErr w:type="spellStart"/>
      <w:r w:rsidR="00EC1CF8" w:rsidRPr="00EC1CF8">
        <w:t>neighboring</w:t>
      </w:r>
      <w:proofErr w:type="spellEnd"/>
      <w:r w:rsidR="00EC1CF8" w:rsidRPr="00EC1CF8">
        <w:t xml:space="preserve"> boroughs may lack the budget to offer similar services. As a result, children</w:t>
      </w:r>
      <w:r w:rsidR="00EC1CF8">
        <w:t>,</w:t>
      </w:r>
      <w:r w:rsidR="00BB68FF">
        <w:t xml:space="preserve"> </w:t>
      </w:r>
      <w:r w:rsidR="00EC1CF8" w:rsidRPr="00EC1CF8">
        <w:t>whether moving into the borough or attending schools elsewhere</w:t>
      </w:r>
      <w:r w:rsidR="00BB68FF">
        <w:t xml:space="preserve"> </w:t>
      </w:r>
      <w:r w:rsidR="00EC1CF8" w:rsidRPr="00EC1CF8">
        <w:t>may not receive equitable support.</w:t>
      </w:r>
    </w:p>
    <w:p w14:paraId="56F87B1C" w14:textId="30E30EA5" w:rsidR="00EF427A" w:rsidRDefault="007029F7" w:rsidP="009D3090">
      <w:r w:rsidRPr="007029F7">
        <w:t xml:space="preserve">Establish clear protocols and agreements between Tower Hamlets and </w:t>
      </w:r>
      <w:r w:rsidR="006C201E" w:rsidRPr="007029F7">
        <w:t>neighbouring</w:t>
      </w:r>
      <w:r w:rsidRPr="007029F7">
        <w:t xml:space="preserve"> boroughs to define responsibilities and accountability for children and young people placed in out-of-borough schools. This should include transparent communication channels, shared plans, </w:t>
      </w:r>
      <w:r w:rsidR="00EF427A">
        <w:t xml:space="preserve">funding approaches </w:t>
      </w:r>
      <w:r w:rsidRPr="007029F7">
        <w:t>and coordinated support arrangements to ensure consistent, high-quality support regardless of placement location.</w:t>
      </w:r>
      <w:r w:rsidR="00536D9B">
        <w:t xml:space="preserve"> </w:t>
      </w:r>
      <w:r w:rsidR="007A4148">
        <w:t xml:space="preserve"> </w:t>
      </w:r>
    </w:p>
    <w:p w14:paraId="06C40EE0" w14:textId="2DDD8412" w:rsidR="00B54970" w:rsidRPr="00457C59" w:rsidRDefault="00AF729E" w:rsidP="00F845E1">
      <w:pPr>
        <w:pStyle w:val="Heading3"/>
        <w:rPr>
          <w:color w:val="006B70"/>
        </w:rPr>
      </w:pPr>
      <w:bookmarkStart w:id="535" w:name="_Toc205387008"/>
      <w:bookmarkStart w:id="536" w:name="_Toc205388078"/>
      <w:bookmarkStart w:id="537" w:name="_Toc205446089"/>
      <w:r w:rsidRPr="00457C59">
        <w:rPr>
          <w:color w:val="006B70"/>
        </w:rPr>
        <w:t>Recommendation: Expanding inclusive community opportunities for young people</w:t>
      </w:r>
      <w:bookmarkEnd w:id="535"/>
      <w:bookmarkEnd w:id="536"/>
      <w:bookmarkEnd w:id="537"/>
    </w:p>
    <w:p w14:paraId="7CA149BE" w14:textId="3D6ED2F3" w:rsidR="00951558" w:rsidRDefault="00AE146F" w:rsidP="007A4896">
      <w:r>
        <w:t xml:space="preserve">Work with community youth services to </w:t>
      </w:r>
      <w:r w:rsidR="000C5061">
        <w:t>train staff</w:t>
      </w:r>
      <w:r w:rsidR="00E65A4B">
        <w:t xml:space="preserve"> </w:t>
      </w:r>
      <w:r>
        <w:t xml:space="preserve">in SEND awareness and </w:t>
      </w:r>
      <w:r w:rsidR="0078534C">
        <w:t>support</w:t>
      </w:r>
      <w:r w:rsidR="003423C0">
        <w:t xml:space="preserve"> </w:t>
      </w:r>
      <w:proofErr w:type="gramStart"/>
      <w:r w:rsidR="003423C0">
        <w:t xml:space="preserve">in order </w:t>
      </w:r>
      <w:r>
        <w:t>to</w:t>
      </w:r>
      <w:proofErr w:type="gramEnd"/>
      <w:r>
        <w:t xml:space="preserve"> improve understanding and accessibility. Consider how personal care assistance could be provided in these spaces to ensure all</w:t>
      </w:r>
      <w:r w:rsidR="00951558" w:rsidRPr="000D5540">
        <w:t xml:space="preserve"> young people can engage safely and confidently in community activities.</w:t>
      </w:r>
    </w:p>
    <w:p w14:paraId="7C80556F" w14:textId="79CFB583" w:rsidR="000D5540" w:rsidRDefault="000D5540" w:rsidP="007A4896">
      <w:r w:rsidRPr="000D5540">
        <w:t xml:space="preserve">There are many young people aged 16 to 25 in the borough who do not meet the criteria for specialist services or interventions but would benefit from engaging in activities outside of school, such as </w:t>
      </w:r>
      <w:r w:rsidR="00951558">
        <w:t xml:space="preserve">attending </w:t>
      </w:r>
      <w:r w:rsidRPr="000D5540">
        <w:t xml:space="preserve">inclusive youth centres. </w:t>
      </w:r>
      <w:r w:rsidR="00951558">
        <w:t xml:space="preserve">However, in some cases, </w:t>
      </w:r>
      <w:r w:rsidRPr="000D5540">
        <w:t xml:space="preserve">these community provisions are often not equipped to support young people with SEND who experience moderate difficulties or require additional support with personal care needs, such as </w:t>
      </w:r>
      <w:r w:rsidR="007A4896">
        <w:t>going to the toilet</w:t>
      </w:r>
      <w:r w:rsidRPr="000D5540">
        <w:t>. Enhancing these provisions is essential to promoting equity and ensuring that all young people</w:t>
      </w:r>
      <w:r w:rsidR="00951558">
        <w:t xml:space="preserve"> </w:t>
      </w:r>
      <w:r w:rsidRPr="000D5540">
        <w:t>regardless of their level of need</w:t>
      </w:r>
      <w:r w:rsidR="00951558">
        <w:t xml:space="preserve">, </w:t>
      </w:r>
      <w:r w:rsidRPr="000D5540">
        <w:t>have meaningful and accessible opportunities to participate fully in community life. Tailored support within inclusive settings can help build confidence, social skills, and independence.</w:t>
      </w:r>
    </w:p>
    <w:p w14:paraId="18DED594" w14:textId="5A6ADFAC" w:rsidR="009C5A4D" w:rsidRPr="00457C59" w:rsidRDefault="009C5A4D" w:rsidP="00B62C53">
      <w:pPr>
        <w:pStyle w:val="Heading3"/>
        <w:rPr>
          <w:color w:val="006B70"/>
        </w:rPr>
      </w:pPr>
      <w:bookmarkStart w:id="538" w:name="_Toc205387009"/>
      <w:bookmarkStart w:id="539" w:name="_Toc205388079"/>
      <w:bookmarkStart w:id="540" w:name="_Toc205446090"/>
      <w:r w:rsidRPr="00457C59">
        <w:rPr>
          <w:color w:val="006B70"/>
        </w:rPr>
        <w:t>Recommendation: Strengthening support through evidence-based practices</w:t>
      </w:r>
      <w:bookmarkEnd w:id="538"/>
      <w:bookmarkEnd w:id="539"/>
      <w:bookmarkEnd w:id="540"/>
    </w:p>
    <w:p w14:paraId="37B45234" w14:textId="56AE49F5" w:rsidR="009C5A4D" w:rsidRDefault="009C5A4D" w:rsidP="009C5A4D">
      <w:r w:rsidRPr="00424FB5">
        <w:t>Regularly review and update support provision frameworks to ensure they are firmly grounded in the latest evidence-based approaches and theoretical models. This includes ongoing training for staff on current best practices, commissioning evaluations of existing program</w:t>
      </w:r>
      <w:r w:rsidR="000D6DCB">
        <w:t>me</w:t>
      </w:r>
      <w:r w:rsidRPr="00424FB5">
        <w:t>s, and adapting interventions based on emerging research to continuously improve outcomes for children and young people</w:t>
      </w:r>
      <w:r w:rsidR="00E548D1">
        <w:t xml:space="preserve"> with SEND.</w:t>
      </w:r>
    </w:p>
    <w:p w14:paraId="1F444384" w14:textId="77777777" w:rsidR="009C5A4D" w:rsidRPr="000D5540" w:rsidRDefault="009C5A4D" w:rsidP="000D5540"/>
    <w:p w14:paraId="0673C7A7" w14:textId="77777777" w:rsidR="001B4106" w:rsidRDefault="001B4106" w:rsidP="00D57D7B"/>
    <w:p w14:paraId="663C15B0" w14:textId="1C49F52A" w:rsidR="00743AA3" w:rsidRDefault="0057167D" w:rsidP="00C75730">
      <w:pPr>
        <w:spacing w:before="0" w:after="160" w:line="278" w:lineRule="auto"/>
        <w:jc w:val="left"/>
      </w:pPr>
      <w:r>
        <w:br w:type="page"/>
      </w:r>
    </w:p>
    <w:p w14:paraId="48F2185D" w14:textId="039B19D2" w:rsidR="00DD096B" w:rsidRPr="007919B5" w:rsidRDefault="001B7066" w:rsidP="007919B5">
      <w:pPr>
        <w:pStyle w:val="Heading2"/>
      </w:pPr>
      <w:bookmarkStart w:id="541" w:name="_Toc211414166"/>
      <w:bookmarkStart w:id="542" w:name="_Toc211440065"/>
      <w:r>
        <w:lastRenderedPageBreak/>
        <w:t>References</w:t>
      </w:r>
      <w:bookmarkEnd w:id="541"/>
      <w:bookmarkEnd w:id="542"/>
      <w:r>
        <w:t xml:space="preserve"> </w:t>
      </w:r>
    </w:p>
    <w:sectPr w:rsidR="00DD096B" w:rsidRPr="007919B5" w:rsidSect="009C0FB9">
      <w:footerReference w:type="default" r:id="rId42"/>
      <w:headerReference w:type="first" r:id="rId43"/>
      <w:endnotePr>
        <w:numFmt w:val="decimal"/>
      </w:endnotePr>
      <w:pgSz w:w="11906" w:h="16838"/>
      <w:pgMar w:top="1435" w:right="1435" w:bottom="1448" w:left="144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7BBA75" w14:textId="77777777" w:rsidR="0048171B" w:rsidRDefault="0048171B" w:rsidP="004139E3">
      <w:pPr>
        <w:spacing w:after="0" w:line="240" w:lineRule="auto"/>
      </w:pPr>
      <w:r>
        <w:separator/>
      </w:r>
    </w:p>
  </w:endnote>
  <w:endnote w:type="continuationSeparator" w:id="0">
    <w:p w14:paraId="12C5EF1A" w14:textId="77777777" w:rsidR="0048171B" w:rsidRDefault="0048171B" w:rsidP="004139E3">
      <w:pPr>
        <w:spacing w:after="0" w:line="240" w:lineRule="auto"/>
      </w:pPr>
      <w:r>
        <w:continuationSeparator/>
      </w:r>
    </w:p>
  </w:endnote>
  <w:endnote w:id="1">
    <w:p w14:paraId="23F71DCB" w14:textId="0D54F2A8" w:rsidR="004E04E1" w:rsidRPr="00053374" w:rsidRDefault="004E04E1" w:rsidP="004C3828">
      <w:pPr>
        <w:pStyle w:val="EndnoteText"/>
        <w:jc w:val="left"/>
        <w:rPr>
          <w:highlight w:val="green"/>
          <w:lang w:val="en-US"/>
        </w:rPr>
      </w:pPr>
      <w:r w:rsidRPr="001D6268">
        <w:rPr>
          <w:rStyle w:val="EndnoteReference"/>
        </w:rPr>
        <w:endnoteRef/>
      </w:r>
      <w:r w:rsidRPr="001D6268">
        <w:t xml:space="preserve"> </w:t>
      </w:r>
      <w:r w:rsidRPr="001D6268">
        <w:rPr>
          <w:lang w:val="en-US"/>
        </w:rPr>
        <w:t xml:space="preserve">Department for Education </w:t>
      </w:r>
      <w:r w:rsidR="00250CC5">
        <w:rPr>
          <w:lang w:val="en-US"/>
        </w:rPr>
        <w:t>and</w:t>
      </w:r>
      <w:r w:rsidRPr="001D6268">
        <w:rPr>
          <w:lang w:val="en-US"/>
        </w:rPr>
        <w:t xml:space="preserve"> Department of Health (2015). </w:t>
      </w:r>
      <w:r w:rsidRPr="001D6268">
        <w:rPr>
          <w:i/>
          <w:iCs/>
          <w:lang w:val="en-US"/>
        </w:rPr>
        <w:t>Special educational needs and disability code of practice: 0 to 25 years</w:t>
      </w:r>
      <w:r w:rsidRPr="001D6268">
        <w:rPr>
          <w:lang w:val="en-US"/>
        </w:rPr>
        <w:t xml:space="preserve">. </w:t>
      </w:r>
      <w:r w:rsidR="005544DD" w:rsidRPr="001D6268">
        <w:rPr>
          <w:lang w:val="en-US"/>
        </w:rPr>
        <w:t>Ava</w:t>
      </w:r>
      <w:r w:rsidR="00715FB0" w:rsidRPr="001D6268">
        <w:rPr>
          <w:lang w:val="en-US"/>
        </w:rPr>
        <w:t>ilable at:</w:t>
      </w:r>
      <w:r w:rsidRPr="001D6268">
        <w:rPr>
          <w:lang w:val="en-US"/>
        </w:rPr>
        <w:t xml:space="preserve"> </w:t>
      </w:r>
      <w:hyperlink r:id="rId1" w:history="1">
        <w:r w:rsidRPr="001D6268">
          <w:rPr>
            <w:rStyle w:val="Hyperlink"/>
            <w:lang w:val="en-US"/>
          </w:rPr>
          <w:t>https://assets.publishing.service.gov.uk/government/uploads/system/uploads/attachment_data/file/398815/SEND_Code_of_Practice_January_2015.pdf</w:t>
        </w:r>
      </w:hyperlink>
      <w:r w:rsidRPr="001D6268">
        <w:rPr>
          <w:lang w:val="en-US"/>
        </w:rPr>
        <w:t xml:space="preserve"> </w:t>
      </w:r>
    </w:p>
  </w:endnote>
  <w:endnote w:id="2">
    <w:p w14:paraId="7A5DF25C" w14:textId="7AAADCB6" w:rsidR="004E04E1" w:rsidRPr="00053374" w:rsidRDefault="004E04E1" w:rsidP="004C3828">
      <w:pPr>
        <w:pStyle w:val="EndnoteText"/>
        <w:jc w:val="left"/>
        <w:rPr>
          <w:highlight w:val="green"/>
          <w:lang w:val="en-US"/>
        </w:rPr>
      </w:pPr>
      <w:r w:rsidRPr="00F7263A">
        <w:rPr>
          <w:rStyle w:val="EndnoteReference"/>
        </w:rPr>
        <w:endnoteRef/>
      </w:r>
      <w:r w:rsidR="00F7263A">
        <w:t xml:space="preserve"> </w:t>
      </w:r>
      <w:r w:rsidR="00F7263A" w:rsidRPr="00F7263A">
        <w:t xml:space="preserve">Tower Hamlets </w:t>
      </w:r>
      <w:r w:rsidR="00BC41FA">
        <w:t>Council</w:t>
      </w:r>
      <w:r w:rsidR="00F7263A" w:rsidRPr="00F7263A">
        <w:t xml:space="preserve"> (2024).</w:t>
      </w:r>
      <w:r w:rsidRPr="00F7263A">
        <w:t xml:space="preserve"> </w:t>
      </w:r>
      <w:r w:rsidRPr="00F7263A">
        <w:rPr>
          <w:i/>
          <w:iCs/>
        </w:rPr>
        <w:t>Tower Hamlets Special Educational Needs, Disabilities and Inclusion Strategy: 2024–29</w:t>
      </w:r>
      <w:r w:rsidRPr="00F7263A">
        <w:t xml:space="preserve">. </w:t>
      </w:r>
      <w:r w:rsidR="00F7263A" w:rsidRPr="00F7263A">
        <w:t xml:space="preserve">Available at: </w:t>
      </w:r>
      <w:hyperlink r:id="rId2" w:history="1">
        <w:r w:rsidR="00F7263A" w:rsidRPr="00F7263A">
          <w:rPr>
            <w:rStyle w:val="Hyperlink"/>
          </w:rPr>
          <w:t>https://democracy.towerhamlets.gov.uk/documents/s242527/Appendix.%202%20for%20Tower%20Hamlets%20Special%20Educational%20Needs%20Disabilities%20and%20Inclusion%20Strategy%202024%20to.pdf</w:t>
        </w:r>
      </w:hyperlink>
      <w:r w:rsidRPr="00F7263A">
        <w:t xml:space="preserve"> </w:t>
      </w:r>
    </w:p>
  </w:endnote>
  <w:endnote w:id="3">
    <w:p w14:paraId="0CC1BB91" w14:textId="4C65B72E" w:rsidR="004E04E1" w:rsidRPr="00053374" w:rsidRDefault="004E04E1" w:rsidP="004C3828">
      <w:pPr>
        <w:jc w:val="left"/>
        <w:rPr>
          <w:i/>
          <w:iCs/>
          <w:kern w:val="0"/>
          <w:szCs w:val="22"/>
          <w:highlight w:val="green"/>
          <w:lang w:val="en-US" w:eastAsia="en-US"/>
          <w14:ligatures w14:val="none"/>
        </w:rPr>
      </w:pPr>
      <w:r w:rsidRPr="00794EBE">
        <w:rPr>
          <w:rStyle w:val="EndnoteReference"/>
        </w:rPr>
        <w:endnoteRef/>
      </w:r>
      <w:r w:rsidRPr="00794EBE">
        <w:t xml:space="preserve"> </w:t>
      </w:r>
      <w:r w:rsidR="00AC01FB" w:rsidRPr="000E6484">
        <w:rPr>
          <w:sz w:val="20"/>
          <w:szCs w:val="20"/>
        </w:rPr>
        <w:t xml:space="preserve">Department for Education (2024). </w:t>
      </w:r>
      <w:r w:rsidR="00530F4E" w:rsidRPr="000E6484">
        <w:rPr>
          <w:i/>
          <w:iCs/>
          <w:sz w:val="20"/>
          <w:szCs w:val="20"/>
        </w:rPr>
        <w:t>Special educational needs in England</w:t>
      </w:r>
      <w:r w:rsidR="00E65B6C" w:rsidRPr="00794EBE">
        <w:rPr>
          <w:sz w:val="20"/>
          <w:szCs w:val="20"/>
        </w:rPr>
        <w:t xml:space="preserve">. </w:t>
      </w:r>
      <w:r w:rsidR="00E65B6C" w:rsidRPr="000E6484">
        <w:rPr>
          <w:sz w:val="20"/>
          <w:szCs w:val="20"/>
        </w:rPr>
        <w:t xml:space="preserve">Available at: </w:t>
      </w:r>
      <w:hyperlink r:id="rId3" w:history="1">
        <w:r w:rsidR="004F72D1" w:rsidRPr="000E6484">
          <w:rPr>
            <w:rStyle w:val="Hyperlink"/>
            <w:sz w:val="20"/>
            <w:szCs w:val="20"/>
          </w:rPr>
          <w:t>https://explore-education-statistics.service.gov.uk/find-statistics/special-educational-needs-in-england/2024-25</w:t>
        </w:r>
      </w:hyperlink>
      <w:r w:rsidR="004F72D1" w:rsidRPr="000E6484">
        <w:rPr>
          <w:sz w:val="20"/>
          <w:szCs w:val="20"/>
        </w:rPr>
        <w:t xml:space="preserve"> </w:t>
      </w:r>
    </w:p>
  </w:endnote>
  <w:endnote w:id="4">
    <w:p w14:paraId="11AF3C90" w14:textId="597E4BB1" w:rsidR="004E04E1" w:rsidRPr="00776CC0" w:rsidRDefault="004E04E1" w:rsidP="004C3828">
      <w:pPr>
        <w:pStyle w:val="EndnoteText"/>
        <w:jc w:val="left"/>
      </w:pPr>
      <w:r w:rsidRPr="00776CC0">
        <w:rPr>
          <w:rStyle w:val="EndnoteReference"/>
        </w:rPr>
        <w:endnoteRef/>
      </w:r>
      <w:r w:rsidRPr="00776CC0">
        <w:t xml:space="preserve"> </w:t>
      </w:r>
      <w:r w:rsidR="00CE34A5" w:rsidRPr="00776CC0">
        <w:t xml:space="preserve">Tower Hamlets (2024). </w:t>
      </w:r>
      <w:r w:rsidR="00167A6A" w:rsidRPr="00776CC0">
        <w:t>Tower Hamlets</w:t>
      </w:r>
      <w:r w:rsidRPr="00776CC0">
        <w:t xml:space="preserve"> SEND Analysis Dashboard for Tower Hamlets July 2024</w:t>
      </w:r>
      <w:r w:rsidR="00167A6A" w:rsidRPr="00776CC0">
        <w:t>_v3.</w:t>
      </w:r>
      <w:r w:rsidR="00606CBF" w:rsidRPr="00776CC0">
        <w:t>731.</w:t>
      </w:r>
    </w:p>
  </w:endnote>
  <w:endnote w:id="5">
    <w:p w14:paraId="3874BD52" w14:textId="0B11FEB9" w:rsidR="004E04E1" w:rsidRPr="00053374" w:rsidRDefault="004E04E1" w:rsidP="004C3828">
      <w:pPr>
        <w:pStyle w:val="EndnoteText"/>
        <w:jc w:val="left"/>
        <w:rPr>
          <w:highlight w:val="green"/>
          <w:lang w:val="en-US"/>
        </w:rPr>
      </w:pPr>
      <w:r w:rsidRPr="008704F2">
        <w:rPr>
          <w:rStyle w:val="EndnoteReference"/>
        </w:rPr>
        <w:endnoteRef/>
      </w:r>
      <w:r w:rsidRPr="008704F2">
        <w:t xml:space="preserve"> </w:t>
      </w:r>
      <w:hyperlink r:id="rId4" w:history="1">
        <w:r w:rsidRPr="008704F2">
          <w:t>Office for Health Improvement and Disparities</w:t>
        </w:r>
        <w:r w:rsidR="007B6FE5" w:rsidRPr="008704F2">
          <w:t xml:space="preserve"> (2025)</w:t>
        </w:r>
        <w:r w:rsidRPr="008704F2">
          <w:t>.</w:t>
        </w:r>
      </w:hyperlink>
      <w:r w:rsidRPr="008704F2">
        <w:t xml:space="preserve"> </w:t>
      </w:r>
      <w:r w:rsidRPr="008704F2">
        <w:rPr>
          <w:i/>
          <w:iCs/>
        </w:rPr>
        <w:t>Public health profiles</w:t>
      </w:r>
      <w:r w:rsidR="007B6FE5" w:rsidRPr="008704F2">
        <w:t>. Available at:</w:t>
      </w:r>
      <w:r w:rsidRPr="008704F2">
        <w:t xml:space="preserve"> </w:t>
      </w:r>
      <w:hyperlink r:id="rId5" w:history="1">
        <w:r w:rsidRPr="008704F2">
          <w:rPr>
            <w:rStyle w:val="Hyperlink"/>
          </w:rPr>
          <w:t>https://fingertips.phe.org.uk/</w:t>
        </w:r>
      </w:hyperlink>
      <w:r w:rsidR="008704F2" w:rsidRPr="008704F2">
        <w:t xml:space="preserve"> </w:t>
      </w:r>
    </w:p>
  </w:endnote>
  <w:endnote w:id="6">
    <w:p w14:paraId="0F1F3DE6" w14:textId="6E635ABF" w:rsidR="004E04E1" w:rsidRPr="00053374" w:rsidRDefault="004E04E1" w:rsidP="004C3828">
      <w:pPr>
        <w:pStyle w:val="EndnoteText"/>
        <w:jc w:val="left"/>
        <w:rPr>
          <w:highlight w:val="green"/>
          <w:lang w:val="en-US"/>
        </w:rPr>
      </w:pPr>
      <w:r w:rsidRPr="002B160A">
        <w:rPr>
          <w:rStyle w:val="EndnoteReference"/>
        </w:rPr>
        <w:endnoteRef/>
      </w:r>
      <w:r w:rsidRPr="002B160A">
        <w:t xml:space="preserve"> Braun, V</w:t>
      </w:r>
      <w:r w:rsidR="00A2438D" w:rsidRPr="002B160A">
        <w:t>. and</w:t>
      </w:r>
      <w:r w:rsidRPr="002B160A">
        <w:t xml:space="preserve"> Clarke, V. (2006</w:t>
      </w:r>
      <w:r w:rsidR="00943B74" w:rsidRPr="002B160A">
        <w:t>)</w:t>
      </w:r>
      <w:r w:rsidR="00D829B9">
        <w:t>.</w:t>
      </w:r>
      <w:r w:rsidRPr="002B160A">
        <w:t xml:space="preserve"> </w:t>
      </w:r>
      <w:r w:rsidR="0099060B" w:rsidRPr="002B160A">
        <w:t>‘</w:t>
      </w:r>
      <w:r w:rsidRPr="002B160A">
        <w:t xml:space="preserve">Using thematic analysis in </w:t>
      </w:r>
      <w:r w:rsidR="00A2438D" w:rsidRPr="002B160A">
        <w:t>psychology</w:t>
      </w:r>
      <w:r w:rsidR="0099060B" w:rsidRPr="002B160A">
        <w:t>’,</w:t>
      </w:r>
      <w:r w:rsidR="00A2438D" w:rsidRPr="002B160A">
        <w:t> </w:t>
      </w:r>
      <w:r w:rsidRPr="002B160A">
        <w:rPr>
          <w:i/>
          <w:iCs/>
        </w:rPr>
        <w:t xml:space="preserve">Qualitative </w:t>
      </w:r>
      <w:r w:rsidR="00943B74" w:rsidRPr="002B160A">
        <w:rPr>
          <w:i/>
          <w:iCs/>
        </w:rPr>
        <w:t>Research</w:t>
      </w:r>
      <w:r w:rsidRPr="002B160A">
        <w:rPr>
          <w:i/>
          <w:iCs/>
        </w:rPr>
        <w:t xml:space="preserve"> in </w:t>
      </w:r>
      <w:r w:rsidR="00943B74" w:rsidRPr="002B160A">
        <w:rPr>
          <w:i/>
          <w:iCs/>
        </w:rPr>
        <w:t>Psychology</w:t>
      </w:r>
      <w:r w:rsidR="00943B74" w:rsidRPr="002B160A">
        <w:t xml:space="preserve">, </w:t>
      </w:r>
      <w:r w:rsidRPr="002B160A">
        <w:t xml:space="preserve">3(2), </w:t>
      </w:r>
      <w:r w:rsidR="00A2438D" w:rsidRPr="002B160A">
        <w:t>pp.</w:t>
      </w:r>
      <w:r w:rsidRPr="002B160A">
        <w:t>77</w:t>
      </w:r>
      <w:r w:rsidR="00943B74" w:rsidRPr="002B160A">
        <w:t>–</w:t>
      </w:r>
      <w:r w:rsidRPr="002B160A">
        <w:t>101.</w:t>
      </w:r>
      <w:r w:rsidR="00943B74" w:rsidRPr="002B160A">
        <w:t xml:space="preserve"> </w:t>
      </w:r>
      <w:r w:rsidR="00D829B9">
        <w:t>doi</w:t>
      </w:r>
      <w:r w:rsidR="00943B74" w:rsidRPr="002B160A">
        <w:t xml:space="preserve">: </w:t>
      </w:r>
      <w:hyperlink r:id="rId6" w:history="1">
        <w:r w:rsidR="00E14E33" w:rsidRPr="00AB25E7">
          <w:rPr>
            <w:rStyle w:val="Hyperlink"/>
          </w:rPr>
          <w:t>https://doi.org/10.1191/1478088706qp063oa</w:t>
        </w:r>
      </w:hyperlink>
    </w:p>
  </w:endnote>
  <w:endnote w:id="7">
    <w:p w14:paraId="04F32C3D" w14:textId="0327189B" w:rsidR="004E04E1" w:rsidRPr="00053374" w:rsidRDefault="004E04E1" w:rsidP="004C3828">
      <w:pPr>
        <w:pStyle w:val="EndnoteText"/>
        <w:jc w:val="left"/>
        <w:rPr>
          <w:highlight w:val="green"/>
          <w:lang w:val="en-US"/>
        </w:rPr>
      </w:pPr>
      <w:r w:rsidRPr="0097374C">
        <w:rPr>
          <w:rStyle w:val="EndnoteReference"/>
        </w:rPr>
        <w:endnoteRef/>
      </w:r>
      <w:r w:rsidRPr="0097374C">
        <w:t xml:space="preserve"> </w:t>
      </w:r>
      <w:r w:rsidR="00D10FA9" w:rsidRPr="0096661B">
        <w:rPr>
          <w:i/>
          <w:iCs/>
        </w:rPr>
        <w:t>Equality Act</w:t>
      </w:r>
      <w:r w:rsidRPr="0097374C">
        <w:rPr>
          <w:lang w:val="en-US"/>
        </w:rPr>
        <w:t xml:space="preserve"> </w:t>
      </w:r>
      <w:r w:rsidRPr="0096661B">
        <w:rPr>
          <w:i/>
          <w:iCs/>
          <w:lang w:val="en-US"/>
        </w:rPr>
        <w:t>2010</w:t>
      </w:r>
      <w:r w:rsidRPr="0097374C">
        <w:rPr>
          <w:lang w:val="en-US"/>
        </w:rPr>
        <w:t xml:space="preserve">. Available </w:t>
      </w:r>
      <w:r w:rsidR="00063FD5" w:rsidRPr="0097374C">
        <w:rPr>
          <w:lang w:val="en-US"/>
        </w:rPr>
        <w:t>at</w:t>
      </w:r>
      <w:r w:rsidRPr="0097374C">
        <w:rPr>
          <w:lang w:val="en-US"/>
        </w:rPr>
        <w:t xml:space="preserve">: </w:t>
      </w:r>
      <w:hyperlink r:id="rId7" w:history="1">
        <w:r w:rsidR="0097374C" w:rsidRPr="0097374C">
          <w:rPr>
            <w:rStyle w:val="Hyperlink"/>
            <w:lang w:val="en-US"/>
          </w:rPr>
          <w:t>https://www.legislation.gov.uk/ukpga/2010/15/section/6</w:t>
        </w:r>
      </w:hyperlink>
      <w:r w:rsidR="0097374C" w:rsidRPr="0097374C">
        <w:rPr>
          <w:lang w:val="en-US"/>
        </w:rPr>
        <w:t xml:space="preserve"> </w:t>
      </w:r>
    </w:p>
  </w:endnote>
  <w:endnote w:id="8">
    <w:p w14:paraId="4F3F8A06" w14:textId="4D4FA2D8" w:rsidR="004E04E1" w:rsidRPr="00053374" w:rsidRDefault="004E04E1" w:rsidP="004C3828">
      <w:pPr>
        <w:pStyle w:val="EndnoteText"/>
        <w:jc w:val="left"/>
        <w:rPr>
          <w:highlight w:val="green"/>
          <w:lang w:val="en-US"/>
        </w:rPr>
      </w:pPr>
      <w:r w:rsidRPr="00F74330">
        <w:rPr>
          <w:rStyle w:val="EndnoteReference"/>
        </w:rPr>
        <w:endnoteRef/>
      </w:r>
      <w:r w:rsidRPr="00F74330">
        <w:t xml:space="preserve"> </w:t>
      </w:r>
      <w:r w:rsidRPr="00F74330">
        <w:rPr>
          <w:lang w:val="en-US"/>
        </w:rPr>
        <w:t>NHS England (</w:t>
      </w:r>
      <w:r w:rsidRPr="00F74330">
        <w:t xml:space="preserve">2025). </w:t>
      </w:r>
      <w:r w:rsidRPr="00F74330">
        <w:rPr>
          <w:i/>
          <w:iCs/>
        </w:rPr>
        <w:t xml:space="preserve">ADHD Taskforce. </w:t>
      </w:r>
      <w:r w:rsidR="005356D9" w:rsidRPr="00F74330">
        <w:t>Available at</w:t>
      </w:r>
      <w:r w:rsidRPr="00F74330">
        <w:t xml:space="preserve">: </w:t>
      </w:r>
      <w:hyperlink r:id="rId8" w:history="1">
        <w:r w:rsidR="00F74330" w:rsidRPr="00F74330">
          <w:rPr>
            <w:rStyle w:val="Hyperlink"/>
          </w:rPr>
          <w:t>https://www.england.nhs.uk/mental-health/adhd/</w:t>
        </w:r>
      </w:hyperlink>
      <w:r w:rsidR="00F74330" w:rsidRPr="00F74330">
        <w:t xml:space="preserve"> </w:t>
      </w:r>
    </w:p>
  </w:endnote>
  <w:endnote w:id="9">
    <w:p w14:paraId="42B52E40" w14:textId="40EFDF20" w:rsidR="004E04E1" w:rsidRPr="00053374" w:rsidRDefault="004E04E1" w:rsidP="004C3828">
      <w:pPr>
        <w:pStyle w:val="EndnoteText"/>
        <w:jc w:val="left"/>
        <w:rPr>
          <w:highlight w:val="green"/>
          <w:lang w:val="en-US"/>
        </w:rPr>
      </w:pPr>
      <w:r w:rsidRPr="00E33DB6">
        <w:rPr>
          <w:rStyle w:val="EndnoteReference"/>
        </w:rPr>
        <w:endnoteRef/>
      </w:r>
      <w:r w:rsidRPr="00E33DB6">
        <w:t xml:space="preserve"> </w:t>
      </w:r>
      <w:r w:rsidRPr="00E33DB6">
        <w:rPr>
          <w:lang w:val="en-US"/>
        </w:rPr>
        <w:t xml:space="preserve">Disability Unit </w:t>
      </w:r>
      <w:r w:rsidR="00947CC5" w:rsidRPr="00E33DB6">
        <w:rPr>
          <w:lang w:val="en-US"/>
        </w:rPr>
        <w:t>and</w:t>
      </w:r>
      <w:r w:rsidRPr="00E33DB6">
        <w:rPr>
          <w:lang w:val="en-US"/>
        </w:rPr>
        <w:t xml:space="preserve"> Cabinet Office (2021). </w:t>
      </w:r>
      <w:r w:rsidRPr="00E33DB6">
        <w:rPr>
          <w:i/>
          <w:iCs/>
          <w:lang w:val="en-US"/>
        </w:rPr>
        <w:t>Portraying disability</w:t>
      </w:r>
      <w:r w:rsidRPr="00E33DB6">
        <w:rPr>
          <w:lang w:val="en-US"/>
        </w:rPr>
        <w:t xml:space="preserve">. </w:t>
      </w:r>
      <w:r w:rsidR="00E33DB6" w:rsidRPr="00E33DB6">
        <w:rPr>
          <w:lang w:val="en-US"/>
        </w:rPr>
        <w:t xml:space="preserve">Available at: </w:t>
      </w:r>
      <w:hyperlink r:id="rId9" w:history="1">
        <w:r w:rsidR="00E33DB6" w:rsidRPr="00E33DB6">
          <w:rPr>
            <w:rStyle w:val="Hyperlink"/>
            <w:lang w:val="en-US"/>
          </w:rPr>
          <w:t>https://www.gov.uk/government/publications/inclusive-communication/portraying-disability</w:t>
        </w:r>
      </w:hyperlink>
      <w:r w:rsidRPr="00E33DB6">
        <w:rPr>
          <w:lang w:val="en-US"/>
        </w:rPr>
        <w:t xml:space="preserve"> </w:t>
      </w:r>
    </w:p>
  </w:endnote>
  <w:endnote w:id="10">
    <w:p w14:paraId="48BE7173" w14:textId="398F139A" w:rsidR="004E04E1" w:rsidRPr="00053374" w:rsidRDefault="004E04E1" w:rsidP="004C3828">
      <w:pPr>
        <w:pStyle w:val="EndnoteText"/>
        <w:jc w:val="left"/>
        <w:rPr>
          <w:highlight w:val="green"/>
          <w:lang w:val="en-US"/>
        </w:rPr>
      </w:pPr>
      <w:r w:rsidRPr="00B11A90">
        <w:rPr>
          <w:rStyle w:val="EndnoteReference"/>
        </w:rPr>
        <w:endnoteRef/>
      </w:r>
      <w:r w:rsidRPr="00B11A90">
        <w:t xml:space="preserve"> </w:t>
      </w:r>
      <w:r w:rsidRPr="00926BA7">
        <w:rPr>
          <w:i/>
          <w:iCs/>
          <w:lang w:val="en-US"/>
        </w:rPr>
        <w:t>Education Act 1981</w:t>
      </w:r>
      <w:r w:rsidR="003E4544" w:rsidRPr="00B11A90">
        <w:rPr>
          <w:lang w:val="en-US"/>
        </w:rPr>
        <w:t>.</w:t>
      </w:r>
      <w:r w:rsidRPr="00B11A90">
        <w:rPr>
          <w:lang w:val="en-US"/>
        </w:rPr>
        <w:t xml:space="preserve"> </w:t>
      </w:r>
      <w:r w:rsidR="00B11A90" w:rsidRPr="00B11A90">
        <w:rPr>
          <w:lang w:val="en-US"/>
        </w:rPr>
        <w:t xml:space="preserve">Available at: </w:t>
      </w:r>
      <w:hyperlink r:id="rId10" w:history="1">
        <w:r w:rsidR="00B11A90" w:rsidRPr="00B11A90">
          <w:rPr>
            <w:rStyle w:val="Hyperlink"/>
            <w:lang w:val="en-US"/>
          </w:rPr>
          <w:t>https://www.legislation.gov.uk/ukpga/1981/60/enacted</w:t>
        </w:r>
      </w:hyperlink>
      <w:r w:rsidR="00B11A90" w:rsidRPr="00B11A90">
        <w:rPr>
          <w:lang w:val="en-US"/>
        </w:rPr>
        <w:t xml:space="preserve"> </w:t>
      </w:r>
    </w:p>
  </w:endnote>
  <w:endnote w:id="11">
    <w:p w14:paraId="1EF6F8E3" w14:textId="09591534" w:rsidR="004E04E1" w:rsidRPr="00053374" w:rsidRDefault="004E04E1" w:rsidP="004C3828">
      <w:pPr>
        <w:pStyle w:val="EndnoteText"/>
        <w:jc w:val="left"/>
        <w:rPr>
          <w:highlight w:val="green"/>
          <w:lang w:val="en-US"/>
        </w:rPr>
      </w:pPr>
      <w:r w:rsidRPr="006163A0">
        <w:rPr>
          <w:rStyle w:val="EndnoteReference"/>
        </w:rPr>
        <w:endnoteRef/>
      </w:r>
      <w:r w:rsidRPr="006163A0">
        <w:t xml:space="preserve"> HM Government (2003)</w:t>
      </w:r>
      <w:r w:rsidR="00A818B9" w:rsidRPr="006163A0">
        <w:t>.</w:t>
      </w:r>
      <w:r w:rsidRPr="006163A0">
        <w:t xml:space="preserve"> </w:t>
      </w:r>
      <w:r w:rsidRPr="006163A0">
        <w:rPr>
          <w:i/>
          <w:iCs/>
        </w:rPr>
        <w:t>Every Child Matters</w:t>
      </w:r>
      <w:r w:rsidR="006163A0" w:rsidRPr="006163A0">
        <w:rPr>
          <w:i/>
          <w:iCs/>
        </w:rPr>
        <w:t xml:space="preserve">. </w:t>
      </w:r>
      <w:r w:rsidR="006163A0" w:rsidRPr="006163A0">
        <w:t>Available at:</w:t>
      </w:r>
      <w:r w:rsidRPr="006163A0">
        <w:t xml:space="preserve"> </w:t>
      </w:r>
      <w:hyperlink r:id="rId11" w:history="1">
        <w:r w:rsidRPr="006163A0">
          <w:rPr>
            <w:rStyle w:val="Hyperlink"/>
          </w:rPr>
          <w:t>https://assets.publishing.service.gov.uk/media/5a7c95a4e5274a0bb7cb806d/5860.pdf</w:t>
        </w:r>
      </w:hyperlink>
      <w:r w:rsidRPr="006163A0">
        <w:t xml:space="preserve"> </w:t>
      </w:r>
    </w:p>
  </w:endnote>
  <w:endnote w:id="12">
    <w:p w14:paraId="2E21BDDD" w14:textId="46320E3D" w:rsidR="004E04E1" w:rsidRPr="00053374" w:rsidRDefault="004E04E1" w:rsidP="004C3828">
      <w:pPr>
        <w:pStyle w:val="EndnoteText"/>
        <w:jc w:val="left"/>
        <w:rPr>
          <w:highlight w:val="green"/>
        </w:rPr>
      </w:pPr>
      <w:r w:rsidRPr="00B46177">
        <w:rPr>
          <w:rStyle w:val="EndnoteReference"/>
        </w:rPr>
        <w:endnoteRef/>
      </w:r>
      <w:r w:rsidRPr="00B46177">
        <w:t xml:space="preserve"> </w:t>
      </w:r>
      <w:r w:rsidRPr="00B46177">
        <w:rPr>
          <w:i/>
          <w:iCs/>
        </w:rPr>
        <w:t>Children and Families Act 2014</w:t>
      </w:r>
      <w:r w:rsidR="001A1E5A" w:rsidRPr="00B46177">
        <w:t xml:space="preserve">. </w:t>
      </w:r>
      <w:r w:rsidR="00287E13" w:rsidRPr="00B46177">
        <w:t xml:space="preserve">Available at: </w:t>
      </w:r>
      <w:hyperlink r:id="rId12" w:history="1">
        <w:r w:rsidR="00B46177" w:rsidRPr="00B46177">
          <w:rPr>
            <w:rStyle w:val="Hyperlink"/>
          </w:rPr>
          <w:t>https://www.legislation.gov.uk/ukpga/2014/6/contents</w:t>
        </w:r>
      </w:hyperlink>
      <w:r w:rsidR="00B46177" w:rsidRPr="00B46177">
        <w:t xml:space="preserve"> </w:t>
      </w:r>
    </w:p>
  </w:endnote>
  <w:endnote w:id="13">
    <w:p w14:paraId="1B47037D" w14:textId="579E4402" w:rsidR="004E04E1" w:rsidRPr="00053374" w:rsidRDefault="004E04E1" w:rsidP="004C3828">
      <w:pPr>
        <w:pStyle w:val="EndnoteText"/>
        <w:jc w:val="left"/>
        <w:rPr>
          <w:highlight w:val="green"/>
          <w:lang w:val="en-US"/>
        </w:rPr>
      </w:pPr>
      <w:r w:rsidRPr="00B46177">
        <w:rPr>
          <w:rStyle w:val="EndnoteReference"/>
        </w:rPr>
        <w:endnoteRef/>
      </w:r>
      <w:r w:rsidRPr="00B46177">
        <w:t xml:space="preserve"> Department for Education (2022). </w:t>
      </w:r>
      <w:r w:rsidRPr="00B46177">
        <w:rPr>
          <w:i/>
          <w:iCs/>
        </w:rPr>
        <w:t>SEND Review: Right support, right place, right time.</w:t>
      </w:r>
      <w:r w:rsidRPr="00B46177">
        <w:t xml:space="preserve"> </w:t>
      </w:r>
      <w:r w:rsidR="00B46177" w:rsidRPr="00B46177">
        <w:t xml:space="preserve">Available </w:t>
      </w:r>
      <w:r w:rsidR="007E6AA1">
        <w:t>at</w:t>
      </w:r>
      <w:r w:rsidR="00B46177" w:rsidRPr="00B46177">
        <w:t xml:space="preserve">: </w:t>
      </w:r>
      <w:hyperlink r:id="rId13" w:history="1">
        <w:r w:rsidR="00B46177" w:rsidRPr="00B46177">
          <w:rPr>
            <w:rStyle w:val="Hyperlink"/>
          </w:rPr>
          <w:t>https://www.gov.uk/government/consultations/send-review-right-support-right-place-right-time</w:t>
        </w:r>
      </w:hyperlink>
      <w:r w:rsidRPr="00B46177">
        <w:t xml:space="preserve"> </w:t>
      </w:r>
    </w:p>
  </w:endnote>
  <w:endnote w:id="14">
    <w:p w14:paraId="5F3F5A17" w14:textId="526A6B2B" w:rsidR="004E04E1" w:rsidRPr="00053374" w:rsidRDefault="004E04E1" w:rsidP="004C3828">
      <w:pPr>
        <w:pStyle w:val="EndnoteText"/>
        <w:jc w:val="left"/>
        <w:rPr>
          <w:highlight w:val="green"/>
          <w:lang w:val="en-US"/>
        </w:rPr>
      </w:pPr>
      <w:r w:rsidRPr="006D2D3E">
        <w:rPr>
          <w:rStyle w:val="EndnoteReference"/>
        </w:rPr>
        <w:endnoteRef/>
      </w:r>
      <w:r w:rsidRPr="006D2D3E">
        <w:t xml:space="preserve"> National Institute for Health and Care Excellence (2021). </w:t>
      </w:r>
      <w:r w:rsidRPr="006D2D3E">
        <w:rPr>
          <w:i/>
          <w:iCs/>
        </w:rPr>
        <w:t>Autism spectrum disorder in under 19s: support and management</w:t>
      </w:r>
      <w:r w:rsidR="0002717B" w:rsidRPr="006D2D3E">
        <w:t>.</w:t>
      </w:r>
      <w:r w:rsidR="0011377A" w:rsidRPr="006D2D3E">
        <w:t xml:space="preserve"> Available </w:t>
      </w:r>
      <w:r w:rsidR="007E6AA1">
        <w:t>at</w:t>
      </w:r>
      <w:r w:rsidR="0011377A" w:rsidRPr="006D2D3E">
        <w:t xml:space="preserve">: </w:t>
      </w:r>
      <w:hyperlink r:id="rId14" w:history="1">
        <w:r w:rsidR="006D2D3E" w:rsidRPr="006D2D3E">
          <w:rPr>
            <w:rStyle w:val="Hyperlink"/>
          </w:rPr>
          <w:t>https://www.nice.org.uk/guidance/cg170</w:t>
        </w:r>
      </w:hyperlink>
      <w:r w:rsidR="006D2D3E" w:rsidRPr="006D2D3E">
        <w:t xml:space="preserve"> </w:t>
      </w:r>
    </w:p>
  </w:endnote>
  <w:endnote w:id="15">
    <w:p w14:paraId="60C7CDEE" w14:textId="2D434A88" w:rsidR="004E04E1" w:rsidRPr="00053374" w:rsidRDefault="004E04E1" w:rsidP="004C3828">
      <w:pPr>
        <w:pStyle w:val="EndnoteText"/>
        <w:jc w:val="left"/>
        <w:rPr>
          <w:highlight w:val="green"/>
          <w:lang w:val="en-US"/>
        </w:rPr>
      </w:pPr>
      <w:r w:rsidRPr="004846E5">
        <w:rPr>
          <w:rStyle w:val="EndnoteReference"/>
        </w:rPr>
        <w:endnoteRef/>
      </w:r>
      <w:r w:rsidRPr="004846E5">
        <w:t xml:space="preserve"> National Institute for Health and Care Excellence</w:t>
      </w:r>
      <w:r w:rsidR="006D2D3E" w:rsidRPr="004846E5">
        <w:t xml:space="preserve"> </w:t>
      </w:r>
      <w:r w:rsidRPr="004846E5">
        <w:t>(20</w:t>
      </w:r>
      <w:r w:rsidR="00EA5EC8" w:rsidRPr="004846E5">
        <w:t>19</w:t>
      </w:r>
      <w:r w:rsidRPr="004846E5">
        <w:t xml:space="preserve">). </w:t>
      </w:r>
      <w:r w:rsidRPr="004846E5">
        <w:rPr>
          <w:i/>
          <w:iCs/>
        </w:rPr>
        <w:t>Attention deficit hyperactivity disorder: diagnosis and management</w:t>
      </w:r>
      <w:r w:rsidR="006D2D3E" w:rsidRPr="004846E5">
        <w:t xml:space="preserve">. Available </w:t>
      </w:r>
      <w:r w:rsidR="007E6AA1">
        <w:t>at</w:t>
      </w:r>
      <w:r w:rsidR="006D2D3E" w:rsidRPr="004846E5">
        <w:t xml:space="preserve">: </w:t>
      </w:r>
      <w:hyperlink r:id="rId15" w:history="1">
        <w:r w:rsidR="001D1448" w:rsidRPr="004846E5">
          <w:rPr>
            <w:rStyle w:val="Hyperlink"/>
          </w:rPr>
          <w:t>https://www.nice.org.uk/guidance/ng87</w:t>
        </w:r>
      </w:hyperlink>
      <w:r w:rsidR="001D1448" w:rsidRPr="004846E5">
        <w:t xml:space="preserve"> </w:t>
      </w:r>
    </w:p>
  </w:endnote>
  <w:endnote w:id="16">
    <w:p w14:paraId="6329657A" w14:textId="52AFD361" w:rsidR="004E04E1" w:rsidRPr="00053374" w:rsidRDefault="004E04E1" w:rsidP="004C3828">
      <w:pPr>
        <w:pStyle w:val="EndnoteText"/>
        <w:jc w:val="left"/>
        <w:rPr>
          <w:highlight w:val="green"/>
          <w:lang w:val="en-US"/>
        </w:rPr>
      </w:pPr>
      <w:r w:rsidRPr="00F24BC3">
        <w:rPr>
          <w:rStyle w:val="EndnoteReference"/>
        </w:rPr>
        <w:endnoteRef/>
      </w:r>
      <w:r w:rsidRPr="00F24BC3">
        <w:t xml:space="preserve"> National Institute for Health and Care Excellence (2018). </w:t>
      </w:r>
      <w:r w:rsidRPr="00F24BC3">
        <w:rPr>
          <w:i/>
          <w:iCs/>
        </w:rPr>
        <w:t>Learning disabilities and behaviour that challenges: service design and delivery</w:t>
      </w:r>
      <w:r w:rsidR="00EB21BA" w:rsidRPr="00F24BC3">
        <w:t>.</w:t>
      </w:r>
      <w:r w:rsidR="007253CB" w:rsidRPr="00F24BC3">
        <w:t xml:space="preserve"> Available </w:t>
      </w:r>
      <w:r w:rsidR="007E6AA1">
        <w:t>at</w:t>
      </w:r>
      <w:r w:rsidR="007253CB" w:rsidRPr="00F24BC3">
        <w:t xml:space="preserve">: </w:t>
      </w:r>
      <w:hyperlink r:id="rId16" w:history="1">
        <w:r w:rsidR="007253CB" w:rsidRPr="00F24BC3">
          <w:rPr>
            <w:rStyle w:val="Hyperlink"/>
          </w:rPr>
          <w:t>https://www.nice.org.uk/guidance/ng93</w:t>
        </w:r>
      </w:hyperlink>
      <w:r w:rsidR="007253CB" w:rsidRPr="00F24BC3">
        <w:t xml:space="preserve"> </w:t>
      </w:r>
    </w:p>
  </w:endnote>
  <w:endnote w:id="17">
    <w:p w14:paraId="7CD36C27" w14:textId="6730B580" w:rsidR="004E04E1" w:rsidRPr="00053374" w:rsidRDefault="004E04E1" w:rsidP="004C3828">
      <w:pPr>
        <w:pStyle w:val="EndnoteText"/>
        <w:jc w:val="left"/>
        <w:rPr>
          <w:highlight w:val="green"/>
          <w:lang w:val="en-US"/>
        </w:rPr>
      </w:pPr>
      <w:r w:rsidRPr="00783255">
        <w:rPr>
          <w:rStyle w:val="EndnoteReference"/>
        </w:rPr>
        <w:endnoteRef/>
      </w:r>
      <w:r w:rsidRPr="00783255">
        <w:t xml:space="preserve"> National Institute for Health and Care Excellence (20</w:t>
      </w:r>
      <w:r w:rsidR="001F46F8" w:rsidRPr="00783255">
        <w:t>22</w:t>
      </w:r>
      <w:r w:rsidRPr="00783255">
        <w:t xml:space="preserve">). </w:t>
      </w:r>
      <w:r w:rsidRPr="00783255">
        <w:rPr>
          <w:i/>
          <w:iCs/>
        </w:rPr>
        <w:t>Social and emotional wellbeing in primary education</w:t>
      </w:r>
      <w:r w:rsidRPr="00783255">
        <w:t>.</w:t>
      </w:r>
      <w:r w:rsidR="00783255" w:rsidRPr="00783255">
        <w:t xml:space="preserve"> </w:t>
      </w:r>
      <w:r w:rsidR="007E6AA1">
        <w:t>Available at</w:t>
      </w:r>
      <w:r w:rsidR="00AB7EC1">
        <w:t xml:space="preserve">: </w:t>
      </w:r>
      <w:hyperlink r:id="rId17" w:history="1">
        <w:r w:rsidR="00AB7EC1" w:rsidRPr="00520CC3">
          <w:rPr>
            <w:rStyle w:val="Hyperlink"/>
          </w:rPr>
          <w:t>https://www.nice.org.uk/guidance/ng223</w:t>
        </w:r>
      </w:hyperlink>
      <w:r w:rsidR="00783255" w:rsidRPr="00783255">
        <w:t xml:space="preserve"> </w:t>
      </w:r>
    </w:p>
  </w:endnote>
  <w:endnote w:id="18">
    <w:p w14:paraId="6C65AFA9" w14:textId="1A41D8A5" w:rsidR="004E04E1" w:rsidRPr="00053374" w:rsidRDefault="004E04E1" w:rsidP="004C3828">
      <w:pPr>
        <w:pStyle w:val="EndnoteText"/>
        <w:jc w:val="left"/>
        <w:rPr>
          <w:highlight w:val="green"/>
          <w:lang w:val="en-US"/>
        </w:rPr>
      </w:pPr>
      <w:r w:rsidRPr="00ED1E07">
        <w:rPr>
          <w:rStyle w:val="EndnoteReference"/>
        </w:rPr>
        <w:endnoteRef/>
      </w:r>
      <w:r w:rsidRPr="00ED1E07">
        <w:t xml:space="preserve"> National Institute for Health and Care Excellence (2017). </w:t>
      </w:r>
      <w:r w:rsidRPr="00ED1E07">
        <w:rPr>
          <w:i/>
          <w:iCs/>
        </w:rPr>
        <w:t>Developmental follow-up of children and young people born preterm</w:t>
      </w:r>
      <w:r w:rsidR="007D58AD" w:rsidRPr="00ED1E07">
        <w:rPr>
          <w:i/>
          <w:iCs/>
        </w:rPr>
        <w:t xml:space="preserve">. </w:t>
      </w:r>
      <w:r w:rsidR="007E6AA1" w:rsidRPr="00ED1E07">
        <w:t>Available at</w:t>
      </w:r>
      <w:r w:rsidR="00AB7EC1" w:rsidRPr="00ED1E07">
        <w:t xml:space="preserve">: </w:t>
      </w:r>
      <w:hyperlink r:id="rId18" w:history="1">
        <w:r w:rsidR="00AB7EC1" w:rsidRPr="00ED1E07">
          <w:rPr>
            <w:rStyle w:val="Hyperlink"/>
          </w:rPr>
          <w:t>https://www.nice.org.uk/guidance/ng72</w:t>
        </w:r>
      </w:hyperlink>
      <w:r w:rsidR="00AB7EC1" w:rsidRPr="00ED1E07">
        <w:t xml:space="preserve"> </w:t>
      </w:r>
    </w:p>
  </w:endnote>
  <w:endnote w:id="19">
    <w:p w14:paraId="64D54DA4" w14:textId="15BE99AB" w:rsidR="004E04E1" w:rsidRPr="00053374" w:rsidRDefault="004E04E1" w:rsidP="004C3828">
      <w:pPr>
        <w:pStyle w:val="EndnoteText"/>
        <w:jc w:val="left"/>
        <w:rPr>
          <w:highlight w:val="green"/>
          <w:lang w:val="en-US"/>
        </w:rPr>
      </w:pPr>
      <w:r w:rsidRPr="00CB339E">
        <w:rPr>
          <w:rStyle w:val="EndnoteReference"/>
        </w:rPr>
        <w:endnoteRef/>
      </w:r>
      <w:r w:rsidRPr="00CB339E">
        <w:t xml:space="preserve"> National Institute for Health and Care Excellence (2016). </w:t>
      </w:r>
      <w:r w:rsidRPr="00CB339E">
        <w:rPr>
          <w:i/>
          <w:iCs/>
        </w:rPr>
        <w:t>Mental health problems in people with learning disabilities: Prevention, assessment and management</w:t>
      </w:r>
      <w:r w:rsidR="00C47C02" w:rsidRPr="00CB339E">
        <w:t xml:space="preserve">. Available at: </w:t>
      </w:r>
      <w:hyperlink r:id="rId19" w:history="1">
        <w:r w:rsidR="00CB339E" w:rsidRPr="00CB339E">
          <w:rPr>
            <w:rStyle w:val="Hyperlink"/>
          </w:rPr>
          <w:t>https://www.nice.org.uk/guidance/ng54</w:t>
        </w:r>
      </w:hyperlink>
      <w:r w:rsidR="00CB339E" w:rsidRPr="00CB339E">
        <w:t xml:space="preserve"> </w:t>
      </w:r>
    </w:p>
  </w:endnote>
  <w:endnote w:id="20">
    <w:p w14:paraId="2A55FEC6" w14:textId="54265B41" w:rsidR="004E04E1" w:rsidRPr="00053374" w:rsidRDefault="004E04E1" w:rsidP="004C3828">
      <w:pPr>
        <w:pStyle w:val="EndnoteText"/>
        <w:jc w:val="left"/>
        <w:rPr>
          <w:highlight w:val="green"/>
        </w:rPr>
      </w:pPr>
      <w:r w:rsidRPr="00777EB1">
        <w:rPr>
          <w:rStyle w:val="EndnoteReference"/>
        </w:rPr>
        <w:endnoteRef/>
      </w:r>
      <w:r w:rsidRPr="00777EB1">
        <w:t xml:space="preserve"> </w:t>
      </w:r>
      <w:r w:rsidR="00AF0B09" w:rsidRPr="00777EB1">
        <w:t>Tower Hamlets Council</w:t>
      </w:r>
      <w:r w:rsidR="00BC41FA" w:rsidRPr="00777EB1">
        <w:t xml:space="preserve"> </w:t>
      </w:r>
      <w:r w:rsidR="00D114B6" w:rsidRPr="00777EB1">
        <w:t>(2023).</w:t>
      </w:r>
      <w:r w:rsidR="00BC41FA" w:rsidRPr="00777EB1">
        <w:t xml:space="preserve"> </w:t>
      </w:r>
      <w:r w:rsidR="004A4866" w:rsidRPr="00777EB1">
        <w:rPr>
          <w:i/>
          <w:iCs/>
        </w:rPr>
        <w:t>TH_</w:t>
      </w:r>
      <w:r w:rsidR="002C49E5" w:rsidRPr="00777EB1">
        <w:rPr>
          <w:i/>
          <w:iCs/>
        </w:rPr>
        <w:t>I</w:t>
      </w:r>
      <w:r w:rsidR="004A4866" w:rsidRPr="00777EB1">
        <w:rPr>
          <w:i/>
          <w:iCs/>
        </w:rPr>
        <w:t>S A</w:t>
      </w:r>
      <w:r w:rsidR="002C49E5" w:rsidRPr="00777EB1">
        <w:rPr>
          <w:i/>
          <w:iCs/>
        </w:rPr>
        <w:t>cc</w:t>
      </w:r>
      <w:r w:rsidR="00777EB1" w:rsidRPr="00777EB1">
        <w:rPr>
          <w:i/>
          <w:iCs/>
        </w:rPr>
        <w:t>elerate: The Tower Hamlets Children and Families Partnership Strategy 2024-2029</w:t>
      </w:r>
      <w:r w:rsidR="00777EB1" w:rsidRPr="00777EB1">
        <w:t xml:space="preserve">. Available at: </w:t>
      </w:r>
      <w:hyperlink r:id="rId20" w:history="1">
        <w:r w:rsidR="00777EB1" w:rsidRPr="00777EB1">
          <w:rPr>
            <w:rStyle w:val="Hyperlink"/>
          </w:rPr>
          <w:t>https://democracy.towerhamlets.gov.uk/documents/s226619/Appendix.%201%20for%20Children%20and%20Families%20Strategy%202023-2028.pdf</w:t>
        </w:r>
      </w:hyperlink>
      <w:r w:rsidRPr="00777EB1">
        <w:t xml:space="preserve"> </w:t>
      </w:r>
    </w:p>
  </w:endnote>
  <w:endnote w:id="21">
    <w:p w14:paraId="208C7B19" w14:textId="408C6E88" w:rsidR="004E04E1" w:rsidRPr="00053374" w:rsidRDefault="004E04E1" w:rsidP="004C3828">
      <w:pPr>
        <w:pStyle w:val="EndnoteText"/>
        <w:jc w:val="left"/>
        <w:rPr>
          <w:highlight w:val="green"/>
        </w:rPr>
      </w:pPr>
      <w:r w:rsidRPr="0021087F">
        <w:rPr>
          <w:rStyle w:val="EndnoteReference"/>
        </w:rPr>
        <w:endnoteRef/>
      </w:r>
      <w:r w:rsidRPr="0021087F">
        <w:t xml:space="preserve"> </w:t>
      </w:r>
      <w:r w:rsidR="00931EEB" w:rsidRPr="0021087F">
        <w:t>Tower Hamlets Council (</w:t>
      </w:r>
      <w:r w:rsidR="0021087F" w:rsidRPr="0021087F">
        <w:t>2022</w:t>
      </w:r>
      <w:r w:rsidR="000C2C69" w:rsidRPr="0021087F">
        <w:t xml:space="preserve">). </w:t>
      </w:r>
      <w:r w:rsidR="000C2C69" w:rsidRPr="0021087F">
        <w:rPr>
          <w:i/>
          <w:iCs/>
        </w:rPr>
        <w:t>Tower Hamlets Early Help Strategy 2023-2025</w:t>
      </w:r>
      <w:r w:rsidR="000C2C69" w:rsidRPr="0021087F">
        <w:t>.</w:t>
      </w:r>
      <w:r w:rsidRPr="0021087F">
        <w:t xml:space="preserve"> </w:t>
      </w:r>
      <w:r w:rsidR="00AA6F78">
        <w:t xml:space="preserve">Available at: </w:t>
      </w:r>
      <w:hyperlink r:id="rId21" w:history="1">
        <w:r w:rsidR="00AA6F78" w:rsidRPr="00520CC3">
          <w:rPr>
            <w:rStyle w:val="Hyperlink"/>
          </w:rPr>
          <w:t>https://www.towerhamlets.gov.uk/Documents/Children-and-families-services/Early_help/TH-Early-Help-Strategy.pdf</w:t>
        </w:r>
      </w:hyperlink>
      <w:r w:rsidR="00AA6F78">
        <w:t xml:space="preserve"> </w:t>
      </w:r>
    </w:p>
  </w:endnote>
  <w:endnote w:id="22">
    <w:p w14:paraId="559DE3E4" w14:textId="229B72B6" w:rsidR="004E04E1" w:rsidRPr="00053374" w:rsidRDefault="004E04E1" w:rsidP="004C3828">
      <w:pPr>
        <w:pStyle w:val="EndnoteText"/>
        <w:jc w:val="left"/>
        <w:rPr>
          <w:highlight w:val="green"/>
        </w:rPr>
      </w:pPr>
      <w:r w:rsidRPr="00AA6F78">
        <w:rPr>
          <w:rStyle w:val="EndnoteReference"/>
        </w:rPr>
        <w:endnoteRef/>
      </w:r>
      <w:r w:rsidRPr="00AA6F78">
        <w:t xml:space="preserve"> </w:t>
      </w:r>
      <w:r w:rsidR="00C31459" w:rsidRPr="00AA6F78">
        <w:t xml:space="preserve">Tower Hamlets Health and Wellbeing Board (2021). </w:t>
      </w:r>
      <w:r w:rsidR="00C31459" w:rsidRPr="00AA6F78">
        <w:rPr>
          <w:i/>
          <w:iCs/>
        </w:rPr>
        <w:t>Tower Hamlets Health and Wellbeing Strategy 2021-2025</w:t>
      </w:r>
      <w:r w:rsidR="00C31459" w:rsidRPr="00AA6F78">
        <w:t>.</w:t>
      </w:r>
      <w:r w:rsidRPr="00AA6F78">
        <w:t xml:space="preserve"> </w:t>
      </w:r>
      <w:r w:rsidR="00AA6F78" w:rsidRPr="00AA6F78">
        <w:t>Available at:</w:t>
      </w:r>
      <w:r w:rsidR="00C31459" w:rsidRPr="00AA6F78">
        <w:t xml:space="preserve"> </w:t>
      </w:r>
      <w:hyperlink r:id="rId22" w:history="1">
        <w:r w:rsidR="00AA6F78" w:rsidRPr="00AA6F78">
          <w:rPr>
            <w:rStyle w:val="Hyperlink"/>
          </w:rPr>
          <w:t>https://democracy.towerhamlets.gov.uk/mgConvert2PDF.aspx?ID=191599</w:t>
        </w:r>
      </w:hyperlink>
      <w:r w:rsidR="00AA6F78" w:rsidRPr="00AA6F78">
        <w:t xml:space="preserve"> </w:t>
      </w:r>
    </w:p>
  </w:endnote>
  <w:endnote w:id="23">
    <w:p w14:paraId="71C17572" w14:textId="3154F082" w:rsidR="004E04E1" w:rsidRPr="00053374" w:rsidRDefault="004E04E1" w:rsidP="004C3828">
      <w:pPr>
        <w:pStyle w:val="EndnoteText"/>
        <w:jc w:val="left"/>
        <w:rPr>
          <w:highlight w:val="green"/>
          <w:lang w:val="en-US"/>
        </w:rPr>
      </w:pPr>
      <w:r w:rsidRPr="00B02D06">
        <w:rPr>
          <w:rStyle w:val="EndnoteReference"/>
        </w:rPr>
        <w:endnoteRef/>
      </w:r>
      <w:r w:rsidRPr="00B02D06">
        <w:t xml:space="preserve"> </w:t>
      </w:r>
      <w:r w:rsidRPr="00B02D06">
        <w:rPr>
          <w:lang w:val="en-US"/>
        </w:rPr>
        <w:t>Tower Hamlets and City of London Youth Justic</w:t>
      </w:r>
      <w:r w:rsidR="000D5F98" w:rsidRPr="00B02D06">
        <w:rPr>
          <w:lang w:val="en-US"/>
        </w:rPr>
        <w:t>e</w:t>
      </w:r>
      <w:r w:rsidRPr="00B02D06">
        <w:rPr>
          <w:lang w:val="en-US"/>
        </w:rPr>
        <w:t xml:space="preserve"> Service</w:t>
      </w:r>
      <w:r w:rsidR="00AF7F14">
        <w:rPr>
          <w:lang w:val="en-US"/>
        </w:rPr>
        <w:t xml:space="preserve"> (2023).</w:t>
      </w:r>
      <w:r w:rsidRPr="00B02D06">
        <w:rPr>
          <w:lang w:val="en-US"/>
        </w:rPr>
        <w:t xml:space="preserve"> </w:t>
      </w:r>
      <w:r w:rsidRPr="00AF7F14">
        <w:rPr>
          <w:i/>
          <w:iCs/>
          <w:lang w:val="en-US"/>
        </w:rPr>
        <w:t>Strategic Plan 2023-2025</w:t>
      </w:r>
      <w:r w:rsidRPr="00B02D06">
        <w:rPr>
          <w:lang w:val="en-US"/>
        </w:rPr>
        <w:t xml:space="preserve">. Available </w:t>
      </w:r>
      <w:r w:rsidR="00B02D06" w:rsidRPr="00B02D06">
        <w:rPr>
          <w:lang w:val="en-US"/>
        </w:rPr>
        <w:t>at</w:t>
      </w:r>
      <w:r w:rsidRPr="00B02D06">
        <w:rPr>
          <w:lang w:val="en-US"/>
        </w:rPr>
        <w:t xml:space="preserve">: </w:t>
      </w:r>
      <w:hyperlink r:id="rId23" w:history="1">
        <w:r w:rsidR="00B02D06" w:rsidRPr="00B02D06">
          <w:rPr>
            <w:rStyle w:val="Hyperlink"/>
          </w:rPr>
          <w:t>https://democracy.towerhamlets.gov.uk/documents/s229070/9.1b%20Appendix%20Youth%20Justice%20Strategic%20Plan%202023-2025.pdf</w:t>
        </w:r>
      </w:hyperlink>
      <w:r w:rsidR="00B02D06" w:rsidRPr="00B02D06">
        <w:t xml:space="preserve"> </w:t>
      </w:r>
    </w:p>
  </w:endnote>
  <w:endnote w:id="24">
    <w:p w14:paraId="64C50F9B" w14:textId="71D2C311" w:rsidR="004E04E1" w:rsidRPr="00053374" w:rsidRDefault="004E04E1" w:rsidP="004C3828">
      <w:pPr>
        <w:pStyle w:val="EndnoteText"/>
        <w:jc w:val="left"/>
        <w:rPr>
          <w:highlight w:val="green"/>
          <w:lang w:val="en-US"/>
        </w:rPr>
      </w:pPr>
      <w:r w:rsidRPr="005109BF">
        <w:rPr>
          <w:rStyle w:val="EndnoteReference"/>
        </w:rPr>
        <w:endnoteRef/>
      </w:r>
      <w:r w:rsidRPr="005109BF">
        <w:rPr>
          <w:lang w:val="en-US"/>
        </w:rPr>
        <w:t xml:space="preserve"> </w:t>
      </w:r>
      <w:r w:rsidR="008D0E07" w:rsidRPr="005109BF">
        <w:rPr>
          <w:lang w:val="en-US"/>
        </w:rPr>
        <w:t xml:space="preserve">Family Information Service (2025). </w:t>
      </w:r>
      <w:r w:rsidR="008D0E07" w:rsidRPr="005109BF">
        <w:rPr>
          <w:i/>
          <w:iCs/>
          <w:lang w:val="en-US"/>
        </w:rPr>
        <w:t>Local</w:t>
      </w:r>
      <w:r w:rsidR="008D0E07" w:rsidRPr="005109BF">
        <w:rPr>
          <w:lang w:val="en-US"/>
        </w:rPr>
        <w:t xml:space="preserve"> </w:t>
      </w:r>
      <w:r w:rsidR="008D0E07" w:rsidRPr="005109BF">
        <w:rPr>
          <w:i/>
          <w:iCs/>
          <w:lang w:val="en-US"/>
        </w:rPr>
        <w:t>Offer</w:t>
      </w:r>
      <w:r w:rsidR="008D0E07" w:rsidRPr="005109BF">
        <w:rPr>
          <w:lang w:val="en-US"/>
        </w:rPr>
        <w:t>.</w:t>
      </w:r>
      <w:r w:rsidRPr="005109BF">
        <w:rPr>
          <w:lang w:val="en-US"/>
        </w:rPr>
        <w:t xml:space="preserve"> </w:t>
      </w:r>
      <w:r w:rsidR="00C26FB0" w:rsidRPr="005109BF">
        <w:rPr>
          <w:lang w:val="en-US"/>
        </w:rPr>
        <w:t xml:space="preserve">Available at: </w:t>
      </w:r>
      <w:hyperlink r:id="rId24" w:history="1">
        <w:r w:rsidR="00C26FB0" w:rsidRPr="005109BF">
          <w:rPr>
            <w:rStyle w:val="Hyperlink"/>
            <w:lang w:val="en-US"/>
          </w:rPr>
          <w:t>https://www.localoffertowerhamlets.co.uk/</w:t>
        </w:r>
      </w:hyperlink>
      <w:r w:rsidRPr="005109BF">
        <w:rPr>
          <w:lang w:val="en-US"/>
        </w:rPr>
        <w:t xml:space="preserve"> </w:t>
      </w:r>
    </w:p>
  </w:endnote>
  <w:endnote w:id="25">
    <w:p w14:paraId="164EF71B" w14:textId="73B009B7" w:rsidR="004E04E1" w:rsidRPr="007D7FC1" w:rsidRDefault="004E04E1" w:rsidP="004C3828">
      <w:pPr>
        <w:pStyle w:val="EndnoteText"/>
        <w:jc w:val="left"/>
        <w:rPr>
          <w:lang w:val="en-US"/>
        </w:rPr>
      </w:pPr>
      <w:r w:rsidRPr="007D7FC1">
        <w:rPr>
          <w:rStyle w:val="EndnoteReference"/>
        </w:rPr>
        <w:endnoteRef/>
      </w:r>
      <w:r w:rsidRPr="007D7FC1">
        <w:t xml:space="preserve"> Daniel, J</w:t>
      </w:r>
      <w:r w:rsidR="009650DB" w:rsidRPr="007D7FC1">
        <w:t>. and</w:t>
      </w:r>
      <w:r w:rsidRPr="007D7FC1">
        <w:t xml:space="preserve"> Wang, H. (2023</w:t>
      </w:r>
      <w:r w:rsidR="009650DB" w:rsidRPr="007D7FC1">
        <w:t>)</w:t>
      </w:r>
      <w:r w:rsidR="003E4B93">
        <w:t>.</w:t>
      </w:r>
      <w:r w:rsidR="009650DB" w:rsidRPr="007D7FC1">
        <w:t xml:space="preserve"> </w:t>
      </w:r>
      <w:r w:rsidR="006F0CF1" w:rsidRPr="007D7FC1">
        <w:t>‘</w:t>
      </w:r>
      <w:r w:rsidRPr="007D7FC1">
        <w:t xml:space="preserve">Gender differences in special </w:t>
      </w:r>
      <w:r w:rsidR="009650DB" w:rsidRPr="007D7FC1">
        <w:t>educational</w:t>
      </w:r>
      <w:r w:rsidRPr="007D7FC1">
        <w:t xml:space="preserve"> needs </w:t>
      </w:r>
      <w:r w:rsidR="009650DB" w:rsidRPr="007D7FC1">
        <w:t>identification</w:t>
      </w:r>
      <w:r w:rsidR="006F0CF1" w:rsidRPr="007D7FC1">
        <w:t>’,</w:t>
      </w:r>
      <w:r w:rsidR="009650DB" w:rsidRPr="007D7FC1">
        <w:t> </w:t>
      </w:r>
      <w:r w:rsidRPr="007D7FC1">
        <w:rPr>
          <w:i/>
          <w:iCs/>
        </w:rPr>
        <w:t>Review of Education</w:t>
      </w:r>
      <w:r w:rsidR="009650DB" w:rsidRPr="007D7FC1">
        <w:t>, 11(3), p.e3437.</w:t>
      </w:r>
      <w:r w:rsidR="00DF664C" w:rsidRPr="007D7FC1">
        <w:t xml:space="preserve"> </w:t>
      </w:r>
      <w:r w:rsidR="003E4B93">
        <w:t>doi</w:t>
      </w:r>
      <w:r w:rsidR="00DF664C" w:rsidRPr="007D7FC1">
        <w:t xml:space="preserve">: </w:t>
      </w:r>
      <w:hyperlink r:id="rId25" w:history="1">
        <w:r w:rsidR="007D7FC1" w:rsidRPr="007D7FC1">
          <w:rPr>
            <w:rStyle w:val="Hyperlink"/>
          </w:rPr>
          <w:t>https://doi.org/10.1002/rev3.3437</w:t>
        </w:r>
      </w:hyperlink>
    </w:p>
  </w:endnote>
  <w:endnote w:id="26">
    <w:p w14:paraId="3EFD5840" w14:textId="244E65C3" w:rsidR="004E04E1" w:rsidRPr="00053374" w:rsidRDefault="004E04E1" w:rsidP="004C3828">
      <w:pPr>
        <w:pStyle w:val="EndnoteText"/>
        <w:jc w:val="left"/>
        <w:rPr>
          <w:highlight w:val="green"/>
          <w:lang w:val="en-US"/>
        </w:rPr>
      </w:pPr>
      <w:r w:rsidRPr="00063B17">
        <w:rPr>
          <w:vertAlign w:val="superscript"/>
        </w:rPr>
        <w:endnoteRef/>
      </w:r>
      <w:r w:rsidRPr="00063B17">
        <w:rPr>
          <w:vertAlign w:val="superscript"/>
        </w:rPr>
        <w:t xml:space="preserve"> </w:t>
      </w:r>
      <w:r w:rsidRPr="00063B17">
        <w:t>Strand, S</w:t>
      </w:r>
      <w:r w:rsidR="00D256A5" w:rsidRPr="00063B17">
        <w:t>. and</w:t>
      </w:r>
      <w:r w:rsidRPr="00063B17">
        <w:t xml:space="preserve"> Lindorff, A. (2018</w:t>
      </w:r>
      <w:r w:rsidR="00D256A5" w:rsidRPr="00063B17">
        <w:t>)</w:t>
      </w:r>
      <w:r w:rsidR="00FA5C76" w:rsidRPr="00063B17">
        <w:t xml:space="preserve">. </w:t>
      </w:r>
      <w:r w:rsidRPr="00063B17">
        <w:rPr>
          <w:i/>
          <w:iCs/>
        </w:rPr>
        <w:t xml:space="preserve">Ethnic disproportionality in the identification of Special </w:t>
      </w:r>
      <w:r w:rsidR="00D256A5" w:rsidRPr="00063B17">
        <w:rPr>
          <w:i/>
          <w:iCs/>
        </w:rPr>
        <w:t>Educational</w:t>
      </w:r>
      <w:r w:rsidRPr="00063B17">
        <w:rPr>
          <w:i/>
          <w:iCs/>
        </w:rPr>
        <w:t xml:space="preserve"> Needs (SEN) in England: Extent, causes and </w:t>
      </w:r>
      <w:r w:rsidR="00D256A5" w:rsidRPr="00063B17">
        <w:rPr>
          <w:i/>
          <w:iCs/>
        </w:rPr>
        <w:t>consequences</w:t>
      </w:r>
      <w:r w:rsidR="00FA5C76" w:rsidRPr="00063B17">
        <w:t>.</w:t>
      </w:r>
      <w:r w:rsidR="00D256A5" w:rsidRPr="00063B17">
        <w:t xml:space="preserve"> </w:t>
      </w:r>
      <w:r w:rsidR="0063483A" w:rsidRPr="00063B17">
        <w:t>Available at:</w:t>
      </w:r>
      <w:r w:rsidR="00D00B0A" w:rsidRPr="00063B17">
        <w:t xml:space="preserve"> </w:t>
      </w:r>
      <w:hyperlink r:id="rId26" w:history="1">
        <w:r w:rsidR="00063B17" w:rsidRPr="00063B17">
          <w:rPr>
            <w:rStyle w:val="Hyperlink"/>
          </w:rPr>
          <w:t>https://ora.ox.ac.uk/objects/uuid:a28b7858-994a-4474-9c4b-6962d1f6da41/files/maea51f1ea29cde0e36c13a9e2a9dd838</w:t>
        </w:r>
      </w:hyperlink>
      <w:r w:rsidR="00063B17" w:rsidRPr="00063B17">
        <w:t xml:space="preserve"> </w:t>
      </w:r>
    </w:p>
  </w:endnote>
  <w:endnote w:id="27">
    <w:p w14:paraId="0F20F9B6" w14:textId="4E08FEF0" w:rsidR="004E04E1" w:rsidRPr="00053374" w:rsidRDefault="004E04E1" w:rsidP="004C3828">
      <w:pPr>
        <w:pStyle w:val="EndnoteText"/>
        <w:jc w:val="left"/>
        <w:rPr>
          <w:highlight w:val="green"/>
          <w:lang w:val="en-US"/>
        </w:rPr>
      </w:pPr>
      <w:r w:rsidRPr="00A27B72">
        <w:rPr>
          <w:rStyle w:val="EndnoteReference"/>
        </w:rPr>
        <w:endnoteRef/>
      </w:r>
      <w:r w:rsidR="00606262" w:rsidRPr="00A27B72">
        <w:t xml:space="preserve"> Trust for London (</w:t>
      </w:r>
      <w:r w:rsidR="00E9220C" w:rsidRPr="00A27B72">
        <w:t xml:space="preserve">2025). </w:t>
      </w:r>
      <w:r w:rsidR="00A27B72" w:rsidRPr="00A27B72">
        <w:rPr>
          <w:i/>
          <w:iCs/>
        </w:rPr>
        <w:t>London's Poverty Profile</w:t>
      </w:r>
      <w:r w:rsidR="00A27B72" w:rsidRPr="00A27B72">
        <w:t xml:space="preserve">. Available at: </w:t>
      </w:r>
      <w:r w:rsidRPr="00A27B72">
        <w:t xml:space="preserve"> </w:t>
      </w:r>
      <w:hyperlink r:id="rId27" w:history="1">
        <w:r w:rsidRPr="00A27B72">
          <w:rPr>
            <w:rStyle w:val="Hyperlink"/>
          </w:rPr>
          <w:t>https://trustforlondon.org.uk/data/</w:t>
        </w:r>
      </w:hyperlink>
      <w:r w:rsidRPr="00A27B72">
        <w:t xml:space="preserve"> </w:t>
      </w:r>
    </w:p>
  </w:endnote>
  <w:endnote w:id="28">
    <w:p w14:paraId="4A5134E0" w14:textId="6FCAD47B" w:rsidR="004E04E1" w:rsidRPr="00053374" w:rsidRDefault="004E04E1" w:rsidP="004C3828">
      <w:pPr>
        <w:pStyle w:val="EndnoteText"/>
        <w:jc w:val="left"/>
        <w:rPr>
          <w:highlight w:val="green"/>
          <w:lang w:val="en-US"/>
        </w:rPr>
      </w:pPr>
      <w:r w:rsidRPr="00252BEE">
        <w:rPr>
          <w:rStyle w:val="EndnoteReference"/>
        </w:rPr>
        <w:endnoteRef/>
      </w:r>
      <w:r w:rsidRPr="00252BEE">
        <w:rPr>
          <w:lang w:val="en-US"/>
        </w:rPr>
        <w:t xml:space="preserve">Trust for London (2025). </w:t>
      </w:r>
      <w:r w:rsidRPr="00252BEE">
        <w:rPr>
          <w:i/>
          <w:iCs/>
          <w:lang w:val="en-US"/>
        </w:rPr>
        <w:t xml:space="preserve">The latest data on London borough-level poverty. </w:t>
      </w:r>
      <w:r w:rsidRPr="00252BEE">
        <w:rPr>
          <w:lang w:val="en-US"/>
        </w:rPr>
        <w:t xml:space="preserve">Available </w:t>
      </w:r>
      <w:r w:rsidR="00EF355D" w:rsidRPr="00252BEE">
        <w:rPr>
          <w:lang w:val="en-US"/>
        </w:rPr>
        <w:t>at</w:t>
      </w:r>
      <w:r w:rsidRPr="00252BEE">
        <w:rPr>
          <w:lang w:val="en-US"/>
        </w:rPr>
        <w:t xml:space="preserve">: </w:t>
      </w:r>
      <w:hyperlink r:id="rId28" w:history="1">
        <w:r w:rsidR="00252BEE" w:rsidRPr="00252BEE">
          <w:rPr>
            <w:rStyle w:val="Hyperlink"/>
          </w:rPr>
          <w:t>https://trustforlondon.org.uk/</w:t>
        </w:r>
      </w:hyperlink>
      <w:r w:rsidR="00252BEE" w:rsidRPr="00252BEE">
        <w:t xml:space="preserve"> </w:t>
      </w:r>
    </w:p>
  </w:endnote>
  <w:endnote w:id="29">
    <w:p w14:paraId="3780D614" w14:textId="096058DD" w:rsidR="005C70DF" w:rsidRPr="00053374" w:rsidRDefault="005C70DF" w:rsidP="004C3828">
      <w:pPr>
        <w:pStyle w:val="EndnoteText"/>
        <w:jc w:val="left"/>
        <w:rPr>
          <w:highlight w:val="green"/>
          <w:lang w:val="en-US"/>
        </w:rPr>
      </w:pPr>
      <w:r w:rsidRPr="00BD1581">
        <w:rPr>
          <w:rStyle w:val="EndnoteReference"/>
        </w:rPr>
        <w:endnoteRef/>
      </w:r>
      <w:r w:rsidRPr="00BD1581">
        <w:t xml:space="preserve"> </w:t>
      </w:r>
      <w:r w:rsidRPr="00BD1581">
        <w:rPr>
          <w:lang w:val="en-US"/>
        </w:rPr>
        <w:t xml:space="preserve">Office for Health Improvement and Disparities (2023). </w:t>
      </w:r>
      <w:r w:rsidRPr="00BD1581">
        <w:rPr>
          <w:i/>
          <w:iCs/>
          <w:lang w:val="en-US"/>
        </w:rPr>
        <w:t xml:space="preserve">Healthy child programme: resources to help keep children healthy and well from preconception to adulthood. </w:t>
      </w:r>
      <w:r w:rsidRPr="00BD1581">
        <w:rPr>
          <w:lang w:val="en-US"/>
        </w:rPr>
        <w:t xml:space="preserve">Available </w:t>
      </w:r>
      <w:r w:rsidR="004A0B08" w:rsidRPr="00BD1581">
        <w:rPr>
          <w:lang w:val="en-US"/>
        </w:rPr>
        <w:t>at</w:t>
      </w:r>
      <w:r w:rsidRPr="00BD1581">
        <w:rPr>
          <w:lang w:val="en-US"/>
        </w:rPr>
        <w:t>:</w:t>
      </w:r>
      <w:r w:rsidRPr="00BD1581">
        <w:rPr>
          <w:sz w:val="22"/>
          <w:szCs w:val="24"/>
        </w:rPr>
        <w:t xml:space="preserve"> </w:t>
      </w:r>
      <w:hyperlink r:id="rId29" w:history="1">
        <w:r w:rsidR="00BD1581" w:rsidRPr="00BD1581">
          <w:rPr>
            <w:rStyle w:val="Hyperlink"/>
          </w:rPr>
          <w:t>https://www.gov.uk/government/collections/healthy-child-programme</w:t>
        </w:r>
      </w:hyperlink>
      <w:r w:rsidR="00BD1581" w:rsidRPr="00BD1581">
        <w:t xml:space="preserve"> </w:t>
      </w:r>
    </w:p>
  </w:endnote>
  <w:endnote w:id="30">
    <w:p w14:paraId="481C40D1" w14:textId="4371A8FE" w:rsidR="004E04E1" w:rsidRPr="00053374" w:rsidRDefault="004E04E1" w:rsidP="004C3828">
      <w:pPr>
        <w:pStyle w:val="EndnoteText"/>
        <w:jc w:val="left"/>
        <w:rPr>
          <w:highlight w:val="green"/>
        </w:rPr>
      </w:pPr>
      <w:r w:rsidRPr="00001B53">
        <w:rPr>
          <w:rStyle w:val="EndnoteReference"/>
        </w:rPr>
        <w:endnoteRef/>
      </w:r>
      <w:r w:rsidRPr="00001B53">
        <w:t xml:space="preserve"> Shaw, B., Bernardes, E., Trethewey, A., &amp; Menzies, L. (2016)</w:t>
      </w:r>
      <w:r w:rsidR="003E4B93">
        <w:t>.</w:t>
      </w:r>
      <w:r w:rsidRPr="00001B53">
        <w:t xml:space="preserve"> </w:t>
      </w:r>
      <w:r w:rsidR="00001B53" w:rsidRPr="00001B53">
        <w:t>‘</w:t>
      </w:r>
      <w:r w:rsidRPr="00001B53">
        <w:t>Special educational needs and their links to poverty</w:t>
      </w:r>
      <w:r w:rsidR="00001B53" w:rsidRPr="00001B53">
        <w:t>’,</w:t>
      </w:r>
      <w:r w:rsidRPr="00001B53">
        <w:t xml:space="preserve"> </w:t>
      </w:r>
      <w:r w:rsidRPr="00001B53">
        <w:rPr>
          <w:i/>
          <w:iCs/>
        </w:rPr>
        <w:t>Joseph Rowntree Foundation</w:t>
      </w:r>
      <w:r w:rsidRPr="00001B53">
        <w:t>.</w:t>
      </w:r>
    </w:p>
  </w:endnote>
  <w:endnote w:id="31">
    <w:p w14:paraId="183DB7F9" w14:textId="6D4A4F86" w:rsidR="005C70DF" w:rsidRPr="007C0793" w:rsidRDefault="005C70DF" w:rsidP="004C3828">
      <w:pPr>
        <w:pStyle w:val="EndnoteText"/>
        <w:jc w:val="left"/>
        <w:rPr>
          <w:lang w:val="en-US"/>
        </w:rPr>
      </w:pPr>
      <w:r w:rsidRPr="007C0793">
        <w:rPr>
          <w:rStyle w:val="EndnoteReference"/>
        </w:rPr>
        <w:endnoteRef/>
      </w:r>
      <w:r w:rsidRPr="007C0793">
        <w:t xml:space="preserve"> </w:t>
      </w:r>
      <w:r w:rsidRPr="007C0793">
        <w:rPr>
          <w:i/>
          <w:iCs/>
          <w:lang w:val="en-US"/>
        </w:rPr>
        <w:t>Education Act 2002</w:t>
      </w:r>
      <w:r w:rsidRPr="007C0793">
        <w:rPr>
          <w:lang w:val="en-US"/>
        </w:rPr>
        <w:t>. Available</w:t>
      </w:r>
      <w:r w:rsidR="00996853" w:rsidRPr="007C0793">
        <w:rPr>
          <w:lang w:val="en-US"/>
        </w:rPr>
        <w:t xml:space="preserve"> at</w:t>
      </w:r>
      <w:r w:rsidRPr="007C0793">
        <w:rPr>
          <w:lang w:val="en-US"/>
        </w:rPr>
        <w:t xml:space="preserve">: </w:t>
      </w:r>
      <w:hyperlink r:id="rId30" w:history="1">
        <w:r w:rsidR="007C0793" w:rsidRPr="007C0793">
          <w:rPr>
            <w:rStyle w:val="Hyperlink"/>
            <w:lang w:val="en-US"/>
          </w:rPr>
          <w:t>https://www.legislation.gov.uk/ukpga/2002/32/section/175</w:t>
        </w:r>
      </w:hyperlink>
      <w:r w:rsidR="007C0793" w:rsidRPr="007C0793">
        <w:rPr>
          <w:lang w:val="en-US"/>
        </w:rPr>
        <w:t xml:space="preserve"> </w:t>
      </w:r>
    </w:p>
  </w:endnote>
  <w:endnote w:id="32">
    <w:p w14:paraId="64B11D93" w14:textId="555D09B5" w:rsidR="005C70DF" w:rsidRPr="00053374" w:rsidRDefault="005C70DF" w:rsidP="004C3828">
      <w:pPr>
        <w:pStyle w:val="EndnoteText"/>
        <w:jc w:val="left"/>
        <w:rPr>
          <w:highlight w:val="green"/>
          <w:lang w:val="en-US"/>
        </w:rPr>
      </w:pPr>
      <w:r w:rsidRPr="00A57B29">
        <w:rPr>
          <w:rStyle w:val="EndnoteReference"/>
        </w:rPr>
        <w:endnoteRef/>
      </w:r>
      <w:r w:rsidRPr="00A57B29">
        <w:t xml:space="preserve"> </w:t>
      </w:r>
      <w:r w:rsidR="00392674" w:rsidRPr="00A57B29">
        <w:t xml:space="preserve">Department for Education </w:t>
      </w:r>
      <w:r w:rsidRPr="00A57B29">
        <w:rPr>
          <w:lang w:val="en-US"/>
        </w:rPr>
        <w:t>(20</w:t>
      </w:r>
      <w:r w:rsidR="00392674" w:rsidRPr="00A57B29">
        <w:rPr>
          <w:lang w:val="en-US"/>
        </w:rPr>
        <w:t>2</w:t>
      </w:r>
      <w:r w:rsidRPr="00A57B29">
        <w:rPr>
          <w:lang w:val="en-US"/>
        </w:rPr>
        <w:t xml:space="preserve">5). </w:t>
      </w:r>
      <w:r w:rsidRPr="00A57B29">
        <w:rPr>
          <w:i/>
          <w:iCs/>
          <w:lang w:val="en-US"/>
        </w:rPr>
        <w:t xml:space="preserve">Statutory guidance: Keeping children safe in education. </w:t>
      </w:r>
      <w:r w:rsidRPr="00A57B29">
        <w:rPr>
          <w:lang w:val="en-US"/>
        </w:rPr>
        <w:t xml:space="preserve">Available </w:t>
      </w:r>
      <w:r w:rsidR="00A57B29" w:rsidRPr="00A57B29">
        <w:rPr>
          <w:lang w:val="en-US"/>
        </w:rPr>
        <w:t>at</w:t>
      </w:r>
      <w:r w:rsidRPr="00A57B29">
        <w:rPr>
          <w:lang w:val="en-US"/>
        </w:rPr>
        <w:t>:</w:t>
      </w:r>
      <w:r w:rsidR="00A57B29" w:rsidRPr="00A57B29">
        <w:rPr>
          <w:lang w:val="en-US"/>
        </w:rPr>
        <w:t xml:space="preserve"> </w:t>
      </w:r>
      <w:hyperlink r:id="rId31" w:history="1">
        <w:r w:rsidR="00A57B29" w:rsidRPr="00A57B29">
          <w:rPr>
            <w:rStyle w:val="Hyperlink"/>
            <w:lang w:val="en-US"/>
          </w:rPr>
          <w:t>https://www.gov.uk/government/publications/keeping-children-safe-in-education--2</w:t>
        </w:r>
      </w:hyperlink>
      <w:r w:rsidR="00A57B29" w:rsidRPr="00A57B29">
        <w:rPr>
          <w:lang w:val="en-US"/>
        </w:rPr>
        <w:t xml:space="preserve"> </w:t>
      </w:r>
    </w:p>
  </w:endnote>
  <w:endnote w:id="33">
    <w:p w14:paraId="4326C93A" w14:textId="77777777" w:rsidR="00FF193D" w:rsidRPr="00053374" w:rsidRDefault="00FF193D" w:rsidP="00FF193D">
      <w:pPr>
        <w:pStyle w:val="EndnoteText"/>
        <w:jc w:val="left"/>
        <w:rPr>
          <w:highlight w:val="green"/>
          <w:lang w:val="en-US"/>
        </w:rPr>
      </w:pPr>
      <w:r w:rsidRPr="00CD6B50">
        <w:rPr>
          <w:rStyle w:val="EndnoteReference"/>
        </w:rPr>
        <w:endnoteRef/>
      </w:r>
      <w:r w:rsidRPr="00CD6B50">
        <w:t xml:space="preserve"> Department of Education (2025). </w:t>
      </w:r>
      <w:r w:rsidRPr="00CD6B50">
        <w:rPr>
          <w:i/>
          <w:iCs/>
        </w:rPr>
        <w:t xml:space="preserve">Suspensions and permanent exclusions in England. </w:t>
      </w:r>
      <w:r w:rsidRPr="00CD6B50">
        <w:t xml:space="preserve">Available at: </w:t>
      </w:r>
      <w:hyperlink r:id="rId32" w:history="1">
        <w:r w:rsidRPr="00CD6B50">
          <w:rPr>
            <w:rStyle w:val="Hyperlink"/>
          </w:rPr>
          <w:t>https://explore-education-statistics.service.gov.uk/find-statistics/suspensions-and-permanent-exclusions-in-england/2023-24</w:t>
        </w:r>
      </w:hyperlink>
      <w:r w:rsidRPr="00CD6B50">
        <w:t xml:space="preserve"> </w:t>
      </w:r>
    </w:p>
  </w:endnote>
  <w:endnote w:id="34">
    <w:p w14:paraId="72F98DDB" w14:textId="4B8EEC5B" w:rsidR="004E04E1" w:rsidRPr="00053374" w:rsidRDefault="004E04E1" w:rsidP="004C3828">
      <w:pPr>
        <w:pStyle w:val="EndnoteText"/>
        <w:jc w:val="left"/>
        <w:rPr>
          <w:highlight w:val="green"/>
        </w:rPr>
      </w:pPr>
      <w:r w:rsidRPr="00EA2EC7">
        <w:rPr>
          <w:rStyle w:val="EndnoteReference"/>
        </w:rPr>
        <w:endnoteRef/>
      </w:r>
      <w:r w:rsidRPr="00EA2EC7">
        <w:t xml:space="preserve"> Chaste</w:t>
      </w:r>
      <w:r w:rsidR="006400D7" w:rsidRPr="00EA2EC7">
        <w:t>,</w:t>
      </w:r>
      <w:r w:rsidRPr="00EA2EC7">
        <w:t xml:space="preserve"> P</w:t>
      </w:r>
      <w:r w:rsidR="006400D7" w:rsidRPr="00EA2EC7">
        <w:t>. and</w:t>
      </w:r>
      <w:r w:rsidRPr="00EA2EC7">
        <w:t xml:space="preserve"> Leboyer</w:t>
      </w:r>
      <w:r w:rsidR="006400D7" w:rsidRPr="00EA2EC7">
        <w:t>,</w:t>
      </w:r>
      <w:r w:rsidRPr="00EA2EC7">
        <w:t xml:space="preserve"> M. (2012)</w:t>
      </w:r>
      <w:r w:rsidR="005A1A48">
        <w:t>.</w:t>
      </w:r>
      <w:r w:rsidRPr="00EA2EC7">
        <w:t xml:space="preserve"> </w:t>
      </w:r>
      <w:r w:rsidR="006400D7" w:rsidRPr="00EA2EC7">
        <w:t>‘</w:t>
      </w:r>
      <w:r w:rsidRPr="00EA2EC7">
        <w:t xml:space="preserve">Autism risk factors: genes, environment, and gene-environment </w:t>
      </w:r>
      <w:r w:rsidR="006400D7" w:rsidRPr="00EA2EC7">
        <w:t>interactions’, </w:t>
      </w:r>
      <w:r w:rsidRPr="00EA2EC7">
        <w:rPr>
          <w:i/>
          <w:iCs/>
        </w:rPr>
        <w:t xml:space="preserve">Dialogues </w:t>
      </w:r>
      <w:r w:rsidR="006400D7" w:rsidRPr="00EA2EC7">
        <w:rPr>
          <w:i/>
          <w:iCs/>
        </w:rPr>
        <w:t xml:space="preserve">in </w:t>
      </w:r>
      <w:r w:rsidR="005A1A48">
        <w:rPr>
          <w:i/>
          <w:iCs/>
        </w:rPr>
        <w:t>C</w:t>
      </w:r>
      <w:r w:rsidR="006400D7" w:rsidRPr="00EA2EC7">
        <w:rPr>
          <w:i/>
          <w:iCs/>
        </w:rPr>
        <w:t xml:space="preserve">linical </w:t>
      </w:r>
      <w:r w:rsidR="005A1A48">
        <w:rPr>
          <w:i/>
          <w:iCs/>
        </w:rPr>
        <w:t>N</w:t>
      </w:r>
      <w:r w:rsidR="006400D7" w:rsidRPr="00EA2EC7">
        <w:rPr>
          <w:i/>
          <w:iCs/>
        </w:rPr>
        <w:t>euroscience</w:t>
      </w:r>
      <w:r w:rsidR="006400D7" w:rsidRPr="00EA2EC7">
        <w:t>, </w:t>
      </w:r>
      <w:r w:rsidRPr="00EA2EC7">
        <w:t>14</w:t>
      </w:r>
      <w:r w:rsidR="006400D7" w:rsidRPr="00EA2EC7">
        <w:t>(3), pp.</w:t>
      </w:r>
      <w:r w:rsidRPr="00EA2EC7">
        <w:t>281</w:t>
      </w:r>
      <w:r w:rsidR="006400D7" w:rsidRPr="00EA2EC7">
        <w:t>-</w:t>
      </w:r>
      <w:r w:rsidRPr="00EA2EC7">
        <w:t>292.</w:t>
      </w:r>
      <w:r w:rsidR="00EA2EC7" w:rsidRPr="00EA2EC7">
        <w:t xml:space="preserve"> </w:t>
      </w:r>
      <w:r w:rsidR="005A1A48">
        <w:t>doi</w:t>
      </w:r>
      <w:r w:rsidR="00EA2EC7" w:rsidRPr="00EA2EC7">
        <w:t xml:space="preserve">: </w:t>
      </w:r>
      <w:hyperlink r:id="rId33" w:history="1">
        <w:r w:rsidR="00EA2EC7" w:rsidRPr="00EA2EC7">
          <w:rPr>
            <w:rStyle w:val="Hyperlink"/>
          </w:rPr>
          <w:t>https://doi.org/10.31887/DCNS.2012.14.3/pchaste</w:t>
        </w:r>
      </w:hyperlink>
    </w:p>
  </w:endnote>
  <w:endnote w:id="35">
    <w:p w14:paraId="6AC40045" w14:textId="2089505C" w:rsidR="004E04E1" w:rsidRPr="00053374" w:rsidRDefault="004E04E1" w:rsidP="004C3828">
      <w:pPr>
        <w:pStyle w:val="EndnoteText"/>
        <w:jc w:val="left"/>
        <w:rPr>
          <w:highlight w:val="green"/>
        </w:rPr>
      </w:pPr>
      <w:r w:rsidRPr="000B5E9E">
        <w:rPr>
          <w:rStyle w:val="EndnoteReference"/>
        </w:rPr>
        <w:endnoteRef/>
      </w:r>
      <w:r w:rsidRPr="000B5E9E">
        <w:t xml:space="preserve"> </w:t>
      </w:r>
      <w:r w:rsidR="00115264" w:rsidRPr="000B5E9E">
        <w:t>Rylaarsdam, L. and Guemez-Gamboa, A. (2019)</w:t>
      </w:r>
      <w:r w:rsidR="005A1A48">
        <w:t>.</w:t>
      </w:r>
      <w:r w:rsidR="00115264" w:rsidRPr="000B5E9E">
        <w:t xml:space="preserve"> ‘Genetic causes and modifiers of autism spectrum disorder’, </w:t>
      </w:r>
      <w:r w:rsidR="00115264" w:rsidRPr="000B5E9E">
        <w:rPr>
          <w:i/>
          <w:iCs/>
        </w:rPr>
        <w:t>Frontiers in cellular neuroscience</w:t>
      </w:r>
      <w:r w:rsidR="00115264" w:rsidRPr="000B5E9E">
        <w:t xml:space="preserve">, 13, p.470832. </w:t>
      </w:r>
      <w:r w:rsidR="005A1A48">
        <w:t>doi:</w:t>
      </w:r>
      <w:r w:rsidR="00115264" w:rsidRPr="000B5E9E">
        <w:t xml:space="preserve"> </w:t>
      </w:r>
      <w:hyperlink r:id="rId34" w:history="1">
        <w:r w:rsidR="000B5E9E" w:rsidRPr="000B5E9E">
          <w:rPr>
            <w:rStyle w:val="Hyperlink"/>
          </w:rPr>
          <w:t>https://doi.org/10.3389/fncel.2019.00385</w:t>
        </w:r>
      </w:hyperlink>
    </w:p>
  </w:endnote>
  <w:endnote w:id="36">
    <w:p w14:paraId="4FBFFC7E" w14:textId="77777777" w:rsidR="009F1CEF" w:rsidRPr="00053374" w:rsidRDefault="009F1CEF" w:rsidP="009F1CEF">
      <w:pPr>
        <w:pStyle w:val="EndnoteText"/>
        <w:jc w:val="left"/>
        <w:rPr>
          <w:highlight w:val="green"/>
        </w:rPr>
      </w:pPr>
      <w:r w:rsidRPr="003073B9">
        <w:rPr>
          <w:rStyle w:val="EndnoteReference"/>
        </w:rPr>
        <w:endnoteRef/>
      </w:r>
      <w:r w:rsidRPr="003073B9">
        <w:t xml:space="preserve"> Love, C., Sominsky, L., O’Hely, M., Berk, M., Vuillermin, P. and Dawson, S.L. (2024)</w:t>
      </w:r>
      <w:r>
        <w:t>.</w:t>
      </w:r>
      <w:r w:rsidRPr="003073B9">
        <w:t xml:space="preserve"> ‘Prenatal environmental risk factors for autism spectrum disorder and their potential mechanisms’, </w:t>
      </w:r>
      <w:r w:rsidRPr="003073B9">
        <w:rPr>
          <w:i/>
          <w:iCs/>
        </w:rPr>
        <w:t xml:space="preserve">BMC </w:t>
      </w:r>
      <w:r>
        <w:rPr>
          <w:i/>
          <w:iCs/>
        </w:rPr>
        <w:t>M</w:t>
      </w:r>
      <w:r w:rsidRPr="003073B9">
        <w:rPr>
          <w:i/>
          <w:iCs/>
        </w:rPr>
        <w:t>edicine</w:t>
      </w:r>
      <w:r w:rsidRPr="003073B9">
        <w:t xml:space="preserve">, 22(1), p.393. </w:t>
      </w:r>
      <w:r>
        <w:t>doi</w:t>
      </w:r>
      <w:r w:rsidRPr="003073B9">
        <w:t>: https://doi.org/10.1186/s12916-024-03617-3</w:t>
      </w:r>
    </w:p>
  </w:endnote>
  <w:endnote w:id="37">
    <w:p w14:paraId="37AD5710" w14:textId="62AD1566" w:rsidR="004E04E1" w:rsidRPr="00053374" w:rsidRDefault="004E04E1" w:rsidP="004C3828">
      <w:pPr>
        <w:pStyle w:val="EndnoteText"/>
        <w:jc w:val="left"/>
        <w:rPr>
          <w:highlight w:val="green"/>
        </w:rPr>
      </w:pPr>
      <w:r w:rsidRPr="00310E73">
        <w:rPr>
          <w:rStyle w:val="EndnoteReference"/>
        </w:rPr>
        <w:endnoteRef/>
      </w:r>
      <w:r w:rsidRPr="00310E73">
        <w:t xml:space="preserve"> </w:t>
      </w:r>
      <w:r w:rsidR="00DA2B5C" w:rsidRPr="00310E73">
        <w:t>National Institute for Health and Care Excellence</w:t>
      </w:r>
      <w:r w:rsidRPr="00310E73">
        <w:t xml:space="preserve"> (2025). </w:t>
      </w:r>
      <w:r w:rsidRPr="00310E73">
        <w:rPr>
          <w:i/>
          <w:iCs/>
        </w:rPr>
        <w:t>Autism in adults: What are the causes and risk factors?</w:t>
      </w:r>
      <w:r w:rsidRPr="00310E73">
        <w:t xml:space="preserve"> </w:t>
      </w:r>
      <w:r w:rsidR="00310E73" w:rsidRPr="00310E73">
        <w:t>Available at:</w:t>
      </w:r>
      <w:r w:rsidRPr="00310E73">
        <w:t xml:space="preserve"> </w:t>
      </w:r>
      <w:hyperlink r:id="rId35" w:history="1">
        <w:r w:rsidRPr="00310E73">
          <w:rPr>
            <w:rStyle w:val="Hyperlink"/>
          </w:rPr>
          <w:t>https://cks.nice.org.uk/topics/autism-in-adults/background-information/causes-risk-factors/</w:t>
        </w:r>
      </w:hyperlink>
      <w:r w:rsidRPr="00310E73">
        <w:t xml:space="preserve"> </w:t>
      </w:r>
    </w:p>
  </w:endnote>
  <w:endnote w:id="38">
    <w:p w14:paraId="0FF1D543" w14:textId="4C8F3BB0" w:rsidR="004E04E1" w:rsidRPr="00053374" w:rsidRDefault="004E04E1" w:rsidP="004C3828">
      <w:pPr>
        <w:pStyle w:val="EndnoteText"/>
        <w:jc w:val="left"/>
        <w:rPr>
          <w:highlight w:val="green"/>
        </w:rPr>
      </w:pPr>
      <w:r w:rsidRPr="00FE0281">
        <w:rPr>
          <w:rStyle w:val="EndnoteReference"/>
        </w:rPr>
        <w:endnoteRef/>
      </w:r>
      <w:r w:rsidRPr="00FE0281">
        <w:rPr>
          <w:lang w:val="nl-NL"/>
        </w:rPr>
        <w:t xml:space="preserve"> </w:t>
      </w:r>
      <w:r w:rsidR="00E11A37" w:rsidRPr="00476C25">
        <w:rPr>
          <w:lang w:val="nl-NL"/>
        </w:rPr>
        <w:t>de</w:t>
      </w:r>
      <w:r w:rsidRPr="00476C25">
        <w:rPr>
          <w:lang w:val="nl-NL"/>
        </w:rPr>
        <w:t xml:space="preserve"> Leeuw, A.E., Ester, W.A</w:t>
      </w:r>
      <w:r w:rsidR="00E11A37" w:rsidRPr="00476C25">
        <w:rPr>
          <w:lang w:val="nl-NL"/>
        </w:rPr>
        <w:t>.,</w:t>
      </w:r>
      <w:r w:rsidRPr="00476C25">
        <w:rPr>
          <w:lang w:val="nl-NL"/>
        </w:rPr>
        <w:t xml:space="preserve"> Bolhuis, K., Hoek, H.W</w:t>
      </w:r>
      <w:r w:rsidR="00E11A37" w:rsidRPr="00476C25">
        <w:rPr>
          <w:lang w:val="nl-NL"/>
        </w:rPr>
        <w:t>. and</w:t>
      </w:r>
      <w:r w:rsidRPr="00476C25">
        <w:rPr>
          <w:lang w:val="nl-NL"/>
        </w:rPr>
        <w:t xml:space="preserve"> Jansen, P.W. (2025</w:t>
      </w:r>
      <w:r w:rsidR="00983D52" w:rsidRPr="00476C25">
        <w:rPr>
          <w:lang w:val="nl-NL"/>
        </w:rPr>
        <w:t>)</w:t>
      </w:r>
      <w:r w:rsidR="005A1A48" w:rsidRPr="00476C25">
        <w:rPr>
          <w:lang w:val="nl-NL"/>
        </w:rPr>
        <w:t>.</w:t>
      </w:r>
      <w:r w:rsidRPr="00476C25">
        <w:rPr>
          <w:lang w:val="nl-NL"/>
        </w:rPr>
        <w:t xml:space="preserve"> </w:t>
      </w:r>
      <w:r w:rsidR="007813F8" w:rsidRPr="00FE0281">
        <w:t>‘</w:t>
      </w:r>
      <w:r w:rsidRPr="00FE0281">
        <w:t xml:space="preserve">Maternal Migration, Prenatal Stress and Child Autistic Traits: Insights From a Population-Based Cohort </w:t>
      </w:r>
      <w:r w:rsidR="00E11A37" w:rsidRPr="00FE0281">
        <w:t>Study</w:t>
      </w:r>
      <w:r w:rsidR="007813F8" w:rsidRPr="00FE0281">
        <w:t>’,</w:t>
      </w:r>
      <w:r w:rsidR="00E11A37" w:rsidRPr="00FE0281">
        <w:t> </w:t>
      </w:r>
      <w:r w:rsidRPr="00FE0281">
        <w:rPr>
          <w:i/>
          <w:iCs/>
        </w:rPr>
        <w:t>Journal of the American Academy of Child &amp; Adolescent Psychiatry</w:t>
      </w:r>
      <w:r w:rsidRPr="00FE0281">
        <w:t>,</w:t>
      </w:r>
      <w:r w:rsidR="00E11A37" w:rsidRPr="00FE0281">
        <w:t> </w:t>
      </w:r>
      <w:r w:rsidRPr="00FE0281">
        <w:t>64</w:t>
      </w:r>
      <w:r w:rsidR="00E11A37" w:rsidRPr="00FE0281">
        <w:t>(</w:t>
      </w:r>
      <w:r w:rsidRPr="00FE0281">
        <w:t>1</w:t>
      </w:r>
      <w:r w:rsidR="00E11A37" w:rsidRPr="00FE0281">
        <w:t>), pp.</w:t>
      </w:r>
      <w:r w:rsidRPr="00FE0281">
        <w:t>41-52.</w:t>
      </w:r>
      <w:r w:rsidR="000E1A7B" w:rsidRPr="00FE0281">
        <w:t xml:space="preserve"> </w:t>
      </w:r>
      <w:r w:rsidR="00E75E0A">
        <w:t>doi</w:t>
      </w:r>
      <w:r w:rsidR="000E1A7B" w:rsidRPr="00FE0281">
        <w:t xml:space="preserve">: </w:t>
      </w:r>
      <w:r w:rsidR="00057537" w:rsidRPr="00FE0281">
        <w:t>https://doi.org/10.1016/j.jaac.2024.04.004</w:t>
      </w:r>
    </w:p>
  </w:endnote>
  <w:endnote w:id="39">
    <w:p w14:paraId="74369EBF" w14:textId="0FFD10AF" w:rsidR="00A46E7B" w:rsidRPr="00F17CD5" w:rsidRDefault="00A46E7B">
      <w:pPr>
        <w:pStyle w:val="EndnoteText"/>
        <w:rPr>
          <w:lang w:val="en-US"/>
        </w:rPr>
      </w:pPr>
      <w:r>
        <w:rPr>
          <w:rStyle w:val="EndnoteReference"/>
        </w:rPr>
        <w:endnoteRef/>
      </w:r>
      <w:r>
        <w:t xml:space="preserve"> </w:t>
      </w:r>
      <w:r>
        <w:rPr>
          <w:lang w:val="en-US"/>
        </w:rPr>
        <w:t>Tower Hamlets Local Area SEND Self-Assessment (June 2025). Submitted as part of the joint Ofsted and Care Quality Commission (CQC) Area SEND inspection process.</w:t>
      </w:r>
    </w:p>
  </w:endnote>
  <w:endnote w:id="40">
    <w:p w14:paraId="4B8F13A7" w14:textId="4E0A7DD4" w:rsidR="004E04E1" w:rsidRPr="00053374" w:rsidRDefault="004E04E1" w:rsidP="004C3828">
      <w:pPr>
        <w:pStyle w:val="EndnoteText"/>
        <w:jc w:val="left"/>
        <w:rPr>
          <w:highlight w:val="green"/>
        </w:rPr>
      </w:pPr>
      <w:r w:rsidRPr="00DA0FB2">
        <w:rPr>
          <w:rStyle w:val="EndnoteReference"/>
        </w:rPr>
        <w:endnoteRef/>
      </w:r>
      <w:r w:rsidRPr="00DA0FB2">
        <w:t xml:space="preserve"> </w:t>
      </w:r>
      <w:r w:rsidR="009550EA" w:rsidRPr="00DA0FB2">
        <w:t>Loomes, R., Hull, L. and Mandy, W.P.L. (2017)</w:t>
      </w:r>
      <w:r w:rsidR="00E14E33">
        <w:t>.</w:t>
      </w:r>
      <w:r w:rsidR="009550EA" w:rsidRPr="00DA0FB2">
        <w:t xml:space="preserve"> </w:t>
      </w:r>
      <w:r w:rsidR="00B26A89" w:rsidRPr="00DA0FB2">
        <w:t>‘</w:t>
      </w:r>
      <w:r w:rsidR="009550EA" w:rsidRPr="00DA0FB2">
        <w:t>What is the male-to-female ratio in autism spectrum disorder? A systematic review and meta-analysis</w:t>
      </w:r>
      <w:r w:rsidR="00B26A89" w:rsidRPr="00DA0FB2">
        <w:t>’,</w:t>
      </w:r>
      <w:r w:rsidR="009550EA" w:rsidRPr="00DA0FB2">
        <w:t> </w:t>
      </w:r>
      <w:r w:rsidR="009550EA" w:rsidRPr="00DA0FB2">
        <w:rPr>
          <w:i/>
          <w:iCs/>
        </w:rPr>
        <w:t>Journal of the American Academy of Child &amp; Adolescent Psychiatry</w:t>
      </w:r>
      <w:r w:rsidR="009550EA" w:rsidRPr="00DA0FB2">
        <w:t>, 56(6), pp.466-474.</w:t>
      </w:r>
      <w:r w:rsidR="00B26A89" w:rsidRPr="00DA0FB2">
        <w:t xml:space="preserve"> </w:t>
      </w:r>
      <w:r w:rsidR="00E14E33">
        <w:t>doi</w:t>
      </w:r>
      <w:r w:rsidR="00B26A89" w:rsidRPr="00DA0FB2">
        <w:t xml:space="preserve">: </w:t>
      </w:r>
      <w:hyperlink r:id="rId36" w:tgtFrame="_blank" w:tooltip="Persistent link using digital object identifier" w:history="1">
        <w:r w:rsidR="00EA08AD" w:rsidRPr="00DA0FB2">
          <w:rPr>
            <w:rStyle w:val="Hyperlink"/>
          </w:rPr>
          <w:t>https://doi.org/10.1016/j.jaac.2017.03.013</w:t>
        </w:r>
      </w:hyperlink>
    </w:p>
  </w:endnote>
  <w:endnote w:id="41">
    <w:p w14:paraId="4AF1BCDE" w14:textId="3924E4EE" w:rsidR="004E04E1" w:rsidRPr="00053374" w:rsidRDefault="004E04E1" w:rsidP="004C3828">
      <w:pPr>
        <w:pStyle w:val="EndnoteText"/>
        <w:spacing w:line="276" w:lineRule="auto"/>
        <w:jc w:val="left"/>
        <w:rPr>
          <w:highlight w:val="green"/>
        </w:rPr>
      </w:pPr>
      <w:r w:rsidRPr="00010374">
        <w:rPr>
          <w:rStyle w:val="EndnoteReference"/>
        </w:rPr>
        <w:endnoteRef/>
      </w:r>
      <w:r w:rsidRPr="00010374">
        <w:t xml:space="preserve"> National Autistic Society (2025). </w:t>
      </w:r>
      <w:r w:rsidRPr="00010374">
        <w:rPr>
          <w:i/>
          <w:iCs/>
        </w:rPr>
        <w:t>Autism assessment waiting times</w:t>
      </w:r>
      <w:r w:rsidR="00010374" w:rsidRPr="00010374">
        <w:t xml:space="preserve">. Available at: </w:t>
      </w:r>
      <w:r w:rsidRPr="00010374">
        <w:t xml:space="preserve"> </w:t>
      </w:r>
      <w:hyperlink r:id="rId37" w:history="1">
        <w:r w:rsidRPr="00010374">
          <w:rPr>
            <w:rStyle w:val="Hyperlink"/>
          </w:rPr>
          <w:t>https://www.autism.org.uk/what-we-do/news/autism-assessment-waiting-times-9</w:t>
        </w:r>
      </w:hyperlink>
      <w:r w:rsidRPr="00010374">
        <w:t xml:space="preserve"> </w:t>
      </w:r>
    </w:p>
  </w:endnote>
  <w:endnote w:id="42">
    <w:p w14:paraId="36E76A43" w14:textId="6197EBCA" w:rsidR="004E04E1" w:rsidRPr="00053374" w:rsidRDefault="004E04E1" w:rsidP="004C3828">
      <w:pPr>
        <w:pStyle w:val="EndnoteText"/>
        <w:spacing w:line="276" w:lineRule="auto"/>
        <w:jc w:val="left"/>
        <w:rPr>
          <w:highlight w:val="green"/>
        </w:rPr>
      </w:pPr>
      <w:r w:rsidRPr="003D7E55">
        <w:rPr>
          <w:rStyle w:val="EndnoteReference"/>
        </w:rPr>
        <w:endnoteRef/>
      </w:r>
      <w:r w:rsidRPr="003D7E55">
        <w:t xml:space="preserve"> Lang</w:t>
      </w:r>
      <w:r w:rsidR="00427689" w:rsidRPr="003D7E55">
        <w:t xml:space="preserve">, </w:t>
      </w:r>
      <w:r w:rsidRPr="003D7E55">
        <w:t>K</w:t>
      </w:r>
      <w:r w:rsidR="00427689" w:rsidRPr="003D7E55">
        <w:t>.</w:t>
      </w:r>
      <w:r w:rsidR="007A034C">
        <w:t xml:space="preserve"> (</w:t>
      </w:r>
      <w:r w:rsidR="00427689" w:rsidRPr="003D7E55">
        <w:t>2024</w:t>
      </w:r>
      <w:r w:rsidR="007A034C">
        <w:t>)</w:t>
      </w:r>
      <w:r w:rsidR="00D405A5">
        <w:t>.</w:t>
      </w:r>
      <w:r w:rsidR="00427689" w:rsidRPr="003D7E55">
        <w:t xml:space="preserve"> </w:t>
      </w:r>
      <w:r w:rsidR="00B52265">
        <w:t>‘</w:t>
      </w:r>
      <w:r w:rsidRPr="003D7E55">
        <w:t>Autism and ADHD place “unprecedented” demand o</w:t>
      </w:r>
      <w:r w:rsidR="00F51E26" w:rsidRPr="003D7E55">
        <w:t xml:space="preserve">n </w:t>
      </w:r>
      <w:r w:rsidR="00427689" w:rsidRPr="003D7E55">
        <w:t>NHS</w:t>
      </w:r>
      <w:r w:rsidR="00B52265">
        <w:t xml:space="preserve">’, </w:t>
      </w:r>
      <w:r w:rsidR="00B52265">
        <w:rPr>
          <w:i/>
          <w:iCs/>
        </w:rPr>
        <w:t>BMJ</w:t>
      </w:r>
      <w:r w:rsidR="00925773">
        <w:rPr>
          <w:i/>
          <w:iCs/>
        </w:rPr>
        <w:t>.</w:t>
      </w:r>
      <w:r w:rsidR="00427689" w:rsidRPr="003D7E55">
        <w:t xml:space="preserve"> </w:t>
      </w:r>
      <w:r w:rsidR="00D405A5">
        <w:t xml:space="preserve">doi: </w:t>
      </w:r>
      <w:hyperlink r:id="rId38" w:history="1">
        <w:r w:rsidR="00D405A5" w:rsidRPr="00AB25E7">
          <w:rPr>
            <w:rStyle w:val="Hyperlink"/>
          </w:rPr>
          <w:t>https://doi.org/10.1136/bmj.q802</w:t>
        </w:r>
      </w:hyperlink>
    </w:p>
  </w:endnote>
  <w:endnote w:id="43">
    <w:p w14:paraId="66E46F78" w14:textId="407E7AA4" w:rsidR="004E04E1" w:rsidRPr="00053374" w:rsidRDefault="004E04E1" w:rsidP="004C3828">
      <w:pPr>
        <w:pStyle w:val="EndnoteText"/>
        <w:spacing w:line="276" w:lineRule="auto"/>
        <w:jc w:val="left"/>
        <w:rPr>
          <w:highlight w:val="green"/>
        </w:rPr>
      </w:pPr>
      <w:r w:rsidRPr="00CC6B42">
        <w:rPr>
          <w:rStyle w:val="EndnoteReference"/>
        </w:rPr>
        <w:endnoteRef/>
      </w:r>
      <w:r w:rsidRPr="00CC6B42">
        <w:t xml:space="preserve"> B</w:t>
      </w:r>
      <w:r w:rsidR="003A26C9" w:rsidRPr="00CC6B42">
        <w:t xml:space="preserve">ritish </w:t>
      </w:r>
      <w:r w:rsidRPr="00CC6B42">
        <w:t>D</w:t>
      </w:r>
      <w:r w:rsidR="003A26C9" w:rsidRPr="00CC6B42">
        <w:t xml:space="preserve">iabetic </w:t>
      </w:r>
      <w:r w:rsidRPr="00CC6B42">
        <w:t>A</w:t>
      </w:r>
      <w:r w:rsidR="003A26C9" w:rsidRPr="00CC6B42">
        <w:t>ssociation</w:t>
      </w:r>
      <w:r w:rsidRPr="00CC6B42">
        <w:t xml:space="preserve"> (2025). </w:t>
      </w:r>
      <w:r w:rsidRPr="00CC6B42">
        <w:rPr>
          <w:i/>
          <w:iCs/>
        </w:rPr>
        <w:t>Autism and diet</w:t>
      </w:r>
      <w:r w:rsidRPr="00CC6B42">
        <w:t xml:space="preserve">. </w:t>
      </w:r>
      <w:r w:rsidR="00CC6B42" w:rsidRPr="00CC6B42">
        <w:t xml:space="preserve">Available at: </w:t>
      </w:r>
      <w:hyperlink r:id="rId39" w:history="1">
        <w:r w:rsidR="00CC6B42" w:rsidRPr="00CC6B42">
          <w:rPr>
            <w:rStyle w:val="Hyperlink"/>
          </w:rPr>
          <w:t>https://www.bda.uk.com/resource/autism-diet.html</w:t>
        </w:r>
      </w:hyperlink>
      <w:r w:rsidR="00CC6B42" w:rsidRPr="00CC6B42">
        <w:t xml:space="preserve"> (Accessed: 4 August 2025).</w:t>
      </w:r>
    </w:p>
  </w:endnote>
  <w:endnote w:id="44">
    <w:p w14:paraId="64953458" w14:textId="46F5A9C9" w:rsidR="004E04E1" w:rsidRPr="00053374" w:rsidRDefault="004E04E1" w:rsidP="004C3828">
      <w:pPr>
        <w:pStyle w:val="EndnoteText"/>
        <w:spacing w:line="276" w:lineRule="auto"/>
        <w:jc w:val="left"/>
        <w:rPr>
          <w:highlight w:val="green"/>
        </w:rPr>
      </w:pPr>
      <w:r w:rsidRPr="00CC7168">
        <w:rPr>
          <w:rStyle w:val="EndnoteReference"/>
        </w:rPr>
        <w:endnoteRef/>
      </w:r>
      <w:r w:rsidRPr="00CC7168">
        <w:t xml:space="preserve"> McCoy, S. M.</w:t>
      </w:r>
      <w:r w:rsidR="00A22876" w:rsidRPr="00CC7168">
        <w:t xml:space="preserve"> and</w:t>
      </w:r>
      <w:r w:rsidRPr="00CC7168">
        <w:t xml:space="preserve"> Morgan, K. (2019)</w:t>
      </w:r>
      <w:r w:rsidR="00D405A5">
        <w:t>.</w:t>
      </w:r>
      <w:r w:rsidRPr="00CC7168">
        <w:t xml:space="preserve"> </w:t>
      </w:r>
      <w:r w:rsidR="00A22876" w:rsidRPr="00CC7168">
        <w:t>‘</w:t>
      </w:r>
      <w:r w:rsidRPr="00CC7168">
        <w:t>Obesity, physical activity, and sedentary behaviors in adolescents with autism spectrum disorder compared with typically developing peers</w:t>
      </w:r>
      <w:r w:rsidR="00A22876" w:rsidRPr="00CC7168">
        <w:t>’,</w:t>
      </w:r>
      <w:r w:rsidRPr="00CC7168">
        <w:t xml:space="preserve"> </w:t>
      </w:r>
      <w:r w:rsidRPr="00CC7168">
        <w:rPr>
          <w:i/>
          <w:iCs/>
        </w:rPr>
        <w:t>Autism</w:t>
      </w:r>
      <w:r w:rsidRPr="00CC7168">
        <w:t xml:space="preserve">, 24(2), </w:t>
      </w:r>
      <w:r w:rsidR="00A22876" w:rsidRPr="00CC7168">
        <w:t>pp.</w:t>
      </w:r>
      <w:r w:rsidRPr="00CC7168">
        <w:t>387-399.</w:t>
      </w:r>
      <w:r w:rsidR="00A22876" w:rsidRPr="00CC7168">
        <w:t xml:space="preserve"> </w:t>
      </w:r>
      <w:r w:rsidR="00D405A5">
        <w:t>doi</w:t>
      </w:r>
      <w:r w:rsidR="003A01A5" w:rsidRPr="00CC7168">
        <w:t xml:space="preserve">: </w:t>
      </w:r>
      <w:hyperlink r:id="rId40" w:history="1">
        <w:r w:rsidR="00CC7168" w:rsidRPr="00CC7168">
          <w:rPr>
            <w:rStyle w:val="Hyperlink"/>
          </w:rPr>
          <w:t>https://doi.org/10.1177/1362361319861579</w:t>
        </w:r>
      </w:hyperlink>
    </w:p>
  </w:endnote>
  <w:endnote w:id="45">
    <w:p w14:paraId="4B06076F" w14:textId="0D333BDE" w:rsidR="004E04E1" w:rsidRPr="00053374" w:rsidRDefault="004E04E1" w:rsidP="004C3828">
      <w:pPr>
        <w:pStyle w:val="EndnoteText"/>
        <w:spacing w:line="276" w:lineRule="auto"/>
        <w:jc w:val="left"/>
        <w:rPr>
          <w:highlight w:val="green"/>
        </w:rPr>
      </w:pPr>
      <w:r w:rsidRPr="00F130AB">
        <w:rPr>
          <w:rStyle w:val="EndnoteReference"/>
        </w:rPr>
        <w:endnoteRef/>
      </w:r>
      <w:r w:rsidRPr="00F130AB">
        <w:t xml:space="preserve"> Rostami Haji Abadi, </w:t>
      </w:r>
      <w:r w:rsidR="00F130AB" w:rsidRPr="00F130AB">
        <w:t>M.,</w:t>
      </w:r>
      <w:r w:rsidRPr="00F130AB">
        <w:t xml:space="preserve"> Zheng, </w:t>
      </w:r>
      <w:r w:rsidR="00F130AB" w:rsidRPr="00F130AB">
        <w:t>Y.,</w:t>
      </w:r>
      <w:r w:rsidRPr="00F130AB">
        <w:t xml:space="preserve"> Wharton, </w:t>
      </w:r>
      <w:r w:rsidR="00F130AB" w:rsidRPr="00F130AB">
        <w:t>T.,</w:t>
      </w:r>
      <w:r w:rsidRPr="00F130AB">
        <w:t xml:space="preserve"> Dell, </w:t>
      </w:r>
      <w:r w:rsidR="00F130AB" w:rsidRPr="00F130AB">
        <w:t>C.,</w:t>
      </w:r>
      <w:r w:rsidRPr="00F130AB">
        <w:t xml:space="preserve"> Vatanparast, </w:t>
      </w:r>
      <w:r w:rsidR="00F130AB" w:rsidRPr="00F130AB">
        <w:t>H.,</w:t>
      </w:r>
      <w:r w:rsidRPr="00F130AB">
        <w:t xml:space="preserve"> Johnston, </w:t>
      </w:r>
      <w:r w:rsidR="00F130AB" w:rsidRPr="00F130AB">
        <w:t>J. and</w:t>
      </w:r>
      <w:r w:rsidRPr="00F130AB">
        <w:t xml:space="preserve"> Kontulainen, </w:t>
      </w:r>
      <w:r w:rsidR="00F130AB" w:rsidRPr="00F130AB">
        <w:t>S. (2023)</w:t>
      </w:r>
      <w:r w:rsidR="00D405A5">
        <w:t>.</w:t>
      </w:r>
      <w:r w:rsidR="00F130AB" w:rsidRPr="00F130AB">
        <w:t xml:space="preserve"> ‘Children with autism spectrum disorder spent 30 min less daily time in moderate-to-vigorous physical activity than typically developing peers: A meta-analysis of cross-sectional data’, </w:t>
      </w:r>
      <w:r w:rsidR="00F130AB" w:rsidRPr="00F130AB">
        <w:rPr>
          <w:i/>
          <w:iCs/>
        </w:rPr>
        <w:t>Review Journal of Autism and Developmental Disorders</w:t>
      </w:r>
      <w:r w:rsidR="00F130AB" w:rsidRPr="00F130AB">
        <w:t>, 10(1), pp.144-157</w:t>
      </w:r>
      <w:r w:rsidRPr="00F130AB">
        <w:t>.</w:t>
      </w:r>
      <w:r w:rsidR="00D405A5">
        <w:t xml:space="preserve"> doi</w:t>
      </w:r>
      <w:r w:rsidR="00F130AB" w:rsidRPr="00F130AB">
        <w:t xml:space="preserve">: </w:t>
      </w:r>
      <w:hyperlink r:id="rId41" w:history="1">
        <w:r w:rsidR="00F130AB" w:rsidRPr="00F130AB">
          <w:rPr>
            <w:rStyle w:val="Hyperlink"/>
          </w:rPr>
          <w:t>https://doi.org/10.13140/RG.2.2.33834.34242</w:t>
        </w:r>
      </w:hyperlink>
    </w:p>
  </w:endnote>
  <w:endnote w:id="46">
    <w:p w14:paraId="415803A4" w14:textId="3B07DBB3" w:rsidR="004E04E1" w:rsidRPr="0097617C" w:rsidRDefault="004E04E1" w:rsidP="004C3828">
      <w:pPr>
        <w:pStyle w:val="EndnoteText"/>
        <w:spacing w:line="276" w:lineRule="auto"/>
        <w:jc w:val="left"/>
      </w:pPr>
      <w:r w:rsidRPr="0097617C">
        <w:rPr>
          <w:rStyle w:val="EndnoteReference"/>
        </w:rPr>
        <w:endnoteRef/>
      </w:r>
      <w:r w:rsidRPr="0097617C">
        <w:t xml:space="preserve"> </w:t>
      </w:r>
      <w:r w:rsidR="00BE1CA4" w:rsidRPr="0097617C">
        <w:t>Elrod, M.G. and Hood, B.S.</w:t>
      </w:r>
      <w:r w:rsidR="00CC33CA" w:rsidRPr="0097617C">
        <w:t xml:space="preserve"> (</w:t>
      </w:r>
      <w:r w:rsidR="00BE1CA4" w:rsidRPr="0097617C">
        <w:t>2015</w:t>
      </w:r>
      <w:r w:rsidR="00CC33CA" w:rsidRPr="0097617C">
        <w:t>)</w:t>
      </w:r>
      <w:r w:rsidR="00D405A5">
        <w:t>.</w:t>
      </w:r>
      <w:r w:rsidR="00BE1CA4" w:rsidRPr="0097617C">
        <w:t xml:space="preserve"> </w:t>
      </w:r>
      <w:r w:rsidR="00CC33CA" w:rsidRPr="0097617C">
        <w:t>‘</w:t>
      </w:r>
      <w:r w:rsidR="00BE1CA4" w:rsidRPr="0097617C">
        <w:t>Sleep differences among children with autism spectrum disorders and typically developing peers: a meta-analysis</w:t>
      </w:r>
      <w:r w:rsidR="00CC33CA" w:rsidRPr="0097617C">
        <w:t>’,</w:t>
      </w:r>
      <w:r w:rsidR="00BE1CA4" w:rsidRPr="0097617C">
        <w:t> </w:t>
      </w:r>
      <w:r w:rsidR="00BE1CA4" w:rsidRPr="0097617C">
        <w:rPr>
          <w:i/>
          <w:iCs/>
        </w:rPr>
        <w:t xml:space="preserve">Journal of Developmental &amp; Behavioral </w:t>
      </w:r>
      <w:r w:rsidR="006E0F35" w:rsidRPr="0097617C">
        <w:rPr>
          <w:i/>
          <w:iCs/>
        </w:rPr>
        <w:t>Paediatrics</w:t>
      </w:r>
      <w:r w:rsidR="00BE1CA4" w:rsidRPr="0097617C">
        <w:t>, 36(3), pp.166-177.</w:t>
      </w:r>
      <w:r w:rsidR="00CC33CA" w:rsidRPr="0097617C">
        <w:t xml:space="preserve"> </w:t>
      </w:r>
      <w:r w:rsidR="00D405A5">
        <w:t>doi</w:t>
      </w:r>
      <w:r w:rsidR="00CC33CA" w:rsidRPr="0097617C">
        <w:t xml:space="preserve">: </w:t>
      </w:r>
      <w:hyperlink r:id="rId42" w:history="1">
        <w:r w:rsidR="0007265A" w:rsidRPr="0097617C">
          <w:rPr>
            <w:rStyle w:val="Hyperlink"/>
          </w:rPr>
          <w:t>https://doi.org/10.1097/DBP.0000000000000140</w:t>
        </w:r>
      </w:hyperlink>
      <w:r w:rsidR="0007265A" w:rsidRPr="0097617C">
        <w:tab/>
      </w:r>
    </w:p>
  </w:endnote>
  <w:endnote w:id="47">
    <w:p w14:paraId="77AD73CA" w14:textId="2280DBF9" w:rsidR="004312D1" w:rsidRDefault="004312D1">
      <w:pPr>
        <w:pStyle w:val="EndnoteText"/>
      </w:pPr>
      <w:r>
        <w:rPr>
          <w:rStyle w:val="EndnoteReference"/>
        </w:rPr>
        <w:endnoteRef/>
      </w:r>
      <w:r>
        <w:t xml:space="preserve"> </w:t>
      </w:r>
      <w:r w:rsidR="004918CC" w:rsidRPr="004918CC">
        <w:t xml:space="preserve">Estruch-García, V., Gil-Llario, M.D., Ruiz-Palomino, E., Fernández-García, O., Morell-Mengual, V. and Anastácio, Z.F.C., </w:t>
      </w:r>
      <w:r w:rsidR="004918CC">
        <w:t>(</w:t>
      </w:r>
      <w:r w:rsidR="004918CC" w:rsidRPr="004918CC">
        <w:t>2025</w:t>
      </w:r>
      <w:r w:rsidR="004918CC">
        <w:t>)</w:t>
      </w:r>
      <w:r w:rsidR="004918CC" w:rsidRPr="004918CC">
        <w:t>. Systematic Integrative Review: Sex Education for People with Autism Spectrum Disorder. </w:t>
      </w:r>
      <w:r w:rsidR="004918CC" w:rsidRPr="004918CC">
        <w:rPr>
          <w:i/>
          <w:iCs/>
        </w:rPr>
        <w:t>Sexuality and Disability</w:t>
      </w:r>
      <w:r w:rsidR="004918CC" w:rsidRPr="004918CC">
        <w:t>, </w:t>
      </w:r>
      <w:r w:rsidR="004918CC" w:rsidRPr="004918CC">
        <w:rPr>
          <w:i/>
          <w:iCs/>
        </w:rPr>
        <w:t>43</w:t>
      </w:r>
      <w:r w:rsidR="004918CC" w:rsidRPr="004918CC">
        <w:t>(1), p.6.</w:t>
      </w:r>
    </w:p>
  </w:endnote>
  <w:endnote w:id="48">
    <w:p w14:paraId="68908E01" w14:textId="05C7C8E2" w:rsidR="004E04E1" w:rsidRPr="00053374" w:rsidRDefault="004E04E1" w:rsidP="004C3828">
      <w:pPr>
        <w:pStyle w:val="EndnoteText"/>
        <w:jc w:val="left"/>
        <w:rPr>
          <w:highlight w:val="green"/>
        </w:rPr>
      </w:pPr>
      <w:r w:rsidRPr="0097617C">
        <w:rPr>
          <w:rStyle w:val="EndnoteReference"/>
        </w:rPr>
        <w:endnoteRef/>
      </w:r>
      <w:r w:rsidRPr="0097617C">
        <w:t xml:space="preserve"> National Autistic Society (2023)</w:t>
      </w:r>
      <w:r w:rsidR="00A454B7" w:rsidRPr="0097617C">
        <w:t>.</w:t>
      </w:r>
      <w:r w:rsidRPr="0097617C">
        <w:t xml:space="preserve"> </w:t>
      </w:r>
      <w:r w:rsidRPr="0097617C">
        <w:rPr>
          <w:i/>
          <w:iCs/>
        </w:rPr>
        <w:t>Education Report 2023</w:t>
      </w:r>
      <w:r w:rsidR="00A454B7" w:rsidRPr="0097617C">
        <w:t xml:space="preserve">. Available at: </w:t>
      </w:r>
      <w:r w:rsidRPr="0097617C">
        <w:t xml:space="preserve"> </w:t>
      </w:r>
      <w:hyperlink r:id="rId43" w:history="1">
        <w:r w:rsidRPr="0097617C">
          <w:rPr>
            <w:rStyle w:val="Hyperlink"/>
          </w:rPr>
          <w:t>https://dy55nndrxke1w.cloudfront.net/file/24/asDKIN9asAvgMtEas6gIatOcB5H/NAS_Education%20Report%202023.pdf</w:t>
        </w:r>
      </w:hyperlink>
      <w:r w:rsidRPr="0097617C">
        <w:t xml:space="preserve">  </w:t>
      </w:r>
    </w:p>
  </w:endnote>
  <w:endnote w:id="49">
    <w:p w14:paraId="0CA4BDFE" w14:textId="3EB92FEC" w:rsidR="004E04E1" w:rsidRPr="00053374" w:rsidRDefault="004E04E1" w:rsidP="004C3828">
      <w:pPr>
        <w:pStyle w:val="EndnoteText"/>
        <w:jc w:val="left"/>
        <w:rPr>
          <w:highlight w:val="green"/>
        </w:rPr>
      </w:pPr>
      <w:r w:rsidRPr="002E3EB3">
        <w:rPr>
          <w:rStyle w:val="EndnoteReference"/>
        </w:rPr>
        <w:endnoteRef/>
      </w:r>
      <w:r w:rsidRPr="002E3EB3">
        <w:t xml:space="preserve"> Brown-Lavoie, S.M., Viecili, M.A. and Weiss, J.A. (2014)</w:t>
      </w:r>
      <w:r w:rsidR="00D405A5">
        <w:t>.</w:t>
      </w:r>
      <w:r w:rsidRPr="002E3EB3">
        <w:t xml:space="preserve"> </w:t>
      </w:r>
      <w:r w:rsidR="009C213F" w:rsidRPr="002E3EB3">
        <w:t>‘</w:t>
      </w:r>
      <w:r w:rsidRPr="002E3EB3">
        <w:t>Sexual knowledge and victimization in adults with autism spectrum disorders</w:t>
      </w:r>
      <w:r w:rsidR="009C213F" w:rsidRPr="002E3EB3">
        <w:t>’,</w:t>
      </w:r>
      <w:r w:rsidRPr="002E3EB3">
        <w:t xml:space="preserve"> </w:t>
      </w:r>
      <w:r w:rsidRPr="002E3EB3">
        <w:rPr>
          <w:i/>
          <w:iCs/>
        </w:rPr>
        <w:t>Journal of Autism and Developmental Disorders</w:t>
      </w:r>
      <w:r w:rsidRPr="002E3EB3">
        <w:t>, 44(9), pp.2185–2196.</w:t>
      </w:r>
      <w:r w:rsidR="009C213F" w:rsidRPr="002E3EB3">
        <w:t xml:space="preserve"> </w:t>
      </w:r>
      <w:r w:rsidR="00D405A5">
        <w:t>doi</w:t>
      </w:r>
      <w:r w:rsidR="002E3EB3" w:rsidRPr="002E3EB3">
        <w:t xml:space="preserve">: </w:t>
      </w:r>
      <w:hyperlink r:id="rId44" w:history="1">
        <w:r w:rsidR="002E3EB3" w:rsidRPr="002E3EB3">
          <w:rPr>
            <w:rStyle w:val="Hyperlink"/>
          </w:rPr>
          <w:t>https://doi.org/10.1007/s10803-014-2093-y</w:t>
        </w:r>
      </w:hyperlink>
    </w:p>
  </w:endnote>
  <w:endnote w:id="50">
    <w:p w14:paraId="271975E4" w14:textId="566263D8" w:rsidR="004E04E1" w:rsidRPr="00053374" w:rsidRDefault="004E04E1" w:rsidP="004C3828">
      <w:pPr>
        <w:pStyle w:val="EndnoteText"/>
        <w:jc w:val="left"/>
        <w:rPr>
          <w:highlight w:val="green"/>
        </w:rPr>
      </w:pPr>
      <w:r w:rsidRPr="009A1234">
        <w:rPr>
          <w:rStyle w:val="EndnoteReference"/>
        </w:rPr>
        <w:endnoteRef/>
      </w:r>
      <w:r w:rsidRPr="009A1234">
        <w:t xml:space="preserve"> Department for Education (202</w:t>
      </w:r>
      <w:r w:rsidR="00A13AA9" w:rsidRPr="009A1234">
        <w:t>5</w:t>
      </w:r>
      <w:r w:rsidRPr="009A1234">
        <w:t xml:space="preserve">). </w:t>
      </w:r>
      <w:r w:rsidRPr="009A1234">
        <w:rPr>
          <w:i/>
          <w:iCs/>
        </w:rPr>
        <w:t>Relationships Education, Relationships and Sex Education (RSE) and Health Education: Statutory guidance for governing bodies, proprietors, head teachers, principals, senior leadership teams, teachers</w:t>
      </w:r>
      <w:r w:rsidRPr="009A1234">
        <w:t xml:space="preserve">. </w:t>
      </w:r>
      <w:r w:rsidR="00FE364C" w:rsidRPr="009A1234">
        <w:t xml:space="preserve">Available at: </w:t>
      </w:r>
      <w:hyperlink r:id="rId45" w:history="1">
        <w:r w:rsidR="009A1234" w:rsidRPr="009A1234">
          <w:rPr>
            <w:rStyle w:val="Hyperlink"/>
          </w:rPr>
          <w:t>https://www.gov.uk/government/publications/relationships-education-relationships-and-sex-education-rse-and-health-education</w:t>
        </w:r>
      </w:hyperlink>
      <w:r w:rsidR="009A1234" w:rsidRPr="009A1234">
        <w:t xml:space="preserve"> </w:t>
      </w:r>
    </w:p>
  </w:endnote>
  <w:endnote w:id="51">
    <w:p w14:paraId="16CC83A6" w14:textId="5AAB5931" w:rsidR="004E04E1" w:rsidRPr="00053374" w:rsidRDefault="004E04E1" w:rsidP="004C3828">
      <w:pPr>
        <w:pStyle w:val="EndnoteText"/>
        <w:jc w:val="left"/>
        <w:rPr>
          <w:highlight w:val="green"/>
        </w:rPr>
      </w:pPr>
      <w:r w:rsidRPr="006D7777">
        <w:rPr>
          <w:rStyle w:val="EndnoteReference"/>
        </w:rPr>
        <w:endnoteRef/>
      </w:r>
      <w:r w:rsidRPr="006D7777">
        <w:t xml:space="preserve"> Weir, E</w:t>
      </w:r>
      <w:r w:rsidR="000C1306" w:rsidRPr="006D7777">
        <w:t>.</w:t>
      </w:r>
      <w:r w:rsidRPr="006D7777">
        <w:t>, Allison, C</w:t>
      </w:r>
      <w:r w:rsidR="000C1306" w:rsidRPr="006D7777">
        <w:t>.</w:t>
      </w:r>
      <w:r w:rsidRPr="006D7777">
        <w:t xml:space="preserve">, </w:t>
      </w:r>
      <w:r w:rsidR="00BD6EAD" w:rsidRPr="006D7777">
        <w:t>a</w:t>
      </w:r>
      <w:r w:rsidR="000C1306" w:rsidRPr="006D7777">
        <w:t>nd</w:t>
      </w:r>
      <w:r w:rsidRPr="006D7777">
        <w:t xml:space="preserve"> Baron-Cohen, S.</w:t>
      </w:r>
      <w:r w:rsidR="000C1306" w:rsidRPr="006D7777">
        <w:t xml:space="preserve"> (2021)</w:t>
      </w:r>
      <w:r w:rsidR="00D405A5">
        <w:t>.</w:t>
      </w:r>
      <w:r w:rsidRPr="006D7777">
        <w:t> </w:t>
      </w:r>
      <w:r w:rsidR="000C1306" w:rsidRPr="006D7777">
        <w:t>‘</w:t>
      </w:r>
      <w:r w:rsidRPr="006D7777">
        <w:t>Understanding the substance use of autistic adolescents and adults: a mixed methods approach</w:t>
      </w:r>
      <w:r w:rsidR="000C1306" w:rsidRPr="006D7777">
        <w:t>’,</w:t>
      </w:r>
      <w:r w:rsidRPr="006D7777">
        <w:t xml:space="preserve"> </w:t>
      </w:r>
      <w:r w:rsidRPr="006D7777">
        <w:rPr>
          <w:i/>
          <w:iCs/>
        </w:rPr>
        <w:t>The Lancet Psychiatry</w:t>
      </w:r>
      <w:r w:rsidR="000C1306" w:rsidRPr="006D7777">
        <w:t xml:space="preserve">, </w:t>
      </w:r>
      <w:r w:rsidR="00933925" w:rsidRPr="006D7777">
        <w:t>8(8), pp.673-685.</w:t>
      </w:r>
    </w:p>
  </w:endnote>
  <w:endnote w:id="52">
    <w:p w14:paraId="2CD7DFFE" w14:textId="0E8B9CB6" w:rsidR="00FE4904" w:rsidRPr="00441BC2" w:rsidRDefault="00FE4904">
      <w:pPr>
        <w:pStyle w:val="EndnoteText"/>
      </w:pPr>
      <w:r>
        <w:rPr>
          <w:rStyle w:val="EndnoteReference"/>
        </w:rPr>
        <w:endnoteRef/>
      </w:r>
      <w:r>
        <w:t xml:space="preserve"> </w:t>
      </w:r>
      <w:r w:rsidR="008D4AAA">
        <w:t xml:space="preserve">National Institute for Health and Care Excellence. (2013). Autism diagnosis in children and young people: Evidence Update April 2013. </w:t>
      </w:r>
      <w:r w:rsidR="00441BC2">
        <w:t xml:space="preserve">Available at: </w:t>
      </w:r>
      <w:hyperlink r:id="rId46" w:history="1">
        <w:r w:rsidR="00441BC2" w:rsidRPr="00441BC2">
          <w:rPr>
            <w:rStyle w:val="Hyperlink"/>
          </w:rPr>
          <w:t>Autism diagnosis in children and young people Evidence Update April 2013</w:t>
        </w:r>
      </w:hyperlink>
    </w:p>
  </w:endnote>
  <w:endnote w:id="53">
    <w:p w14:paraId="3EE32649" w14:textId="001E6030" w:rsidR="004E04E1" w:rsidRPr="00053374" w:rsidRDefault="004E04E1" w:rsidP="004C3828">
      <w:pPr>
        <w:pStyle w:val="EndnoteText"/>
        <w:jc w:val="left"/>
        <w:rPr>
          <w:highlight w:val="green"/>
        </w:rPr>
      </w:pPr>
      <w:r w:rsidRPr="00840673">
        <w:rPr>
          <w:rStyle w:val="EndnoteReference"/>
        </w:rPr>
        <w:endnoteRef/>
      </w:r>
      <w:r w:rsidRPr="00840673">
        <w:t xml:space="preserve"> Simonoff, E., Pickles, A., Charman, T., Chandler, S., Loucas, T. and Baird, G. (2008)</w:t>
      </w:r>
      <w:r w:rsidR="00D405A5">
        <w:t>.</w:t>
      </w:r>
      <w:r w:rsidRPr="00840673">
        <w:t xml:space="preserve"> </w:t>
      </w:r>
      <w:r w:rsidR="006D7777" w:rsidRPr="00840673">
        <w:t>‘</w:t>
      </w:r>
      <w:r w:rsidRPr="00840673">
        <w:t>Psychiatric disorders in children with autism spectrum disorders: prevalence, comorbidity, and associated factors in a population-derived sample</w:t>
      </w:r>
      <w:r w:rsidR="006D7777" w:rsidRPr="00840673">
        <w:t>’,</w:t>
      </w:r>
      <w:r w:rsidRPr="00840673">
        <w:t xml:space="preserve"> </w:t>
      </w:r>
      <w:r w:rsidRPr="00840673">
        <w:rPr>
          <w:i/>
          <w:iCs/>
        </w:rPr>
        <w:t>Journal of the American Academy of Child and Adolescent Psychiatry</w:t>
      </w:r>
      <w:r w:rsidRPr="00840673">
        <w:t>, 47(8)</w:t>
      </w:r>
      <w:r w:rsidR="006D7777" w:rsidRPr="00840673">
        <w:t>,</w:t>
      </w:r>
      <w:r w:rsidRPr="00840673">
        <w:t xml:space="preserve"> pp.921-929.</w:t>
      </w:r>
      <w:r w:rsidR="00A4511A" w:rsidRPr="00840673">
        <w:t xml:space="preserve"> </w:t>
      </w:r>
      <w:r w:rsidR="00D405A5">
        <w:t>doi</w:t>
      </w:r>
      <w:r w:rsidR="00A4511A" w:rsidRPr="00840673">
        <w:t xml:space="preserve">: </w:t>
      </w:r>
      <w:hyperlink r:id="rId47" w:tgtFrame="_blank" w:tooltip="Persistent link using digital object identifier" w:history="1">
        <w:r w:rsidR="00A4511A" w:rsidRPr="00840673">
          <w:rPr>
            <w:rStyle w:val="Hyperlink"/>
          </w:rPr>
          <w:t>https://doi.org/10.1097/CHI.0b013e318179964f</w:t>
        </w:r>
      </w:hyperlink>
    </w:p>
  </w:endnote>
  <w:endnote w:id="54">
    <w:p w14:paraId="2B409417" w14:textId="6D05C7B5" w:rsidR="004E04E1" w:rsidRPr="00053374" w:rsidRDefault="004E04E1" w:rsidP="004C3828">
      <w:pPr>
        <w:pStyle w:val="EndnoteText"/>
        <w:jc w:val="left"/>
        <w:rPr>
          <w:highlight w:val="green"/>
        </w:rPr>
      </w:pPr>
      <w:r w:rsidRPr="00A16EE6">
        <w:rPr>
          <w:rStyle w:val="EndnoteReference"/>
        </w:rPr>
        <w:endnoteRef/>
      </w:r>
      <w:r w:rsidRPr="00A16EE6">
        <w:t xml:space="preserve"> DeFilippis</w:t>
      </w:r>
      <w:r w:rsidR="006873B9" w:rsidRPr="00A16EE6">
        <w:t>,</w:t>
      </w:r>
      <w:r w:rsidRPr="00A16EE6">
        <w:t xml:space="preserve"> M. </w:t>
      </w:r>
      <w:r w:rsidR="00BB2768" w:rsidRPr="00A16EE6">
        <w:t>(</w:t>
      </w:r>
      <w:r w:rsidR="006873B9" w:rsidRPr="00A16EE6">
        <w:t>2018</w:t>
      </w:r>
      <w:r w:rsidR="00BB2768" w:rsidRPr="00A16EE6">
        <w:t>)</w:t>
      </w:r>
      <w:r w:rsidR="00D405A5">
        <w:t>.</w:t>
      </w:r>
      <w:r w:rsidR="006873B9" w:rsidRPr="00A16EE6">
        <w:t xml:space="preserve"> </w:t>
      </w:r>
      <w:r w:rsidR="00360242" w:rsidRPr="00A16EE6">
        <w:t>‘</w:t>
      </w:r>
      <w:r w:rsidRPr="00A16EE6">
        <w:t xml:space="preserve">Depression in children and adolescents with autism spectrum </w:t>
      </w:r>
      <w:r w:rsidR="006873B9" w:rsidRPr="00A16EE6">
        <w:t>disorder</w:t>
      </w:r>
      <w:r w:rsidR="00360242" w:rsidRPr="00A16EE6">
        <w:t>’,</w:t>
      </w:r>
      <w:r w:rsidR="006873B9" w:rsidRPr="00A16EE6">
        <w:t> </w:t>
      </w:r>
      <w:r w:rsidRPr="00A16EE6">
        <w:rPr>
          <w:i/>
          <w:iCs/>
        </w:rPr>
        <w:t>Children</w:t>
      </w:r>
      <w:r w:rsidR="006873B9" w:rsidRPr="00A16EE6">
        <w:t>, </w:t>
      </w:r>
      <w:r w:rsidRPr="00A16EE6">
        <w:t>5</w:t>
      </w:r>
      <w:r w:rsidR="006873B9" w:rsidRPr="00A16EE6">
        <w:t>(9), p.112.</w:t>
      </w:r>
      <w:r w:rsidR="00723482" w:rsidRPr="00A16EE6">
        <w:t xml:space="preserve"> </w:t>
      </w:r>
      <w:r w:rsidR="00D405A5">
        <w:t>doi</w:t>
      </w:r>
      <w:r w:rsidR="00723482" w:rsidRPr="00A16EE6">
        <w:t xml:space="preserve">: </w:t>
      </w:r>
      <w:hyperlink r:id="rId48" w:history="1">
        <w:r w:rsidR="00A16EE6" w:rsidRPr="00A16EE6">
          <w:rPr>
            <w:rStyle w:val="Hyperlink"/>
          </w:rPr>
          <w:t>https://doi.org/10.3390/children5090112</w:t>
        </w:r>
      </w:hyperlink>
    </w:p>
  </w:endnote>
  <w:endnote w:id="55">
    <w:p w14:paraId="681F6E85" w14:textId="77777777" w:rsidR="00205E6A" w:rsidRDefault="00205E6A" w:rsidP="00205E6A">
      <w:pPr>
        <w:pStyle w:val="EndnoteText"/>
      </w:pPr>
      <w:r>
        <w:rPr>
          <w:rStyle w:val="EndnoteReference"/>
        </w:rPr>
        <w:endnoteRef/>
      </w:r>
      <w:r>
        <w:t xml:space="preserve"> </w:t>
      </w:r>
      <w:r w:rsidRPr="00BE1889">
        <w:t xml:space="preserve">Warrier, V., Greenberg, D.M., Weir, E., Buckingham, C., Smith, P., Lai, M.C., Allison, C. and Baron-Cohen, S., </w:t>
      </w:r>
      <w:r>
        <w:t>(</w:t>
      </w:r>
      <w:r w:rsidRPr="00BE1889">
        <w:t>2020</w:t>
      </w:r>
      <w:r>
        <w:t>)</w:t>
      </w:r>
      <w:r w:rsidRPr="00BE1889">
        <w:t>. Elevated rates of autism, other neurodevelopmental and psychiatric diagnoses, and autistic traits in transgender and gender-diverse individuals. </w:t>
      </w:r>
      <w:r w:rsidRPr="00BE1889">
        <w:rPr>
          <w:i/>
          <w:iCs/>
        </w:rPr>
        <w:t>Nature communications</w:t>
      </w:r>
      <w:r w:rsidRPr="00BE1889">
        <w:t>, </w:t>
      </w:r>
      <w:r w:rsidRPr="00BE1889">
        <w:rPr>
          <w:i/>
          <w:iCs/>
        </w:rPr>
        <w:t>11</w:t>
      </w:r>
      <w:r w:rsidRPr="00BE1889">
        <w:t>(1), p.3959.</w:t>
      </w:r>
    </w:p>
  </w:endnote>
  <w:endnote w:id="56">
    <w:p w14:paraId="18DFBFBB" w14:textId="77777777" w:rsidR="00205E6A" w:rsidRDefault="00205E6A" w:rsidP="00205E6A">
      <w:pPr>
        <w:pStyle w:val="EndnoteText"/>
      </w:pPr>
      <w:r>
        <w:rPr>
          <w:rStyle w:val="EndnoteReference"/>
        </w:rPr>
        <w:endnoteRef/>
      </w:r>
      <w:r>
        <w:t xml:space="preserve"> National Autistic Society (n.d) </w:t>
      </w:r>
      <w:r w:rsidRPr="007C41BA">
        <w:rPr>
          <w:i/>
          <w:iCs/>
        </w:rPr>
        <w:t>Autism and gender identity</w:t>
      </w:r>
      <w:r>
        <w:t xml:space="preserve">. Available at: </w:t>
      </w:r>
      <w:hyperlink r:id="rId49" w:anchor=":~:text=There%20is%20some%20evidence%20to,dysphoria%20is%20not%20so%20clear" w:history="1">
        <w:r w:rsidRPr="006C2BA4">
          <w:rPr>
            <w:rStyle w:val="Hyperlink"/>
          </w:rPr>
          <w:t>https://www.autism.org.uk/advice-and-guidance/topics/identity/autism-and-gender-identity#:~:text=There%20is%20some%20evidence%20to,dysphoria%20is%20not%20so%20clear</w:t>
        </w:r>
      </w:hyperlink>
      <w:r w:rsidRPr="00DA1844">
        <w:t>.</w:t>
      </w:r>
      <w:r>
        <w:t xml:space="preserve"> </w:t>
      </w:r>
    </w:p>
  </w:endnote>
  <w:endnote w:id="57">
    <w:p w14:paraId="6530AE15" w14:textId="77777777" w:rsidR="00375C10" w:rsidRDefault="00375C10" w:rsidP="00375C10">
      <w:pPr>
        <w:pStyle w:val="EndnoteText"/>
      </w:pPr>
      <w:r>
        <w:rPr>
          <w:rStyle w:val="EndnoteReference"/>
        </w:rPr>
        <w:endnoteRef/>
      </w:r>
      <w:r>
        <w:t xml:space="preserve"> </w:t>
      </w:r>
      <w:r w:rsidRPr="00BE1889">
        <w:t xml:space="preserve">Warrier, V., Greenberg, D.M., Weir, E., Buckingham, C., Smith, P., Lai, M.C., Allison, C. and Baron-Cohen, S., </w:t>
      </w:r>
      <w:r>
        <w:t>(</w:t>
      </w:r>
      <w:r w:rsidRPr="00BE1889">
        <w:t>2020</w:t>
      </w:r>
      <w:r>
        <w:t>)</w:t>
      </w:r>
      <w:r w:rsidRPr="00BE1889">
        <w:t>. Elevated rates of autism, other neurodevelopmental and psychiatric diagnoses, and autistic traits in transgender and gender-diverse individuals. </w:t>
      </w:r>
      <w:r w:rsidRPr="00BE1889">
        <w:rPr>
          <w:i/>
          <w:iCs/>
        </w:rPr>
        <w:t>Nature communications</w:t>
      </w:r>
      <w:r w:rsidRPr="00BE1889">
        <w:t>, </w:t>
      </w:r>
      <w:r w:rsidRPr="00BE1889">
        <w:rPr>
          <w:i/>
          <w:iCs/>
        </w:rPr>
        <w:t>11</w:t>
      </w:r>
      <w:r w:rsidRPr="00BE1889">
        <w:t>(1), p.3959.</w:t>
      </w:r>
    </w:p>
  </w:endnote>
  <w:endnote w:id="58">
    <w:p w14:paraId="17933792" w14:textId="77777777" w:rsidR="00375C10" w:rsidRDefault="00375C10" w:rsidP="00375C10">
      <w:pPr>
        <w:pStyle w:val="EndnoteText"/>
      </w:pPr>
      <w:r>
        <w:rPr>
          <w:rStyle w:val="EndnoteReference"/>
        </w:rPr>
        <w:endnoteRef/>
      </w:r>
      <w:r>
        <w:t xml:space="preserve"> National Autistic Society (n.d) </w:t>
      </w:r>
      <w:r w:rsidRPr="007C41BA">
        <w:rPr>
          <w:i/>
          <w:iCs/>
        </w:rPr>
        <w:t>Autism and gender identity</w:t>
      </w:r>
      <w:r>
        <w:t xml:space="preserve">. Available at: </w:t>
      </w:r>
      <w:hyperlink r:id="rId50" w:anchor=":~:text=There%20is%20some%20evidence%20to,dysphoria%20is%20not%20so%20clear" w:history="1">
        <w:r w:rsidRPr="006C2BA4">
          <w:rPr>
            <w:rStyle w:val="Hyperlink"/>
          </w:rPr>
          <w:t>https://www.autism.org.uk/advice-and-guidance/topics/identity/autism-and-gender-identity#:~:text=There%20is%20some%20evidence%20to,dysphoria%20is%20not%20so%20clear</w:t>
        </w:r>
      </w:hyperlink>
      <w:r w:rsidRPr="00DA1844">
        <w:t>.</w:t>
      </w:r>
      <w:r>
        <w:t xml:space="preserve"> </w:t>
      </w:r>
    </w:p>
  </w:endnote>
  <w:endnote w:id="59">
    <w:p w14:paraId="677DFA77" w14:textId="6D0B6204" w:rsidR="004E04E1" w:rsidRPr="00053374" w:rsidRDefault="004E04E1" w:rsidP="004C3828">
      <w:pPr>
        <w:pStyle w:val="EndnoteText"/>
        <w:jc w:val="left"/>
        <w:rPr>
          <w:highlight w:val="green"/>
        </w:rPr>
      </w:pPr>
      <w:r w:rsidRPr="00E9379E">
        <w:rPr>
          <w:rStyle w:val="EndnoteReference"/>
        </w:rPr>
        <w:endnoteRef/>
      </w:r>
      <w:r w:rsidRPr="00E9379E">
        <w:t xml:space="preserve"> Madra</w:t>
      </w:r>
      <w:r w:rsidR="00E56D8E" w:rsidRPr="00E9379E">
        <w:t>,</w:t>
      </w:r>
      <w:r w:rsidRPr="00E9379E">
        <w:t xml:space="preserve"> M</w:t>
      </w:r>
      <w:r w:rsidR="000065AC" w:rsidRPr="00E9379E">
        <w:t>.</w:t>
      </w:r>
      <w:r w:rsidRPr="00E9379E">
        <w:t>, Ringel</w:t>
      </w:r>
      <w:r w:rsidR="00E56D8E" w:rsidRPr="00E9379E">
        <w:t>,</w:t>
      </w:r>
      <w:r w:rsidRPr="00E9379E">
        <w:t xml:space="preserve"> R</w:t>
      </w:r>
      <w:r w:rsidR="000065AC" w:rsidRPr="00E9379E">
        <w:t>.</w:t>
      </w:r>
      <w:r w:rsidR="00E56D8E" w:rsidRPr="00E9379E">
        <w:t xml:space="preserve"> and</w:t>
      </w:r>
      <w:r w:rsidRPr="00E9379E">
        <w:t xml:space="preserve"> Margolis</w:t>
      </w:r>
      <w:r w:rsidR="00E56D8E" w:rsidRPr="00E9379E">
        <w:t>,</w:t>
      </w:r>
      <w:r w:rsidRPr="00E9379E">
        <w:t xml:space="preserve"> K</w:t>
      </w:r>
      <w:r w:rsidR="00E56D8E" w:rsidRPr="00E9379E">
        <w:t>.</w:t>
      </w:r>
      <w:r w:rsidRPr="00E9379E">
        <w:t>G.</w:t>
      </w:r>
      <w:r w:rsidR="00C01952" w:rsidRPr="00E9379E">
        <w:t xml:space="preserve"> (202</w:t>
      </w:r>
      <w:r w:rsidR="00B15497" w:rsidRPr="00E9379E">
        <w:t>0</w:t>
      </w:r>
      <w:r w:rsidR="00C01952" w:rsidRPr="00E9379E">
        <w:t>)</w:t>
      </w:r>
      <w:r w:rsidR="00D405A5">
        <w:t>.</w:t>
      </w:r>
      <w:r w:rsidRPr="00E9379E">
        <w:t xml:space="preserve"> </w:t>
      </w:r>
      <w:r w:rsidR="00C01952" w:rsidRPr="00E9379E">
        <w:t>‘</w:t>
      </w:r>
      <w:r w:rsidRPr="00E9379E">
        <w:t>Gastrointestinal Issues and Autism Spectrum Disorder</w:t>
      </w:r>
      <w:r w:rsidR="00C01952" w:rsidRPr="00E9379E">
        <w:t>’,</w:t>
      </w:r>
      <w:r w:rsidRPr="00E9379E">
        <w:t xml:space="preserve"> </w:t>
      </w:r>
      <w:r w:rsidR="009A6798" w:rsidRPr="00E9379E">
        <w:rPr>
          <w:i/>
          <w:iCs/>
        </w:rPr>
        <w:t xml:space="preserve">Child and </w:t>
      </w:r>
      <w:r w:rsidR="00D405A5">
        <w:rPr>
          <w:i/>
          <w:iCs/>
        </w:rPr>
        <w:t>A</w:t>
      </w:r>
      <w:r w:rsidR="009A6798" w:rsidRPr="00E9379E">
        <w:rPr>
          <w:i/>
          <w:iCs/>
        </w:rPr>
        <w:t xml:space="preserve">dolescent </w:t>
      </w:r>
      <w:r w:rsidR="00D405A5">
        <w:rPr>
          <w:i/>
          <w:iCs/>
        </w:rPr>
        <w:t>P</w:t>
      </w:r>
      <w:r w:rsidR="009A6798" w:rsidRPr="00E9379E">
        <w:rPr>
          <w:i/>
          <w:iCs/>
        </w:rPr>
        <w:t xml:space="preserve">sychiatric </w:t>
      </w:r>
      <w:r w:rsidR="00D405A5">
        <w:rPr>
          <w:i/>
          <w:iCs/>
        </w:rPr>
        <w:t>C</w:t>
      </w:r>
      <w:r w:rsidR="009A6798" w:rsidRPr="00E9379E">
        <w:rPr>
          <w:i/>
          <w:iCs/>
        </w:rPr>
        <w:t>linics of</w:t>
      </w:r>
      <w:r w:rsidRPr="00E9379E">
        <w:rPr>
          <w:i/>
          <w:iCs/>
        </w:rPr>
        <w:t xml:space="preserve"> North </w:t>
      </w:r>
      <w:r w:rsidR="009A6798" w:rsidRPr="00E9379E">
        <w:rPr>
          <w:i/>
          <w:iCs/>
        </w:rPr>
        <w:t xml:space="preserve">America, </w:t>
      </w:r>
      <w:r w:rsidR="00EE6EAD" w:rsidRPr="00E9379E">
        <w:t>29</w:t>
      </w:r>
      <w:r w:rsidRPr="00E9379E">
        <w:t>(</w:t>
      </w:r>
      <w:r w:rsidR="00EE6EAD" w:rsidRPr="00E9379E">
        <w:t>3</w:t>
      </w:r>
      <w:r w:rsidRPr="00E9379E">
        <w:t>)</w:t>
      </w:r>
      <w:r w:rsidR="00EE6EAD" w:rsidRPr="00E9379E">
        <w:t>, pp.501-513.</w:t>
      </w:r>
    </w:p>
  </w:endnote>
  <w:endnote w:id="60">
    <w:p w14:paraId="66FE8557" w14:textId="679B7F02" w:rsidR="004E04E1" w:rsidRPr="00053374" w:rsidRDefault="004E04E1" w:rsidP="004C3828">
      <w:pPr>
        <w:pStyle w:val="EndnoteText"/>
        <w:jc w:val="left"/>
        <w:rPr>
          <w:highlight w:val="green"/>
        </w:rPr>
      </w:pPr>
      <w:r w:rsidRPr="00031D86">
        <w:rPr>
          <w:rStyle w:val="EndnoteReference"/>
        </w:rPr>
        <w:endnoteRef/>
      </w:r>
      <w:r w:rsidRPr="00031D86">
        <w:t xml:space="preserve"> Department of Health and Social Care (2020). </w:t>
      </w:r>
      <w:r w:rsidRPr="00031D86">
        <w:rPr>
          <w:i/>
          <w:iCs/>
        </w:rPr>
        <w:t>Tackling obesity: Empowering adults and children to live healthier lives</w:t>
      </w:r>
      <w:r w:rsidRPr="00031D86">
        <w:t xml:space="preserve">. </w:t>
      </w:r>
      <w:r w:rsidR="0062473F" w:rsidRPr="00031D86">
        <w:t xml:space="preserve">Available at: </w:t>
      </w:r>
      <w:hyperlink r:id="rId51" w:history="1">
        <w:r w:rsidR="0062473F" w:rsidRPr="00031D86">
          <w:rPr>
            <w:rStyle w:val="Hyperlink"/>
          </w:rPr>
          <w:t>https://www.gov.uk/government/publications/tackling-obesity-government-strategy/tackling-obesity-empowering-adults-and-children-to-live-healthier-lives</w:t>
        </w:r>
      </w:hyperlink>
      <w:r w:rsidR="0062473F" w:rsidRPr="00031D86">
        <w:t xml:space="preserve"> </w:t>
      </w:r>
    </w:p>
  </w:endnote>
  <w:endnote w:id="61">
    <w:p w14:paraId="4D0DC1C6" w14:textId="4A6B9692" w:rsidR="004E04E1" w:rsidRPr="00053374" w:rsidRDefault="004E04E1" w:rsidP="004C3828">
      <w:pPr>
        <w:pStyle w:val="EndnoteText"/>
        <w:jc w:val="left"/>
        <w:rPr>
          <w:b/>
          <w:bCs/>
          <w:highlight w:val="green"/>
        </w:rPr>
      </w:pPr>
      <w:r w:rsidRPr="00E506EA">
        <w:rPr>
          <w:rStyle w:val="EndnoteReference"/>
        </w:rPr>
        <w:endnoteRef/>
      </w:r>
      <w:r w:rsidRPr="00E506EA">
        <w:t xml:space="preserve"> </w:t>
      </w:r>
      <w:r w:rsidRPr="00E506EA">
        <w:rPr>
          <w:lang w:val="en-US"/>
        </w:rPr>
        <w:t>National Autistic Society (</w:t>
      </w:r>
      <w:r w:rsidR="00900437" w:rsidRPr="00E506EA">
        <w:rPr>
          <w:lang w:val="en-US"/>
        </w:rPr>
        <w:t>n.d.</w:t>
      </w:r>
      <w:r w:rsidRPr="00E506EA">
        <w:t>)</w:t>
      </w:r>
      <w:r w:rsidR="00E506EA" w:rsidRPr="00E506EA">
        <w:t>.</w:t>
      </w:r>
      <w:r w:rsidRPr="00E506EA">
        <w:t xml:space="preserve"> </w:t>
      </w:r>
      <w:r w:rsidRPr="00E506EA">
        <w:rPr>
          <w:i/>
          <w:iCs/>
        </w:rPr>
        <w:t>Autism and communication</w:t>
      </w:r>
      <w:r w:rsidR="00E506EA" w:rsidRPr="00E506EA">
        <w:t>.</w:t>
      </w:r>
      <w:r w:rsidRPr="00E506EA">
        <w:t xml:space="preserve"> </w:t>
      </w:r>
      <w:r w:rsidR="00E506EA" w:rsidRPr="00E506EA">
        <w:t xml:space="preserve">Available at: </w:t>
      </w:r>
      <w:hyperlink r:id="rId52" w:history="1">
        <w:r w:rsidR="00E506EA" w:rsidRPr="00E506EA">
          <w:rPr>
            <w:rStyle w:val="Hyperlink"/>
          </w:rPr>
          <w:t>https://www.autism.org.uk/advice-and-guidance/topics/about-autism/autism-and-communication</w:t>
        </w:r>
      </w:hyperlink>
      <w:r w:rsidR="00E506EA" w:rsidRPr="00E506EA">
        <w:t xml:space="preserve"> </w:t>
      </w:r>
    </w:p>
  </w:endnote>
  <w:endnote w:id="62">
    <w:p w14:paraId="4AE9C385" w14:textId="68A11E4C" w:rsidR="007C2032" w:rsidRPr="00293C95" w:rsidRDefault="007C2032">
      <w:pPr>
        <w:pStyle w:val="EndnoteText"/>
        <w:rPr>
          <w:lang w:val="en-US"/>
        </w:rPr>
      </w:pPr>
      <w:r>
        <w:rPr>
          <w:rStyle w:val="EndnoteReference"/>
        </w:rPr>
        <w:endnoteRef/>
      </w:r>
      <w:r>
        <w:t xml:space="preserve"> </w:t>
      </w:r>
      <w:r w:rsidRPr="007C2032">
        <w:t xml:space="preserve">National Institute for Health and Care Excellence. (2021). </w:t>
      </w:r>
      <w:r w:rsidRPr="007C2032">
        <w:rPr>
          <w:i/>
          <w:iCs/>
        </w:rPr>
        <w:t>Autism spectrum disorder in under 19s: recognition, referral and diagnosis (NICE guideline CG128).</w:t>
      </w:r>
      <w:r w:rsidRPr="007C2032">
        <w:t xml:space="preserve"> </w:t>
      </w:r>
      <w:hyperlink r:id="rId53" w:history="1">
        <w:r w:rsidRPr="004026F7">
          <w:rPr>
            <w:rStyle w:val="Hyperlink"/>
          </w:rPr>
          <w:t>https://www.nice.org.uk/guidance/cg128</w:t>
        </w:r>
      </w:hyperlink>
      <w:r>
        <w:t xml:space="preserve"> </w:t>
      </w:r>
    </w:p>
  </w:endnote>
  <w:endnote w:id="63">
    <w:p w14:paraId="23CFAC83" w14:textId="4E1F5093" w:rsidR="004E04E1" w:rsidRPr="00053374" w:rsidRDefault="004E04E1" w:rsidP="004C3828">
      <w:pPr>
        <w:pStyle w:val="EndnoteText"/>
        <w:jc w:val="left"/>
        <w:rPr>
          <w:highlight w:val="green"/>
          <w:lang w:val="en-US"/>
        </w:rPr>
      </w:pPr>
      <w:r w:rsidRPr="008E280E">
        <w:rPr>
          <w:rStyle w:val="EndnoteReference"/>
        </w:rPr>
        <w:endnoteRef/>
      </w:r>
      <w:r w:rsidRPr="008E280E">
        <w:t xml:space="preserve"> </w:t>
      </w:r>
      <w:r w:rsidRPr="008E280E">
        <w:rPr>
          <w:lang w:val="en-US"/>
        </w:rPr>
        <w:t>National Autistic Society (</w:t>
      </w:r>
      <w:r w:rsidR="00C53E90" w:rsidRPr="008E280E">
        <w:rPr>
          <w:lang w:val="en-US"/>
        </w:rPr>
        <w:t>2020</w:t>
      </w:r>
      <w:r w:rsidRPr="008E280E">
        <w:rPr>
          <w:lang w:val="en-US"/>
        </w:rPr>
        <w:t>)</w:t>
      </w:r>
      <w:r w:rsidR="00393FE0">
        <w:rPr>
          <w:lang w:val="en-US"/>
        </w:rPr>
        <w:t>.</w:t>
      </w:r>
      <w:r w:rsidRPr="008E280E">
        <w:rPr>
          <w:lang w:val="en-US"/>
        </w:rPr>
        <w:t xml:space="preserve"> </w:t>
      </w:r>
      <w:r w:rsidRPr="008E280E">
        <w:rPr>
          <w:i/>
          <w:iCs/>
          <w:lang w:val="en-US"/>
        </w:rPr>
        <w:t>Sensory differences - a guide for all audiences</w:t>
      </w:r>
      <w:r w:rsidRPr="008E280E">
        <w:rPr>
          <w:lang w:val="en-US"/>
        </w:rPr>
        <w:t xml:space="preserve">. </w:t>
      </w:r>
      <w:r w:rsidR="00B5174F" w:rsidRPr="008E280E">
        <w:rPr>
          <w:lang w:val="en-US"/>
        </w:rPr>
        <w:t xml:space="preserve">Available at: </w:t>
      </w:r>
      <w:r w:rsidRPr="008E280E">
        <w:rPr>
          <w:lang w:val="en-US"/>
        </w:rPr>
        <w:t xml:space="preserve"> </w:t>
      </w:r>
      <w:hyperlink r:id="rId54" w:history="1">
        <w:r w:rsidRPr="008E280E">
          <w:rPr>
            <w:rStyle w:val="Hyperlink"/>
            <w:lang w:val="en-US"/>
          </w:rPr>
          <w:t>https://www.autism.org.uk/advice-and-guidance/topics/sensory-differences/sensory-differences/all-audiences</w:t>
        </w:r>
      </w:hyperlink>
      <w:r w:rsidRPr="008E280E">
        <w:rPr>
          <w:lang w:val="en-US"/>
        </w:rPr>
        <w:t xml:space="preserve"> </w:t>
      </w:r>
    </w:p>
  </w:endnote>
  <w:endnote w:id="64">
    <w:p w14:paraId="6C528154" w14:textId="4933BCB3" w:rsidR="006964CC" w:rsidRPr="00053374" w:rsidRDefault="006964CC" w:rsidP="004C3828">
      <w:pPr>
        <w:pStyle w:val="EndnoteText"/>
        <w:jc w:val="left"/>
        <w:rPr>
          <w:highlight w:val="green"/>
          <w:lang w:val="en-US"/>
        </w:rPr>
      </w:pPr>
      <w:r w:rsidRPr="00E24867">
        <w:rPr>
          <w:rStyle w:val="EndnoteReference"/>
        </w:rPr>
        <w:endnoteRef/>
      </w:r>
      <w:r w:rsidRPr="00E24867">
        <w:t xml:space="preserve"> </w:t>
      </w:r>
      <w:r w:rsidRPr="00E24867">
        <w:rPr>
          <w:lang w:val="en-US"/>
        </w:rPr>
        <w:t>Family Hubs Tower Hamlets (n.d.)</w:t>
      </w:r>
      <w:r w:rsidR="00393FE0" w:rsidRPr="00E24867">
        <w:rPr>
          <w:lang w:val="en-US"/>
        </w:rPr>
        <w:t>.</w:t>
      </w:r>
      <w:r w:rsidRPr="00E24867">
        <w:rPr>
          <w:lang w:val="en-US"/>
        </w:rPr>
        <w:t xml:space="preserve"> </w:t>
      </w:r>
      <w:r w:rsidRPr="00E24867">
        <w:rPr>
          <w:i/>
          <w:iCs/>
          <w:lang w:val="en-US"/>
        </w:rPr>
        <w:t xml:space="preserve">Support for Specific Needs: SEND Support (Special Educational Needs and Disabilities. </w:t>
      </w:r>
      <w:r w:rsidRPr="00E24867">
        <w:rPr>
          <w:lang w:val="en-US"/>
        </w:rPr>
        <w:t>Available</w:t>
      </w:r>
      <w:r w:rsidR="00393FE0" w:rsidRPr="00E24867">
        <w:rPr>
          <w:lang w:val="en-US"/>
        </w:rPr>
        <w:t xml:space="preserve"> at</w:t>
      </w:r>
      <w:r w:rsidRPr="00E24867">
        <w:rPr>
          <w:lang w:val="en-US"/>
        </w:rPr>
        <w:t xml:space="preserve">: </w:t>
      </w:r>
      <w:hyperlink r:id="rId55" w:history="1">
        <w:r w:rsidR="008D1FF9" w:rsidRPr="00E24867">
          <w:rPr>
            <w:rStyle w:val="Hyperlink"/>
            <w:lang w:val="en-US"/>
          </w:rPr>
          <w:t>https://thfamilyhubs.co.uk/</w:t>
        </w:r>
      </w:hyperlink>
      <w:r w:rsidR="008D1FF9" w:rsidRPr="00E24867">
        <w:rPr>
          <w:lang w:val="en-US"/>
        </w:rPr>
        <w:t xml:space="preserve"> </w:t>
      </w:r>
    </w:p>
  </w:endnote>
  <w:endnote w:id="65">
    <w:p w14:paraId="380F6680" w14:textId="5639DD8C" w:rsidR="004E04E1" w:rsidRPr="00053374" w:rsidRDefault="004E04E1" w:rsidP="004C3828">
      <w:pPr>
        <w:pStyle w:val="EndnoteText"/>
        <w:jc w:val="left"/>
        <w:rPr>
          <w:highlight w:val="green"/>
          <w:lang w:val="en-US"/>
        </w:rPr>
      </w:pPr>
      <w:r w:rsidRPr="00A31AFC">
        <w:rPr>
          <w:rStyle w:val="EndnoteReference"/>
        </w:rPr>
        <w:endnoteRef/>
      </w:r>
      <w:r w:rsidRPr="00A31AFC">
        <w:t xml:space="preserve"> </w:t>
      </w:r>
      <w:r w:rsidRPr="00A31AFC">
        <w:rPr>
          <w:lang w:val="en-US"/>
        </w:rPr>
        <w:t xml:space="preserve">NHS (2025). </w:t>
      </w:r>
      <w:r w:rsidRPr="00A31AFC">
        <w:rPr>
          <w:i/>
          <w:iCs/>
          <w:lang w:val="en-US"/>
        </w:rPr>
        <w:t xml:space="preserve">ADHD in children and young people. </w:t>
      </w:r>
      <w:r w:rsidRPr="00A31AFC">
        <w:rPr>
          <w:lang w:val="en-US"/>
        </w:rPr>
        <w:t>Available</w:t>
      </w:r>
      <w:r w:rsidR="00540C2F" w:rsidRPr="00A31AFC">
        <w:rPr>
          <w:lang w:val="en-US"/>
        </w:rPr>
        <w:t xml:space="preserve"> at</w:t>
      </w:r>
      <w:r w:rsidRPr="00A31AFC">
        <w:rPr>
          <w:lang w:val="en-US"/>
        </w:rPr>
        <w:t xml:space="preserve">: </w:t>
      </w:r>
      <w:hyperlink r:id="rId56" w:history="1">
        <w:r w:rsidR="00A31AFC" w:rsidRPr="00A31AFC">
          <w:rPr>
            <w:rStyle w:val="Hyperlink"/>
            <w:lang w:val="en-US"/>
          </w:rPr>
          <w:t>https://www.nhs.uk/conditions/adhd-children-teenagers</w:t>
        </w:r>
      </w:hyperlink>
      <w:r w:rsidR="00A31AFC" w:rsidRPr="00A31AFC">
        <w:rPr>
          <w:lang w:val="en-US"/>
        </w:rPr>
        <w:t xml:space="preserve"> </w:t>
      </w:r>
    </w:p>
  </w:endnote>
  <w:endnote w:id="66">
    <w:p w14:paraId="41DBFCDD" w14:textId="1EA5636D" w:rsidR="004E04E1" w:rsidRPr="00053374" w:rsidRDefault="004E04E1" w:rsidP="004C3828">
      <w:pPr>
        <w:pStyle w:val="EndnoteText"/>
        <w:jc w:val="left"/>
        <w:rPr>
          <w:highlight w:val="green"/>
          <w:lang w:val="en-US"/>
        </w:rPr>
      </w:pPr>
      <w:r w:rsidRPr="0074383A">
        <w:rPr>
          <w:rStyle w:val="EndnoteReference"/>
        </w:rPr>
        <w:endnoteRef/>
      </w:r>
      <w:r w:rsidRPr="0074383A">
        <w:t xml:space="preserve"> Amiri, S., Malek, A., </w:t>
      </w:r>
      <w:r w:rsidR="00BE76C9" w:rsidRPr="0074383A">
        <w:t>Sadegfard</w:t>
      </w:r>
      <w:r w:rsidRPr="0074383A">
        <w:t>, M</w:t>
      </w:r>
      <w:r w:rsidR="00BE76C9" w:rsidRPr="0074383A">
        <w:t>. and</w:t>
      </w:r>
      <w:r w:rsidRPr="0074383A">
        <w:t xml:space="preserve"> Abdi, S. (2012)</w:t>
      </w:r>
      <w:r w:rsidR="00D405A5">
        <w:t>.</w:t>
      </w:r>
      <w:r w:rsidRPr="0074383A">
        <w:t xml:space="preserve"> </w:t>
      </w:r>
      <w:r w:rsidR="00BE76C9" w:rsidRPr="0074383A">
        <w:t>‘</w:t>
      </w:r>
      <w:r w:rsidRPr="0074383A">
        <w:t>Pregnancy</w:t>
      </w:r>
      <w:r w:rsidR="00BE76C9" w:rsidRPr="0074383A">
        <w:t>‐</w:t>
      </w:r>
      <w:r w:rsidRPr="0074383A">
        <w:t>related maternal risk factors of attention</w:t>
      </w:r>
      <w:r w:rsidR="00BE76C9" w:rsidRPr="0074383A">
        <w:t>‐</w:t>
      </w:r>
      <w:r w:rsidRPr="0074383A">
        <w:t>deficit hyperactivity disorder: A case</w:t>
      </w:r>
      <w:r w:rsidR="00BE76C9" w:rsidRPr="0074383A">
        <w:t>‐</w:t>
      </w:r>
      <w:r w:rsidRPr="0074383A">
        <w:t xml:space="preserve">control </w:t>
      </w:r>
      <w:r w:rsidR="00BE76C9" w:rsidRPr="0074383A">
        <w:t>study’, </w:t>
      </w:r>
      <w:r w:rsidR="00BE76C9" w:rsidRPr="0074383A">
        <w:rPr>
          <w:i/>
          <w:iCs/>
        </w:rPr>
        <w:t>International Scholarly Research Notices</w:t>
      </w:r>
      <w:r w:rsidR="00BE76C9" w:rsidRPr="0074383A">
        <w:t>, p.458064.</w:t>
      </w:r>
      <w:r w:rsidR="00710199" w:rsidRPr="0074383A">
        <w:t xml:space="preserve"> </w:t>
      </w:r>
      <w:r w:rsidR="00D405A5">
        <w:rPr>
          <w:lang w:val="en-US"/>
        </w:rPr>
        <w:t>doi</w:t>
      </w:r>
      <w:r w:rsidR="00710199" w:rsidRPr="0074383A">
        <w:rPr>
          <w:lang w:val="en-US"/>
        </w:rPr>
        <w:t xml:space="preserve">: </w:t>
      </w:r>
      <w:hyperlink r:id="rId57" w:history="1">
        <w:r w:rsidR="0074383A" w:rsidRPr="0074383A">
          <w:rPr>
            <w:rStyle w:val="Hyperlink"/>
            <w:lang w:val="en-US"/>
          </w:rPr>
          <w:t>https://doi.org/10.5402/2012/458064</w:t>
        </w:r>
      </w:hyperlink>
    </w:p>
  </w:endnote>
  <w:endnote w:id="67">
    <w:p w14:paraId="243FFB99" w14:textId="6892F103" w:rsidR="0017127C" w:rsidRPr="00293C95" w:rsidRDefault="0017127C">
      <w:pPr>
        <w:pStyle w:val="EndnoteText"/>
        <w:rPr>
          <w:lang w:val="en-US"/>
        </w:rPr>
      </w:pPr>
      <w:r>
        <w:rPr>
          <w:rStyle w:val="EndnoteReference"/>
        </w:rPr>
        <w:endnoteRef/>
      </w:r>
      <w:r>
        <w:t xml:space="preserve"> </w:t>
      </w:r>
      <w:r w:rsidR="00DA52C5" w:rsidRPr="00DA52C5">
        <w:t xml:space="preserve">Thapar, A., Cooper, M., Eyre, O., &amp; Langley, K. (2013). </w:t>
      </w:r>
      <w:r w:rsidR="00DA52C5" w:rsidRPr="00DA52C5">
        <w:rPr>
          <w:i/>
          <w:iCs/>
        </w:rPr>
        <w:t>What have we learnt about the causes of ADHD?</w:t>
      </w:r>
      <w:r w:rsidR="00DA52C5" w:rsidRPr="00DA52C5">
        <w:t xml:space="preserve"> Journal of Child Psychology and Psychiatry, 54(1), 3–16. </w:t>
      </w:r>
      <w:hyperlink r:id="rId58" w:history="1">
        <w:r w:rsidR="00DA52C5" w:rsidRPr="004026F7">
          <w:rPr>
            <w:rStyle w:val="Hyperlink"/>
          </w:rPr>
          <w:t>https://doi.org/10.1111/j.1469-7610.2012.02611.x</w:t>
        </w:r>
      </w:hyperlink>
      <w:r w:rsidR="00DA52C5">
        <w:t xml:space="preserve"> </w:t>
      </w:r>
    </w:p>
  </w:endnote>
  <w:endnote w:id="68">
    <w:p w14:paraId="4FF56173" w14:textId="59D083AB" w:rsidR="00D52294" w:rsidRPr="00293C95" w:rsidRDefault="00D52294">
      <w:pPr>
        <w:pStyle w:val="EndnoteText"/>
        <w:rPr>
          <w:lang w:val="en-US"/>
        </w:rPr>
      </w:pPr>
      <w:r>
        <w:rPr>
          <w:rStyle w:val="EndnoteReference"/>
        </w:rPr>
        <w:endnoteRef/>
      </w:r>
      <w:r>
        <w:t xml:space="preserve"> </w:t>
      </w:r>
      <w:r w:rsidRPr="00D52294">
        <w:t xml:space="preserve">Faraone, S. V., &amp; Larsson, H. (2019). </w:t>
      </w:r>
      <w:r w:rsidRPr="00D52294">
        <w:rPr>
          <w:i/>
          <w:iCs/>
        </w:rPr>
        <w:t>Genetics of attention deficit hyperactivity disorder.</w:t>
      </w:r>
      <w:r w:rsidRPr="00D52294">
        <w:t xml:space="preserve"> Molecular Psychiatry, 24(4), 562–575. </w:t>
      </w:r>
      <w:hyperlink r:id="rId59" w:history="1">
        <w:r w:rsidRPr="004026F7">
          <w:rPr>
            <w:rStyle w:val="Hyperlink"/>
          </w:rPr>
          <w:t>https://doi.org/10.1038/s41380-018-0070-0</w:t>
        </w:r>
      </w:hyperlink>
      <w:r>
        <w:t xml:space="preserve"> </w:t>
      </w:r>
    </w:p>
  </w:endnote>
  <w:endnote w:id="69">
    <w:p w14:paraId="2D481E5C" w14:textId="3750F2FA" w:rsidR="004E04E1" w:rsidRPr="00053374" w:rsidRDefault="004E04E1" w:rsidP="004C3828">
      <w:pPr>
        <w:pStyle w:val="EndnoteText"/>
        <w:jc w:val="left"/>
        <w:rPr>
          <w:highlight w:val="green"/>
          <w:lang w:val="en-US"/>
        </w:rPr>
      </w:pPr>
      <w:r w:rsidRPr="00EC6497">
        <w:rPr>
          <w:rStyle w:val="EndnoteReference"/>
        </w:rPr>
        <w:endnoteRef/>
      </w:r>
      <w:r w:rsidRPr="00EC6497">
        <w:t xml:space="preserve"> Kings College London (2016). </w:t>
      </w:r>
      <w:r w:rsidRPr="00EC6497">
        <w:rPr>
          <w:i/>
          <w:iCs/>
        </w:rPr>
        <w:t xml:space="preserve">Unhealthy diet during pregnancy could be linked to ADHD. </w:t>
      </w:r>
      <w:r w:rsidRPr="00EC6497">
        <w:t xml:space="preserve">Available </w:t>
      </w:r>
      <w:r w:rsidR="007249FA" w:rsidRPr="00EC6497">
        <w:t>at</w:t>
      </w:r>
      <w:r w:rsidRPr="00EC6497">
        <w:t xml:space="preserve">: </w:t>
      </w:r>
      <w:hyperlink r:id="rId60" w:history="1">
        <w:r w:rsidR="00EC6497" w:rsidRPr="00EC6497">
          <w:rPr>
            <w:rStyle w:val="Hyperlink"/>
          </w:rPr>
          <w:t>https://www.kcl.ac.uk/archive/news/ioppn/records/2016/august/unhealthy-diet-during-pregnancy-could-be-linked-to-adhd</w:t>
        </w:r>
      </w:hyperlink>
      <w:r w:rsidR="00EC6497" w:rsidRPr="00EC6497">
        <w:t xml:space="preserve"> </w:t>
      </w:r>
    </w:p>
  </w:endnote>
  <w:endnote w:id="70">
    <w:p w14:paraId="47F48D47" w14:textId="32DE1D90" w:rsidR="00606254" w:rsidRPr="00293C95" w:rsidRDefault="00606254">
      <w:pPr>
        <w:pStyle w:val="EndnoteText"/>
        <w:rPr>
          <w:lang w:val="en-US"/>
        </w:rPr>
      </w:pPr>
      <w:r>
        <w:rPr>
          <w:rStyle w:val="EndnoteReference"/>
        </w:rPr>
        <w:endnoteRef/>
      </w:r>
      <w:r>
        <w:t xml:space="preserve"> </w:t>
      </w:r>
      <w:r w:rsidRPr="00606254">
        <w:t xml:space="preserve">Asarnow, R. F., et al. (2021). </w:t>
      </w:r>
      <w:r w:rsidRPr="00606254">
        <w:rPr>
          <w:i/>
          <w:iCs/>
        </w:rPr>
        <w:t>ADHD following traumatic brain injury in children and adolescents: A meta-analysis.</w:t>
      </w:r>
      <w:r w:rsidRPr="00606254">
        <w:t xml:space="preserve"> Journal of the American Academy of Child &amp; Adolescent Psychiatry, 60(3), 316–328. </w:t>
      </w:r>
      <w:hyperlink r:id="rId61" w:history="1">
        <w:r w:rsidRPr="004026F7">
          <w:rPr>
            <w:rStyle w:val="Hyperlink"/>
          </w:rPr>
          <w:t>https://doi.org/10.1016/j.jaac.2020.06.011</w:t>
        </w:r>
      </w:hyperlink>
      <w:r>
        <w:t xml:space="preserve">. </w:t>
      </w:r>
    </w:p>
  </w:endnote>
  <w:endnote w:id="71">
    <w:p w14:paraId="01D5E09F" w14:textId="568E511C" w:rsidR="00CC2AFE" w:rsidRPr="00260AC2" w:rsidRDefault="00CC2AFE">
      <w:pPr>
        <w:pStyle w:val="EndnoteText"/>
        <w:rPr>
          <w:rFonts w:ascii="Bahnschrift" w:hAnsi="Bahnschrift"/>
          <w:color w:val="1B1B1B"/>
          <w:sz w:val="25"/>
          <w:szCs w:val="25"/>
          <w:shd w:val="clear" w:color="auto" w:fill="FFFFFF"/>
        </w:rPr>
      </w:pPr>
      <w:r>
        <w:rPr>
          <w:rStyle w:val="EndnoteReference"/>
        </w:rPr>
        <w:endnoteRef/>
      </w:r>
      <w:r>
        <w:t xml:space="preserve"> </w:t>
      </w:r>
      <w:r>
        <w:rPr>
          <w:lang w:val="en-US"/>
        </w:rPr>
        <w:t>Salari, N., Ghasemi, H., Abdoli, N., Rahmani, A., Hossain Shiri, M., Hashemain, A.H., Akbari, H., Moha</w:t>
      </w:r>
      <w:r w:rsidR="00DA6779">
        <w:rPr>
          <w:lang w:val="en-US"/>
        </w:rPr>
        <w:t xml:space="preserve">mmadi, M., (2023). </w:t>
      </w:r>
      <w:r w:rsidR="00EC09BF">
        <w:rPr>
          <w:lang w:val="en-US"/>
        </w:rPr>
        <w:t xml:space="preserve">The global prevalence of ADHD in children and adolescents: a systematic review and meta-analysis. </w:t>
      </w:r>
      <w:r w:rsidR="00EC09BF">
        <w:rPr>
          <w:i/>
          <w:iCs/>
          <w:lang w:val="en-US"/>
        </w:rPr>
        <w:t xml:space="preserve">Italian Journal </w:t>
      </w:r>
      <w:r w:rsidR="00817A74">
        <w:rPr>
          <w:i/>
          <w:iCs/>
          <w:lang w:val="en-US"/>
        </w:rPr>
        <w:t>of Pediatrics.</w:t>
      </w:r>
      <w:r w:rsidR="006A749D">
        <w:rPr>
          <w:lang w:val="en-US"/>
        </w:rPr>
        <w:t>49(48)</w:t>
      </w:r>
      <w:r w:rsidR="00681925">
        <w:rPr>
          <w:lang w:val="en-US"/>
        </w:rPr>
        <w:t>.</w:t>
      </w:r>
      <w:r w:rsidR="00817A74">
        <w:rPr>
          <w:i/>
          <w:iCs/>
          <w:lang w:val="en-US"/>
        </w:rPr>
        <w:t xml:space="preserve"> </w:t>
      </w:r>
      <w:r w:rsidR="00260AC2">
        <w:rPr>
          <w:lang w:val="en-US"/>
        </w:rPr>
        <w:t>d</w:t>
      </w:r>
      <w:r w:rsidR="00260AC2" w:rsidRPr="00260AC2">
        <w:t>oi: </w:t>
      </w:r>
      <w:hyperlink r:id="rId62" w:tgtFrame="_blank" w:history="1">
        <w:r w:rsidR="00260AC2" w:rsidRPr="00260AC2">
          <w:rPr>
            <w:rStyle w:val="Hyperlink"/>
          </w:rPr>
          <w:t>10.1186/s13052-023-01456-1</w:t>
        </w:r>
      </w:hyperlink>
    </w:p>
  </w:endnote>
  <w:endnote w:id="72">
    <w:p w14:paraId="641BB239" w14:textId="450FEF03" w:rsidR="004E04E1" w:rsidRPr="00842F1F" w:rsidRDefault="004E04E1" w:rsidP="004C3828">
      <w:pPr>
        <w:pStyle w:val="EndnoteText"/>
        <w:jc w:val="left"/>
      </w:pPr>
      <w:r w:rsidRPr="00C07BB6">
        <w:rPr>
          <w:rStyle w:val="EndnoteReference"/>
        </w:rPr>
        <w:endnoteRef/>
      </w:r>
      <w:r w:rsidRPr="00C07BB6">
        <w:t xml:space="preserve"> Tower Hamlets Together (2024). </w:t>
      </w:r>
      <w:r w:rsidRPr="00C07BB6">
        <w:rPr>
          <w:i/>
          <w:iCs/>
        </w:rPr>
        <w:t xml:space="preserve">Children &amp; Young People’s Mental Health and Wellbeing. </w:t>
      </w:r>
      <w:r w:rsidRPr="00C07BB6">
        <w:t xml:space="preserve">Available </w:t>
      </w:r>
      <w:r w:rsidR="00447A2E" w:rsidRPr="00C07BB6">
        <w:t>at</w:t>
      </w:r>
      <w:r w:rsidRPr="00C07BB6">
        <w:t xml:space="preserve">: </w:t>
      </w:r>
      <w:r w:rsidR="00972685">
        <w:t xml:space="preserve"> </w:t>
      </w:r>
      <w:hyperlink r:id="rId63" w:history="1">
        <w:r w:rsidR="00186D54" w:rsidRPr="00520CC3">
          <w:rPr>
            <w:rStyle w:val="Hyperlink"/>
          </w:rPr>
          <w:t>https://democracy.towerhamlets.gov.uk/documents/s242711/20052024%20TH%20HWBB%20MHWB%20Final%20Draft.pdf</w:t>
        </w:r>
      </w:hyperlink>
      <w:r w:rsidR="00186D54">
        <w:t xml:space="preserve"> </w:t>
      </w:r>
      <w:hyperlink r:id="rId64" w:history="1">
        <w:r w:rsidR="00186D54" w:rsidRPr="00842F1F">
          <w:rPr>
            <w:rStyle w:val="Hyperlink"/>
          </w:rPr>
          <w:t>https://democracy.towerhamlets.gov.uk/documents/s242711/20052024%20TH%20HWBB%20MHWB%20Final%20Draft.pdf</w:t>
        </w:r>
      </w:hyperlink>
      <w:r w:rsidR="00186D54" w:rsidRPr="00842F1F">
        <w:t xml:space="preserve"> </w:t>
      </w:r>
    </w:p>
  </w:endnote>
  <w:endnote w:id="73">
    <w:p w14:paraId="159131B1" w14:textId="7B5EC026" w:rsidR="004E04E1" w:rsidRPr="00053374" w:rsidRDefault="004E04E1" w:rsidP="004C3828">
      <w:pPr>
        <w:pStyle w:val="EndnoteText"/>
        <w:jc w:val="left"/>
        <w:rPr>
          <w:highlight w:val="green"/>
          <w:lang w:val="en-US"/>
        </w:rPr>
      </w:pPr>
      <w:r w:rsidRPr="00842F1F">
        <w:rPr>
          <w:rStyle w:val="EndnoteReference"/>
        </w:rPr>
        <w:endnoteRef/>
      </w:r>
      <w:r w:rsidRPr="00842F1F">
        <w:t xml:space="preserve"> </w:t>
      </w:r>
      <w:r w:rsidRPr="00842F1F">
        <w:rPr>
          <w:lang w:val="en-US"/>
        </w:rPr>
        <w:t xml:space="preserve">Young Minds (2024). </w:t>
      </w:r>
      <w:r w:rsidRPr="00842F1F">
        <w:rPr>
          <w:i/>
          <w:iCs/>
          <w:lang w:val="en-US"/>
        </w:rPr>
        <w:t>ADHD and mental health.</w:t>
      </w:r>
      <w:r w:rsidRPr="00842F1F">
        <w:rPr>
          <w:lang w:val="en-US"/>
        </w:rPr>
        <w:t xml:space="preserve"> Available </w:t>
      </w:r>
      <w:r w:rsidR="00E403C2" w:rsidRPr="00842F1F">
        <w:rPr>
          <w:lang w:val="en-US"/>
        </w:rPr>
        <w:t>at</w:t>
      </w:r>
      <w:r w:rsidRPr="00842F1F">
        <w:rPr>
          <w:lang w:val="en-US"/>
        </w:rPr>
        <w:t>:</w:t>
      </w:r>
      <w:r w:rsidRPr="00842F1F">
        <w:rPr>
          <w:sz w:val="22"/>
          <w:szCs w:val="24"/>
        </w:rPr>
        <w:t xml:space="preserve"> </w:t>
      </w:r>
      <w:hyperlink r:id="rId65" w:history="1">
        <w:r w:rsidR="00842F1F" w:rsidRPr="00842F1F">
          <w:rPr>
            <w:rStyle w:val="Hyperlink"/>
            <w:sz w:val="22"/>
            <w:szCs w:val="24"/>
          </w:rPr>
          <w:t>https://www.youngminds.org.uk/young-person/mental-health-conditions/adhd-and-mental-health/</w:t>
        </w:r>
      </w:hyperlink>
      <w:r w:rsidR="00842F1F" w:rsidRPr="00842F1F">
        <w:rPr>
          <w:sz w:val="22"/>
          <w:szCs w:val="24"/>
        </w:rPr>
        <w:t xml:space="preserve"> </w:t>
      </w:r>
    </w:p>
  </w:endnote>
  <w:endnote w:id="74">
    <w:p w14:paraId="7E2C05E0" w14:textId="0E445387" w:rsidR="004E04E1" w:rsidRPr="00053374" w:rsidRDefault="004E04E1" w:rsidP="004C3828">
      <w:pPr>
        <w:pStyle w:val="EndnoteText"/>
        <w:jc w:val="left"/>
        <w:rPr>
          <w:highlight w:val="green"/>
          <w:lang w:val="en-US"/>
        </w:rPr>
      </w:pPr>
      <w:r w:rsidRPr="002E08FB">
        <w:rPr>
          <w:rStyle w:val="EndnoteReference"/>
        </w:rPr>
        <w:endnoteRef/>
      </w:r>
      <w:r w:rsidRPr="002E08FB">
        <w:t xml:space="preserve"> </w:t>
      </w:r>
      <w:r w:rsidR="00A87FF3" w:rsidRPr="002E08FB">
        <w:t>Holton, K.F. and Nigg, J.T. (2020). ‘The association of lifestyle factors and ADHD in children’, </w:t>
      </w:r>
      <w:r w:rsidR="00A87FF3" w:rsidRPr="002E08FB">
        <w:rPr>
          <w:i/>
          <w:iCs/>
        </w:rPr>
        <w:t>Journal of attention disorders</w:t>
      </w:r>
      <w:r w:rsidR="00A87FF3" w:rsidRPr="002E08FB">
        <w:t>, 24(11), pp.1511-1520.</w:t>
      </w:r>
      <w:r w:rsidR="002E08FB" w:rsidRPr="002E08FB">
        <w:t xml:space="preserve"> </w:t>
      </w:r>
      <w:r w:rsidR="00D046F5">
        <w:t>doi</w:t>
      </w:r>
      <w:r w:rsidR="002E08FB" w:rsidRPr="002E08FB">
        <w:t xml:space="preserve">: </w:t>
      </w:r>
      <w:hyperlink r:id="rId66" w:history="1">
        <w:r w:rsidR="002E08FB" w:rsidRPr="002E08FB">
          <w:rPr>
            <w:rStyle w:val="Hyperlink"/>
          </w:rPr>
          <w:t>https://doi.org/10.1177/10870547166464</w:t>
        </w:r>
      </w:hyperlink>
    </w:p>
  </w:endnote>
  <w:endnote w:id="75">
    <w:p w14:paraId="79EA5383" w14:textId="5CF168C4" w:rsidR="004E04E1" w:rsidRPr="001B2296" w:rsidRDefault="004E04E1" w:rsidP="004C3828">
      <w:pPr>
        <w:pStyle w:val="EndnoteText"/>
        <w:jc w:val="left"/>
        <w:rPr>
          <w:lang w:val="en-US"/>
        </w:rPr>
      </w:pPr>
      <w:r w:rsidRPr="001B2296">
        <w:rPr>
          <w:rStyle w:val="EndnoteReference"/>
        </w:rPr>
        <w:endnoteRef/>
      </w:r>
      <w:r w:rsidRPr="001B2296">
        <w:t xml:space="preserve"> Mercurio, L.Y., Amanullah, S., Gill, N</w:t>
      </w:r>
      <w:r w:rsidR="00F03F93" w:rsidRPr="001B2296">
        <w:t>. and</w:t>
      </w:r>
      <w:r w:rsidRPr="001B2296">
        <w:t xml:space="preserve"> Gjelsvik, A. (2021)</w:t>
      </w:r>
      <w:r w:rsidR="00D046F5">
        <w:t>.</w:t>
      </w:r>
      <w:r w:rsidRPr="001B2296">
        <w:t xml:space="preserve"> </w:t>
      </w:r>
      <w:r w:rsidR="007228F4" w:rsidRPr="001B2296">
        <w:t>‘</w:t>
      </w:r>
      <w:r w:rsidRPr="001B2296">
        <w:t xml:space="preserve">Children with ADHD engage in less physical </w:t>
      </w:r>
      <w:r w:rsidR="00F03F93" w:rsidRPr="001B2296">
        <w:t>activity</w:t>
      </w:r>
      <w:r w:rsidR="007228F4" w:rsidRPr="001B2296">
        <w:t>’</w:t>
      </w:r>
      <w:r w:rsidR="00F03F93" w:rsidRPr="001B2296">
        <w:t>. </w:t>
      </w:r>
      <w:r w:rsidRPr="001B2296">
        <w:rPr>
          <w:i/>
          <w:iCs/>
        </w:rPr>
        <w:t xml:space="preserve">Journal of </w:t>
      </w:r>
      <w:r w:rsidR="00D046F5">
        <w:rPr>
          <w:i/>
          <w:iCs/>
        </w:rPr>
        <w:t>A</w:t>
      </w:r>
      <w:r w:rsidR="00F03F93" w:rsidRPr="001B2296">
        <w:rPr>
          <w:i/>
          <w:iCs/>
        </w:rPr>
        <w:t xml:space="preserve">ttention </w:t>
      </w:r>
      <w:r w:rsidR="00D046F5">
        <w:rPr>
          <w:i/>
          <w:iCs/>
        </w:rPr>
        <w:t>D</w:t>
      </w:r>
      <w:r w:rsidR="00F03F93" w:rsidRPr="001B2296">
        <w:rPr>
          <w:i/>
          <w:iCs/>
        </w:rPr>
        <w:t>isorders</w:t>
      </w:r>
      <w:r w:rsidR="00F03F93" w:rsidRPr="001B2296">
        <w:t>, 25(8), pp.1187-1195.</w:t>
      </w:r>
      <w:r w:rsidRPr="001B2296">
        <w:t xml:space="preserve"> </w:t>
      </w:r>
      <w:r w:rsidR="00D046F5">
        <w:t>doi</w:t>
      </w:r>
      <w:r w:rsidR="007228F4" w:rsidRPr="001B2296">
        <w:t xml:space="preserve">: </w:t>
      </w:r>
      <w:hyperlink r:id="rId67" w:history="1">
        <w:r w:rsidR="001B2296" w:rsidRPr="001B2296">
          <w:rPr>
            <w:rStyle w:val="Hyperlink"/>
          </w:rPr>
          <w:t>https://doi.org/10.1177/1087054719887789</w:t>
        </w:r>
      </w:hyperlink>
    </w:p>
  </w:endnote>
  <w:endnote w:id="76">
    <w:p w14:paraId="2D92D395" w14:textId="7808F2F2" w:rsidR="004E04E1" w:rsidRPr="00053374" w:rsidRDefault="004E04E1" w:rsidP="004C3828">
      <w:pPr>
        <w:pStyle w:val="EndnoteText"/>
        <w:jc w:val="left"/>
        <w:rPr>
          <w:highlight w:val="green"/>
          <w:lang w:val="en-US"/>
        </w:rPr>
      </w:pPr>
      <w:r w:rsidRPr="00FE797C">
        <w:rPr>
          <w:rStyle w:val="EndnoteReference"/>
        </w:rPr>
        <w:endnoteRef/>
      </w:r>
      <w:r w:rsidRPr="00476C25">
        <w:rPr>
          <w:lang w:val="de-DE"/>
        </w:rPr>
        <w:t xml:space="preserve"> Selinus, E.N., Durbeej, N., Zhan, Y., Lichtenstein, P., </w:t>
      </w:r>
      <w:r w:rsidR="00F94881" w:rsidRPr="00476C25">
        <w:rPr>
          <w:lang w:val="de-DE"/>
        </w:rPr>
        <w:t>Lundström</w:t>
      </w:r>
      <w:r w:rsidRPr="00476C25">
        <w:rPr>
          <w:lang w:val="de-DE"/>
        </w:rPr>
        <w:t>, S</w:t>
      </w:r>
      <w:r w:rsidR="00F94881" w:rsidRPr="00476C25">
        <w:rPr>
          <w:lang w:val="de-DE"/>
        </w:rPr>
        <w:t>. and</w:t>
      </w:r>
      <w:r w:rsidRPr="00476C25">
        <w:rPr>
          <w:lang w:val="de-DE"/>
        </w:rPr>
        <w:t xml:space="preserve"> Ekblom, M. (2021)</w:t>
      </w:r>
      <w:r w:rsidR="00D046F5" w:rsidRPr="00476C25">
        <w:rPr>
          <w:lang w:val="de-DE"/>
        </w:rPr>
        <w:t>.</w:t>
      </w:r>
      <w:r w:rsidRPr="00476C25">
        <w:rPr>
          <w:lang w:val="de-DE"/>
        </w:rPr>
        <w:t xml:space="preserve"> </w:t>
      </w:r>
      <w:r w:rsidR="00F94881" w:rsidRPr="00FE797C">
        <w:t>‘</w:t>
      </w:r>
      <w:r w:rsidRPr="00FE797C">
        <w:t xml:space="preserve">Inattention and hyperactivity symptoms in childhood predict physical activity in </w:t>
      </w:r>
      <w:r w:rsidR="00F94881" w:rsidRPr="00FE797C">
        <w:t>adolescence’, </w:t>
      </w:r>
      <w:r w:rsidRPr="00FE797C">
        <w:rPr>
          <w:i/>
          <w:iCs/>
        </w:rPr>
        <w:t>BMC Psychiatry</w:t>
      </w:r>
      <w:r w:rsidR="00F94881" w:rsidRPr="00FE797C">
        <w:t>, 21(1), p.629.</w:t>
      </w:r>
      <w:r w:rsidRPr="00FE797C">
        <w:t xml:space="preserve"> </w:t>
      </w:r>
      <w:r w:rsidR="00D046F5">
        <w:t>doi:</w:t>
      </w:r>
      <w:r w:rsidR="00F94881" w:rsidRPr="001B2296">
        <w:t xml:space="preserve"> </w:t>
      </w:r>
      <w:hyperlink r:id="rId68" w:history="1">
        <w:r w:rsidR="000B2E44" w:rsidRPr="00520CC3">
          <w:rPr>
            <w:rStyle w:val="Hyperlink"/>
          </w:rPr>
          <w:t>https://doi.org/10.1186/s12888-021-03603-6</w:t>
        </w:r>
      </w:hyperlink>
    </w:p>
  </w:endnote>
  <w:endnote w:id="77">
    <w:p w14:paraId="74CBD2DE" w14:textId="5A9CB30B" w:rsidR="006964CC" w:rsidRPr="00053374" w:rsidRDefault="006964CC" w:rsidP="004C3828">
      <w:pPr>
        <w:pStyle w:val="EndnoteText"/>
        <w:jc w:val="left"/>
        <w:rPr>
          <w:highlight w:val="green"/>
          <w:lang w:val="en-US"/>
        </w:rPr>
      </w:pPr>
      <w:r w:rsidRPr="00795952">
        <w:rPr>
          <w:rStyle w:val="EndnoteReference"/>
        </w:rPr>
        <w:endnoteRef/>
      </w:r>
      <w:r w:rsidRPr="00795952">
        <w:t xml:space="preserve"> </w:t>
      </w:r>
      <w:r w:rsidRPr="00795952">
        <w:rPr>
          <w:lang w:val="en-US"/>
        </w:rPr>
        <w:t xml:space="preserve">Family Action (2024). </w:t>
      </w:r>
      <w:r w:rsidRPr="00795952">
        <w:rPr>
          <w:i/>
          <w:iCs/>
          <w:lang w:val="en-US"/>
        </w:rPr>
        <w:t xml:space="preserve">How to support a child with ADHD with food and eating. </w:t>
      </w:r>
      <w:r w:rsidRPr="00795952">
        <w:rPr>
          <w:lang w:val="en-US"/>
        </w:rPr>
        <w:t xml:space="preserve">Available </w:t>
      </w:r>
      <w:r w:rsidR="00795952" w:rsidRPr="00795952">
        <w:rPr>
          <w:lang w:val="en-US"/>
        </w:rPr>
        <w:t>at</w:t>
      </w:r>
      <w:r w:rsidRPr="00795952">
        <w:rPr>
          <w:lang w:val="en-US"/>
        </w:rPr>
        <w:t xml:space="preserve">: </w:t>
      </w:r>
      <w:hyperlink r:id="rId69" w:history="1">
        <w:r w:rsidR="00795952" w:rsidRPr="00795952">
          <w:rPr>
            <w:rStyle w:val="Hyperlink"/>
            <w:lang w:val="en-US"/>
          </w:rPr>
          <w:t>https://family-action.org.uk/self-help/support-a-child-with-adhd-with-food-eating/</w:t>
        </w:r>
      </w:hyperlink>
      <w:r w:rsidR="00795952">
        <w:rPr>
          <w:lang w:val="en-US"/>
        </w:rPr>
        <w:t xml:space="preserve"> </w:t>
      </w:r>
    </w:p>
  </w:endnote>
  <w:endnote w:id="78">
    <w:p w14:paraId="3E691068" w14:textId="1F911F58" w:rsidR="006964CC" w:rsidRPr="00053374" w:rsidRDefault="006964CC" w:rsidP="004C3828">
      <w:pPr>
        <w:pStyle w:val="EndnoteText"/>
        <w:jc w:val="left"/>
        <w:rPr>
          <w:highlight w:val="green"/>
          <w:lang w:val="en-US"/>
        </w:rPr>
      </w:pPr>
      <w:r w:rsidRPr="00173151">
        <w:rPr>
          <w:rStyle w:val="EndnoteReference"/>
        </w:rPr>
        <w:endnoteRef/>
      </w:r>
      <w:r w:rsidRPr="00173151">
        <w:t xml:space="preserve">Office for Health Improvement Disparities (2024). </w:t>
      </w:r>
      <w:r w:rsidRPr="00173151">
        <w:rPr>
          <w:i/>
          <w:iCs/>
        </w:rPr>
        <w:t xml:space="preserve">The Eatwell Guide. </w:t>
      </w:r>
      <w:r w:rsidRPr="00173151">
        <w:t>Available</w:t>
      </w:r>
      <w:r w:rsidR="00795952" w:rsidRPr="00173151">
        <w:t xml:space="preserve"> at</w:t>
      </w:r>
      <w:r w:rsidRPr="00173151">
        <w:t xml:space="preserve">: </w:t>
      </w:r>
      <w:hyperlink r:id="rId70" w:history="1">
        <w:r w:rsidR="00173151" w:rsidRPr="00173151">
          <w:rPr>
            <w:rStyle w:val="Hyperlink"/>
          </w:rPr>
          <w:t>https://www.gov.uk/government/publications/the-eatwell-guide</w:t>
        </w:r>
      </w:hyperlink>
      <w:r w:rsidR="00173151" w:rsidRPr="00173151">
        <w:t xml:space="preserve"> </w:t>
      </w:r>
    </w:p>
  </w:endnote>
  <w:endnote w:id="79">
    <w:p w14:paraId="4A658363" w14:textId="07E23586" w:rsidR="004E04E1" w:rsidRPr="000D42A6" w:rsidRDefault="004E04E1" w:rsidP="004C3828">
      <w:pPr>
        <w:pStyle w:val="EndnoteText"/>
        <w:jc w:val="left"/>
        <w:rPr>
          <w:lang w:val="en-US"/>
        </w:rPr>
      </w:pPr>
      <w:r w:rsidRPr="0071294B">
        <w:rPr>
          <w:rStyle w:val="EndnoteReference"/>
        </w:rPr>
        <w:endnoteRef/>
      </w:r>
      <w:r w:rsidRPr="0071294B">
        <w:t xml:space="preserve"> Sibley, M.H., Pelham</w:t>
      </w:r>
      <w:r w:rsidR="004B0242" w:rsidRPr="0071294B">
        <w:t xml:space="preserve"> Jr</w:t>
      </w:r>
      <w:r w:rsidRPr="0071294B">
        <w:t>, W.E</w:t>
      </w:r>
      <w:r w:rsidR="004B0242" w:rsidRPr="0071294B">
        <w:t xml:space="preserve">., </w:t>
      </w:r>
      <w:r w:rsidRPr="0071294B">
        <w:t>Molina, B.S</w:t>
      </w:r>
      <w:r w:rsidR="004B0242" w:rsidRPr="0071294B">
        <w:t>., Coxe, S., Kipp, H., Gnagy, E.M., Meinzer, M., Ross, J.M. and Lahey, B.B. (2014)</w:t>
      </w:r>
      <w:r w:rsidR="00D046F5">
        <w:t>.</w:t>
      </w:r>
      <w:r w:rsidR="004B0242" w:rsidRPr="0071294B">
        <w:t xml:space="preserve"> ‘</w:t>
      </w:r>
      <w:r w:rsidRPr="0071294B">
        <w:t>The role of early childhood ADHD and subsequent CD in the initiation and escalation of adolescent cigarette, alcohol</w:t>
      </w:r>
      <w:r w:rsidR="004B0242" w:rsidRPr="0071294B">
        <w:t>,</w:t>
      </w:r>
      <w:r w:rsidRPr="0071294B">
        <w:t xml:space="preserve"> and marijuana </w:t>
      </w:r>
      <w:r w:rsidR="004B0242" w:rsidRPr="0071294B">
        <w:t>use’. </w:t>
      </w:r>
      <w:r w:rsidRPr="0071294B">
        <w:rPr>
          <w:i/>
          <w:iCs/>
        </w:rPr>
        <w:t xml:space="preserve">Journal of </w:t>
      </w:r>
      <w:r w:rsidR="00D046F5">
        <w:rPr>
          <w:i/>
          <w:iCs/>
        </w:rPr>
        <w:t>A</w:t>
      </w:r>
      <w:r w:rsidR="004B0242" w:rsidRPr="0071294B">
        <w:rPr>
          <w:i/>
          <w:iCs/>
        </w:rPr>
        <w:t xml:space="preserve">bnormal </w:t>
      </w:r>
      <w:r w:rsidR="00D046F5">
        <w:rPr>
          <w:i/>
          <w:iCs/>
        </w:rPr>
        <w:t>P</w:t>
      </w:r>
      <w:r w:rsidR="004B0242" w:rsidRPr="0071294B">
        <w:rPr>
          <w:i/>
          <w:iCs/>
        </w:rPr>
        <w:t>sychology</w:t>
      </w:r>
      <w:r w:rsidR="004B0242" w:rsidRPr="0071294B">
        <w:t>, 123(2), p.362</w:t>
      </w:r>
      <w:r w:rsidRPr="0071294B">
        <w:rPr>
          <w:lang w:val="en-US"/>
        </w:rPr>
        <w:t xml:space="preserve">. </w:t>
      </w:r>
      <w:r w:rsidR="00D046F5">
        <w:rPr>
          <w:lang w:val="en-US"/>
        </w:rPr>
        <w:t>doi</w:t>
      </w:r>
      <w:r w:rsidRPr="0071294B">
        <w:rPr>
          <w:lang w:val="en-US"/>
        </w:rPr>
        <w:t xml:space="preserve">: </w:t>
      </w:r>
      <w:hyperlink r:id="rId71" w:history="1">
        <w:r w:rsidR="0071294B" w:rsidRPr="0071294B">
          <w:rPr>
            <w:rStyle w:val="Hyperlink"/>
            <w:lang w:val="en-US"/>
          </w:rPr>
          <w:t>https://doi.org/10.1037/a0036585</w:t>
        </w:r>
      </w:hyperlink>
    </w:p>
  </w:endnote>
  <w:endnote w:id="80">
    <w:p w14:paraId="336E46CE" w14:textId="23CE3E92" w:rsidR="004E04E1" w:rsidRPr="000D42A6" w:rsidRDefault="004E04E1" w:rsidP="004C3828">
      <w:pPr>
        <w:pStyle w:val="EndnoteText"/>
        <w:jc w:val="left"/>
        <w:rPr>
          <w:b/>
        </w:rPr>
      </w:pPr>
      <w:r w:rsidRPr="004A009C">
        <w:rPr>
          <w:rStyle w:val="EndnoteReference"/>
        </w:rPr>
        <w:endnoteRef/>
      </w:r>
      <w:r w:rsidRPr="004A009C">
        <w:t xml:space="preserve"> Mitchell, J.T., Howard, A.L., </w:t>
      </w:r>
      <w:r w:rsidR="00360F23" w:rsidRPr="004A009C">
        <w:t>Belendiuk</w:t>
      </w:r>
      <w:r w:rsidRPr="004A009C">
        <w:t>, K.A., Kennedy, T.M., Stehli, A., Swanson, J.M., Hechtman, L., Arnold, L.E., Hoza, B., Vitiello, B</w:t>
      </w:r>
      <w:r w:rsidR="00360F23" w:rsidRPr="004A009C">
        <w:t xml:space="preserve">. and Lu, B. </w:t>
      </w:r>
      <w:r w:rsidR="000B7FB1" w:rsidRPr="004A009C">
        <w:t>(</w:t>
      </w:r>
      <w:r w:rsidR="00360F23" w:rsidRPr="004A009C">
        <w:t>2019</w:t>
      </w:r>
      <w:r w:rsidR="000B7FB1" w:rsidRPr="004A009C">
        <w:t>)</w:t>
      </w:r>
      <w:r w:rsidR="00D046F5">
        <w:t>.</w:t>
      </w:r>
      <w:r w:rsidR="00360F23" w:rsidRPr="004A009C">
        <w:t xml:space="preserve"> </w:t>
      </w:r>
      <w:r w:rsidR="000B7FB1" w:rsidRPr="004A009C">
        <w:t>‘</w:t>
      </w:r>
      <w:r w:rsidR="00360F23" w:rsidRPr="004A009C">
        <w:t>Cigarette smoking progression among young adults diagnosed with ADHD in childhood: A 16-year longitudinal study of children with and without ADHD</w:t>
      </w:r>
      <w:r w:rsidR="000B7FB1" w:rsidRPr="004A009C">
        <w:t>’</w:t>
      </w:r>
      <w:r w:rsidR="00CF2D0E" w:rsidRPr="004A009C">
        <w:t>,</w:t>
      </w:r>
      <w:r w:rsidR="00360F23" w:rsidRPr="004A009C">
        <w:t> </w:t>
      </w:r>
      <w:r w:rsidR="00360F23" w:rsidRPr="004A009C">
        <w:rPr>
          <w:i/>
          <w:iCs/>
        </w:rPr>
        <w:t>Nicotine and Tobacco Research</w:t>
      </w:r>
      <w:r w:rsidR="00360F23" w:rsidRPr="004A009C">
        <w:t>, 21(5), pp.638-647.</w:t>
      </w:r>
      <w:r w:rsidR="00CF2D0E" w:rsidRPr="004A009C">
        <w:t xml:space="preserve"> </w:t>
      </w:r>
      <w:r w:rsidR="00D046F5">
        <w:rPr>
          <w:lang w:val="en-US"/>
        </w:rPr>
        <w:t>doi</w:t>
      </w:r>
      <w:r w:rsidR="004A009C" w:rsidRPr="004A009C">
        <w:rPr>
          <w:lang w:val="en-US"/>
        </w:rPr>
        <w:t xml:space="preserve">: </w:t>
      </w:r>
      <w:hyperlink r:id="rId72" w:history="1">
        <w:r w:rsidR="004A009C" w:rsidRPr="004A009C">
          <w:rPr>
            <w:rStyle w:val="Hyperlink"/>
          </w:rPr>
          <w:t>https://doi.org/10.1093/ntr/nty045</w:t>
        </w:r>
      </w:hyperlink>
    </w:p>
  </w:endnote>
  <w:endnote w:id="81">
    <w:p w14:paraId="289F1E82" w14:textId="24A66C2F" w:rsidR="004E04E1" w:rsidRPr="000D42A6" w:rsidRDefault="004E04E1" w:rsidP="004C3828">
      <w:pPr>
        <w:pStyle w:val="EndnoteText"/>
        <w:jc w:val="left"/>
      </w:pPr>
      <w:r w:rsidRPr="007B4277">
        <w:rPr>
          <w:rStyle w:val="EndnoteReference"/>
        </w:rPr>
        <w:endnoteRef/>
      </w:r>
      <w:r w:rsidRPr="007B4277">
        <w:t xml:space="preserve"> </w:t>
      </w:r>
      <w:r w:rsidRPr="007B4277">
        <w:rPr>
          <w:lang w:val="en-US"/>
        </w:rPr>
        <w:t xml:space="preserve">NHS (2022). </w:t>
      </w:r>
      <w:r w:rsidRPr="007B4277">
        <w:rPr>
          <w:i/>
        </w:rPr>
        <w:t>Southampton researchers launch new study to help children with ADHD sleep better.</w:t>
      </w:r>
      <w:r w:rsidRPr="007B4277">
        <w:t xml:space="preserve"> Available </w:t>
      </w:r>
      <w:r w:rsidR="007B4277" w:rsidRPr="007B4277">
        <w:t>at</w:t>
      </w:r>
      <w:r w:rsidRPr="007B4277">
        <w:t xml:space="preserve">: </w:t>
      </w:r>
      <w:hyperlink r:id="rId73" w:history="1">
        <w:r w:rsidR="001E5F6E" w:rsidRPr="007B4277">
          <w:rPr>
            <w:rStyle w:val="Hyperlink"/>
          </w:rPr>
          <w:t>https://www.uhs.nhs.uk/whats-new/press-releases/southampton-researchers-launch-new-study-to-help-children-with-adhd-sleep-better</w:t>
        </w:r>
      </w:hyperlink>
      <w:r w:rsidR="001E5F6E" w:rsidRPr="007B4277">
        <w:t xml:space="preserve"> </w:t>
      </w:r>
    </w:p>
  </w:endnote>
  <w:endnote w:id="82">
    <w:p w14:paraId="026F8DA1" w14:textId="3F3035E6" w:rsidR="004E04E1" w:rsidRPr="00E5424F" w:rsidRDefault="004E04E1" w:rsidP="004C3828">
      <w:pPr>
        <w:pStyle w:val="EndnoteText"/>
        <w:jc w:val="left"/>
        <w:rPr>
          <w:highlight w:val="green"/>
        </w:rPr>
      </w:pPr>
      <w:r w:rsidRPr="000D42A6">
        <w:rPr>
          <w:rStyle w:val="EndnoteReference"/>
        </w:rPr>
        <w:endnoteRef/>
      </w:r>
      <w:r w:rsidRPr="000D42A6">
        <w:t xml:space="preserve"> May, F., Ford, T., Janssens, A., Newlove</w:t>
      </w:r>
      <w:r w:rsidR="00575E5D" w:rsidRPr="000D42A6">
        <w:t>‐</w:t>
      </w:r>
      <w:r w:rsidRPr="000D42A6">
        <w:t xml:space="preserve">Delgado, T., </w:t>
      </w:r>
      <w:r w:rsidR="00575E5D" w:rsidRPr="000D42A6">
        <w:t xml:space="preserve">Emma </w:t>
      </w:r>
      <w:r w:rsidRPr="000D42A6">
        <w:t>Russell, A</w:t>
      </w:r>
      <w:r w:rsidR="00575E5D" w:rsidRPr="000D42A6">
        <w:t>.,</w:t>
      </w:r>
      <w:r w:rsidRPr="000D42A6">
        <w:t xml:space="preserve"> Salim, J., Ukoumunne, O.C</w:t>
      </w:r>
      <w:r w:rsidR="00575E5D" w:rsidRPr="000D42A6">
        <w:t>. and</w:t>
      </w:r>
      <w:r w:rsidRPr="000D42A6">
        <w:t xml:space="preserve"> Hayes, R. </w:t>
      </w:r>
      <w:r w:rsidR="00575E5D" w:rsidRPr="000D42A6">
        <w:t>(2021)</w:t>
      </w:r>
      <w:r w:rsidR="00D046F5">
        <w:t>.</w:t>
      </w:r>
      <w:r w:rsidR="00575E5D" w:rsidRPr="000D42A6">
        <w:t xml:space="preserve"> ‘</w:t>
      </w:r>
      <w:r w:rsidRPr="000D42A6">
        <w:t xml:space="preserve">Attainment, attendance, and school difficulties in UK primary schoolchildren with probable </w:t>
      </w:r>
      <w:r w:rsidR="00575E5D" w:rsidRPr="000D42A6">
        <w:t>ADHD’, </w:t>
      </w:r>
      <w:r w:rsidRPr="000D42A6">
        <w:rPr>
          <w:i/>
        </w:rPr>
        <w:t xml:space="preserve">British </w:t>
      </w:r>
      <w:r w:rsidR="00D046F5">
        <w:rPr>
          <w:i/>
        </w:rPr>
        <w:t>J</w:t>
      </w:r>
      <w:r w:rsidR="00575E5D" w:rsidRPr="000D42A6">
        <w:rPr>
          <w:i/>
        </w:rPr>
        <w:t>ournal</w:t>
      </w:r>
      <w:r w:rsidRPr="000D42A6">
        <w:rPr>
          <w:i/>
        </w:rPr>
        <w:t xml:space="preserve"> of </w:t>
      </w:r>
      <w:r w:rsidR="00D046F5">
        <w:rPr>
          <w:i/>
        </w:rPr>
        <w:t>E</w:t>
      </w:r>
      <w:r w:rsidR="00575E5D" w:rsidRPr="000D42A6">
        <w:rPr>
          <w:i/>
        </w:rPr>
        <w:t xml:space="preserve">ducational </w:t>
      </w:r>
      <w:r w:rsidR="00D046F5">
        <w:rPr>
          <w:i/>
        </w:rPr>
        <w:t>P</w:t>
      </w:r>
      <w:r w:rsidR="00575E5D" w:rsidRPr="000D42A6">
        <w:rPr>
          <w:i/>
        </w:rPr>
        <w:t>sychology</w:t>
      </w:r>
      <w:r w:rsidR="00575E5D" w:rsidRPr="000D42A6">
        <w:t>, 91(1), pp.442-462.</w:t>
      </w:r>
      <w:r w:rsidR="000F1073" w:rsidRPr="000D42A6">
        <w:t xml:space="preserve"> </w:t>
      </w:r>
      <w:r w:rsidR="00D046F5">
        <w:t>doi</w:t>
      </w:r>
      <w:r w:rsidR="000F1073" w:rsidRPr="007B4277">
        <w:t xml:space="preserve">: </w:t>
      </w:r>
      <w:hyperlink r:id="rId74" w:history="1">
        <w:r w:rsidR="00634CAD" w:rsidRPr="00634CAD">
          <w:rPr>
            <w:rStyle w:val="Hyperlink"/>
          </w:rPr>
          <w:t>https://doi.org/10.1111/bjep.12375</w:t>
        </w:r>
      </w:hyperlink>
    </w:p>
  </w:endnote>
  <w:endnote w:id="83">
    <w:p w14:paraId="0C98FEE2" w14:textId="73BDD097" w:rsidR="004E04E1" w:rsidRPr="00053374" w:rsidRDefault="004E04E1" w:rsidP="004C3828">
      <w:pPr>
        <w:pStyle w:val="EndnoteText"/>
        <w:jc w:val="left"/>
        <w:rPr>
          <w:b/>
          <w:bCs/>
          <w:highlight w:val="green"/>
        </w:rPr>
      </w:pPr>
      <w:r w:rsidRPr="00696CC5">
        <w:rPr>
          <w:rStyle w:val="EndnoteReference"/>
        </w:rPr>
        <w:endnoteRef/>
      </w:r>
      <w:r w:rsidRPr="00696CC5">
        <w:t xml:space="preserve"> Russell, A.E., Benham</w:t>
      </w:r>
      <w:r w:rsidR="00E84DDC" w:rsidRPr="00696CC5">
        <w:t>‐</w:t>
      </w:r>
      <w:r w:rsidRPr="00696CC5">
        <w:t>Clarke, S., Ford, T., Eke, H., Price, A., Mitchell, S., Newlove</w:t>
      </w:r>
      <w:r w:rsidR="00E84DDC" w:rsidRPr="00696CC5">
        <w:t>‐</w:t>
      </w:r>
      <w:r w:rsidRPr="00696CC5">
        <w:t>Delgado, T., Moore, D</w:t>
      </w:r>
      <w:r w:rsidR="00E84DDC" w:rsidRPr="00696CC5">
        <w:t>. and</w:t>
      </w:r>
      <w:r w:rsidRPr="00696CC5">
        <w:t xml:space="preserve"> Janssens, A. (2023)</w:t>
      </w:r>
      <w:r w:rsidR="00D046F5">
        <w:t>.</w:t>
      </w:r>
      <w:r w:rsidRPr="00696CC5">
        <w:t xml:space="preserve"> </w:t>
      </w:r>
      <w:r w:rsidR="00E84DDC" w:rsidRPr="00696CC5">
        <w:t>‘</w:t>
      </w:r>
      <w:r w:rsidRPr="00696CC5">
        <w:t>Educational experiences of young people with ADHD in the UK: Secondary analysis of qualitative data from the CATCh</w:t>
      </w:r>
      <w:r w:rsidR="00E84DDC" w:rsidRPr="00696CC5">
        <w:t>‐</w:t>
      </w:r>
      <w:r w:rsidRPr="00696CC5">
        <w:t>uS mixed</w:t>
      </w:r>
      <w:r w:rsidR="00E84DDC" w:rsidRPr="00696CC5">
        <w:t>‐</w:t>
      </w:r>
      <w:r w:rsidRPr="00696CC5">
        <w:t xml:space="preserve">methods </w:t>
      </w:r>
      <w:r w:rsidR="00E84DDC" w:rsidRPr="00696CC5">
        <w:t>study’, </w:t>
      </w:r>
      <w:r w:rsidRPr="00696CC5">
        <w:rPr>
          <w:i/>
        </w:rPr>
        <w:t>British Journal of Educational Psychology</w:t>
      </w:r>
      <w:r w:rsidR="00E84DDC" w:rsidRPr="00696CC5">
        <w:t xml:space="preserve">, 93(4), pp.941-959. </w:t>
      </w:r>
      <w:r w:rsidR="00D046F5">
        <w:t>doi</w:t>
      </w:r>
      <w:r w:rsidR="00E84DDC" w:rsidRPr="00696CC5">
        <w:t xml:space="preserve">: </w:t>
      </w:r>
      <w:hyperlink r:id="rId75" w:history="1">
        <w:r w:rsidR="00696CC5" w:rsidRPr="00696CC5">
          <w:rPr>
            <w:rStyle w:val="Hyperlink"/>
          </w:rPr>
          <w:t>https://doi.org/10.1111/bjep.12613</w:t>
        </w:r>
      </w:hyperlink>
    </w:p>
  </w:endnote>
  <w:endnote w:id="84">
    <w:p w14:paraId="6476C9B7" w14:textId="32212110" w:rsidR="004E04E1" w:rsidRPr="00053374" w:rsidRDefault="004E04E1" w:rsidP="004C3828">
      <w:pPr>
        <w:pStyle w:val="EndnoteText"/>
        <w:jc w:val="left"/>
        <w:rPr>
          <w:highlight w:val="green"/>
        </w:rPr>
      </w:pPr>
      <w:r w:rsidRPr="00A7730B">
        <w:rPr>
          <w:rStyle w:val="EndnoteReference"/>
        </w:rPr>
        <w:endnoteRef/>
      </w:r>
      <w:r w:rsidRPr="00476C25">
        <w:rPr>
          <w:lang w:val="de-DE"/>
        </w:rPr>
        <w:t xml:space="preserve"> Groen, Y., Priegnitz, U., Fuermaier, A. B. M., Tucha, L., Tucha, O., Aschenbrenner, S., Weisbrod, M., </w:t>
      </w:r>
      <w:r w:rsidR="000B4A4C" w:rsidRPr="00476C25">
        <w:rPr>
          <w:lang w:val="de-DE"/>
        </w:rPr>
        <w:t>and</w:t>
      </w:r>
      <w:r w:rsidRPr="00476C25">
        <w:rPr>
          <w:lang w:val="de-DE"/>
        </w:rPr>
        <w:t> Garcia Pimenta, M. (2020)</w:t>
      </w:r>
      <w:r w:rsidR="00D046F5" w:rsidRPr="00476C25">
        <w:rPr>
          <w:lang w:val="de-DE"/>
        </w:rPr>
        <w:t>.</w:t>
      </w:r>
      <w:r w:rsidRPr="00476C25">
        <w:rPr>
          <w:lang w:val="de-DE"/>
        </w:rPr>
        <w:t> </w:t>
      </w:r>
      <w:r w:rsidR="00A7730B" w:rsidRPr="00A7730B">
        <w:t>‘</w:t>
      </w:r>
      <w:r w:rsidRPr="00A7730B">
        <w:t>Testing the relation between ADHD and hyperfocus experiences</w:t>
      </w:r>
      <w:r w:rsidR="00A7730B" w:rsidRPr="00A7730B">
        <w:t>’,</w:t>
      </w:r>
      <w:r w:rsidRPr="00A7730B">
        <w:t> </w:t>
      </w:r>
      <w:r w:rsidRPr="00A7730B">
        <w:rPr>
          <w:i/>
        </w:rPr>
        <w:t>Research in Developmental Disabilities</w:t>
      </w:r>
      <w:r w:rsidRPr="00A7730B">
        <w:t xml:space="preserve">. </w:t>
      </w:r>
      <w:r w:rsidR="00D046F5">
        <w:t>doi</w:t>
      </w:r>
      <w:r w:rsidRPr="00A7730B">
        <w:t xml:space="preserve">: </w:t>
      </w:r>
      <w:hyperlink r:id="rId76" w:history="1">
        <w:r w:rsidRPr="00A7730B">
          <w:rPr>
            <w:rStyle w:val="Hyperlink"/>
          </w:rPr>
          <w:t>https://doi.org/10.1016/j.ridd.2020.103789</w:t>
        </w:r>
      </w:hyperlink>
    </w:p>
  </w:endnote>
  <w:endnote w:id="85">
    <w:p w14:paraId="3C25695B" w14:textId="726A9933" w:rsidR="004E04E1" w:rsidRPr="00B2745A" w:rsidRDefault="004E04E1" w:rsidP="004C3828">
      <w:pPr>
        <w:pStyle w:val="EndnoteText"/>
        <w:jc w:val="left"/>
        <w:rPr>
          <w:highlight w:val="green"/>
        </w:rPr>
      </w:pPr>
      <w:r w:rsidRPr="00325008">
        <w:rPr>
          <w:rStyle w:val="EndnoteReference"/>
        </w:rPr>
        <w:endnoteRef/>
      </w:r>
      <w:r w:rsidRPr="00325008">
        <w:t xml:space="preserve"> </w:t>
      </w:r>
      <w:r w:rsidRPr="00325008">
        <w:rPr>
          <w:lang w:val="en-US"/>
        </w:rPr>
        <w:t>NHS Digital (</w:t>
      </w:r>
      <w:r w:rsidR="00311364" w:rsidRPr="00325008">
        <w:rPr>
          <w:lang w:val="en-US"/>
        </w:rPr>
        <w:t>2025</w:t>
      </w:r>
      <w:r w:rsidRPr="00325008">
        <w:rPr>
          <w:lang w:val="en-US"/>
        </w:rPr>
        <w:t xml:space="preserve">). </w:t>
      </w:r>
      <w:r w:rsidRPr="00325008">
        <w:rPr>
          <w:i/>
          <w:lang w:val="en-US"/>
        </w:rPr>
        <w:t xml:space="preserve">Adult Psychiatric Morbidity Survey: Survey of Mental Health and Wellbeing, England, 2023/24. </w:t>
      </w:r>
      <w:r w:rsidRPr="00325008">
        <w:rPr>
          <w:lang w:val="en-US"/>
        </w:rPr>
        <w:t xml:space="preserve">Available </w:t>
      </w:r>
      <w:r w:rsidR="00311364" w:rsidRPr="00325008">
        <w:rPr>
          <w:lang w:val="en-US"/>
        </w:rPr>
        <w:t>at</w:t>
      </w:r>
      <w:r w:rsidRPr="00325008">
        <w:rPr>
          <w:lang w:val="en-US"/>
        </w:rPr>
        <w:t xml:space="preserve">: </w:t>
      </w:r>
      <w:hyperlink r:id="rId77" w:history="1">
        <w:r w:rsidR="00B2745A" w:rsidRPr="00520CC3">
          <w:rPr>
            <w:rStyle w:val="Hyperlink"/>
            <w:lang w:val="en-US"/>
          </w:rPr>
          <w:t>https://digital.nhs.uk/data-and-information/publications/statistical/adult-psychiatric-morbidity-survey/survey-of-mental-health-and-wellbeing-england-2023-24/attention-deficit-hyperactivity-disorder</w:t>
        </w:r>
      </w:hyperlink>
      <w:r w:rsidR="00B2745A">
        <w:rPr>
          <w:lang w:val="en-US"/>
        </w:rPr>
        <w:t xml:space="preserve"> </w:t>
      </w:r>
    </w:p>
  </w:endnote>
  <w:endnote w:id="86">
    <w:p w14:paraId="0247AA98" w14:textId="4ED1E7F1" w:rsidR="004E04E1" w:rsidRPr="00053374" w:rsidRDefault="004E04E1" w:rsidP="004C3828">
      <w:pPr>
        <w:pStyle w:val="EndnoteText"/>
        <w:jc w:val="left"/>
        <w:rPr>
          <w:highlight w:val="green"/>
          <w:lang w:val="en-US"/>
        </w:rPr>
      </w:pPr>
      <w:r w:rsidRPr="001839C4">
        <w:rPr>
          <w:rStyle w:val="EndnoteReference"/>
        </w:rPr>
        <w:endnoteRef/>
      </w:r>
      <w:r w:rsidRPr="001839C4">
        <w:t xml:space="preserve"> </w:t>
      </w:r>
      <w:r w:rsidRPr="001839C4">
        <w:rPr>
          <w:lang w:val="en-US"/>
        </w:rPr>
        <w:t>U</w:t>
      </w:r>
      <w:r w:rsidR="00D55FA6" w:rsidRPr="001839C4">
        <w:rPr>
          <w:lang w:val="en-US"/>
        </w:rPr>
        <w:t xml:space="preserve">niversity </w:t>
      </w:r>
      <w:r w:rsidRPr="001839C4">
        <w:rPr>
          <w:lang w:val="en-US"/>
        </w:rPr>
        <w:t>C</w:t>
      </w:r>
      <w:r w:rsidR="00D55FA6" w:rsidRPr="001839C4">
        <w:rPr>
          <w:lang w:val="en-US"/>
        </w:rPr>
        <w:t xml:space="preserve">ollege </w:t>
      </w:r>
      <w:r w:rsidRPr="001839C4">
        <w:rPr>
          <w:lang w:val="en-US"/>
        </w:rPr>
        <w:t>L</w:t>
      </w:r>
      <w:r w:rsidR="00D55FA6" w:rsidRPr="001839C4">
        <w:rPr>
          <w:lang w:val="en-US"/>
        </w:rPr>
        <w:t>ondon</w:t>
      </w:r>
      <w:r w:rsidRPr="001839C4">
        <w:rPr>
          <w:lang w:val="en-US"/>
        </w:rPr>
        <w:t xml:space="preserve"> (2025). </w:t>
      </w:r>
      <w:r w:rsidRPr="001839C4">
        <w:rPr>
          <w:i/>
          <w:lang w:val="en-US"/>
        </w:rPr>
        <w:t xml:space="preserve">Adults diagnosed with ADHD may have reduced life expectancies. </w:t>
      </w:r>
      <w:r w:rsidRPr="001839C4">
        <w:rPr>
          <w:lang w:val="en-US"/>
        </w:rPr>
        <w:t xml:space="preserve">Available </w:t>
      </w:r>
      <w:r w:rsidR="009D3375" w:rsidRPr="001839C4">
        <w:rPr>
          <w:lang w:val="en-US"/>
        </w:rPr>
        <w:t>at</w:t>
      </w:r>
      <w:r w:rsidRPr="001839C4">
        <w:rPr>
          <w:lang w:val="en-US"/>
        </w:rPr>
        <w:t xml:space="preserve">: </w:t>
      </w:r>
      <w:hyperlink r:id="rId78" w:history="1">
        <w:r w:rsidR="001839C4" w:rsidRPr="001839C4">
          <w:rPr>
            <w:rStyle w:val="Hyperlink"/>
            <w:lang w:val="en-US"/>
          </w:rPr>
          <w:t>https://www.ucl.ac.uk/news/2025/jan/adults-diagnosed-adhd-may-have-reduced-life-expectancies</w:t>
        </w:r>
      </w:hyperlink>
      <w:r w:rsidR="001839C4" w:rsidRPr="001839C4">
        <w:rPr>
          <w:lang w:val="en-US"/>
        </w:rPr>
        <w:t xml:space="preserve"> </w:t>
      </w:r>
    </w:p>
  </w:endnote>
  <w:endnote w:id="87">
    <w:p w14:paraId="1268373A" w14:textId="18D84B3C" w:rsidR="004E04E1" w:rsidRPr="00053374" w:rsidRDefault="004E04E1" w:rsidP="004C3828">
      <w:pPr>
        <w:pStyle w:val="EndnoteText"/>
        <w:jc w:val="left"/>
        <w:rPr>
          <w:i/>
          <w:iCs/>
          <w:highlight w:val="green"/>
          <w:lang w:val="en-US"/>
        </w:rPr>
      </w:pPr>
      <w:r w:rsidRPr="00D32BE4">
        <w:rPr>
          <w:rStyle w:val="EndnoteReference"/>
        </w:rPr>
        <w:endnoteRef/>
      </w:r>
      <w:r w:rsidRPr="00D32BE4">
        <w:t xml:space="preserve"> </w:t>
      </w:r>
      <w:r w:rsidRPr="00D32BE4">
        <w:rPr>
          <w:lang w:val="en-US"/>
        </w:rPr>
        <w:t xml:space="preserve">Mental Health Foundation (2024). </w:t>
      </w:r>
      <w:r w:rsidRPr="00D32BE4">
        <w:rPr>
          <w:i/>
          <w:lang w:val="en-US"/>
        </w:rPr>
        <w:t xml:space="preserve">Attention deficit hyperactivity disorder (ADHD). </w:t>
      </w:r>
      <w:r w:rsidRPr="00D32BE4">
        <w:rPr>
          <w:lang w:val="en-US"/>
        </w:rPr>
        <w:t xml:space="preserve">Available </w:t>
      </w:r>
      <w:r w:rsidR="00A503BE">
        <w:rPr>
          <w:lang w:val="en-US"/>
        </w:rPr>
        <w:t>at</w:t>
      </w:r>
      <w:r w:rsidRPr="00D32BE4">
        <w:rPr>
          <w:lang w:val="en-US"/>
        </w:rPr>
        <w:t xml:space="preserve">: </w:t>
      </w:r>
      <w:hyperlink r:id="rId79" w:history="1">
        <w:r w:rsidR="00097DEE" w:rsidRPr="00520CC3">
          <w:rPr>
            <w:rStyle w:val="Hyperlink"/>
            <w:lang w:val="en-US"/>
          </w:rPr>
          <w:t>https://www.mentalhealth.org.uk/explore-mental-health/a-z-topics/attention-deficit-hyperactivity-disorder-adhd</w:t>
        </w:r>
      </w:hyperlink>
      <w:r w:rsidR="00097DEE">
        <w:rPr>
          <w:lang w:val="en-US"/>
        </w:rPr>
        <w:t xml:space="preserve"> </w:t>
      </w:r>
    </w:p>
  </w:endnote>
  <w:endnote w:id="88">
    <w:p w14:paraId="0F35839F" w14:textId="4EFBDF32" w:rsidR="004E04E1" w:rsidRPr="00053374" w:rsidRDefault="004E04E1" w:rsidP="004C3828">
      <w:pPr>
        <w:pStyle w:val="EndnoteText"/>
        <w:jc w:val="left"/>
        <w:rPr>
          <w:highlight w:val="green"/>
          <w:lang w:val="en-US"/>
        </w:rPr>
      </w:pPr>
      <w:r w:rsidRPr="00097DEE">
        <w:rPr>
          <w:rStyle w:val="EndnoteReference"/>
        </w:rPr>
        <w:endnoteRef/>
      </w:r>
      <w:r w:rsidRPr="00097DEE">
        <w:t xml:space="preserve"> </w:t>
      </w:r>
      <w:r w:rsidRPr="00097DEE">
        <w:rPr>
          <w:lang w:val="en-US"/>
        </w:rPr>
        <w:t xml:space="preserve">NHS (2025). </w:t>
      </w:r>
      <w:r w:rsidRPr="00097DEE">
        <w:rPr>
          <w:i/>
          <w:lang w:val="en-US"/>
        </w:rPr>
        <w:t xml:space="preserve">ADHD in children and young people. </w:t>
      </w:r>
      <w:r w:rsidRPr="00097DEE">
        <w:rPr>
          <w:lang w:val="en-US"/>
        </w:rPr>
        <w:t>Available</w:t>
      </w:r>
      <w:r w:rsidR="003D5E55" w:rsidRPr="00097DEE">
        <w:rPr>
          <w:lang w:val="en-US"/>
        </w:rPr>
        <w:t xml:space="preserve"> at</w:t>
      </w:r>
      <w:r w:rsidRPr="00097DEE">
        <w:rPr>
          <w:lang w:val="en-US"/>
        </w:rPr>
        <w:t xml:space="preserve">: </w:t>
      </w:r>
      <w:hyperlink r:id="rId80" w:history="1">
        <w:r w:rsidR="00D33C7C" w:rsidRPr="00520CC3">
          <w:rPr>
            <w:rStyle w:val="Hyperlink"/>
            <w:lang w:val="en-US"/>
          </w:rPr>
          <w:t>https://www.nhs.uk/conditions/adhd-children-teenagers</w:t>
        </w:r>
      </w:hyperlink>
      <w:r w:rsidR="00D33C7C">
        <w:rPr>
          <w:lang w:val="en-US"/>
        </w:rPr>
        <w:t xml:space="preserve"> </w:t>
      </w:r>
    </w:p>
  </w:endnote>
  <w:endnote w:id="89">
    <w:p w14:paraId="13071493" w14:textId="375B491D" w:rsidR="004E04E1" w:rsidRPr="00053374" w:rsidRDefault="004E04E1" w:rsidP="004C3828">
      <w:pPr>
        <w:pStyle w:val="EndnoteText"/>
        <w:jc w:val="left"/>
        <w:rPr>
          <w:highlight w:val="green"/>
          <w:lang w:val="en-US"/>
        </w:rPr>
      </w:pPr>
      <w:r w:rsidRPr="00405BC8">
        <w:rPr>
          <w:rStyle w:val="EndnoteReference"/>
        </w:rPr>
        <w:endnoteRef/>
      </w:r>
      <w:r w:rsidRPr="00405BC8">
        <w:t xml:space="preserve"> </w:t>
      </w:r>
      <w:r w:rsidRPr="00405BC8">
        <w:rPr>
          <w:lang w:val="en-US"/>
        </w:rPr>
        <w:t xml:space="preserve">ADHD UK (2024). </w:t>
      </w:r>
      <w:r w:rsidRPr="00405BC8">
        <w:rPr>
          <w:i/>
          <w:lang w:val="en-US"/>
        </w:rPr>
        <w:t>ADHD Education,</w:t>
      </w:r>
      <w:r w:rsidR="00697BCB" w:rsidRPr="00405BC8">
        <w:rPr>
          <w:i/>
          <w:lang w:val="en-US"/>
        </w:rPr>
        <w:t xml:space="preserve"> Health and Care Plan (EHCP)</w:t>
      </w:r>
      <w:r w:rsidR="00697BCB" w:rsidRPr="00405BC8">
        <w:rPr>
          <w:lang w:val="en-US"/>
        </w:rPr>
        <w:t>.</w:t>
      </w:r>
      <w:r w:rsidRPr="00405BC8">
        <w:rPr>
          <w:lang w:val="en-US"/>
        </w:rPr>
        <w:t xml:space="preserve"> Available </w:t>
      </w:r>
      <w:r w:rsidR="00697BCB" w:rsidRPr="00405BC8">
        <w:rPr>
          <w:lang w:val="en-US"/>
        </w:rPr>
        <w:t>at</w:t>
      </w:r>
      <w:r w:rsidRPr="00405BC8">
        <w:rPr>
          <w:lang w:val="en-US"/>
        </w:rPr>
        <w:t xml:space="preserve">: </w:t>
      </w:r>
      <w:hyperlink r:id="rId81" w:history="1">
        <w:r w:rsidR="00405BC8" w:rsidRPr="00405BC8">
          <w:rPr>
            <w:rStyle w:val="Hyperlink"/>
            <w:lang w:val="en-US"/>
          </w:rPr>
          <w:t>https://adhduk.co.uk/adhd-educational-health-care-plan-ehcp</w:t>
        </w:r>
      </w:hyperlink>
      <w:r w:rsidR="00405BC8" w:rsidRPr="00405BC8">
        <w:rPr>
          <w:lang w:val="en-US"/>
        </w:rPr>
        <w:t xml:space="preserve"> </w:t>
      </w:r>
    </w:p>
  </w:endnote>
  <w:endnote w:id="90">
    <w:p w14:paraId="07ACCB2E" w14:textId="5F4FF1A9" w:rsidR="00403C20" w:rsidRPr="00403C20" w:rsidRDefault="00403C20">
      <w:pPr>
        <w:pStyle w:val="EndnoteText"/>
        <w:rPr>
          <w:lang w:val="en-US"/>
        </w:rPr>
      </w:pPr>
      <w:r>
        <w:rPr>
          <w:rStyle w:val="EndnoteReference"/>
        </w:rPr>
        <w:endnoteRef/>
      </w:r>
      <w:r>
        <w:t xml:space="preserve"> </w:t>
      </w:r>
      <w:r w:rsidR="00A75B6C">
        <w:t xml:space="preserve">Docklands Outreach Logo (2024). Available at: </w:t>
      </w:r>
      <w:hyperlink r:id="rId82" w:history="1">
        <w:r w:rsidR="00A75B6C" w:rsidRPr="00A75B6C">
          <w:rPr>
            <w:rStyle w:val="Hyperlink"/>
          </w:rPr>
          <w:t>Docklands Outreach</w:t>
        </w:r>
      </w:hyperlink>
    </w:p>
  </w:endnote>
  <w:endnote w:id="91">
    <w:p w14:paraId="11AD0C85" w14:textId="14A1FE8A" w:rsidR="004E04E1" w:rsidRPr="00053374" w:rsidRDefault="004E04E1" w:rsidP="004C3828">
      <w:pPr>
        <w:pStyle w:val="EndnoteText"/>
        <w:jc w:val="left"/>
        <w:rPr>
          <w:highlight w:val="green"/>
          <w:lang w:val="en-US"/>
        </w:rPr>
      </w:pPr>
      <w:r w:rsidRPr="00556CCC">
        <w:rPr>
          <w:rStyle w:val="EndnoteReference"/>
        </w:rPr>
        <w:endnoteRef/>
      </w:r>
      <w:r w:rsidRPr="00556CCC">
        <w:t xml:space="preserve"> </w:t>
      </w:r>
      <w:r w:rsidRPr="00556CCC">
        <w:rPr>
          <w:lang w:val="en-US"/>
        </w:rPr>
        <w:t xml:space="preserve">NHS England (2024). </w:t>
      </w:r>
      <w:r w:rsidRPr="00556CCC">
        <w:rPr>
          <w:i/>
          <w:lang w:val="en-US"/>
        </w:rPr>
        <w:t xml:space="preserve">Attention deficit hyperactivity (ADHD) Programme update. </w:t>
      </w:r>
      <w:r w:rsidRPr="00556CCC">
        <w:rPr>
          <w:lang w:val="en-US"/>
        </w:rPr>
        <w:t xml:space="preserve">Available </w:t>
      </w:r>
      <w:r w:rsidR="00C1747C" w:rsidRPr="00556CCC">
        <w:rPr>
          <w:lang w:val="en-US"/>
        </w:rPr>
        <w:t>at</w:t>
      </w:r>
      <w:r w:rsidRPr="00556CCC">
        <w:rPr>
          <w:lang w:val="en-US"/>
        </w:rPr>
        <w:t xml:space="preserve">: </w:t>
      </w:r>
      <w:hyperlink r:id="rId83" w:history="1">
        <w:r w:rsidR="00556CCC" w:rsidRPr="00556CCC">
          <w:rPr>
            <w:rStyle w:val="Hyperlink"/>
            <w:lang w:val="en-US"/>
          </w:rPr>
          <w:t>https://www.england.nhs.uk/long-read/attention-deficit-hyperactivity-disorder-adhd-programme-update/</w:t>
        </w:r>
      </w:hyperlink>
      <w:r w:rsidR="00556CCC" w:rsidRPr="00556CCC">
        <w:rPr>
          <w:lang w:val="en-US"/>
        </w:rPr>
        <w:t xml:space="preserve"> </w:t>
      </w:r>
    </w:p>
  </w:endnote>
  <w:endnote w:id="92">
    <w:p w14:paraId="2C96586A" w14:textId="1644D8FC" w:rsidR="004E04E1" w:rsidRPr="00053374" w:rsidRDefault="004E04E1" w:rsidP="004C3828">
      <w:pPr>
        <w:spacing w:after="0"/>
        <w:contextualSpacing/>
        <w:jc w:val="left"/>
        <w:rPr>
          <w:sz w:val="20"/>
          <w:szCs w:val="22"/>
          <w:highlight w:val="green"/>
        </w:rPr>
      </w:pPr>
      <w:r w:rsidRPr="007E6556">
        <w:rPr>
          <w:rStyle w:val="EndnoteReference"/>
          <w:sz w:val="20"/>
          <w:szCs w:val="22"/>
        </w:rPr>
        <w:endnoteRef/>
      </w:r>
      <w:r w:rsidRPr="007E6556">
        <w:rPr>
          <w:sz w:val="20"/>
          <w:szCs w:val="22"/>
        </w:rPr>
        <w:t xml:space="preserve"> </w:t>
      </w:r>
      <w:r w:rsidR="00FD1A55" w:rsidRPr="00FD1A55">
        <w:rPr>
          <w:iCs/>
          <w:sz w:val="20"/>
          <w:szCs w:val="22"/>
        </w:rPr>
        <w:t>The Royal College of Speech and Language Therapists</w:t>
      </w:r>
      <w:r w:rsidRPr="007E6556">
        <w:rPr>
          <w:sz w:val="20"/>
          <w:szCs w:val="22"/>
        </w:rPr>
        <w:t xml:space="preserve"> (2021). </w:t>
      </w:r>
      <w:r w:rsidRPr="007E6556">
        <w:rPr>
          <w:i/>
          <w:sz w:val="20"/>
          <w:szCs w:val="22"/>
        </w:rPr>
        <w:t>What are speech, language and communication needs</w:t>
      </w:r>
      <w:r w:rsidRPr="007E6556">
        <w:rPr>
          <w:i/>
          <w:iCs/>
          <w:sz w:val="20"/>
          <w:szCs w:val="22"/>
        </w:rPr>
        <w:t>?</w:t>
      </w:r>
      <w:r w:rsidR="007E6556" w:rsidRPr="007E6556">
        <w:rPr>
          <w:i/>
          <w:iCs/>
          <w:sz w:val="20"/>
          <w:szCs w:val="22"/>
        </w:rPr>
        <w:t>.</w:t>
      </w:r>
      <w:r w:rsidRPr="007E6556">
        <w:rPr>
          <w:i/>
          <w:iCs/>
          <w:sz w:val="20"/>
          <w:szCs w:val="22"/>
        </w:rPr>
        <w:t xml:space="preserve"> </w:t>
      </w:r>
      <w:r w:rsidRPr="007E6556">
        <w:rPr>
          <w:sz w:val="20"/>
          <w:szCs w:val="22"/>
        </w:rPr>
        <w:t>A</w:t>
      </w:r>
      <w:r w:rsidR="00EB007F" w:rsidRPr="007E6556">
        <w:rPr>
          <w:sz w:val="20"/>
          <w:szCs w:val="22"/>
        </w:rPr>
        <w:t xml:space="preserve">vailable </w:t>
      </w:r>
      <w:r w:rsidR="002B6841" w:rsidRPr="007E6556">
        <w:rPr>
          <w:sz w:val="20"/>
          <w:szCs w:val="22"/>
        </w:rPr>
        <w:t>at</w:t>
      </w:r>
      <w:r w:rsidRPr="007E6556">
        <w:rPr>
          <w:sz w:val="20"/>
          <w:szCs w:val="22"/>
        </w:rPr>
        <w:t xml:space="preserve">: </w:t>
      </w:r>
      <w:hyperlink r:id="rId84" w:history="1">
        <w:r w:rsidR="008E5EC1" w:rsidRPr="007E6556">
          <w:rPr>
            <w:rStyle w:val="Hyperlink"/>
            <w:sz w:val="20"/>
            <w:szCs w:val="22"/>
          </w:rPr>
          <w:t>https://www.rcslt.org/wp-content/uploads/media/Project/RCSLT/rcslt-communication-needs-factsheet.pdf</w:t>
        </w:r>
      </w:hyperlink>
      <w:r w:rsidR="008E5EC1" w:rsidRPr="007E6556">
        <w:rPr>
          <w:sz w:val="20"/>
          <w:szCs w:val="22"/>
        </w:rPr>
        <w:t xml:space="preserve"> </w:t>
      </w:r>
    </w:p>
  </w:endnote>
  <w:endnote w:id="93">
    <w:p w14:paraId="1ECA93AE" w14:textId="2379D1E0" w:rsidR="004E04E1" w:rsidRPr="00053374" w:rsidRDefault="004E04E1" w:rsidP="004C3828">
      <w:pPr>
        <w:spacing w:after="0"/>
        <w:contextualSpacing/>
        <w:jc w:val="left"/>
        <w:rPr>
          <w:sz w:val="20"/>
          <w:szCs w:val="22"/>
          <w:highlight w:val="green"/>
        </w:rPr>
      </w:pPr>
      <w:r w:rsidRPr="00A4043B">
        <w:rPr>
          <w:rStyle w:val="EndnoteReference"/>
          <w:sz w:val="20"/>
          <w:szCs w:val="22"/>
        </w:rPr>
        <w:endnoteRef/>
      </w:r>
      <w:r w:rsidRPr="00A4043B">
        <w:rPr>
          <w:sz w:val="20"/>
          <w:szCs w:val="22"/>
          <w:lang w:val="sv-SE"/>
        </w:rPr>
        <w:t xml:space="preserve"> Dockrell, J., Ricketts, J. </w:t>
      </w:r>
      <w:r w:rsidR="00C709C6" w:rsidRPr="00A4043B">
        <w:rPr>
          <w:sz w:val="20"/>
          <w:szCs w:val="22"/>
          <w:lang w:val="sv-SE"/>
        </w:rPr>
        <w:t>and</w:t>
      </w:r>
      <w:r w:rsidRPr="00A4043B">
        <w:rPr>
          <w:sz w:val="20"/>
          <w:szCs w:val="22"/>
          <w:lang w:val="sv-SE"/>
        </w:rPr>
        <w:t xml:space="preserve"> Lindsay, G. (2010). </w:t>
      </w:r>
      <w:r w:rsidRPr="00A4043B">
        <w:rPr>
          <w:i/>
          <w:sz w:val="20"/>
          <w:szCs w:val="22"/>
        </w:rPr>
        <w:t>Understanding speech, language and communication needs: Profiles of need and provision (2012)</w:t>
      </w:r>
      <w:r w:rsidRPr="00A4043B">
        <w:rPr>
          <w:sz w:val="20"/>
          <w:szCs w:val="22"/>
        </w:rPr>
        <w:t xml:space="preserve">.  </w:t>
      </w:r>
      <w:r w:rsidR="00C73784" w:rsidRPr="00A4043B">
        <w:rPr>
          <w:sz w:val="20"/>
          <w:szCs w:val="22"/>
        </w:rPr>
        <w:t>Available at:</w:t>
      </w:r>
      <w:r w:rsidR="00C709C6" w:rsidRPr="00A4043B">
        <w:rPr>
          <w:sz w:val="20"/>
          <w:szCs w:val="22"/>
        </w:rPr>
        <w:t xml:space="preserve"> </w:t>
      </w:r>
      <w:hyperlink r:id="rId85" w:history="1">
        <w:r w:rsidR="00A4043B" w:rsidRPr="00A4043B">
          <w:rPr>
            <w:rStyle w:val="Hyperlink"/>
            <w:sz w:val="20"/>
            <w:szCs w:val="20"/>
          </w:rPr>
          <w:t>https://assets.publishing.service.gov.uk/government/uploads/system/uploads/attachment_data/file/557156/DFE-RR247-BCRP4.pdf</w:t>
        </w:r>
      </w:hyperlink>
      <w:r w:rsidR="00A4043B" w:rsidRPr="00A4043B">
        <w:rPr>
          <w:sz w:val="20"/>
          <w:szCs w:val="20"/>
        </w:rPr>
        <w:t xml:space="preserve"> </w:t>
      </w:r>
    </w:p>
  </w:endnote>
  <w:endnote w:id="94">
    <w:p w14:paraId="5C904463" w14:textId="0308D728" w:rsidR="004E04E1" w:rsidRPr="00053374" w:rsidRDefault="004E04E1" w:rsidP="004C3828">
      <w:pPr>
        <w:spacing w:after="0"/>
        <w:contextualSpacing/>
        <w:jc w:val="left"/>
        <w:rPr>
          <w:sz w:val="20"/>
          <w:szCs w:val="22"/>
          <w:highlight w:val="green"/>
        </w:rPr>
      </w:pPr>
      <w:r w:rsidRPr="008227ED">
        <w:rPr>
          <w:rStyle w:val="EndnoteReference"/>
          <w:sz w:val="20"/>
          <w:szCs w:val="22"/>
        </w:rPr>
        <w:endnoteRef/>
      </w:r>
      <w:r w:rsidRPr="008227ED">
        <w:rPr>
          <w:sz w:val="20"/>
          <w:szCs w:val="22"/>
        </w:rPr>
        <w:t xml:space="preserve"> D</w:t>
      </w:r>
      <w:r w:rsidR="00F67DC9" w:rsidRPr="008227ED">
        <w:rPr>
          <w:sz w:val="20"/>
          <w:szCs w:val="22"/>
        </w:rPr>
        <w:t xml:space="preserve">epartment of </w:t>
      </w:r>
      <w:r w:rsidRPr="008227ED">
        <w:rPr>
          <w:sz w:val="20"/>
          <w:szCs w:val="22"/>
        </w:rPr>
        <w:t>H</w:t>
      </w:r>
      <w:r w:rsidR="00F67DC9" w:rsidRPr="008227ED">
        <w:rPr>
          <w:sz w:val="20"/>
          <w:szCs w:val="22"/>
        </w:rPr>
        <w:t xml:space="preserve">ealth &amp; </w:t>
      </w:r>
      <w:r w:rsidRPr="008227ED">
        <w:rPr>
          <w:sz w:val="20"/>
          <w:szCs w:val="22"/>
        </w:rPr>
        <w:t>S</w:t>
      </w:r>
      <w:r w:rsidR="00F67DC9" w:rsidRPr="008227ED">
        <w:rPr>
          <w:sz w:val="20"/>
          <w:szCs w:val="22"/>
        </w:rPr>
        <w:t xml:space="preserve">ocial </w:t>
      </w:r>
      <w:r w:rsidRPr="008227ED">
        <w:rPr>
          <w:sz w:val="20"/>
          <w:szCs w:val="22"/>
        </w:rPr>
        <w:t>C</w:t>
      </w:r>
      <w:r w:rsidR="00F67DC9" w:rsidRPr="008227ED">
        <w:rPr>
          <w:sz w:val="20"/>
          <w:szCs w:val="22"/>
        </w:rPr>
        <w:t>are and Department for Education</w:t>
      </w:r>
      <w:r w:rsidRPr="008227ED">
        <w:rPr>
          <w:sz w:val="20"/>
          <w:szCs w:val="22"/>
        </w:rPr>
        <w:t xml:space="preserve"> (2020). </w:t>
      </w:r>
      <w:r w:rsidRPr="008227ED">
        <w:rPr>
          <w:i/>
          <w:sz w:val="20"/>
          <w:szCs w:val="22"/>
        </w:rPr>
        <w:t>Best start in speech, langua</w:t>
      </w:r>
      <w:r w:rsidR="00FA4264">
        <w:rPr>
          <w:i/>
          <w:sz w:val="20"/>
          <w:szCs w:val="22"/>
        </w:rPr>
        <w:t>g</w:t>
      </w:r>
      <w:r w:rsidRPr="008227ED">
        <w:rPr>
          <w:i/>
          <w:sz w:val="20"/>
          <w:szCs w:val="22"/>
        </w:rPr>
        <w:t>e and communication: Supporting Evidence</w:t>
      </w:r>
      <w:r w:rsidRPr="008227ED">
        <w:rPr>
          <w:sz w:val="20"/>
          <w:szCs w:val="22"/>
        </w:rPr>
        <w:t xml:space="preserve">. </w:t>
      </w:r>
      <w:r w:rsidR="00DC0117" w:rsidRPr="008227ED">
        <w:rPr>
          <w:sz w:val="20"/>
          <w:szCs w:val="22"/>
        </w:rPr>
        <w:t>Available at:</w:t>
      </w:r>
      <w:r w:rsidRPr="008227ED">
        <w:rPr>
          <w:sz w:val="20"/>
          <w:szCs w:val="22"/>
        </w:rPr>
        <w:t xml:space="preserve"> </w:t>
      </w:r>
      <w:hyperlink r:id="rId86" w:history="1">
        <w:r w:rsidRPr="008227ED">
          <w:rPr>
            <w:rStyle w:val="Hyperlink"/>
            <w:sz w:val="20"/>
            <w:szCs w:val="22"/>
          </w:rPr>
          <w:t>https://assets.publishing.service.gov.uk/media/5f9be9c48fa8f57f3b4cb075/BSSLC_Supporting-evidence.pdf</w:t>
        </w:r>
      </w:hyperlink>
      <w:r w:rsidR="008227ED" w:rsidRPr="008227ED">
        <w:t xml:space="preserve"> </w:t>
      </w:r>
    </w:p>
  </w:endnote>
  <w:endnote w:id="95">
    <w:p w14:paraId="120599AF" w14:textId="77777777" w:rsidR="003E5047" w:rsidRPr="00C53FAB" w:rsidRDefault="003E5047" w:rsidP="003E5047">
      <w:pPr>
        <w:spacing w:after="0"/>
        <w:ind w:left="720" w:hanging="720"/>
        <w:contextualSpacing/>
        <w:jc w:val="left"/>
        <w:rPr>
          <w:sz w:val="20"/>
          <w:szCs w:val="20"/>
        </w:rPr>
      </w:pPr>
      <w:r>
        <w:rPr>
          <w:rStyle w:val="EndnoteReference"/>
        </w:rPr>
        <w:endnoteRef/>
      </w:r>
      <w:r w:rsidRPr="00C53FAB">
        <w:rPr>
          <w:sz w:val="20"/>
          <w:szCs w:val="20"/>
        </w:rPr>
        <w:t xml:space="preserve">Lanz, R.(2009) A pilot project examining the Speech, Language, Communication needs of young people </w:t>
      </w:r>
    </w:p>
    <w:p w14:paraId="7BE599F3" w14:textId="77777777" w:rsidR="003E5047" w:rsidRPr="00D75E30" w:rsidRDefault="003E5047" w:rsidP="003E5047">
      <w:pPr>
        <w:rPr>
          <w:sz w:val="20"/>
          <w:szCs w:val="20"/>
        </w:rPr>
      </w:pPr>
      <w:r w:rsidRPr="00C53FAB">
        <w:rPr>
          <w:sz w:val="20"/>
          <w:szCs w:val="20"/>
        </w:rPr>
        <w:t xml:space="preserve">accessing the Milton Keynes Youth Offending Team. Available at: </w:t>
      </w:r>
      <w:hyperlink r:id="rId87" w:history="1">
        <w:r w:rsidRPr="00C53FAB">
          <w:rPr>
            <w:rStyle w:val="Hyperlink"/>
            <w:sz w:val="20"/>
            <w:szCs w:val="20"/>
          </w:rPr>
          <w:t>justice-evidence-base2017-1.pdf</w:t>
        </w:r>
      </w:hyperlink>
      <w:r>
        <w:rPr>
          <w:sz w:val="20"/>
          <w:szCs w:val="20"/>
        </w:rPr>
        <w:t xml:space="preserve"> (Accessed: 5 August 2025).</w:t>
      </w:r>
      <w:r>
        <w:t xml:space="preserve"> </w:t>
      </w:r>
    </w:p>
  </w:endnote>
  <w:endnote w:id="96">
    <w:p w14:paraId="2CEE44CE" w14:textId="77777777" w:rsidR="00227E4B" w:rsidRPr="00F9322A" w:rsidRDefault="00227E4B" w:rsidP="00227E4B">
      <w:r>
        <w:rPr>
          <w:rStyle w:val="EndnoteReference"/>
        </w:rPr>
        <w:endnoteRef/>
      </w:r>
      <w:r w:rsidRPr="009833E0">
        <w:rPr>
          <w:sz w:val="20"/>
          <w:szCs w:val="20"/>
        </w:rPr>
        <w:t>MacRae, A., and Clark, A. (2021)</w:t>
      </w:r>
      <w:r>
        <w:rPr>
          <w:sz w:val="20"/>
          <w:szCs w:val="20"/>
        </w:rPr>
        <w:t>.</w:t>
      </w:r>
      <w:r w:rsidRPr="009833E0">
        <w:rPr>
          <w:sz w:val="20"/>
          <w:szCs w:val="20"/>
        </w:rPr>
        <w:t xml:space="preserve"> ‘Police officers’ awareness of the speech, language and communication needs of young offenders’, </w:t>
      </w:r>
      <w:r w:rsidRPr="009833E0">
        <w:rPr>
          <w:i/>
          <w:sz w:val="20"/>
          <w:szCs w:val="20"/>
        </w:rPr>
        <w:t>The Police Journal</w:t>
      </w:r>
      <w:r w:rsidRPr="009833E0">
        <w:rPr>
          <w:sz w:val="20"/>
          <w:szCs w:val="20"/>
        </w:rPr>
        <w:t>,</w:t>
      </w:r>
      <w:r w:rsidRPr="009833E0">
        <w:rPr>
          <w:i/>
          <w:sz w:val="20"/>
          <w:szCs w:val="20"/>
        </w:rPr>
        <w:t xml:space="preserve"> </w:t>
      </w:r>
      <w:r w:rsidRPr="009833E0">
        <w:rPr>
          <w:sz w:val="20"/>
          <w:szCs w:val="20"/>
        </w:rPr>
        <w:t xml:space="preserve">94(4), pp.539-555. </w:t>
      </w:r>
      <w:r>
        <w:rPr>
          <w:sz w:val="20"/>
          <w:szCs w:val="20"/>
        </w:rPr>
        <w:t>doi</w:t>
      </w:r>
      <w:r w:rsidRPr="009833E0">
        <w:rPr>
          <w:sz w:val="20"/>
          <w:szCs w:val="22"/>
        </w:rPr>
        <w:t xml:space="preserve">: </w:t>
      </w:r>
      <w:r w:rsidRPr="009833E0">
        <w:rPr>
          <w:sz w:val="20"/>
          <w:szCs w:val="20"/>
        </w:rPr>
        <w:t xml:space="preserve"> </w:t>
      </w:r>
      <w:hyperlink r:id="rId88" w:history="1">
        <w:r w:rsidRPr="009833E0">
          <w:rPr>
            <w:rStyle w:val="Hyperlink"/>
            <w:sz w:val="20"/>
            <w:szCs w:val="20"/>
          </w:rPr>
          <w:t>https://doi.org/10.1177/0032258x20968591</w:t>
        </w:r>
      </w:hyperlink>
      <w:r>
        <w:t xml:space="preserve"> </w:t>
      </w:r>
    </w:p>
  </w:endnote>
  <w:endnote w:id="97">
    <w:p w14:paraId="5F0CBD18" w14:textId="7FBAD2EA" w:rsidR="006964CC" w:rsidRPr="00053374" w:rsidRDefault="006964CC" w:rsidP="004C3828">
      <w:pPr>
        <w:spacing w:after="0"/>
        <w:jc w:val="left"/>
        <w:rPr>
          <w:sz w:val="20"/>
          <w:szCs w:val="22"/>
          <w:highlight w:val="green"/>
        </w:rPr>
      </w:pPr>
      <w:r w:rsidRPr="004A4663">
        <w:rPr>
          <w:rStyle w:val="EndnoteReference"/>
        </w:rPr>
        <w:endnoteRef/>
      </w:r>
      <w:r w:rsidRPr="004A4663">
        <w:t xml:space="preserve"> </w:t>
      </w:r>
      <w:r w:rsidRPr="004A4663">
        <w:rPr>
          <w:sz w:val="20"/>
          <w:szCs w:val="22"/>
        </w:rPr>
        <w:t xml:space="preserve">Herefordshire and Worcestershire Health and Care (2025). </w:t>
      </w:r>
      <w:r w:rsidRPr="004A4663">
        <w:rPr>
          <w:i/>
          <w:sz w:val="20"/>
          <w:szCs w:val="22"/>
        </w:rPr>
        <w:t>Identification of SLCN</w:t>
      </w:r>
      <w:r w:rsidRPr="004A4663">
        <w:rPr>
          <w:sz w:val="20"/>
          <w:szCs w:val="22"/>
        </w:rPr>
        <w:t xml:space="preserve">. </w:t>
      </w:r>
      <w:r w:rsidR="004A4663" w:rsidRPr="004A4663">
        <w:rPr>
          <w:sz w:val="20"/>
          <w:szCs w:val="22"/>
        </w:rPr>
        <w:t xml:space="preserve">Available at: </w:t>
      </w:r>
      <w:hyperlink r:id="rId89" w:history="1">
        <w:r w:rsidR="004A4663" w:rsidRPr="004A4663">
          <w:rPr>
            <w:rStyle w:val="Hyperlink"/>
            <w:sz w:val="20"/>
            <w:szCs w:val="22"/>
          </w:rPr>
          <w:t>https://www.hacw.nhs.uk/identifying-slcn</w:t>
        </w:r>
      </w:hyperlink>
      <w:r w:rsidR="004A4663" w:rsidRPr="004A4663">
        <w:rPr>
          <w:sz w:val="20"/>
          <w:szCs w:val="22"/>
        </w:rPr>
        <w:t xml:space="preserve"> </w:t>
      </w:r>
    </w:p>
  </w:endnote>
  <w:endnote w:id="98">
    <w:p w14:paraId="06BF2963" w14:textId="16F89BDD" w:rsidR="006964CC" w:rsidRPr="00053374" w:rsidRDefault="006964CC" w:rsidP="004C3828">
      <w:pPr>
        <w:jc w:val="left"/>
        <w:rPr>
          <w:sz w:val="20"/>
          <w:szCs w:val="22"/>
          <w:highlight w:val="green"/>
        </w:rPr>
      </w:pPr>
      <w:r w:rsidRPr="00491DD5">
        <w:rPr>
          <w:rStyle w:val="EndnoteReference"/>
        </w:rPr>
        <w:endnoteRef/>
      </w:r>
      <w:r w:rsidRPr="00491DD5">
        <w:t xml:space="preserve"> </w:t>
      </w:r>
      <w:r w:rsidR="00A055C3">
        <w:t>The</w:t>
      </w:r>
      <w:r w:rsidRPr="00491DD5">
        <w:t xml:space="preserve"> </w:t>
      </w:r>
      <w:r w:rsidRPr="00491DD5">
        <w:rPr>
          <w:sz w:val="20"/>
          <w:szCs w:val="22"/>
        </w:rPr>
        <w:t xml:space="preserve">Royal College of Speech </w:t>
      </w:r>
      <w:r w:rsidR="008D70B7" w:rsidRPr="00491DD5">
        <w:rPr>
          <w:sz w:val="20"/>
          <w:szCs w:val="22"/>
        </w:rPr>
        <w:t>and</w:t>
      </w:r>
      <w:r w:rsidRPr="00491DD5">
        <w:rPr>
          <w:sz w:val="20"/>
          <w:szCs w:val="22"/>
        </w:rPr>
        <w:t xml:space="preserve"> Language Therapists (2020). </w:t>
      </w:r>
      <w:r w:rsidRPr="00491DD5">
        <w:rPr>
          <w:i/>
          <w:sz w:val="20"/>
          <w:szCs w:val="22"/>
        </w:rPr>
        <w:t>Promoting social, emotional and mental health</w:t>
      </w:r>
      <w:r w:rsidRPr="00491DD5">
        <w:rPr>
          <w:sz w:val="20"/>
          <w:szCs w:val="22"/>
        </w:rPr>
        <w:t xml:space="preserve">. </w:t>
      </w:r>
      <w:r w:rsidR="00491DD5" w:rsidRPr="00491DD5">
        <w:rPr>
          <w:sz w:val="20"/>
          <w:szCs w:val="22"/>
        </w:rPr>
        <w:t xml:space="preserve">Available at: </w:t>
      </w:r>
      <w:hyperlink r:id="rId90" w:history="1">
        <w:r w:rsidR="00491DD5" w:rsidRPr="00491DD5">
          <w:rPr>
            <w:rStyle w:val="Hyperlink"/>
            <w:sz w:val="20"/>
            <w:szCs w:val="22"/>
          </w:rPr>
          <w:t>https://www.rcslt.org/wp-content/uploads/2022/04/RCSLT-promoting-SEMH-factsheet.pdf</w:t>
        </w:r>
      </w:hyperlink>
      <w:r w:rsidR="00491DD5" w:rsidRPr="00491DD5">
        <w:rPr>
          <w:sz w:val="20"/>
          <w:szCs w:val="22"/>
        </w:rPr>
        <w:t xml:space="preserve"> </w:t>
      </w:r>
    </w:p>
  </w:endnote>
  <w:endnote w:id="99">
    <w:p w14:paraId="6EA366B8" w14:textId="4FB968DC" w:rsidR="006964CC" w:rsidRPr="00053374" w:rsidRDefault="006964CC" w:rsidP="004C3828">
      <w:pPr>
        <w:spacing w:after="0"/>
        <w:jc w:val="left"/>
        <w:rPr>
          <w:sz w:val="20"/>
          <w:szCs w:val="22"/>
          <w:highlight w:val="green"/>
        </w:rPr>
      </w:pPr>
      <w:r w:rsidRPr="00E246B3">
        <w:rPr>
          <w:rStyle w:val="EndnoteReference"/>
        </w:rPr>
        <w:endnoteRef/>
      </w:r>
      <w:r w:rsidRPr="00E246B3">
        <w:t xml:space="preserve"> </w:t>
      </w:r>
      <w:r w:rsidRPr="00E246B3">
        <w:rPr>
          <w:sz w:val="20"/>
          <w:szCs w:val="22"/>
        </w:rPr>
        <w:t xml:space="preserve">Mind (2024). </w:t>
      </w:r>
      <w:r w:rsidRPr="00E246B3">
        <w:rPr>
          <w:i/>
          <w:sz w:val="20"/>
          <w:szCs w:val="22"/>
        </w:rPr>
        <w:t>The Big Mental Health Report</w:t>
      </w:r>
      <w:r w:rsidRPr="00E246B3">
        <w:rPr>
          <w:sz w:val="20"/>
          <w:szCs w:val="22"/>
        </w:rPr>
        <w:t xml:space="preserve">. </w:t>
      </w:r>
      <w:r w:rsidR="00E246B3" w:rsidRPr="00E246B3">
        <w:rPr>
          <w:sz w:val="20"/>
          <w:szCs w:val="22"/>
        </w:rPr>
        <w:t xml:space="preserve">Available at: </w:t>
      </w:r>
      <w:hyperlink r:id="rId91" w:history="1">
        <w:r w:rsidR="00E246B3" w:rsidRPr="00E246B3">
          <w:rPr>
            <w:rStyle w:val="Hyperlink"/>
            <w:sz w:val="20"/>
            <w:szCs w:val="22"/>
          </w:rPr>
          <w:t>https://www.mind.org.uk/media/vbbdclpi/the-big-mental-health-report-2024-mind.pdf</w:t>
        </w:r>
      </w:hyperlink>
      <w:r w:rsidR="00E246B3" w:rsidRPr="00E246B3">
        <w:rPr>
          <w:sz w:val="20"/>
          <w:szCs w:val="22"/>
        </w:rPr>
        <w:t xml:space="preserve"> </w:t>
      </w:r>
    </w:p>
  </w:endnote>
  <w:endnote w:id="100">
    <w:p w14:paraId="0DA8A40C" w14:textId="2B521090" w:rsidR="006964CC" w:rsidRPr="00053374" w:rsidRDefault="006964CC" w:rsidP="004C3828">
      <w:pPr>
        <w:spacing w:after="0"/>
        <w:jc w:val="left"/>
        <w:rPr>
          <w:sz w:val="20"/>
          <w:szCs w:val="22"/>
          <w:highlight w:val="green"/>
        </w:rPr>
      </w:pPr>
      <w:r w:rsidRPr="00A055C3">
        <w:rPr>
          <w:rStyle w:val="EndnoteReference"/>
        </w:rPr>
        <w:endnoteRef/>
      </w:r>
      <w:r w:rsidRPr="00A055C3">
        <w:t xml:space="preserve"> </w:t>
      </w:r>
      <w:r w:rsidRPr="00A055C3">
        <w:rPr>
          <w:sz w:val="20"/>
          <w:szCs w:val="22"/>
        </w:rPr>
        <w:t xml:space="preserve">Hobson, H., Kalsi, M., Cotton, L., Forster, M., </w:t>
      </w:r>
      <w:r w:rsidR="00C221BC" w:rsidRPr="00A055C3">
        <w:rPr>
          <w:sz w:val="20"/>
          <w:szCs w:val="22"/>
        </w:rPr>
        <w:t>and</w:t>
      </w:r>
      <w:r w:rsidRPr="00A055C3">
        <w:rPr>
          <w:sz w:val="20"/>
          <w:szCs w:val="22"/>
        </w:rPr>
        <w:t xml:space="preserve"> Toseeb, U. (2022)</w:t>
      </w:r>
      <w:r w:rsidR="00D046F5">
        <w:rPr>
          <w:sz w:val="20"/>
          <w:szCs w:val="22"/>
        </w:rPr>
        <w:t>.</w:t>
      </w:r>
      <w:r w:rsidRPr="00A055C3">
        <w:rPr>
          <w:sz w:val="20"/>
          <w:szCs w:val="22"/>
        </w:rPr>
        <w:t xml:space="preserve"> </w:t>
      </w:r>
      <w:r w:rsidR="0099208B" w:rsidRPr="00A055C3">
        <w:rPr>
          <w:sz w:val="20"/>
          <w:szCs w:val="22"/>
        </w:rPr>
        <w:t>‘</w:t>
      </w:r>
      <w:r w:rsidRPr="00A055C3">
        <w:rPr>
          <w:sz w:val="20"/>
          <w:szCs w:val="22"/>
        </w:rPr>
        <w:t>Supporting the mental health of children with speech, language and communication needs: The views and experiences of parents</w:t>
      </w:r>
      <w:r w:rsidR="0099208B" w:rsidRPr="00A055C3">
        <w:rPr>
          <w:sz w:val="20"/>
          <w:szCs w:val="22"/>
        </w:rPr>
        <w:t>’,</w:t>
      </w:r>
      <w:r w:rsidRPr="00A055C3">
        <w:rPr>
          <w:sz w:val="20"/>
          <w:szCs w:val="22"/>
        </w:rPr>
        <w:t xml:space="preserve"> </w:t>
      </w:r>
      <w:r w:rsidRPr="00A055C3">
        <w:rPr>
          <w:i/>
          <w:sz w:val="20"/>
          <w:szCs w:val="22"/>
        </w:rPr>
        <w:t>Autism &amp; Developmental Language Impairments</w:t>
      </w:r>
      <w:r w:rsidRPr="00A055C3">
        <w:rPr>
          <w:sz w:val="20"/>
          <w:szCs w:val="22"/>
        </w:rPr>
        <w:t>,</w:t>
      </w:r>
      <w:r w:rsidRPr="00A055C3">
        <w:rPr>
          <w:i/>
          <w:sz w:val="20"/>
          <w:szCs w:val="22"/>
        </w:rPr>
        <w:t xml:space="preserve"> </w:t>
      </w:r>
      <w:r w:rsidRPr="00A055C3">
        <w:rPr>
          <w:sz w:val="20"/>
          <w:szCs w:val="22"/>
        </w:rPr>
        <w:t>7</w:t>
      </w:r>
      <w:r w:rsidR="00A055C3" w:rsidRPr="00A055C3">
        <w:rPr>
          <w:sz w:val="20"/>
          <w:szCs w:val="22"/>
        </w:rPr>
        <w:t xml:space="preserve">. </w:t>
      </w:r>
      <w:r w:rsidR="00D046F5">
        <w:rPr>
          <w:sz w:val="20"/>
          <w:szCs w:val="22"/>
        </w:rPr>
        <w:t>doi</w:t>
      </w:r>
      <w:r w:rsidR="00A055C3" w:rsidRPr="00A055C3">
        <w:rPr>
          <w:sz w:val="20"/>
          <w:szCs w:val="22"/>
        </w:rPr>
        <w:t>:</w:t>
      </w:r>
      <w:r w:rsidRPr="00A055C3">
        <w:rPr>
          <w:sz w:val="20"/>
          <w:szCs w:val="22"/>
        </w:rPr>
        <w:t xml:space="preserve"> </w:t>
      </w:r>
      <w:hyperlink r:id="rId92" w:history="1">
        <w:r w:rsidRPr="00A055C3">
          <w:rPr>
            <w:rStyle w:val="Hyperlink"/>
            <w:sz w:val="20"/>
            <w:szCs w:val="22"/>
          </w:rPr>
          <w:t>https://doi.org/10.1177/23969415221101137</w:t>
        </w:r>
      </w:hyperlink>
    </w:p>
  </w:endnote>
  <w:endnote w:id="101">
    <w:p w14:paraId="19AA15F0" w14:textId="35A44EAA" w:rsidR="006964CC" w:rsidRPr="00053374" w:rsidRDefault="006964CC" w:rsidP="004C3828">
      <w:pPr>
        <w:pStyle w:val="EndnoteText"/>
        <w:jc w:val="left"/>
        <w:rPr>
          <w:highlight w:val="green"/>
        </w:rPr>
      </w:pPr>
      <w:r w:rsidRPr="00854F9D">
        <w:rPr>
          <w:rStyle w:val="EndnoteReference"/>
        </w:rPr>
        <w:endnoteRef/>
      </w:r>
      <w:r w:rsidRPr="00854F9D">
        <w:t xml:space="preserve"> </w:t>
      </w:r>
      <w:r w:rsidR="00A055C3" w:rsidRPr="007E6556">
        <w:rPr>
          <w:iCs/>
          <w:szCs w:val="22"/>
        </w:rPr>
        <w:t>The Royal College of Speech and Language Therapists</w:t>
      </w:r>
      <w:r w:rsidRPr="007E6556">
        <w:rPr>
          <w:szCs w:val="22"/>
        </w:rPr>
        <w:t xml:space="preserve"> </w:t>
      </w:r>
      <w:r w:rsidRPr="00854F9D">
        <w:t xml:space="preserve">(2021). </w:t>
      </w:r>
      <w:r w:rsidRPr="00854F9D">
        <w:rPr>
          <w:i/>
        </w:rPr>
        <w:t>Supporting children and young people with communication and swallowing needs</w:t>
      </w:r>
      <w:r w:rsidRPr="00854F9D">
        <w:t xml:space="preserve">. </w:t>
      </w:r>
      <w:r w:rsidR="00854F9D" w:rsidRPr="00854F9D">
        <w:rPr>
          <w:szCs w:val="22"/>
        </w:rPr>
        <w:t xml:space="preserve">Available at: </w:t>
      </w:r>
      <w:r w:rsidRPr="00854F9D">
        <w:rPr>
          <w:noProof/>
        </w:rPr>
        <w:t xml:space="preserve"> </w:t>
      </w:r>
      <w:hyperlink r:id="rId93" w:history="1">
        <w:r w:rsidRPr="00854F9D">
          <w:rPr>
            <w:rStyle w:val="Hyperlink"/>
          </w:rPr>
          <w:t>https://w</w:t>
        </w:r>
        <w:bookmarkStart w:id="223" w:name="_Hlt205204177"/>
        <w:bookmarkStart w:id="224" w:name="_Hlt205204178"/>
        <w:r w:rsidRPr="00854F9D">
          <w:rPr>
            <w:rStyle w:val="Hyperlink"/>
          </w:rPr>
          <w:t>w</w:t>
        </w:r>
        <w:bookmarkEnd w:id="223"/>
        <w:bookmarkEnd w:id="224"/>
        <w:r w:rsidRPr="00854F9D">
          <w:rPr>
            <w:rStyle w:val="Hyperlink"/>
          </w:rPr>
          <w:t>w.rcslt.org/wp-content/uploads/2021/12/Supporting-children-and-young-people-with-communication-and-swallowing-needs_December-2021.pdf</w:t>
        </w:r>
      </w:hyperlink>
      <w:r w:rsidR="00854F9D" w:rsidRPr="00854F9D">
        <w:t xml:space="preserve"> </w:t>
      </w:r>
    </w:p>
  </w:endnote>
  <w:endnote w:id="102">
    <w:p w14:paraId="2D1846CB" w14:textId="2B03C9B0" w:rsidR="006964CC" w:rsidRPr="00053374" w:rsidRDefault="006964CC" w:rsidP="004C3828">
      <w:pPr>
        <w:pStyle w:val="EndnoteText"/>
        <w:jc w:val="left"/>
        <w:rPr>
          <w:highlight w:val="green"/>
        </w:rPr>
      </w:pPr>
      <w:r w:rsidRPr="00742019">
        <w:rPr>
          <w:rStyle w:val="EndnoteReference"/>
        </w:rPr>
        <w:endnoteRef/>
      </w:r>
      <w:r w:rsidRPr="00742019">
        <w:rPr>
          <w:lang w:val="nl-NL"/>
        </w:rPr>
        <w:t xml:space="preserve"> van der Niet, A. G., Hartman, E., Moolenaar, B. J., Smith, J., </w:t>
      </w:r>
      <w:r w:rsidR="00854F9D" w:rsidRPr="00742019">
        <w:rPr>
          <w:lang w:val="nl-NL"/>
        </w:rPr>
        <w:t>and</w:t>
      </w:r>
      <w:r w:rsidRPr="00742019">
        <w:rPr>
          <w:lang w:val="nl-NL"/>
        </w:rPr>
        <w:t xml:space="preserve"> Visscher, C. (2014)</w:t>
      </w:r>
      <w:r w:rsidR="00D046F5">
        <w:rPr>
          <w:lang w:val="nl-NL"/>
        </w:rPr>
        <w:t>.</w:t>
      </w:r>
      <w:r w:rsidRPr="00742019">
        <w:rPr>
          <w:lang w:val="nl-NL"/>
        </w:rPr>
        <w:t xml:space="preserve"> </w:t>
      </w:r>
      <w:r w:rsidR="0076183F" w:rsidRPr="00476C25">
        <w:t>‘</w:t>
      </w:r>
      <w:r w:rsidRPr="00742019">
        <w:t xml:space="preserve">Relationship between physical activity and physical fitness in school-aged children with developmental language </w:t>
      </w:r>
      <w:r w:rsidRPr="00742019">
        <w:rPr>
          <w:noProof/>
        </w:rPr>
        <w:t>disorders</w:t>
      </w:r>
      <w:r w:rsidR="00742019" w:rsidRPr="00742019">
        <w:rPr>
          <w:noProof/>
        </w:rPr>
        <w:t>’,</w:t>
      </w:r>
      <w:r w:rsidRPr="00742019">
        <w:t xml:space="preserve"> </w:t>
      </w:r>
      <w:r w:rsidRPr="00742019">
        <w:rPr>
          <w:i/>
        </w:rPr>
        <w:t>Research in Developmental Disabilities</w:t>
      </w:r>
      <w:r w:rsidRPr="00742019">
        <w:t>,</w:t>
      </w:r>
      <w:r w:rsidRPr="00742019">
        <w:rPr>
          <w:i/>
        </w:rPr>
        <w:t xml:space="preserve"> </w:t>
      </w:r>
      <w:r w:rsidRPr="00742019">
        <w:t xml:space="preserve">35(12), </w:t>
      </w:r>
      <w:r w:rsidR="00742019" w:rsidRPr="00742019">
        <w:rPr>
          <w:noProof/>
        </w:rPr>
        <w:t>pp.</w:t>
      </w:r>
      <w:r w:rsidRPr="00742019">
        <w:t>3285-3291.</w:t>
      </w:r>
      <w:r w:rsidRPr="00742019">
        <w:rPr>
          <w:noProof/>
        </w:rPr>
        <w:t xml:space="preserve"> </w:t>
      </w:r>
      <w:r w:rsidR="00D046F5">
        <w:rPr>
          <w:noProof/>
        </w:rPr>
        <w:t>doi</w:t>
      </w:r>
      <w:r w:rsidR="00742019" w:rsidRPr="00742019">
        <w:rPr>
          <w:szCs w:val="22"/>
        </w:rPr>
        <w:t xml:space="preserve">: </w:t>
      </w:r>
      <w:r w:rsidRPr="00742019">
        <w:t xml:space="preserve"> </w:t>
      </w:r>
      <w:hyperlink r:id="rId94" w:history="1">
        <w:r w:rsidRPr="00742019">
          <w:rPr>
            <w:rStyle w:val="Hyperlink"/>
          </w:rPr>
          <w:t>https://doi.org/https://doi.org/10.1016/j.ridd.2014.08.022</w:t>
        </w:r>
      </w:hyperlink>
    </w:p>
  </w:endnote>
  <w:endnote w:id="103">
    <w:p w14:paraId="318128BE" w14:textId="4040C496" w:rsidR="006964CC" w:rsidRPr="00053374" w:rsidRDefault="006964CC" w:rsidP="004C3828">
      <w:pPr>
        <w:spacing w:after="0"/>
        <w:jc w:val="left"/>
        <w:rPr>
          <w:sz w:val="20"/>
          <w:szCs w:val="22"/>
          <w:highlight w:val="green"/>
        </w:rPr>
      </w:pPr>
      <w:r w:rsidRPr="00BB04EE">
        <w:rPr>
          <w:rStyle w:val="EndnoteReference"/>
        </w:rPr>
        <w:endnoteRef/>
      </w:r>
      <w:r w:rsidRPr="00BB04EE">
        <w:t xml:space="preserve"> </w:t>
      </w:r>
      <w:r w:rsidRPr="00BB04EE">
        <w:rPr>
          <w:sz w:val="20"/>
          <w:szCs w:val="22"/>
        </w:rPr>
        <w:t xml:space="preserve">Tower Hamlets Health and Wellbeing Board (2025). </w:t>
      </w:r>
      <w:r w:rsidRPr="00BB04EE">
        <w:rPr>
          <w:i/>
          <w:sz w:val="20"/>
          <w:szCs w:val="22"/>
        </w:rPr>
        <w:t>Meeting the needs of children and young people with SEND</w:t>
      </w:r>
      <w:r w:rsidRPr="00BB04EE">
        <w:rPr>
          <w:sz w:val="20"/>
          <w:szCs w:val="22"/>
        </w:rPr>
        <w:t xml:space="preserve">. </w:t>
      </w:r>
      <w:r w:rsidR="00BB04EE" w:rsidRPr="00BB04EE">
        <w:rPr>
          <w:sz w:val="20"/>
          <w:szCs w:val="22"/>
        </w:rPr>
        <w:t xml:space="preserve">Available at: </w:t>
      </w:r>
      <w:r w:rsidR="00BB04EE" w:rsidRPr="00BB04EE">
        <w:rPr>
          <w:noProof/>
        </w:rPr>
        <w:t xml:space="preserve"> </w:t>
      </w:r>
      <w:r w:rsidRPr="00BB04EE">
        <w:rPr>
          <w:sz w:val="20"/>
          <w:szCs w:val="22"/>
        </w:rPr>
        <w:t xml:space="preserve"> </w:t>
      </w:r>
      <w:hyperlink r:id="rId95" w:history="1">
        <w:r w:rsidRPr="00BB04EE">
          <w:rPr>
            <w:rStyle w:val="Hyperlink"/>
            <w:sz w:val="20"/>
            <w:szCs w:val="22"/>
          </w:rPr>
          <w:t>https://democracy.towerhamlets.gov.uk/documents/s250000/HWBB+SEND+Report+27+Feb+2025.pdf</w:t>
        </w:r>
      </w:hyperlink>
      <w:r w:rsidR="00BB04EE" w:rsidRPr="00BB04EE">
        <w:t xml:space="preserve"> </w:t>
      </w:r>
    </w:p>
  </w:endnote>
  <w:endnote w:id="104">
    <w:p w14:paraId="2A02BC57" w14:textId="7CD02401" w:rsidR="006964CC" w:rsidRPr="00053374" w:rsidRDefault="006964CC" w:rsidP="004C3828">
      <w:pPr>
        <w:spacing w:before="0" w:after="0"/>
        <w:jc w:val="left"/>
        <w:rPr>
          <w:highlight w:val="green"/>
        </w:rPr>
      </w:pPr>
      <w:r w:rsidRPr="008E77F4">
        <w:rPr>
          <w:rStyle w:val="EndnoteReference"/>
        </w:rPr>
        <w:endnoteRef/>
      </w:r>
      <w:r w:rsidRPr="00476C25">
        <w:t xml:space="preserve"> </w:t>
      </w:r>
      <w:r w:rsidRPr="00476C25">
        <w:rPr>
          <w:sz w:val="20"/>
          <w:szCs w:val="22"/>
        </w:rPr>
        <w:t xml:space="preserve">Meschi E., M. J., Vignoles, A. </w:t>
      </w:r>
      <w:r w:rsidR="00A854A0" w:rsidRPr="00476C25">
        <w:rPr>
          <w:sz w:val="20"/>
          <w:szCs w:val="22"/>
        </w:rPr>
        <w:t>and</w:t>
      </w:r>
      <w:r w:rsidRPr="00476C25">
        <w:rPr>
          <w:sz w:val="20"/>
          <w:szCs w:val="22"/>
        </w:rPr>
        <w:t xml:space="preserve"> Lindsay, G. (2010). </w:t>
      </w:r>
      <w:r w:rsidRPr="008E77F4">
        <w:rPr>
          <w:i/>
          <w:sz w:val="20"/>
          <w:szCs w:val="22"/>
        </w:rPr>
        <w:t>The transitions between categories of special educational needs of pupils with Speech, Language and Communication Needs (SLCN) and Autism Spectrum Disorder (ASD) as they progress through the education system</w:t>
      </w:r>
      <w:r w:rsidRPr="008E77F4">
        <w:rPr>
          <w:sz w:val="20"/>
          <w:szCs w:val="22"/>
        </w:rPr>
        <w:t xml:space="preserve">. </w:t>
      </w:r>
      <w:r w:rsidR="00A854A0" w:rsidRPr="008E77F4">
        <w:rPr>
          <w:sz w:val="20"/>
          <w:szCs w:val="22"/>
        </w:rPr>
        <w:t>Available at:</w:t>
      </w:r>
      <w:r>
        <w:rPr>
          <w:sz w:val="20"/>
          <w:szCs w:val="22"/>
        </w:rPr>
        <w:t xml:space="preserve"> </w:t>
      </w:r>
      <w:hyperlink r:id="rId96" w:history="1">
        <w:r w:rsidRPr="008E77F4">
          <w:rPr>
            <w:rStyle w:val="Hyperlink"/>
            <w:sz w:val="20"/>
            <w:szCs w:val="22"/>
          </w:rPr>
          <w:t>https://assets.publishing.service.gov.uk/media/5a7c9f1eed915d6969f462d2/DFE-RR247-BCRP11.pdf</w:t>
        </w:r>
      </w:hyperlink>
      <w:r w:rsidR="00A854A0">
        <w:t xml:space="preserve"> </w:t>
      </w:r>
    </w:p>
  </w:endnote>
  <w:endnote w:id="105">
    <w:p w14:paraId="46002BB3" w14:textId="5D0C6CB8" w:rsidR="006964CC" w:rsidRPr="00053374" w:rsidRDefault="006964CC" w:rsidP="004C3828">
      <w:pPr>
        <w:spacing w:before="0" w:after="0"/>
        <w:jc w:val="left"/>
        <w:rPr>
          <w:sz w:val="20"/>
          <w:szCs w:val="22"/>
          <w:highlight w:val="green"/>
        </w:rPr>
      </w:pPr>
      <w:r w:rsidRPr="00F77EA4">
        <w:rPr>
          <w:rStyle w:val="EndnoteReference"/>
        </w:rPr>
        <w:endnoteRef/>
      </w:r>
      <w:r w:rsidRPr="00F77EA4">
        <w:t xml:space="preserve"> </w:t>
      </w:r>
      <w:r w:rsidRPr="00F77EA4">
        <w:rPr>
          <w:sz w:val="20"/>
          <w:szCs w:val="22"/>
        </w:rPr>
        <w:t xml:space="preserve">Hobson, H., Kalsi, M., Cotton, L., Forster, M. </w:t>
      </w:r>
      <w:r w:rsidR="00F77EA4" w:rsidRPr="00F77EA4">
        <w:rPr>
          <w:sz w:val="20"/>
          <w:szCs w:val="22"/>
        </w:rPr>
        <w:t>and</w:t>
      </w:r>
      <w:r w:rsidRPr="00F77EA4">
        <w:rPr>
          <w:sz w:val="20"/>
          <w:szCs w:val="22"/>
        </w:rPr>
        <w:t xml:space="preserve"> Toseeb, U. (2022)</w:t>
      </w:r>
      <w:r w:rsidR="00D046F5">
        <w:rPr>
          <w:sz w:val="20"/>
          <w:szCs w:val="22"/>
        </w:rPr>
        <w:t>.</w:t>
      </w:r>
      <w:r w:rsidRPr="00F77EA4">
        <w:rPr>
          <w:sz w:val="20"/>
          <w:szCs w:val="22"/>
        </w:rPr>
        <w:t xml:space="preserve"> </w:t>
      </w:r>
      <w:r w:rsidR="00F77EA4" w:rsidRPr="00F77EA4">
        <w:rPr>
          <w:sz w:val="20"/>
          <w:szCs w:val="22"/>
        </w:rPr>
        <w:t>‘</w:t>
      </w:r>
      <w:r w:rsidRPr="00F77EA4">
        <w:rPr>
          <w:sz w:val="20"/>
          <w:szCs w:val="22"/>
        </w:rPr>
        <w:t>Supporting the mental health of children with speech, language and communication needs: The views and experiences of parents</w:t>
      </w:r>
      <w:r w:rsidR="00F77EA4" w:rsidRPr="00F77EA4">
        <w:rPr>
          <w:sz w:val="20"/>
          <w:szCs w:val="22"/>
        </w:rPr>
        <w:t>’,</w:t>
      </w:r>
      <w:r w:rsidRPr="00F77EA4">
        <w:rPr>
          <w:sz w:val="20"/>
          <w:szCs w:val="22"/>
        </w:rPr>
        <w:t xml:space="preserve"> </w:t>
      </w:r>
      <w:r w:rsidRPr="00F77EA4">
        <w:rPr>
          <w:i/>
          <w:sz w:val="20"/>
          <w:szCs w:val="22"/>
        </w:rPr>
        <w:t>Autism &amp; Developmental Language Impairments</w:t>
      </w:r>
      <w:r w:rsidRPr="00F77EA4">
        <w:rPr>
          <w:sz w:val="20"/>
          <w:szCs w:val="22"/>
        </w:rPr>
        <w:t>,</w:t>
      </w:r>
      <w:r w:rsidRPr="00F77EA4">
        <w:rPr>
          <w:i/>
          <w:sz w:val="20"/>
          <w:szCs w:val="22"/>
        </w:rPr>
        <w:t xml:space="preserve"> </w:t>
      </w:r>
      <w:r w:rsidRPr="00F77EA4">
        <w:rPr>
          <w:sz w:val="20"/>
          <w:szCs w:val="22"/>
        </w:rPr>
        <w:t>7.</w:t>
      </w:r>
      <w:r w:rsidR="00F77EA4" w:rsidRPr="00F77EA4">
        <w:rPr>
          <w:sz w:val="20"/>
          <w:szCs w:val="22"/>
        </w:rPr>
        <w:t xml:space="preserve"> </w:t>
      </w:r>
      <w:r w:rsidR="004D602D">
        <w:rPr>
          <w:sz w:val="20"/>
          <w:szCs w:val="22"/>
        </w:rPr>
        <w:t>doi</w:t>
      </w:r>
      <w:r w:rsidR="00F77EA4" w:rsidRPr="00F77EA4">
        <w:rPr>
          <w:sz w:val="20"/>
          <w:szCs w:val="22"/>
        </w:rPr>
        <w:t>:</w:t>
      </w:r>
      <w:r w:rsidRPr="00F77EA4">
        <w:rPr>
          <w:sz w:val="20"/>
          <w:szCs w:val="22"/>
        </w:rPr>
        <w:t xml:space="preserve"> </w:t>
      </w:r>
      <w:hyperlink r:id="rId97" w:history="1">
        <w:r w:rsidRPr="00F77EA4">
          <w:rPr>
            <w:rStyle w:val="Hyperlink"/>
            <w:sz w:val="20"/>
            <w:szCs w:val="22"/>
          </w:rPr>
          <w:t>https://doi.org/10.1177/23969415221101137</w:t>
        </w:r>
      </w:hyperlink>
    </w:p>
  </w:endnote>
  <w:endnote w:id="106">
    <w:p w14:paraId="0230C1B4" w14:textId="01BAEB61" w:rsidR="00CD25B7" w:rsidRPr="00293C95" w:rsidRDefault="00CD25B7">
      <w:pPr>
        <w:pStyle w:val="EndnoteText"/>
        <w:rPr>
          <w:lang w:val="en-US"/>
        </w:rPr>
      </w:pPr>
      <w:r>
        <w:rPr>
          <w:rStyle w:val="EndnoteReference"/>
        </w:rPr>
        <w:endnoteRef/>
      </w:r>
      <w:r>
        <w:t xml:space="preserve"> </w:t>
      </w:r>
      <w:r w:rsidRPr="00293C95">
        <w:t>Law, J., Reilly, S., &amp; Snow, P. (2019).</w:t>
      </w:r>
      <w:r w:rsidRPr="00CD25B7">
        <w:br/>
        <w:t xml:space="preserve">Child language, mental health and wellbeing: Interconnections and implications. </w:t>
      </w:r>
      <w:r w:rsidRPr="00CD25B7">
        <w:rPr>
          <w:i/>
          <w:iCs/>
        </w:rPr>
        <w:t>International Journal of Language &amp; Communication Disorders, 54</w:t>
      </w:r>
      <w:r w:rsidRPr="00CD25B7">
        <w:t xml:space="preserve">(3), 431–443. </w:t>
      </w:r>
      <w:hyperlink r:id="rId98" w:history="1">
        <w:r w:rsidRPr="004026F7">
          <w:rPr>
            <w:rStyle w:val="Hyperlink"/>
          </w:rPr>
          <w:t>https://doi.org/10.1111/1460-6984.12411</w:t>
        </w:r>
      </w:hyperlink>
      <w:r>
        <w:t xml:space="preserve"> </w:t>
      </w:r>
    </w:p>
  </w:endnote>
  <w:endnote w:id="107">
    <w:p w14:paraId="5E62958D" w14:textId="41147C54" w:rsidR="00CC0D23" w:rsidRPr="00CC0D23" w:rsidRDefault="00CC0D23">
      <w:pPr>
        <w:pStyle w:val="EndnoteText"/>
      </w:pPr>
      <w:r>
        <w:rPr>
          <w:rStyle w:val="EndnoteReference"/>
        </w:rPr>
        <w:endnoteRef/>
      </w:r>
      <w:r>
        <w:t xml:space="preserve"> </w:t>
      </w:r>
      <w:r w:rsidRPr="00293C95">
        <w:t>Norbury, C. F., Gooch, D., Wray, C., Baird, G., Charman, T., Simonoff, E., &amp; Pickles, A. (2016).</w:t>
      </w:r>
      <w:r w:rsidRPr="00CC0D23">
        <w:br/>
        <w:t xml:space="preserve">The impact of nonverbal ability on prevalence and clinical presentation of language disorder: Evidence from a population study. </w:t>
      </w:r>
      <w:r w:rsidRPr="00CC0D23">
        <w:rPr>
          <w:i/>
          <w:iCs/>
        </w:rPr>
        <w:t>Journal of Child Psychology and Psychiatry, 57</w:t>
      </w:r>
      <w:r w:rsidRPr="00CC0D23">
        <w:t xml:space="preserve">(11), 1247–1257. </w:t>
      </w:r>
      <w:hyperlink r:id="rId99" w:history="1">
        <w:r w:rsidRPr="004026F7">
          <w:rPr>
            <w:rStyle w:val="Hyperlink"/>
          </w:rPr>
          <w:t>https://doi.org/10.1111/jcpp.12573</w:t>
        </w:r>
      </w:hyperlink>
      <w:r>
        <w:t xml:space="preserve"> </w:t>
      </w:r>
    </w:p>
  </w:endnote>
  <w:endnote w:id="108">
    <w:p w14:paraId="26ADE93B" w14:textId="0281918F" w:rsidR="006964CC" w:rsidRPr="00053374" w:rsidRDefault="006964CC" w:rsidP="004C3828">
      <w:pPr>
        <w:spacing w:before="0" w:after="0"/>
        <w:jc w:val="left"/>
        <w:rPr>
          <w:sz w:val="20"/>
          <w:szCs w:val="20"/>
          <w:highlight w:val="green"/>
        </w:rPr>
      </w:pPr>
      <w:r w:rsidRPr="00A939C9">
        <w:rPr>
          <w:rStyle w:val="EndnoteReference"/>
          <w:sz w:val="20"/>
          <w:szCs w:val="20"/>
        </w:rPr>
        <w:endnoteRef/>
      </w:r>
      <w:r w:rsidRPr="00A939C9">
        <w:rPr>
          <w:sz w:val="20"/>
          <w:szCs w:val="20"/>
        </w:rPr>
        <w:t xml:space="preserve"> George, A. </w:t>
      </w:r>
      <w:r w:rsidR="006648BC" w:rsidRPr="00A939C9">
        <w:rPr>
          <w:sz w:val="20"/>
          <w:szCs w:val="20"/>
        </w:rPr>
        <w:t xml:space="preserve">and </w:t>
      </w:r>
      <w:r w:rsidR="0046265F" w:rsidRPr="00A939C9">
        <w:rPr>
          <w:sz w:val="20"/>
          <w:szCs w:val="20"/>
        </w:rPr>
        <w:t>Abi-Aad</w:t>
      </w:r>
      <w:r w:rsidRPr="00A939C9">
        <w:rPr>
          <w:sz w:val="20"/>
          <w:szCs w:val="20"/>
        </w:rPr>
        <w:t xml:space="preserve">, G. (2017). </w:t>
      </w:r>
      <w:r w:rsidRPr="00A939C9">
        <w:rPr>
          <w:i/>
          <w:sz w:val="20"/>
          <w:szCs w:val="20"/>
        </w:rPr>
        <w:t>Speech, Language and Communication</w:t>
      </w:r>
      <w:r w:rsidRPr="00A939C9">
        <w:rPr>
          <w:sz w:val="20"/>
          <w:szCs w:val="20"/>
        </w:rPr>
        <w:t xml:space="preserve">. </w:t>
      </w:r>
      <w:r w:rsidR="00A939C9" w:rsidRPr="00A939C9">
        <w:rPr>
          <w:sz w:val="20"/>
          <w:szCs w:val="22"/>
        </w:rPr>
        <w:t xml:space="preserve">Available at: </w:t>
      </w:r>
      <w:hyperlink r:id="rId100" w:history="1">
        <w:r w:rsidR="00A939C9" w:rsidRPr="00A939C9">
          <w:rPr>
            <w:rStyle w:val="Hyperlink"/>
            <w:sz w:val="20"/>
            <w:szCs w:val="20"/>
          </w:rPr>
          <w:t>https://www.kpho.org.uk/__data/assets/pdf_file/0010/71695/Speech-Language-and-Communication.pdf</w:t>
        </w:r>
      </w:hyperlink>
      <w:r w:rsidR="00A939C9" w:rsidRPr="00A939C9">
        <w:rPr>
          <w:sz w:val="20"/>
          <w:szCs w:val="20"/>
        </w:rPr>
        <w:t xml:space="preserve"> </w:t>
      </w:r>
    </w:p>
  </w:endnote>
  <w:endnote w:id="109">
    <w:p w14:paraId="52540CDB" w14:textId="7BFDACF4" w:rsidR="006964CC" w:rsidRPr="00053374" w:rsidRDefault="006964CC" w:rsidP="004C3828">
      <w:pPr>
        <w:spacing w:before="0" w:after="0"/>
        <w:jc w:val="left"/>
        <w:rPr>
          <w:sz w:val="20"/>
          <w:szCs w:val="22"/>
          <w:highlight w:val="green"/>
        </w:rPr>
      </w:pPr>
      <w:r w:rsidRPr="003A0DDD">
        <w:rPr>
          <w:rStyle w:val="EndnoteReference"/>
          <w:sz w:val="20"/>
          <w:szCs w:val="20"/>
        </w:rPr>
        <w:endnoteRef/>
      </w:r>
      <w:r w:rsidRPr="003A0DDD">
        <w:rPr>
          <w:sz w:val="20"/>
          <w:szCs w:val="22"/>
        </w:rPr>
        <w:t>Tower Hamlets</w:t>
      </w:r>
      <w:r w:rsidR="004333AA" w:rsidRPr="003A0DDD">
        <w:rPr>
          <w:sz w:val="20"/>
          <w:szCs w:val="22"/>
        </w:rPr>
        <w:t xml:space="preserve"> Council</w:t>
      </w:r>
      <w:r w:rsidRPr="003A0DDD">
        <w:rPr>
          <w:sz w:val="20"/>
          <w:szCs w:val="22"/>
        </w:rPr>
        <w:t xml:space="preserve"> (2025). </w:t>
      </w:r>
      <w:r w:rsidRPr="003A0DDD">
        <w:rPr>
          <w:i/>
          <w:sz w:val="20"/>
          <w:szCs w:val="22"/>
        </w:rPr>
        <w:t>Transition into Adult Services</w:t>
      </w:r>
      <w:r w:rsidRPr="003A0DDD">
        <w:rPr>
          <w:sz w:val="20"/>
          <w:szCs w:val="22"/>
        </w:rPr>
        <w:t xml:space="preserve">. </w:t>
      </w:r>
      <w:r w:rsidR="003A0DDD" w:rsidRPr="003A0DDD">
        <w:rPr>
          <w:sz w:val="20"/>
          <w:szCs w:val="22"/>
        </w:rPr>
        <w:t xml:space="preserve">Available at: </w:t>
      </w:r>
      <w:hyperlink r:id="rId101" w:history="1">
        <w:r w:rsidR="003A0DDD" w:rsidRPr="003A0DDD">
          <w:rPr>
            <w:rStyle w:val="Hyperlink"/>
            <w:sz w:val="20"/>
            <w:szCs w:val="22"/>
          </w:rPr>
          <w:t>https://www.towerhamlets.gov.uk/Documents/Children-and-families-services/Supporting-disabilities/Transition-into-Adult-Services.pdf</w:t>
        </w:r>
      </w:hyperlink>
      <w:r w:rsidR="003A0DDD" w:rsidRPr="003A0DDD">
        <w:rPr>
          <w:sz w:val="20"/>
          <w:szCs w:val="22"/>
        </w:rPr>
        <w:t xml:space="preserve"> (Accessed: 4 August 2025).</w:t>
      </w:r>
    </w:p>
  </w:endnote>
  <w:endnote w:id="110">
    <w:p w14:paraId="7D7DFDBA" w14:textId="7427AC68" w:rsidR="006964CC" w:rsidRPr="00053374" w:rsidRDefault="006964CC" w:rsidP="004C3828">
      <w:pPr>
        <w:spacing w:before="0" w:after="0"/>
        <w:jc w:val="left"/>
        <w:rPr>
          <w:sz w:val="20"/>
          <w:szCs w:val="20"/>
          <w:highlight w:val="green"/>
        </w:rPr>
      </w:pPr>
      <w:r w:rsidRPr="0009310C">
        <w:rPr>
          <w:rStyle w:val="EndnoteReference"/>
          <w:sz w:val="20"/>
          <w:szCs w:val="20"/>
        </w:rPr>
        <w:endnoteRef/>
      </w:r>
      <w:r w:rsidRPr="0009310C">
        <w:rPr>
          <w:sz w:val="20"/>
          <w:szCs w:val="20"/>
        </w:rPr>
        <w:t xml:space="preserve"> DeafPlus</w:t>
      </w:r>
      <w:r w:rsidR="0009310C" w:rsidRPr="0009310C">
        <w:rPr>
          <w:sz w:val="20"/>
          <w:szCs w:val="20"/>
        </w:rPr>
        <w:t xml:space="preserve"> </w:t>
      </w:r>
      <w:r w:rsidRPr="0009310C">
        <w:rPr>
          <w:sz w:val="20"/>
          <w:szCs w:val="20"/>
        </w:rPr>
        <w:t xml:space="preserve">(2025). </w:t>
      </w:r>
      <w:r w:rsidRPr="0009310C">
        <w:rPr>
          <w:i/>
          <w:sz w:val="20"/>
          <w:szCs w:val="20"/>
        </w:rPr>
        <w:t>Giving Quality Advice</w:t>
      </w:r>
      <w:r w:rsidRPr="0009310C">
        <w:rPr>
          <w:sz w:val="20"/>
          <w:szCs w:val="20"/>
        </w:rPr>
        <w:t xml:space="preserve">. </w:t>
      </w:r>
      <w:r w:rsidR="0009310C" w:rsidRPr="0009310C">
        <w:rPr>
          <w:sz w:val="20"/>
          <w:szCs w:val="22"/>
        </w:rPr>
        <w:t xml:space="preserve">Available at: </w:t>
      </w:r>
      <w:hyperlink r:id="rId102" w:history="1">
        <w:r w:rsidRPr="0009310C">
          <w:rPr>
            <w:rStyle w:val="Hyperlink"/>
            <w:sz w:val="20"/>
            <w:szCs w:val="20"/>
          </w:rPr>
          <w:t>https://www.deafplus.org/advice</w:t>
        </w:r>
      </w:hyperlink>
      <w:r w:rsidR="0009310C" w:rsidRPr="0009310C">
        <w:t xml:space="preserve"> </w:t>
      </w:r>
    </w:p>
  </w:endnote>
  <w:endnote w:id="111">
    <w:p w14:paraId="4507A90A" w14:textId="77777777" w:rsidR="0023549E" w:rsidRPr="00510D88" w:rsidRDefault="0023549E" w:rsidP="0023549E">
      <w:pPr>
        <w:spacing w:before="0" w:after="0"/>
        <w:jc w:val="left"/>
        <w:rPr>
          <w:sz w:val="20"/>
          <w:szCs w:val="20"/>
        </w:rPr>
      </w:pPr>
      <w:r w:rsidRPr="00C16E3F">
        <w:rPr>
          <w:rStyle w:val="EndnoteReference"/>
          <w:sz w:val="20"/>
          <w:szCs w:val="20"/>
        </w:rPr>
        <w:endnoteRef/>
      </w:r>
      <w:r w:rsidRPr="00C16E3F">
        <w:rPr>
          <w:sz w:val="20"/>
          <w:szCs w:val="20"/>
        </w:rPr>
        <w:t xml:space="preserve"> </w:t>
      </w:r>
      <w:r w:rsidRPr="00C16E3F">
        <w:rPr>
          <w:sz w:val="20"/>
          <w:szCs w:val="22"/>
        </w:rPr>
        <w:t>Gibbard, D., Roulstone, S., Kandala , N. I., Morgan, L., Harding, S., Smith, C. and Markham, C. (2024)</w:t>
      </w:r>
      <w:r>
        <w:rPr>
          <w:sz w:val="20"/>
          <w:szCs w:val="22"/>
        </w:rPr>
        <w:t>.</w:t>
      </w:r>
      <w:r w:rsidRPr="00C16E3F">
        <w:rPr>
          <w:sz w:val="20"/>
          <w:szCs w:val="22"/>
        </w:rPr>
        <w:t xml:space="preserve"> ‘A randomised controlled trial of the effectiveness of parent-based models of language intervention for 2- to 3-year-old children with speech, language and communication needs (SLCN) in areas of social disadvantage’, </w:t>
      </w:r>
      <w:r w:rsidRPr="00C16E3F">
        <w:rPr>
          <w:i/>
          <w:sz w:val="20"/>
          <w:szCs w:val="22"/>
        </w:rPr>
        <w:t>International Journal of Language &amp; Communication Disorders</w:t>
      </w:r>
      <w:r w:rsidRPr="00C16E3F">
        <w:rPr>
          <w:sz w:val="20"/>
          <w:szCs w:val="22"/>
        </w:rPr>
        <w:t>,</w:t>
      </w:r>
      <w:r w:rsidRPr="00C16E3F">
        <w:rPr>
          <w:i/>
          <w:sz w:val="20"/>
          <w:szCs w:val="22"/>
        </w:rPr>
        <w:t xml:space="preserve"> </w:t>
      </w:r>
      <w:r w:rsidRPr="00C16E3F">
        <w:rPr>
          <w:iCs/>
          <w:sz w:val="20"/>
          <w:szCs w:val="22"/>
        </w:rPr>
        <w:t>59</w:t>
      </w:r>
      <w:r w:rsidRPr="00C16E3F">
        <w:rPr>
          <w:sz w:val="20"/>
          <w:szCs w:val="22"/>
        </w:rPr>
        <w:t xml:space="preserve">(4), pp.1517-1537. </w:t>
      </w:r>
      <w:r>
        <w:rPr>
          <w:sz w:val="20"/>
          <w:szCs w:val="22"/>
        </w:rPr>
        <w:t>doi</w:t>
      </w:r>
      <w:r w:rsidRPr="003A0DDD">
        <w:rPr>
          <w:sz w:val="20"/>
          <w:szCs w:val="22"/>
        </w:rPr>
        <w:t xml:space="preserve">: </w:t>
      </w:r>
      <w:hyperlink r:id="rId103" w:history="1">
        <w:r w:rsidRPr="00510D88">
          <w:rPr>
            <w:rStyle w:val="Hyperlink"/>
            <w:sz w:val="20"/>
            <w:szCs w:val="22"/>
          </w:rPr>
          <w:t>https://doi.org/10.1111/1460-6984.13016</w:t>
        </w:r>
      </w:hyperlink>
    </w:p>
  </w:endnote>
  <w:endnote w:id="112">
    <w:p w14:paraId="2E7FC130" w14:textId="77777777" w:rsidR="00374791" w:rsidRPr="00053374" w:rsidRDefault="00374791" w:rsidP="00374791">
      <w:pPr>
        <w:spacing w:before="0" w:after="0"/>
        <w:jc w:val="left"/>
        <w:rPr>
          <w:sz w:val="20"/>
          <w:szCs w:val="20"/>
          <w:highlight w:val="green"/>
        </w:rPr>
      </w:pPr>
      <w:r w:rsidRPr="00783D36">
        <w:rPr>
          <w:rStyle w:val="EndnoteReference"/>
          <w:sz w:val="20"/>
          <w:szCs w:val="20"/>
        </w:rPr>
        <w:endnoteRef/>
      </w:r>
      <w:r w:rsidRPr="00783D36">
        <w:rPr>
          <w:sz w:val="20"/>
          <w:szCs w:val="20"/>
        </w:rPr>
        <w:t xml:space="preserve"> Suggate, S. P., Lenhart, J., Vaahtoranta, E. and Lenhard, W. (2021) ‘Interactive elaborative storytelling fosters vocabulary in pre-schoolers compared to repeated-reading and phonemic awareness interventions’, </w:t>
      </w:r>
      <w:r w:rsidRPr="00783D36">
        <w:rPr>
          <w:i/>
          <w:sz w:val="20"/>
          <w:szCs w:val="20"/>
        </w:rPr>
        <w:t>Cognitive Development</w:t>
      </w:r>
      <w:r w:rsidRPr="00783D36">
        <w:rPr>
          <w:sz w:val="20"/>
          <w:szCs w:val="20"/>
        </w:rPr>
        <w:t>,</w:t>
      </w:r>
      <w:r w:rsidRPr="00783D36">
        <w:rPr>
          <w:i/>
          <w:sz w:val="20"/>
          <w:szCs w:val="20"/>
        </w:rPr>
        <w:t xml:space="preserve"> </w:t>
      </w:r>
      <w:r w:rsidRPr="00783D36">
        <w:rPr>
          <w:iCs/>
          <w:sz w:val="20"/>
          <w:szCs w:val="20"/>
        </w:rPr>
        <w:t>57</w:t>
      </w:r>
      <w:r w:rsidRPr="00783D36">
        <w:rPr>
          <w:sz w:val="20"/>
          <w:szCs w:val="20"/>
        </w:rPr>
        <w:t xml:space="preserve">, p.100996. </w:t>
      </w:r>
      <w:r>
        <w:rPr>
          <w:sz w:val="20"/>
          <w:szCs w:val="20"/>
        </w:rPr>
        <w:t>doi</w:t>
      </w:r>
      <w:r w:rsidRPr="00783D36">
        <w:rPr>
          <w:sz w:val="20"/>
          <w:szCs w:val="20"/>
        </w:rPr>
        <w:t xml:space="preserve">: </w:t>
      </w:r>
      <w:hyperlink r:id="rId104" w:history="1">
        <w:r w:rsidRPr="00783D36">
          <w:rPr>
            <w:rStyle w:val="Hyperlink"/>
            <w:sz w:val="20"/>
            <w:szCs w:val="20"/>
          </w:rPr>
          <w:t>https://doi.org/https://doi.org/10.1016/j.cogdev.2020.100996</w:t>
        </w:r>
      </w:hyperlink>
    </w:p>
  </w:endnote>
  <w:endnote w:id="113">
    <w:p w14:paraId="55506446" w14:textId="77777777" w:rsidR="00E32092" w:rsidRPr="00053374" w:rsidRDefault="00E32092" w:rsidP="00E32092">
      <w:pPr>
        <w:pStyle w:val="EndnoteText"/>
        <w:spacing w:before="0"/>
        <w:jc w:val="left"/>
        <w:rPr>
          <w:highlight w:val="green"/>
        </w:rPr>
      </w:pPr>
      <w:r w:rsidRPr="00510D88">
        <w:rPr>
          <w:rStyle w:val="EndnoteReference"/>
        </w:rPr>
        <w:endnoteRef/>
      </w:r>
      <w:r w:rsidRPr="00510D88">
        <w:t xml:space="preserve"> Roberts, M. Y., Curtis, P. R., Sone, B. J. and Hampton, L. H. (2019)</w:t>
      </w:r>
      <w:r>
        <w:t>.</w:t>
      </w:r>
      <w:r w:rsidRPr="00510D88">
        <w:t xml:space="preserve"> ‘Association of Parent Training With Child Language Development: A Systematic Review and Meta-analysis’, </w:t>
      </w:r>
      <w:r w:rsidRPr="00510D88">
        <w:rPr>
          <w:i/>
        </w:rPr>
        <w:t>JAMA Pediatrics</w:t>
      </w:r>
      <w:r w:rsidRPr="00510D88">
        <w:t>,</w:t>
      </w:r>
      <w:r w:rsidRPr="00510D88">
        <w:rPr>
          <w:i/>
        </w:rPr>
        <w:t xml:space="preserve"> </w:t>
      </w:r>
      <w:r w:rsidRPr="00510D88">
        <w:rPr>
          <w:iCs/>
        </w:rPr>
        <w:t>173</w:t>
      </w:r>
      <w:r w:rsidRPr="00510D88">
        <w:t xml:space="preserve">(7), pp.671-680. </w:t>
      </w:r>
      <w:r>
        <w:rPr>
          <w:szCs w:val="22"/>
        </w:rPr>
        <w:t>doi</w:t>
      </w:r>
      <w:r w:rsidRPr="00510D88">
        <w:rPr>
          <w:szCs w:val="22"/>
        </w:rPr>
        <w:t xml:space="preserve">: </w:t>
      </w:r>
      <w:hyperlink r:id="rId105" w:history="1">
        <w:r w:rsidRPr="00510D88">
          <w:rPr>
            <w:rStyle w:val="Hyperlink"/>
          </w:rPr>
          <w:t>https://doi.org/10.1001/jamapediatrics.2019.1197</w:t>
        </w:r>
      </w:hyperlink>
    </w:p>
  </w:endnote>
  <w:endnote w:id="114">
    <w:p w14:paraId="6FC3ABBF" w14:textId="77777777" w:rsidR="00A43217" w:rsidRPr="00053374" w:rsidRDefault="00A43217" w:rsidP="00A43217">
      <w:pPr>
        <w:pStyle w:val="EndnoteText"/>
        <w:spacing w:before="0"/>
        <w:jc w:val="left"/>
        <w:rPr>
          <w:highlight w:val="green"/>
        </w:rPr>
      </w:pPr>
      <w:r w:rsidRPr="0064198F">
        <w:rPr>
          <w:rStyle w:val="EndnoteReference"/>
        </w:rPr>
        <w:endnoteRef/>
      </w:r>
      <w:r w:rsidRPr="0064198F">
        <w:t xml:space="preserve"> McGowan, E.C., Caskey, M., Tucker, R. and Vohr, B.R. (2024). </w:t>
      </w:r>
      <w:r>
        <w:t>‘</w:t>
      </w:r>
      <w:r w:rsidRPr="0064198F">
        <w:t>A randomized controlled trial of a neonatal intensive care unit language intervention for parents of preterm infants and 2-year language outcomes</w:t>
      </w:r>
      <w:r>
        <w:t>’,</w:t>
      </w:r>
      <w:r w:rsidRPr="0064198F">
        <w:t> </w:t>
      </w:r>
      <w:r w:rsidRPr="0064198F">
        <w:rPr>
          <w:i/>
          <w:iCs/>
        </w:rPr>
        <w:t xml:space="preserve">The Journal of </w:t>
      </w:r>
      <w:r>
        <w:rPr>
          <w:i/>
          <w:iCs/>
        </w:rPr>
        <w:t>P</w:t>
      </w:r>
      <w:r w:rsidRPr="0064198F">
        <w:rPr>
          <w:i/>
          <w:iCs/>
        </w:rPr>
        <w:t>ediatrics, </w:t>
      </w:r>
      <w:r w:rsidRPr="0064198F">
        <w:t xml:space="preserve">264, p.113740. </w:t>
      </w:r>
      <w:r>
        <w:rPr>
          <w:szCs w:val="22"/>
        </w:rPr>
        <w:t>doi</w:t>
      </w:r>
      <w:r w:rsidRPr="0064198F">
        <w:rPr>
          <w:szCs w:val="22"/>
        </w:rPr>
        <w:t>:</w:t>
      </w:r>
      <w:r w:rsidRPr="0064198F">
        <w:t> </w:t>
      </w:r>
      <w:hyperlink r:id="rId106" w:tgtFrame="_blank" w:history="1">
        <w:r w:rsidRPr="0064198F">
          <w:rPr>
            <w:rStyle w:val="Hyperlink"/>
          </w:rPr>
          <w:t>https://doi.org/10.1016/j.jpeds.2023.113740</w:t>
        </w:r>
      </w:hyperlink>
    </w:p>
  </w:endnote>
  <w:endnote w:id="115">
    <w:p w14:paraId="7BCC6429" w14:textId="77777777" w:rsidR="00374791" w:rsidRPr="00053374" w:rsidRDefault="00374791" w:rsidP="00374791">
      <w:pPr>
        <w:pStyle w:val="EndnoteText"/>
        <w:spacing w:before="0"/>
        <w:jc w:val="left"/>
        <w:rPr>
          <w:highlight w:val="green"/>
        </w:rPr>
      </w:pPr>
      <w:r w:rsidRPr="00443F30">
        <w:rPr>
          <w:rStyle w:val="EndnoteReference"/>
        </w:rPr>
        <w:endnoteRef/>
      </w:r>
      <w:r w:rsidRPr="00443F30">
        <w:t xml:space="preserve"> Fricke, S., Burgoyne, K., Bowyer-Crane, C., Kyriacou, M., Zosimidou, A., Maxwell, L., Lervåg, A., Snowling, M. J., and Hulme, C. (2017)</w:t>
      </w:r>
      <w:r>
        <w:t>.</w:t>
      </w:r>
      <w:r w:rsidRPr="00443F30">
        <w:t xml:space="preserve"> ‘The efficacy of early language intervention in mainstream school settings: a randomized controlled trial’, </w:t>
      </w:r>
      <w:r w:rsidRPr="00443F30">
        <w:rPr>
          <w:i/>
          <w:iCs/>
        </w:rPr>
        <w:t xml:space="preserve">Journal of </w:t>
      </w:r>
      <w:r>
        <w:rPr>
          <w:i/>
          <w:iCs/>
        </w:rPr>
        <w:t>C</w:t>
      </w:r>
      <w:r w:rsidRPr="00443F30">
        <w:rPr>
          <w:i/>
          <w:iCs/>
        </w:rPr>
        <w:t xml:space="preserve">hild </w:t>
      </w:r>
      <w:r>
        <w:rPr>
          <w:i/>
          <w:iCs/>
        </w:rPr>
        <w:t>P</w:t>
      </w:r>
      <w:r w:rsidRPr="00443F30">
        <w:rPr>
          <w:i/>
          <w:iCs/>
        </w:rPr>
        <w:t xml:space="preserve">sychology and </w:t>
      </w:r>
      <w:r>
        <w:rPr>
          <w:i/>
          <w:iCs/>
        </w:rPr>
        <w:t>P</w:t>
      </w:r>
      <w:r w:rsidRPr="00443F30">
        <w:rPr>
          <w:i/>
          <w:iCs/>
        </w:rPr>
        <w:t xml:space="preserve">sychiatry, and </w:t>
      </w:r>
      <w:r>
        <w:rPr>
          <w:i/>
          <w:iCs/>
        </w:rPr>
        <w:t>A</w:t>
      </w:r>
      <w:r w:rsidRPr="00443F30">
        <w:rPr>
          <w:i/>
          <w:iCs/>
        </w:rPr>
        <w:t xml:space="preserve">llied </w:t>
      </w:r>
      <w:r>
        <w:rPr>
          <w:i/>
          <w:iCs/>
        </w:rPr>
        <w:t>D</w:t>
      </w:r>
      <w:r w:rsidRPr="00443F30">
        <w:rPr>
          <w:i/>
          <w:iCs/>
        </w:rPr>
        <w:t>isciplines</w:t>
      </w:r>
      <w:r w:rsidRPr="00443F30">
        <w:t xml:space="preserve">, 58(10), pp.1141–1151. </w:t>
      </w:r>
      <w:r>
        <w:t>doi</w:t>
      </w:r>
      <w:r w:rsidRPr="00443F30">
        <w:t xml:space="preserve">: </w:t>
      </w:r>
      <w:hyperlink r:id="rId107" w:history="1">
        <w:r w:rsidRPr="00AB25E7">
          <w:rPr>
            <w:rStyle w:val="Hyperlink"/>
          </w:rPr>
          <w:t>https://doi.org/10.1111/jcpp.12737</w:t>
        </w:r>
      </w:hyperlink>
      <w:r>
        <w:t xml:space="preserve"> </w:t>
      </w:r>
    </w:p>
  </w:endnote>
  <w:endnote w:id="116">
    <w:p w14:paraId="3B8E8A44" w14:textId="77777777" w:rsidR="00E34B30" w:rsidRPr="00476C25" w:rsidRDefault="00E34B30" w:rsidP="00E34B30">
      <w:pPr>
        <w:pStyle w:val="EndnoteText"/>
        <w:spacing w:before="0"/>
        <w:jc w:val="left"/>
        <w:rPr>
          <w:highlight w:val="green"/>
        </w:rPr>
      </w:pPr>
      <w:r w:rsidRPr="00B12801">
        <w:rPr>
          <w:rStyle w:val="EndnoteReference"/>
        </w:rPr>
        <w:endnoteRef/>
      </w:r>
      <w:r w:rsidRPr="00B12801">
        <w:t xml:space="preserve"> O’Brian, S. and Onslow, M. (2011)</w:t>
      </w:r>
      <w:r>
        <w:t>.</w:t>
      </w:r>
      <w:r w:rsidRPr="00B12801">
        <w:t xml:space="preserve"> ‘Clinical management of stuttering in children and adults’, </w:t>
      </w:r>
      <w:r w:rsidRPr="00476C25">
        <w:rPr>
          <w:i/>
        </w:rPr>
        <w:t>BMJ</w:t>
      </w:r>
      <w:r w:rsidRPr="00476C25">
        <w:t>,</w:t>
      </w:r>
      <w:r w:rsidRPr="00476C25">
        <w:rPr>
          <w:i/>
        </w:rPr>
        <w:t xml:space="preserve"> </w:t>
      </w:r>
      <w:r w:rsidRPr="00476C25">
        <w:t xml:space="preserve">342. doi: </w:t>
      </w:r>
      <w:hyperlink r:id="rId108" w:history="1">
        <w:r w:rsidRPr="00476C25">
          <w:rPr>
            <w:rStyle w:val="Hyperlink"/>
          </w:rPr>
          <w:t>https://doi.org/10.1136/bmj.d3742</w:t>
        </w:r>
      </w:hyperlink>
    </w:p>
  </w:endnote>
  <w:endnote w:id="117">
    <w:p w14:paraId="01124E4F" w14:textId="77777777" w:rsidR="007945D3" w:rsidRPr="00053374" w:rsidRDefault="007945D3" w:rsidP="007945D3">
      <w:pPr>
        <w:spacing w:before="0" w:after="0"/>
        <w:jc w:val="left"/>
        <w:rPr>
          <w:highlight w:val="green"/>
        </w:rPr>
      </w:pPr>
      <w:r w:rsidRPr="00B214F6">
        <w:rPr>
          <w:rStyle w:val="EndnoteReference"/>
          <w:sz w:val="20"/>
          <w:szCs w:val="22"/>
        </w:rPr>
        <w:endnoteRef/>
      </w:r>
      <w:r w:rsidRPr="00B214F6">
        <w:rPr>
          <w:sz w:val="20"/>
          <w:szCs w:val="22"/>
        </w:rPr>
        <w:t xml:space="preserve"> Downs Syndrome Association (2021). </w:t>
      </w:r>
      <w:r w:rsidRPr="00B214F6">
        <w:rPr>
          <w:i/>
          <w:sz w:val="20"/>
          <w:szCs w:val="22"/>
        </w:rPr>
        <w:t>Healthy Lifestyle &amp; Sports</w:t>
      </w:r>
      <w:r w:rsidRPr="00B214F6">
        <w:rPr>
          <w:sz w:val="20"/>
          <w:szCs w:val="22"/>
        </w:rPr>
        <w:t xml:space="preserve">. Available at: </w:t>
      </w:r>
      <w:hyperlink r:id="rId109" w:history="1">
        <w:r w:rsidRPr="00B214F6">
          <w:rPr>
            <w:rStyle w:val="Hyperlink"/>
            <w:sz w:val="20"/>
            <w:szCs w:val="22"/>
          </w:rPr>
          <w:t>https://www.downs-syndrome.org.uk/about-downs-syndrome/lifes-journey/healthy-lifestyle-physical-activity/</w:t>
        </w:r>
      </w:hyperlink>
      <w:r w:rsidRPr="00B214F6">
        <w:t xml:space="preserve"> </w:t>
      </w:r>
    </w:p>
  </w:endnote>
  <w:endnote w:id="118">
    <w:p w14:paraId="49D03C45" w14:textId="7598C48D" w:rsidR="000E619F" w:rsidRPr="00293C95" w:rsidRDefault="000E619F">
      <w:pPr>
        <w:pStyle w:val="EndnoteText"/>
        <w:rPr>
          <w:lang w:val="en-US"/>
        </w:rPr>
      </w:pPr>
      <w:r>
        <w:rPr>
          <w:rStyle w:val="EndnoteReference"/>
        </w:rPr>
        <w:endnoteRef/>
      </w:r>
      <w:r>
        <w:t xml:space="preserve"> </w:t>
      </w:r>
      <w:r w:rsidRPr="000E619F">
        <w:t xml:space="preserve">Norbury, C. F., Gooch, D., Wray, C., Baird, G., Charman, T., Simonoff, E., &amp; Pickles, A. (2016). The impact of nonverbal ability on prevalence and clinical presentation of language disorder: Evidence from a population study. </w:t>
      </w:r>
      <w:r w:rsidRPr="000E619F">
        <w:rPr>
          <w:i/>
          <w:iCs/>
        </w:rPr>
        <w:t>Journal of Child Psychology and Psychiatry, 57</w:t>
      </w:r>
      <w:r w:rsidRPr="000E619F">
        <w:t>(11), 1247–1257.</w:t>
      </w:r>
      <w:r w:rsidR="001327F7">
        <w:t xml:space="preserve"> </w:t>
      </w:r>
    </w:p>
  </w:endnote>
  <w:endnote w:id="119">
    <w:p w14:paraId="10CD1E2B" w14:textId="7F0D52C0" w:rsidR="001327F7" w:rsidRPr="00293C95" w:rsidRDefault="001327F7">
      <w:pPr>
        <w:pStyle w:val="EndnoteText"/>
        <w:rPr>
          <w:lang w:val="en-US"/>
        </w:rPr>
      </w:pPr>
      <w:r>
        <w:rPr>
          <w:rStyle w:val="EndnoteReference"/>
        </w:rPr>
        <w:endnoteRef/>
      </w:r>
      <w:r>
        <w:t xml:space="preserve"> </w:t>
      </w:r>
      <w:r w:rsidR="002A4BBA" w:rsidRPr="002A4BBA">
        <w:t xml:space="preserve">Roulstone, S., Law, J., Rush, R., Clegg, J., &amp; Peters, T. (2011). </w:t>
      </w:r>
      <w:r w:rsidR="002A4BBA" w:rsidRPr="002A4BBA">
        <w:rPr>
          <w:i/>
          <w:iCs/>
        </w:rPr>
        <w:t>Investigating the role of language in children’s early educational outcomes.</w:t>
      </w:r>
      <w:r w:rsidR="002A4BBA" w:rsidRPr="002A4BBA">
        <w:t xml:space="preserve"> DfE Research Report 134.</w:t>
      </w:r>
      <w:r w:rsidR="002A4BBA">
        <w:t xml:space="preserve"> </w:t>
      </w:r>
    </w:p>
  </w:endnote>
  <w:endnote w:id="120">
    <w:p w14:paraId="2A9123E4" w14:textId="20DF74F6" w:rsidR="006964CC" w:rsidRPr="00053374" w:rsidRDefault="006964CC" w:rsidP="004C3828">
      <w:pPr>
        <w:spacing w:before="0" w:after="0"/>
        <w:jc w:val="left"/>
        <w:rPr>
          <w:sz w:val="20"/>
          <w:szCs w:val="22"/>
          <w:highlight w:val="green"/>
        </w:rPr>
      </w:pPr>
      <w:r w:rsidRPr="00B214F6">
        <w:rPr>
          <w:rStyle w:val="EndnoteReference"/>
          <w:sz w:val="20"/>
          <w:szCs w:val="22"/>
        </w:rPr>
        <w:endnoteRef/>
      </w:r>
      <w:r w:rsidRPr="00B214F6">
        <w:rPr>
          <w:sz w:val="20"/>
          <w:szCs w:val="22"/>
        </w:rPr>
        <w:t xml:space="preserve"> Tower Hamlets Early Education and Childcare Services (</w:t>
      </w:r>
      <w:r w:rsidR="00B214F6" w:rsidRPr="00B214F6">
        <w:rPr>
          <w:sz w:val="20"/>
          <w:szCs w:val="22"/>
        </w:rPr>
        <w:t>n</w:t>
      </w:r>
      <w:r w:rsidRPr="00B214F6">
        <w:rPr>
          <w:sz w:val="20"/>
          <w:szCs w:val="22"/>
        </w:rPr>
        <w:t>.</w:t>
      </w:r>
      <w:r w:rsidR="00B214F6" w:rsidRPr="00B214F6">
        <w:rPr>
          <w:sz w:val="20"/>
          <w:szCs w:val="22"/>
        </w:rPr>
        <w:t>d</w:t>
      </w:r>
      <w:r w:rsidRPr="00B214F6">
        <w:rPr>
          <w:sz w:val="20"/>
          <w:szCs w:val="22"/>
        </w:rPr>
        <w:t xml:space="preserve">.). </w:t>
      </w:r>
      <w:r w:rsidRPr="00B214F6">
        <w:rPr>
          <w:i/>
          <w:sz w:val="20"/>
          <w:szCs w:val="22"/>
        </w:rPr>
        <w:t>Early Language &amp; The Home Learning Environment</w:t>
      </w:r>
      <w:r w:rsidRPr="00B214F6">
        <w:rPr>
          <w:sz w:val="20"/>
          <w:szCs w:val="22"/>
        </w:rPr>
        <w:t>.</w:t>
      </w:r>
      <w:r w:rsidR="00B214F6" w:rsidRPr="00B214F6">
        <w:rPr>
          <w:sz w:val="20"/>
          <w:szCs w:val="22"/>
        </w:rPr>
        <w:t xml:space="preserve"> Available at: </w:t>
      </w:r>
      <w:hyperlink r:id="rId110" w:history="1">
        <w:r w:rsidR="00B214F6" w:rsidRPr="00B214F6">
          <w:rPr>
            <w:rStyle w:val="Hyperlink"/>
            <w:sz w:val="20"/>
            <w:szCs w:val="22"/>
          </w:rPr>
          <w:t>https://www.stepneypark.towerhamlets.sch.uk/attachments/download.asp?file=320&amp;type=pdf</w:t>
        </w:r>
      </w:hyperlink>
      <w:r w:rsidR="00B214F6" w:rsidRPr="00B214F6">
        <w:rPr>
          <w:sz w:val="20"/>
          <w:szCs w:val="22"/>
        </w:rPr>
        <w:t xml:space="preserve"> </w:t>
      </w:r>
      <w:r w:rsidRPr="00B214F6">
        <w:rPr>
          <w:sz w:val="20"/>
          <w:szCs w:val="22"/>
        </w:rPr>
        <w:t xml:space="preserve"> </w:t>
      </w:r>
    </w:p>
  </w:endnote>
  <w:endnote w:id="121">
    <w:p w14:paraId="315D005A" w14:textId="77777777" w:rsidR="002713AE" w:rsidRPr="00053374" w:rsidRDefault="002713AE" w:rsidP="002713AE">
      <w:pPr>
        <w:tabs>
          <w:tab w:val="left" w:pos="540"/>
        </w:tabs>
        <w:spacing w:after="0"/>
        <w:jc w:val="left"/>
        <w:rPr>
          <w:highlight w:val="green"/>
        </w:rPr>
      </w:pPr>
      <w:r w:rsidRPr="008E2974">
        <w:rPr>
          <w:rStyle w:val="EndnoteReference"/>
        </w:rPr>
        <w:endnoteRef/>
      </w:r>
      <w:r w:rsidRPr="008E2974">
        <w:t>Tower Hamlets Local Offer</w:t>
      </w:r>
      <w:r w:rsidRPr="008E2974">
        <w:rPr>
          <w:sz w:val="20"/>
          <w:szCs w:val="22"/>
        </w:rPr>
        <w:t xml:space="preserve"> (2025). </w:t>
      </w:r>
      <w:r w:rsidRPr="008E2974">
        <w:rPr>
          <w:i/>
          <w:sz w:val="20"/>
          <w:szCs w:val="22"/>
        </w:rPr>
        <w:t>Speech and Language Therapy Children's Service</w:t>
      </w:r>
      <w:r w:rsidRPr="008E2974">
        <w:rPr>
          <w:sz w:val="20"/>
          <w:szCs w:val="22"/>
        </w:rPr>
        <w:t xml:space="preserve">. Available at: </w:t>
      </w:r>
      <w:hyperlink r:id="rId111" w:history="1">
        <w:r w:rsidRPr="008E2974">
          <w:rPr>
            <w:rStyle w:val="Hyperlink"/>
            <w:sz w:val="20"/>
            <w:szCs w:val="22"/>
          </w:rPr>
          <w:t>https://www.localoffertowerhamlets.co.uk/organisations/28008-speech-and-language-therapy-children-s-service</w:t>
        </w:r>
      </w:hyperlink>
      <w:r w:rsidRPr="008E2974">
        <w:rPr>
          <w:sz w:val="20"/>
          <w:szCs w:val="22"/>
        </w:rPr>
        <w:t xml:space="preserve"> </w:t>
      </w:r>
    </w:p>
  </w:endnote>
  <w:endnote w:id="122">
    <w:p w14:paraId="57E35A94" w14:textId="77777777" w:rsidR="002713AE" w:rsidRPr="0017655F" w:rsidRDefault="002713AE" w:rsidP="002713AE">
      <w:pPr>
        <w:pStyle w:val="EndnoteText"/>
        <w:jc w:val="left"/>
        <w:rPr>
          <w:szCs w:val="22"/>
        </w:rPr>
      </w:pPr>
      <w:r w:rsidRPr="00741116">
        <w:rPr>
          <w:rStyle w:val="EndnoteReference"/>
        </w:rPr>
        <w:endnoteRef/>
      </w:r>
      <w:r w:rsidRPr="00741116">
        <w:t xml:space="preserve"> Homerton Healthcare NHS Foundation (2023). </w:t>
      </w:r>
      <w:r w:rsidRPr="00741116">
        <w:rPr>
          <w:i/>
        </w:rPr>
        <w:t xml:space="preserve">Verbo: An award-winning Speech &amp; Language Therapy </w:t>
      </w:r>
      <w:r w:rsidRPr="0017655F">
        <w:rPr>
          <w:i/>
        </w:rPr>
        <w:t>Toolkit</w:t>
      </w:r>
      <w:r w:rsidRPr="0017655F">
        <w:t xml:space="preserve">. Available at: </w:t>
      </w:r>
      <w:hyperlink r:id="rId112" w:history="1">
        <w:r w:rsidRPr="0017655F">
          <w:rPr>
            <w:rStyle w:val="Hyperlink"/>
          </w:rPr>
          <w:t>https://verboapp.co.uk/</w:t>
        </w:r>
      </w:hyperlink>
      <w:r w:rsidRPr="0017655F">
        <w:t xml:space="preserve"> </w:t>
      </w:r>
    </w:p>
  </w:endnote>
  <w:endnote w:id="123">
    <w:p w14:paraId="5A0B9009" w14:textId="1757DDAA" w:rsidR="006964CC" w:rsidRPr="00053374" w:rsidRDefault="006964CC" w:rsidP="004C3828">
      <w:pPr>
        <w:pStyle w:val="EndnoteText"/>
        <w:jc w:val="left"/>
        <w:rPr>
          <w:highlight w:val="green"/>
          <w:lang w:val="en-US"/>
        </w:rPr>
      </w:pPr>
      <w:r w:rsidRPr="00CC0567">
        <w:rPr>
          <w:rStyle w:val="EndnoteReference"/>
        </w:rPr>
        <w:endnoteRef/>
      </w:r>
      <w:r w:rsidRPr="00CC0567">
        <w:t xml:space="preserve"> Tower Hamlets Local Offer (2024). </w:t>
      </w:r>
      <w:r w:rsidRPr="00CC0567">
        <w:rPr>
          <w:i/>
          <w:iCs/>
        </w:rPr>
        <w:t xml:space="preserve">Early Language: Speech and Language Therapy (Under 5s). </w:t>
      </w:r>
      <w:r w:rsidRPr="00CC0567">
        <w:t xml:space="preserve">Available </w:t>
      </w:r>
      <w:r w:rsidR="00CC0567">
        <w:t>at</w:t>
      </w:r>
      <w:r w:rsidRPr="00CC0567">
        <w:t>:</w:t>
      </w:r>
      <w:r w:rsidRPr="00CC0567">
        <w:rPr>
          <w:sz w:val="22"/>
          <w:szCs w:val="24"/>
        </w:rPr>
        <w:t xml:space="preserve"> </w:t>
      </w:r>
      <w:hyperlink r:id="rId113" w:history="1">
        <w:r w:rsidR="00CC0567" w:rsidRPr="00CC0567">
          <w:rPr>
            <w:rStyle w:val="Hyperlink"/>
          </w:rPr>
          <w:t>https://www.localoffertowerhamlets.co.uk/pages/local-offer/send/speech-and-language-therapy-for-under-5s/early-language-speech-and-language-therapy</w:t>
        </w:r>
      </w:hyperlink>
      <w:r w:rsidR="00CC0567" w:rsidRPr="00CC0567">
        <w:rPr>
          <w:sz w:val="22"/>
          <w:szCs w:val="24"/>
        </w:rPr>
        <w:t xml:space="preserve"> </w:t>
      </w:r>
    </w:p>
  </w:endnote>
  <w:endnote w:id="124">
    <w:p w14:paraId="77DFF695" w14:textId="5C8446CF" w:rsidR="004E04E1" w:rsidRPr="00053374" w:rsidRDefault="004E04E1" w:rsidP="004C3828">
      <w:pPr>
        <w:pStyle w:val="EndnoteText"/>
        <w:spacing w:before="0"/>
        <w:jc w:val="left"/>
        <w:rPr>
          <w:highlight w:val="green"/>
        </w:rPr>
      </w:pPr>
      <w:r w:rsidRPr="0017655F">
        <w:rPr>
          <w:rStyle w:val="EndnoteReference"/>
        </w:rPr>
        <w:endnoteRef/>
      </w:r>
      <w:r w:rsidRPr="0017655F">
        <w:t xml:space="preserve"> Hobson, H., Kalsi, M., Cotton, L., Forster, M.</w:t>
      </w:r>
      <w:r w:rsidR="00730D9D" w:rsidRPr="0017655F">
        <w:t xml:space="preserve"> and</w:t>
      </w:r>
      <w:r w:rsidRPr="0017655F">
        <w:t xml:space="preserve"> Toseeb, U. (2022)</w:t>
      </w:r>
      <w:r w:rsidR="006677A1">
        <w:t>.</w:t>
      </w:r>
      <w:r w:rsidRPr="0017655F">
        <w:t xml:space="preserve"> </w:t>
      </w:r>
      <w:r w:rsidR="0017655F">
        <w:t>‘</w:t>
      </w:r>
      <w:r w:rsidRPr="0017655F">
        <w:t>Supporting the mental health of children with speech, language and communication needs: The views and experiences of parents</w:t>
      </w:r>
      <w:r w:rsidR="0017655F">
        <w:t>’</w:t>
      </w:r>
      <w:r w:rsidR="001907EB">
        <w:t>,</w:t>
      </w:r>
      <w:r w:rsidRPr="0017655F">
        <w:t xml:space="preserve"> </w:t>
      </w:r>
      <w:r w:rsidRPr="0017655F">
        <w:rPr>
          <w:i/>
        </w:rPr>
        <w:t>Autism &amp; Developmental Language Impairments</w:t>
      </w:r>
      <w:r w:rsidRPr="0017655F">
        <w:t>,</w:t>
      </w:r>
      <w:r w:rsidRPr="0017655F">
        <w:rPr>
          <w:i/>
        </w:rPr>
        <w:t xml:space="preserve"> </w:t>
      </w:r>
      <w:r w:rsidRPr="0017655F">
        <w:rPr>
          <w:iCs/>
        </w:rPr>
        <w:t>7</w:t>
      </w:r>
      <w:r w:rsidR="0017655F" w:rsidRPr="0017655F">
        <w:t xml:space="preserve">. </w:t>
      </w:r>
      <w:r w:rsidR="006677A1">
        <w:t>doi</w:t>
      </w:r>
      <w:r w:rsidR="0017655F" w:rsidRPr="0017655F">
        <w:t>:</w:t>
      </w:r>
      <w:r w:rsidRPr="0017655F">
        <w:t xml:space="preserve"> </w:t>
      </w:r>
      <w:hyperlink r:id="rId114" w:history="1">
        <w:r w:rsidRPr="0017655F">
          <w:rPr>
            <w:rStyle w:val="Hyperlink"/>
          </w:rPr>
          <w:t>https://doi.org/10.1177/23969415221101137</w:t>
        </w:r>
      </w:hyperlink>
    </w:p>
  </w:endnote>
  <w:endnote w:id="125">
    <w:p w14:paraId="3519ED01" w14:textId="500AA495" w:rsidR="004E04E1" w:rsidRPr="00053374" w:rsidRDefault="004E04E1" w:rsidP="004C3828">
      <w:pPr>
        <w:pStyle w:val="EndnoteText"/>
        <w:spacing w:before="0"/>
        <w:jc w:val="left"/>
        <w:rPr>
          <w:highlight w:val="green"/>
        </w:rPr>
      </w:pPr>
      <w:r w:rsidRPr="00CA7FD4">
        <w:rPr>
          <w:rStyle w:val="EndnoteReference"/>
        </w:rPr>
        <w:endnoteRef/>
      </w:r>
      <w:r w:rsidRPr="00CA7FD4">
        <w:t xml:space="preserve"> </w:t>
      </w:r>
      <w:r w:rsidR="00CA7FD4" w:rsidRPr="00CA7FD4">
        <w:t xml:space="preserve">Newman, L. and Chadwick (Moitra), R., 2023. </w:t>
      </w:r>
      <w:r w:rsidR="00CA7FD4" w:rsidRPr="00CA7FD4">
        <w:rPr>
          <w:i/>
          <w:iCs/>
        </w:rPr>
        <w:t>Recognising diversity: Understanding bilingual deaf children with cochlear implants</w:t>
      </w:r>
      <w:r w:rsidR="00CA7FD4" w:rsidRPr="00CA7FD4">
        <w:t>. RCSLT Bulletin, Summer, pp.36–38.</w:t>
      </w:r>
    </w:p>
  </w:endnote>
  <w:endnote w:id="126">
    <w:p w14:paraId="236BE169" w14:textId="77777777" w:rsidR="00AD3DD3" w:rsidRPr="00F608EF" w:rsidRDefault="00AD3DD3" w:rsidP="00AD3DD3">
      <w:pPr>
        <w:pStyle w:val="EndnoteText"/>
        <w:spacing w:before="0"/>
        <w:jc w:val="left"/>
        <w:rPr>
          <w:lang w:val="en-US"/>
        </w:rPr>
      </w:pPr>
      <w:r w:rsidRPr="00615E28">
        <w:rPr>
          <w:rStyle w:val="EndnoteReference"/>
        </w:rPr>
        <w:endnoteRef/>
      </w:r>
      <w:r w:rsidRPr="00615E28">
        <w:t xml:space="preserve"> </w:t>
      </w:r>
      <w:r w:rsidRPr="00615E28">
        <w:rPr>
          <w:lang w:val="en-US"/>
        </w:rPr>
        <w:t xml:space="preserve">British Dyslexia Association (2025). </w:t>
      </w:r>
      <w:r w:rsidRPr="00615E28">
        <w:rPr>
          <w:i/>
          <w:iCs/>
          <w:lang w:val="en-US"/>
        </w:rPr>
        <w:t>About dyslexia</w:t>
      </w:r>
      <w:r w:rsidRPr="00615E28">
        <w:rPr>
          <w:lang w:val="en-US"/>
        </w:rPr>
        <w:t xml:space="preserve">. Available at:  </w:t>
      </w:r>
      <w:hyperlink r:id="rId115" w:history="1">
        <w:r w:rsidRPr="00F608EF">
          <w:rPr>
            <w:rStyle w:val="Hyperlink"/>
            <w:lang w:val="en-US"/>
          </w:rPr>
          <w:t>https://www.bdadyslexia.org.uk/dyslexia/about-dyslexia/</w:t>
        </w:r>
      </w:hyperlink>
      <w:r w:rsidRPr="00F608EF">
        <w:rPr>
          <w:lang w:val="en-US"/>
        </w:rPr>
        <w:t xml:space="preserve"> </w:t>
      </w:r>
    </w:p>
  </w:endnote>
  <w:endnote w:id="127">
    <w:p w14:paraId="4F63E08E" w14:textId="77777777" w:rsidR="00262B76" w:rsidRPr="00053374" w:rsidRDefault="00262B76" w:rsidP="00262B76">
      <w:pPr>
        <w:pStyle w:val="EndnoteText"/>
        <w:spacing w:before="0"/>
        <w:jc w:val="left"/>
        <w:rPr>
          <w:highlight w:val="green"/>
          <w:lang w:val="en-US"/>
        </w:rPr>
      </w:pPr>
      <w:r w:rsidRPr="008D5972">
        <w:rPr>
          <w:rStyle w:val="EndnoteReference"/>
        </w:rPr>
        <w:endnoteRef/>
      </w:r>
      <w:r w:rsidRPr="008D5972">
        <w:t xml:space="preserve"> Civil Service (2022). </w:t>
      </w:r>
      <w:r w:rsidRPr="008D5972">
        <w:rPr>
          <w:i/>
          <w:iCs/>
        </w:rPr>
        <w:t>Designing for people with dyscalculia and low numeracy</w:t>
      </w:r>
      <w:r w:rsidRPr="008D5972">
        <w:t xml:space="preserve">. Available at: </w:t>
      </w:r>
      <w:hyperlink r:id="rId116" w:history="1">
        <w:r w:rsidRPr="008D5972">
          <w:rPr>
            <w:rStyle w:val="Hyperlink"/>
          </w:rPr>
          <w:t>https://designnotes.blog.gov.uk/2022/11/28/designing-for-people-with-dyscalculia-and-low-numeracy/</w:t>
        </w:r>
      </w:hyperlink>
      <w:r w:rsidRPr="008D5972">
        <w:t xml:space="preserve"> </w:t>
      </w:r>
    </w:p>
  </w:endnote>
  <w:endnote w:id="128">
    <w:p w14:paraId="11A0403E" w14:textId="77777777" w:rsidR="00AD3DD3" w:rsidRPr="00053374" w:rsidRDefault="00AD3DD3" w:rsidP="00AD3DD3">
      <w:pPr>
        <w:pStyle w:val="EndnoteText"/>
        <w:spacing w:before="0"/>
        <w:jc w:val="left"/>
        <w:rPr>
          <w:highlight w:val="green"/>
          <w:lang w:val="en-US"/>
        </w:rPr>
      </w:pPr>
      <w:r w:rsidRPr="007041B0">
        <w:rPr>
          <w:rStyle w:val="EndnoteReference"/>
        </w:rPr>
        <w:endnoteRef/>
      </w:r>
      <w:r w:rsidRPr="007041B0">
        <w:t xml:space="preserve"> </w:t>
      </w:r>
      <w:r w:rsidRPr="007041B0">
        <w:rPr>
          <w:lang w:val="en-US"/>
        </w:rPr>
        <w:t xml:space="preserve">NHS (2020). </w:t>
      </w:r>
      <w:r w:rsidRPr="007041B0">
        <w:rPr>
          <w:i/>
          <w:iCs/>
          <w:lang w:val="en-US"/>
        </w:rPr>
        <w:t>Dyspraxia (developmental co-ordination disorder) in adults</w:t>
      </w:r>
      <w:r w:rsidRPr="007041B0">
        <w:rPr>
          <w:lang w:val="en-US"/>
        </w:rPr>
        <w:t xml:space="preserve">. Available at: </w:t>
      </w:r>
      <w:hyperlink r:id="rId117" w:history="1">
        <w:r w:rsidRPr="007041B0">
          <w:rPr>
            <w:rStyle w:val="Hyperlink"/>
            <w:lang w:val="en-US"/>
          </w:rPr>
          <w:t>https://www.nhs.uk/conditions/developmental-coordination-disorder-dyspraxia-in-adults</w:t>
        </w:r>
      </w:hyperlink>
      <w:r w:rsidRPr="007041B0">
        <w:rPr>
          <w:lang w:val="en-US"/>
        </w:rPr>
        <w:t xml:space="preserve"> </w:t>
      </w:r>
    </w:p>
  </w:endnote>
  <w:endnote w:id="129">
    <w:p w14:paraId="3ED9B1A7" w14:textId="77777777" w:rsidR="00AD3DD3" w:rsidRPr="00053374" w:rsidRDefault="00AD3DD3" w:rsidP="00AD3DD3">
      <w:pPr>
        <w:pStyle w:val="EndnoteText"/>
        <w:spacing w:before="0"/>
        <w:jc w:val="left"/>
        <w:rPr>
          <w:highlight w:val="green"/>
          <w:lang w:val="en-US"/>
        </w:rPr>
      </w:pPr>
      <w:r w:rsidRPr="003E1A65">
        <w:rPr>
          <w:rStyle w:val="EndnoteReference"/>
        </w:rPr>
        <w:endnoteRef/>
      </w:r>
      <w:r w:rsidRPr="003E1A65">
        <w:t xml:space="preserve"> </w:t>
      </w:r>
      <w:r w:rsidRPr="003E1A65">
        <w:rPr>
          <w:lang w:val="en-US"/>
        </w:rPr>
        <w:t xml:space="preserve">Learning disability allies (n.d). </w:t>
      </w:r>
      <w:r w:rsidRPr="003E1A65">
        <w:rPr>
          <w:i/>
          <w:iCs/>
          <w:lang w:val="en-US"/>
        </w:rPr>
        <w:t>Dysgraphia</w:t>
      </w:r>
      <w:r w:rsidRPr="003E1A65">
        <w:rPr>
          <w:lang w:val="en-US"/>
        </w:rPr>
        <w:t xml:space="preserve">. Available at: </w:t>
      </w:r>
      <w:hyperlink r:id="rId118" w:history="1">
        <w:r w:rsidRPr="003E1A65">
          <w:rPr>
            <w:rStyle w:val="Hyperlink"/>
            <w:lang w:val="en-US"/>
          </w:rPr>
          <w:t>https://www.hft.org.uk/resources-and-guidance/what-is-a-learning-disability/learning-difficulties-and-other-needs/dysgraphia/</w:t>
        </w:r>
      </w:hyperlink>
      <w:r w:rsidRPr="003E1A65">
        <w:rPr>
          <w:lang w:val="en-US"/>
        </w:rPr>
        <w:t xml:space="preserve"> </w:t>
      </w:r>
    </w:p>
  </w:endnote>
  <w:endnote w:id="130">
    <w:p w14:paraId="035887DE" w14:textId="4A517BBA" w:rsidR="004E04E1" w:rsidRPr="00A34CB7" w:rsidRDefault="004E04E1" w:rsidP="004C3828">
      <w:pPr>
        <w:pStyle w:val="EndnoteText"/>
        <w:spacing w:before="0"/>
        <w:jc w:val="left"/>
      </w:pPr>
      <w:r w:rsidRPr="003178E4">
        <w:rPr>
          <w:rStyle w:val="EndnoteReference"/>
        </w:rPr>
        <w:endnoteRef/>
      </w:r>
      <w:r w:rsidRPr="003178E4">
        <w:t xml:space="preserve"> Theodoridou, D., Christodoulides, P., Zakopoulou, V.</w:t>
      </w:r>
      <w:r w:rsidR="000C0ADB" w:rsidRPr="003178E4">
        <w:t xml:space="preserve"> and</w:t>
      </w:r>
      <w:r w:rsidRPr="003178E4">
        <w:t xml:space="preserve"> Syrrou, M. (2021)</w:t>
      </w:r>
      <w:r w:rsidR="00BE1E57">
        <w:t>.</w:t>
      </w:r>
      <w:r w:rsidRPr="003178E4">
        <w:t xml:space="preserve"> </w:t>
      </w:r>
      <w:r w:rsidR="00FD7BEE" w:rsidRPr="003178E4">
        <w:t>‘</w:t>
      </w:r>
      <w:r w:rsidRPr="003178E4">
        <w:t>Developmental dyslexia: Environment matters</w:t>
      </w:r>
      <w:r w:rsidR="00FD7BEE" w:rsidRPr="003178E4">
        <w:t>’,</w:t>
      </w:r>
      <w:r w:rsidRPr="003178E4">
        <w:t> </w:t>
      </w:r>
      <w:r w:rsidRPr="003178E4">
        <w:rPr>
          <w:i/>
          <w:iCs/>
        </w:rPr>
        <w:t xml:space="preserve">Brain </w:t>
      </w:r>
      <w:r w:rsidR="006C4477">
        <w:rPr>
          <w:i/>
          <w:iCs/>
        </w:rPr>
        <w:t>S</w:t>
      </w:r>
      <w:r w:rsidRPr="003178E4">
        <w:rPr>
          <w:i/>
          <w:iCs/>
        </w:rPr>
        <w:t>ciences</w:t>
      </w:r>
      <w:r w:rsidRPr="003178E4">
        <w:t>, 11(6),</w:t>
      </w:r>
      <w:r w:rsidR="00FD7BEE" w:rsidRPr="003178E4">
        <w:t xml:space="preserve"> p.</w:t>
      </w:r>
      <w:r w:rsidRPr="003178E4">
        <w:t>782.</w:t>
      </w:r>
      <w:r w:rsidR="00FD7BEE" w:rsidRPr="003178E4">
        <w:t xml:space="preserve"> </w:t>
      </w:r>
      <w:r w:rsidR="00BE1E57">
        <w:t>doi</w:t>
      </w:r>
      <w:r w:rsidR="00FD7BEE" w:rsidRPr="003178E4">
        <w:t xml:space="preserve">: </w:t>
      </w:r>
      <w:hyperlink r:id="rId119" w:history="1">
        <w:r w:rsidR="003178E4" w:rsidRPr="003178E4">
          <w:rPr>
            <w:rStyle w:val="Hyperlink"/>
          </w:rPr>
          <w:t>https://doi.org/10.3390/brainsci11060782</w:t>
        </w:r>
      </w:hyperlink>
    </w:p>
  </w:endnote>
  <w:endnote w:id="131">
    <w:p w14:paraId="7660FFD3" w14:textId="3D62D9A2" w:rsidR="004E04E1" w:rsidRPr="00A51040" w:rsidRDefault="004E04E1" w:rsidP="004C3828">
      <w:pPr>
        <w:pStyle w:val="EndnoteText"/>
        <w:spacing w:before="0"/>
        <w:jc w:val="left"/>
        <w:rPr>
          <w:i/>
          <w:iCs/>
        </w:rPr>
      </w:pPr>
      <w:r w:rsidRPr="00A51040">
        <w:rPr>
          <w:rStyle w:val="EndnoteReference"/>
        </w:rPr>
        <w:endnoteRef/>
      </w:r>
      <w:r w:rsidRPr="00A51040">
        <w:t xml:space="preserve"> Castellucci, G.</w:t>
      </w:r>
      <w:r w:rsidR="003178E4" w:rsidRPr="00A51040">
        <w:t xml:space="preserve"> and</w:t>
      </w:r>
      <w:r w:rsidRPr="00A51040">
        <w:t xml:space="preserve"> Singla, R. (2024)</w:t>
      </w:r>
      <w:r w:rsidR="00BE1E57">
        <w:t>.</w:t>
      </w:r>
      <w:r w:rsidRPr="00A51040">
        <w:t xml:space="preserve"> </w:t>
      </w:r>
      <w:r w:rsidRPr="00A51040">
        <w:rPr>
          <w:i/>
          <w:iCs/>
        </w:rPr>
        <w:t>Developmental Coordination Disorder (Dyspraxia)</w:t>
      </w:r>
      <w:r w:rsidR="0050286E" w:rsidRPr="00A51040">
        <w:rPr>
          <w:i/>
          <w:iCs/>
        </w:rPr>
        <w:t>.</w:t>
      </w:r>
      <w:r w:rsidR="0050286E" w:rsidRPr="00A51040">
        <w:t xml:space="preserve"> </w:t>
      </w:r>
      <w:r w:rsidRPr="00A51040">
        <w:t>StatPearls</w:t>
      </w:r>
      <w:r w:rsidR="0050286E" w:rsidRPr="00A51040">
        <w:t xml:space="preserve"> Publishing.</w:t>
      </w:r>
      <w:r w:rsidR="00F6124C" w:rsidRPr="00A51040">
        <w:rPr>
          <w:i/>
          <w:iCs/>
        </w:rPr>
        <w:t xml:space="preserve"> </w:t>
      </w:r>
    </w:p>
  </w:endnote>
  <w:endnote w:id="132">
    <w:p w14:paraId="024339FE" w14:textId="59B2D959" w:rsidR="004E04E1" w:rsidRPr="004E1A3D" w:rsidRDefault="004E04E1" w:rsidP="004C3828">
      <w:pPr>
        <w:pStyle w:val="EndnoteText"/>
        <w:spacing w:before="0"/>
        <w:jc w:val="left"/>
      </w:pPr>
      <w:r w:rsidRPr="00A51040">
        <w:rPr>
          <w:rStyle w:val="EndnoteReference"/>
        </w:rPr>
        <w:endnoteRef/>
      </w:r>
      <w:r w:rsidRPr="00A51040">
        <w:rPr>
          <w:lang w:val="fr-FR"/>
        </w:rPr>
        <w:t xml:space="preserve"> Aquil, M. A. I.</w:t>
      </w:r>
      <w:r w:rsidR="00FC411E" w:rsidRPr="00A51040">
        <w:rPr>
          <w:lang w:val="fr-FR"/>
        </w:rPr>
        <w:t xml:space="preserve"> and </w:t>
      </w:r>
      <w:r w:rsidRPr="00A51040">
        <w:rPr>
          <w:lang w:val="fr-FR"/>
        </w:rPr>
        <w:t>Ariffin, M. M. (2020)</w:t>
      </w:r>
      <w:r w:rsidR="00BE1E57">
        <w:rPr>
          <w:lang w:val="fr-FR"/>
        </w:rPr>
        <w:t>.</w:t>
      </w:r>
      <w:r w:rsidRPr="00A51040">
        <w:rPr>
          <w:lang w:val="fr-FR"/>
        </w:rPr>
        <w:t xml:space="preserve"> </w:t>
      </w:r>
      <w:r w:rsidR="00FC411E" w:rsidRPr="00A51040">
        <w:rPr>
          <w:lang w:val="fr-FR"/>
        </w:rPr>
        <w:t>‘</w:t>
      </w:r>
      <w:r w:rsidRPr="00A51040">
        <w:t>The causes, prevalence and interventions for dyscalculia in Malaysia</w:t>
      </w:r>
      <w:r w:rsidR="00FC411E" w:rsidRPr="00A51040">
        <w:t>’,</w:t>
      </w:r>
      <w:r w:rsidRPr="00A51040">
        <w:t> </w:t>
      </w:r>
      <w:r w:rsidRPr="00A51040">
        <w:rPr>
          <w:i/>
          <w:iCs/>
        </w:rPr>
        <w:t>Journal of Educational and Social Research</w:t>
      </w:r>
      <w:r w:rsidRPr="00A51040">
        <w:t>, 10(6),</w:t>
      </w:r>
      <w:r w:rsidR="00FC411E" w:rsidRPr="00A51040">
        <w:t xml:space="preserve"> p.</w:t>
      </w:r>
      <w:r w:rsidRPr="00A51040">
        <w:t>279.</w:t>
      </w:r>
      <w:r w:rsidR="006A0684" w:rsidRPr="00A51040">
        <w:t xml:space="preserve"> </w:t>
      </w:r>
      <w:r w:rsidR="00BE1E57">
        <w:t>doi</w:t>
      </w:r>
      <w:r w:rsidR="006A0684" w:rsidRPr="00A51040">
        <w:t xml:space="preserve">: </w:t>
      </w:r>
      <w:hyperlink r:id="rId120" w:history="1">
        <w:r w:rsidR="00A51040" w:rsidRPr="004E1A3D">
          <w:rPr>
            <w:rStyle w:val="Hyperlink"/>
          </w:rPr>
          <w:t>https://doi.org/10.36941/jesr-2020-0126</w:t>
        </w:r>
      </w:hyperlink>
    </w:p>
  </w:endnote>
  <w:endnote w:id="133">
    <w:p w14:paraId="68146DF5" w14:textId="4CA9824C" w:rsidR="004E04E1" w:rsidRPr="00053374" w:rsidRDefault="004E04E1" w:rsidP="004C3828">
      <w:pPr>
        <w:pStyle w:val="EndnoteText"/>
        <w:spacing w:before="0"/>
        <w:jc w:val="left"/>
        <w:rPr>
          <w:highlight w:val="green"/>
          <w:lang w:val="en-US"/>
        </w:rPr>
      </w:pPr>
      <w:r w:rsidRPr="004E1A3D">
        <w:rPr>
          <w:rStyle w:val="EndnoteReference"/>
        </w:rPr>
        <w:endnoteRef/>
      </w:r>
      <w:r w:rsidRPr="004E1A3D">
        <w:t xml:space="preserve"> Pham, A. V.</w:t>
      </w:r>
      <w:r w:rsidR="007F6984" w:rsidRPr="004E1A3D">
        <w:t xml:space="preserve"> and</w:t>
      </w:r>
      <w:r w:rsidRPr="004E1A3D">
        <w:t xml:space="preserve"> Riviere, A. (2015)</w:t>
      </w:r>
      <w:r w:rsidR="00BE1E57">
        <w:t>.</w:t>
      </w:r>
      <w:r w:rsidRPr="004E1A3D">
        <w:t xml:space="preserve"> </w:t>
      </w:r>
      <w:r w:rsidR="007F6984" w:rsidRPr="004E1A3D">
        <w:t>‘</w:t>
      </w:r>
      <w:r w:rsidRPr="004E1A3D">
        <w:t>Specific learning disorders and ADHD: current issues in diagnosis across clinical and educational settings</w:t>
      </w:r>
      <w:r w:rsidR="007F6984" w:rsidRPr="004E1A3D">
        <w:t>’,</w:t>
      </w:r>
      <w:r w:rsidRPr="004E1A3D">
        <w:t> </w:t>
      </w:r>
      <w:r w:rsidRPr="004E1A3D">
        <w:rPr>
          <w:i/>
          <w:iCs/>
        </w:rPr>
        <w:t xml:space="preserve">Current </w:t>
      </w:r>
      <w:r w:rsidR="005E55E9">
        <w:rPr>
          <w:i/>
          <w:iCs/>
        </w:rPr>
        <w:t>P</w:t>
      </w:r>
      <w:r w:rsidRPr="004E1A3D">
        <w:rPr>
          <w:i/>
          <w:iCs/>
        </w:rPr>
        <w:t xml:space="preserve">sychiatry </w:t>
      </w:r>
      <w:r w:rsidR="005E55E9">
        <w:rPr>
          <w:i/>
          <w:iCs/>
        </w:rPr>
        <w:t>R</w:t>
      </w:r>
      <w:r w:rsidRPr="004E1A3D">
        <w:rPr>
          <w:i/>
          <w:iCs/>
        </w:rPr>
        <w:t>eports</w:t>
      </w:r>
      <w:r w:rsidRPr="004E1A3D">
        <w:t xml:space="preserve">, 17, </w:t>
      </w:r>
      <w:r w:rsidR="00251241" w:rsidRPr="004E1A3D">
        <w:t>pp.</w:t>
      </w:r>
      <w:r w:rsidRPr="004E1A3D">
        <w:t>1-7.</w:t>
      </w:r>
      <w:r w:rsidR="00251241" w:rsidRPr="004E1A3D">
        <w:t xml:space="preserve"> </w:t>
      </w:r>
      <w:r w:rsidR="005E55E9">
        <w:t>doi</w:t>
      </w:r>
      <w:r w:rsidR="00251241" w:rsidRPr="004E1A3D">
        <w:t xml:space="preserve">: </w:t>
      </w:r>
      <w:hyperlink r:id="rId121" w:history="1">
        <w:r w:rsidR="004E1A3D" w:rsidRPr="004E1A3D">
          <w:rPr>
            <w:rStyle w:val="Hyperlink"/>
          </w:rPr>
          <w:t>https://doi.org/10.1007/s11920-015-0584-y</w:t>
        </w:r>
      </w:hyperlink>
    </w:p>
  </w:endnote>
  <w:endnote w:id="134">
    <w:p w14:paraId="5197FAD2" w14:textId="431A9236" w:rsidR="004E04E1" w:rsidRPr="00187616" w:rsidRDefault="004E04E1" w:rsidP="004C3828">
      <w:pPr>
        <w:pStyle w:val="EndnoteText"/>
        <w:spacing w:before="0"/>
        <w:jc w:val="left"/>
        <w:rPr>
          <w:highlight w:val="green"/>
        </w:rPr>
      </w:pPr>
      <w:r w:rsidRPr="00187616">
        <w:rPr>
          <w:rStyle w:val="EndnoteReference"/>
        </w:rPr>
        <w:endnoteRef/>
      </w:r>
      <w:r w:rsidRPr="00187616">
        <w:t xml:space="preserve"> Krafnick, A. J.</w:t>
      </w:r>
      <w:r w:rsidR="009C3417" w:rsidRPr="00187616">
        <w:t xml:space="preserve"> and </w:t>
      </w:r>
      <w:r w:rsidRPr="00187616">
        <w:t>Evans, T. M. (2019)</w:t>
      </w:r>
      <w:r w:rsidR="005E55E9">
        <w:t>.</w:t>
      </w:r>
      <w:r w:rsidRPr="00187616">
        <w:t xml:space="preserve"> </w:t>
      </w:r>
      <w:r w:rsidR="009C3417" w:rsidRPr="00187616">
        <w:t>‘</w:t>
      </w:r>
      <w:r w:rsidRPr="00187616">
        <w:t>Neurobiological sex differences in developmental dyslexia</w:t>
      </w:r>
      <w:r w:rsidR="009C3417" w:rsidRPr="00187616">
        <w:t>’,</w:t>
      </w:r>
      <w:r w:rsidRPr="00187616">
        <w:t> </w:t>
      </w:r>
      <w:r w:rsidRPr="00476C25">
        <w:rPr>
          <w:i/>
        </w:rPr>
        <w:t xml:space="preserve">Frontiers in </w:t>
      </w:r>
      <w:r w:rsidR="006C4477" w:rsidRPr="00476C25">
        <w:rPr>
          <w:i/>
        </w:rPr>
        <w:t>P</w:t>
      </w:r>
      <w:r w:rsidRPr="00476C25">
        <w:rPr>
          <w:i/>
        </w:rPr>
        <w:t>sychology</w:t>
      </w:r>
      <w:r w:rsidRPr="00476C25">
        <w:t xml:space="preserve">, 9, </w:t>
      </w:r>
      <w:r w:rsidR="009C3417" w:rsidRPr="00476C25">
        <w:t>p.</w:t>
      </w:r>
      <w:r w:rsidRPr="00476C25">
        <w:t>2669.</w:t>
      </w:r>
      <w:r w:rsidR="00187616" w:rsidRPr="00476C25">
        <w:t xml:space="preserve"> </w:t>
      </w:r>
      <w:r w:rsidR="005E55E9" w:rsidRPr="00476C25">
        <w:t>doi</w:t>
      </w:r>
      <w:r w:rsidR="00187616" w:rsidRPr="00476C25">
        <w:t xml:space="preserve">: </w:t>
      </w:r>
      <w:hyperlink r:id="rId122" w:history="1">
        <w:r w:rsidR="00187616" w:rsidRPr="00476C25">
          <w:rPr>
            <w:rStyle w:val="Hyperlink"/>
          </w:rPr>
          <w:t>https://doi.org/10.3389/fpsyg.2018.02669</w:t>
        </w:r>
      </w:hyperlink>
    </w:p>
  </w:endnote>
  <w:endnote w:id="135">
    <w:p w14:paraId="4E7E2A59" w14:textId="45864085" w:rsidR="004E04E1" w:rsidRPr="00053374" w:rsidRDefault="004E04E1" w:rsidP="004C3828">
      <w:pPr>
        <w:pStyle w:val="EndnoteText"/>
        <w:spacing w:before="0"/>
        <w:jc w:val="left"/>
        <w:rPr>
          <w:highlight w:val="green"/>
          <w:lang w:val="en-US"/>
        </w:rPr>
      </w:pPr>
      <w:r w:rsidRPr="002A4981">
        <w:rPr>
          <w:rStyle w:val="EndnoteReference"/>
        </w:rPr>
        <w:endnoteRef/>
      </w:r>
      <w:r w:rsidRPr="00476C25">
        <w:t xml:space="preserve"> Granocchio, E., De Salvatore, M., Bonanomi, E.</w:t>
      </w:r>
      <w:r w:rsidR="00187616" w:rsidRPr="00476C25">
        <w:t xml:space="preserve"> and</w:t>
      </w:r>
      <w:r w:rsidRPr="00476C25">
        <w:t xml:space="preserve"> Sarti, D. (2023)</w:t>
      </w:r>
      <w:r w:rsidR="00187616" w:rsidRPr="00476C25">
        <w:t xml:space="preserve"> ‘</w:t>
      </w:r>
      <w:r w:rsidRPr="002A4981">
        <w:t>Sex‐related differences in reading achievement</w:t>
      </w:r>
      <w:r w:rsidR="00187616" w:rsidRPr="002A4981">
        <w:t>’,</w:t>
      </w:r>
      <w:r w:rsidRPr="002A4981">
        <w:t> </w:t>
      </w:r>
      <w:r w:rsidRPr="002A4981">
        <w:rPr>
          <w:i/>
          <w:iCs/>
        </w:rPr>
        <w:t xml:space="preserve">Journal of </w:t>
      </w:r>
      <w:r w:rsidR="009878F4">
        <w:rPr>
          <w:i/>
          <w:iCs/>
        </w:rPr>
        <w:t>N</w:t>
      </w:r>
      <w:r w:rsidRPr="002A4981">
        <w:rPr>
          <w:i/>
          <w:iCs/>
        </w:rPr>
        <w:t xml:space="preserve">euroscience </w:t>
      </w:r>
      <w:r w:rsidR="009878F4">
        <w:rPr>
          <w:i/>
          <w:iCs/>
        </w:rPr>
        <w:t>R</w:t>
      </w:r>
      <w:r w:rsidRPr="002A4981">
        <w:rPr>
          <w:i/>
          <w:iCs/>
        </w:rPr>
        <w:t>esearch</w:t>
      </w:r>
      <w:r w:rsidRPr="002A4981">
        <w:t>, 101(5),</w:t>
      </w:r>
      <w:r w:rsidR="00A85DD2" w:rsidRPr="002A4981">
        <w:t xml:space="preserve"> pp.</w:t>
      </w:r>
      <w:r w:rsidRPr="002A4981">
        <w:t>668-678.</w:t>
      </w:r>
      <w:r w:rsidR="00A85DD2" w:rsidRPr="002A4981">
        <w:t xml:space="preserve"> </w:t>
      </w:r>
      <w:r w:rsidR="005E55E9" w:rsidRPr="00476C25">
        <w:t>doi</w:t>
      </w:r>
      <w:r w:rsidR="00A85DD2" w:rsidRPr="00476C25">
        <w:t xml:space="preserve">: </w:t>
      </w:r>
      <w:hyperlink r:id="rId123" w:history="1">
        <w:r w:rsidR="002A4981" w:rsidRPr="00476C25">
          <w:rPr>
            <w:rStyle w:val="Hyperlink"/>
          </w:rPr>
          <w:t>https://doi.org/10.1002/jnr.24913</w:t>
        </w:r>
      </w:hyperlink>
    </w:p>
  </w:endnote>
  <w:endnote w:id="136">
    <w:p w14:paraId="592B6CED" w14:textId="7163002A" w:rsidR="004E04E1" w:rsidRPr="008D5972" w:rsidRDefault="004E04E1" w:rsidP="004C3828">
      <w:pPr>
        <w:pStyle w:val="EndnoteText"/>
        <w:spacing w:before="0"/>
        <w:jc w:val="left"/>
      </w:pPr>
      <w:r w:rsidRPr="00EC71CF">
        <w:rPr>
          <w:rStyle w:val="EndnoteReference"/>
        </w:rPr>
        <w:endnoteRef/>
      </w:r>
      <w:r w:rsidRPr="00EC71CF">
        <w:t xml:space="preserve"> Hettiarachchi, D. (2021)</w:t>
      </w:r>
      <w:r w:rsidR="005E55E9">
        <w:t>.</w:t>
      </w:r>
      <w:r w:rsidRPr="00EC71CF">
        <w:t xml:space="preserve"> </w:t>
      </w:r>
      <w:r w:rsidR="002A4981" w:rsidRPr="00EC71CF">
        <w:t>‘</w:t>
      </w:r>
      <w:r w:rsidRPr="00EC71CF">
        <w:t>An overview of dyslexia</w:t>
      </w:r>
      <w:r w:rsidR="002A4981" w:rsidRPr="00EC71CF">
        <w:t>’,</w:t>
      </w:r>
      <w:r w:rsidRPr="00EC71CF">
        <w:t> </w:t>
      </w:r>
      <w:r w:rsidRPr="00EC71CF">
        <w:rPr>
          <w:i/>
          <w:iCs/>
        </w:rPr>
        <w:t>Sri Lanka Journal of Child Health</w:t>
      </w:r>
      <w:r w:rsidRPr="00EC71CF">
        <w:t>, 50(3).</w:t>
      </w:r>
      <w:r w:rsidR="002A4981" w:rsidRPr="00EC71CF">
        <w:t xml:space="preserve"> </w:t>
      </w:r>
      <w:r w:rsidR="006C4477">
        <w:t>doi</w:t>
      </w:r>
      <w:r w:rsidR="002A4981" w:rsidRPr="00476C25">
        <w:t xml:space="preserve">: </w:t>
      </w:r>
      <w:hyperlink r:id="rId124" w:history="1">
        <w:r w:rsidR="00EC71CF" w:rsidRPr="00476C25">
          <w:rPr>
            <w:rStyle w:val="Hyperlink"/>
          </w:rPr>
          <w:t>http://doi.org/10.4038/sljch.v50i3.9741</w:t>
        </w:r>
      </w:hyperlink>
    </w:p>
  </w:endnote>
  <w:endnote w:id="137">
    <w:p w14:paraId="71FE9CB5" w14:textId="12F53E63" w:rsidR="004E04E1" w:rsidRPr="00053374" w:rsidRDefault="004E04E1" w:rsidP="004C3828">
      <w:pPr>
        <w:pStyle w:val="EndnoteText"/>
        <w:spacing w:before="0"/>
        <w:jc w:val="left"/>
        <w:rPr>
          <w:highlight w:val="green"/>
          <w:lang w:val="en-US"/>
        </w:rPr>
      </w:pPr>
      <w:r w:rsidRPr="008D5972">
        <w:rPr>
          <w:rStyle w:val="EndnoteReference"/>
        </w:rPr>
        <w:endnoteRef/>
      </w:r>
      <w:r w:rsidRPr="008D5972">
        <w:t xml:space="preserve"> </w:t>
      </w:r>
      <w:r w:rsidRPr="008D5972">
        <w:rPr>
          <w:lang w:val="en-US"/>
        </w:rPr>
        <w:t xml:space="preserve">Campbell, T. (2023). </w:t>
      </w:r>
      <w:r w:rsidRPr="008D5972">
        <w:rPr>
          <w:i/>
          <w:iCs/>
          <w:lang w:val="en-US"/>
        </w:rPr>
        <w:t>Inequalities in provision for primary children with special educational needs and/or disabilities (SEND) by local area deprivation</w:t>
      </w:r>
      <w:r w:rsidRPr="008D5972">
        <w:rPr>
          <w:lang w:val="en-US"/>
        </w:rPr>
        <w:t>.</w:t>
      </w:r>
      <w:r w:rsidR="005557EE" w:rsidRPr="008D5972">
        <w:rPr>
          <w:lang w:val="en-US"/>
        </w:rPr>
        <w:t xml:space="preserve"> Available at:</w:t>
      </w:r>
      <w:r w:rsidRPr="008D5972">
        <w:rPr>
          <w:lang w:val="en-US"/>
        </w:rPr>
        <w:t xml:space="preserve"> </w:t>
      </w:r>
      <w:hyperlink r:id="rId125" w:history="1">
        <w:r w:rsidRPr="008D5972">
          <w:rPr>
            <w:rStyle w:val="Hyperlink"/>
            <w:lang w:val="en-US"/>
          </w:rPr>
          <w:t>https://www.lse.ac.uk/News/Latest-news-from-LSE/2023/k-November-2023/Children-in-affluent-areas</w:t>
        </w:r>
      </w:hyperlink>
      <w:r w:rsidRPr="008D5972">
        <w:rPr>
          <w:lang w:val="en-US"/>
        </w:rPr>
        <w:t xml:space="preserve"> </w:t>
      </w:r>
    </w:p>
  </w:endnote>
  <w:endnote w:id="138">
    <w:p w14:paraId="489EE857" w14:textId="4460E00F" w:rsidR="004E04E1" w:rsidRPr="00817760" w:rsidRDefault="004E04E1" w:rsidP="004C3828">
      <w:pPr>
        <w:pStyle w:val="EndnoteText"/>
        <w:spacing w:before="0"/>
        <w:jc w:val="left"/>
        <w:rPr>
          <w:lang w:val="en-US"/>
        </w:rPr>
      </w:pPr>
      <w:r w:rsidRPr="008D5972">
        <w:rPr>
          <w:rStyle w:val="EndnoteReference"/>
        </w:rPr>
        <w:endnoteRef/>
      </w:r>
      <w:r w:rsidRPr="008D5972">
        <w:t xml:space="preserve"> </w:t>
      </w:r>
      <w:r w:rsidRPr="008D5972">
        <w:rPr>
          <w:lang w:val="en-US"/>
        </w:rPr>
        <w:t xml:space="preserve">British Dyslexia Association (2025). </w:t>
      </w:r>
      <w:r w:rsidRPr="008D5972">
        <w:rPr>
          <w:i/>
          <w:iCs/>
          <w:lang w:val="en-US"/>
        </w:rPr>
        <w:t xml:space="preserve">About </w:t>
      </w:r>
      <w:r w:rsidR="00763C52">
        <w:rPr>
          <w:i/>
          <w:iCs/>
          <w:lang w:val="en-US"/>
        </w:rPr>
        <w:t>d</w:t>
      </w:r>
      <w:r w:rsidRPr="008D5972">
        <w:rPr>
          <w:i/>
          <w:iCs/>
          <w:lang w:val="en-US"/>
        </w:rPr>
        <w:t>yscalculia</w:t>
      </w:r>
      <w:r w:rsidRPr="008D5972">
        <w:rPr>
          <w:lang w:val="en-US"/>
        </w:rPr>
        <w:t xml:space="preserve">. </w:t>
      </w:r>
      <w:r w:rsidR="008D5972" w:rsidRPr="008D5972">
        <w:rPr>
          <w:lang w:val="en-US"/>
        </w:rPr>
        <w:t xml:space="preserve">Available at: </w:t>
      </w:r>
      <w:hyperlink r:id="rId126" w:history="1">
        <w:r w:rsidR="008D5972" w:rsidRPr="00817760">
          <w:rPr>
            <w:rStyle w:val="Hyperlink"/>
            <w:lang w:val="en-US"/>
          </w:rPr>
          <w:t>https://www.bdadyslexia.org.uk/dyscalculia/how-can-i-identify-dyscalculia</w:t>
        </w:r>
      </w:hyperlink>
      <w:r w:rsidRPr="00817760">
        <w:rPr>
          <w:lang w:val="en-US"/>
        </w:rPr>
        <w:t xml:space="preserve"> </w:t>
      </w:r>
    </w:p>
  </w:endnote>
  <w:endnote w:id="139">
    <w:p w14:paraId="134434AA" w14:textId="346DE56D" w:rsidR="004E04E1" w:rsidRPr="00053374" w:rsidRDefault="004E04E1" w:rsidP="004C3828">
      <w:pPr>
        <w:pStyle w:val="EndnoteText"/>
        <w:spacing w:before="0"/>
        <w:jc w:val="left"/>
        <w:rPr>
          <w:highlight w:val="green"/>
          <w:lang w:val="en-US"/>
        </w:rPr>
      </w:pPr>
      <w:r w:rsidRPr="00817760">
        <w:rPr>
          <w:rStyle w:val="EndnoteReference"/>
        </w:rPr>
        <w:endnoteRef/>
      </w:r>
      <w:r w:rsidRPr="004727A7">
        <w:t xml:space="preserve"> Molise, D. C.</w:t>
      </w:r>
      <w:r w:rsidR="00891343" w:rsidRPr="004727A7">
        <w:t xml:space="preserve"> and</w:t>
      </w:r>
      <w:r w:rsidRPr="004727A7">
        <w:t xml:space="preserve"> Luneta, K. (2024). </w:t>
      </w:r>
      <w:r w:rsidR="00891343" w:rsidRPr="00476C25">
        <w:t>‘</w:t>
      </w:r>
      <w:r w:rsidRPr="00817760">
        <w:t>An overview of the causes of dyscalculia and its impact on learners' arithmetic ability</w:t>
      </w:r>
      <w:r w:rsidR="00891343" w:rsidRPr="00817760">
        <w:t>’,</w:t>
      </w:r>
      <w:r w:rsidRPr="00817760">
        <w:t> </w:t>
      </w:r>
      <w:r w:rsidRPr="00817760">
        <w:rPr>
          <w:i/>
          <w:iCs/>
        </w:rPr>
        <w:t>The Independent Journal of Teaching and Learning</w:t>
      </w:r>
      <w:r w:rsidRPr="00817760">
        <w:t xml:space="preserve">, 19(1), </w:t>
      </w:r>
      <w:r w:rsidR="00891343" w:rsidRPr="00817760">
        <w:t>pp.</w:t>
      </w:r>
      <w:r w:rsidRPr="00817760">
        <w:t>124-144.</w:t>
      </w:r>
    </w:p>
  </w:endnote>
  <w:endnote w:id="140">
    <w:p w14:paraId="6A50B3EE" w14:textId="1FAB90EC" w:rsidR="004E04E1" w:rsidRPr="00782B96" w:rsidRDefault="004E04E1" w:rsidP="004C3828">
      <w:pPr>
        <w:pStyle w:val="EndnoteText"/>
        <w:spacing w:before="0"/>
        <w:jc w:val="left"/>
        <w:rPr>
          <w:lang w:val="en-US"/>
        </w:rPr>
      </w:pPr>
      <w:r w:rsidRPr="00567285">
        <w:rPr>
          <w:rStyle w:val="EndnoteReference"/>
        </w:rPr>
        <w:endnoteRef/>
      </w:r>
      <w:r w:rsidRPr="00567285">
        <w:t xml:space="preserve"> Lingam, R., Hunt, L., Golding, J., Jongmans, M.</w:t>
      </w:r>
      <w:r w:rsidR="007041B0" w:rsidRPr="00567285">
        <w:t xml:space="preserve"> and</w:t>
      </w:r>
      <w:r w:rsidRPr="00567285">
        <w:t xml:space="preserve"> Emond, A. (2009). </w:t>
      </w:r>
      <w:r w:rsidR="00687BD9" w:rsidRPr="00567285">
        <w:t>‘</w:t>
      </w:r>
      <w:r w:rsidRPr="00567285">
        <w:t xml:space="preserve">Prevalence of developmental </w:t>
      </w:r>
      <w:r w:rsidRPr="00782B96">
        <w:t>coordination disorder using the DSM-IV at 7 years of age: A UK population–based study</w:t>
      </w:r>
      <w:r w:rsidR="00687BD9" w:rsidRPr="00782B96">
        <w:t>’,</w:t>
      </w:r>
      <w:r w:rsidRPr="00782B96">
        <w:t> </w:t>
      </w:r>
      <w:r w:rsidRPr="00782B96">
        <w:rPr>
          <w:i/>
          <w:iCs/>
        </w:rPr>
        <w:t>Pediatrics</w:t>
      </w:r>
      <w:r w:rsidRPr="00782B96">
        <w:t xml:space="preserve">, 123(4), </w:t>
      </w:r>
      <w:r w:rsidR="00687BD9" w:rsidRPr="00782B96">
        <w:t>pp.</w:t>
      </w:r>
      <w:r w:rsidRPr="00782B96">
        <w:t>e693-e700.</w:t>
      </w:r>
      <w:r w:rsidR="00567285" w:rsidRPr="00782B96">
        <w:t xml:space="preserve"> doi: https://doi.org/10.1542/peds.2008-1770</w:t>
      </w:r>
    </w:p>
  </w:endnote>
  <w:endnote w:id="141">
    <w:p w14:paraId="3513ADC5" w14:textId="7E358C77" w:rsidR="004E04E1" w:rsidRPr="00053374" w:rsidRDefault="004E04E1" w:rsidP="004C3828">
      <w:pPr>
        <w:pStyle w:val="EndnoteText"/>
        <w:spacing w:before="0"/>
        <w:jc w:val="left"/>
        <w:rPr>
          <w:highlight w:val="green"/>
          <w:lang w:val="en-US"/>
        </w:rPr>
      </w:pPr>
      <w:r w:rsidRPr="00782B96">
        <w:rPr>
          <w:rStyle w:val="EndnoteReference"/>
        </w:rPr>
        <w:endnoteRef/>
      </w:r>
      <w:r w:rsidRPr="00782B96">
        <w:t xml:space="preserve"> </w:t>
      </w:r>
      <w:r w:rsidRPr="00782B96">
        <w:rPr>
          <w:lang w:val="en-US"/>
        </w:rPr>
        <w:t xml:space="preserve">NHS (2023). </w:t>
      </w:r>
      <w:r w:rsidRPr="00782B96">
        <w:rPr>
          <w:i/>
          <w:iCs/>
          <w:lang w:val="en-US"/>
        </w:rPr>
        <w:t>Developmental co-ordination disorder (dyspraxia) in children</w:t>
      </w:r>
      <w:r w:rsidRPr="00782B96">
        <w:rPr>
          <w:lang w:val="en-US"/>
        </w:rPr>
        <w:t xml:space="preserve">. </w:t>
      </w:r>
      <w:r w:rsidR="00782B96" w:rsidRPr="00782B96">
        <w:rPr>
          <w:lang w:val="en-US"/>
        </w:rPr>
        <w:t xml:space="preserve">Available at: </w:t>
      </w:r>
      <w:hyperlink r:id="rId127" w:history="1">
        <w:r w:rsidRPr="00782B96">
          <w:rPr>
            <w:rStyle w:val="Hyperlink"/>
            <w:lang w:val="en-US"/>
          </w:rPr>
          <w:t>https://www.nhs.uk/conditions/developmental-coordination-disorder-dyspraxia/</w:t>
        </w:r>
      </w:hyperlink>
      <w:r w:rsidRPr="00782B96">
        <w:rPr>
          <w:lang w:val="en-US"/>
        </w:rPr>
        <w:t xml:space="preserve"> </w:t>
      </w:r>
    </w:p>
  </w:endnote>
  <w:endnote w:id="142">
    <w:p w14:paraId="05FE0B0A" w14:textId="47957CC2" w:rsidR="004E04E1" w:rsidRPr="00053374" w:rsidRDefault="004E04E1" w:rsidP="004C3828">
      <w:pPr>
        <w:pStyle w:val="EndnoteText"/>
        <w:spacing w:before="0"/>
        <w:jc w:val="left"/>
        <w:rPr>
          <w:highlight w:val="green"/>
          <w:lang w:val="en-US"/>
        </w:rPr>
      </w:pPr>
      <w:r w:rsidRPr="00F00B9C">
        <w:rPr>
          <w:rStyle w:val="EndnoteReference"/>
        </w:rPr>
        <w:endnoteRef/>
      </w:r>
      <w:r w:rsidRPr="00F00B9C">
        <w:t xml:space="preserve"> Karlsdottir, R.</w:t>
      </w:r>
      <w:r w:rsidR="003E1A65" w:rsidRPr="00F00B9C">
        <w:t xml:space="preserve"> and</w:t>
      </w:r>
      <w:r w:rsidRPr="00F00B9C">
        <w:t xml:space="preserve"> Stefansson, T. (2002). </w:t>
      </w:r>
      <w:r w:rsidR="003E1A65" w:rsidRPr="00F00B9C">
        <w:t>‘</w:t>
      </w:r>
      <w:r w:rsidRPr="00F00B9C">
        <w:t>Problems in developing functional handwriting</w:t>
      </w:r>
      <w:r w:rsidR="003E1A65" w:rsidRPr="00F00B9C">
        <w:t>’,</w:t>
      </w:r>
      <w:r w:rsidRPr="00F00B9C">
        <w:t> </w:t>
      </w:r>
      <w:r w:rsidRPr="00F00B9C">
        <w:rPr>
          <w:i/>
          <w:iCs/>
        </w:rPr>
        <w:t xml:space="preserve">Perceptual and </w:t>
      </w:r>
      <w:r w:rsidR="003E1A65" w:rsidRPr="00F00B9C">
        <w:rPr>
          <w:i/>
          <w:iCs/>
        </w:rPr>
        <w:t>M</w:t>
      </w:r>
      <w:r w:rsidRPr="00F00B9C">
        <w:rPr>
          <w:i/>
          <w:iCs/>
        </w:rPr>
        <w:t xml:space="preserve">otor </w:t>
      </w:r>
      <w:r w:rsidR="003E1A65" w:rsidRPr="00F00B9C">
        <w:rPr>
          <w:i/>
          <w:iCs/>
        </w:rPr>
        <w:t>S</w:t>
      </w:r>
      <w:r w:rsidRPr="00F00B9C">
        <w:rPr>
          <w:i/>
          <w:iCs/>
        </w:rPr>
        <w:t>kills</w:t>
      </w:r>
      <w:r w:rsidRPr="00F00B9C">
        <w:t xml:space="preserve">, 94(2), </w:t>
      </w:r>
      <w:r w:rsidR="003E1A65" w:rsidRPr="00F00B9C">
        <w:t>pp.</w:t>
      </w:r>
      <w:r w:rsidRPr="00F00B9C">
        <w:t>623-662.</w:t>
      </w:r>
      <w:r w:rsidR="00F00B9C" w:rsidRPr="00F00B9C">
        <w:t xml:space="preserve"> </w:t>
      </w:r>
      <w:r w:rsidR="00237DE5">
        <w:t>d</w:t>
      </w:r>
      <w:r w:rsidR="00F00B9C" w:rsidRPr="00F00B9C">
        <w:t xml:space="preserve">oi: </w:t>
      </w:r>
      <w:hyperlink r:id="rId128" w:history="1">
        <w:r w:rsidR="00237DE5" w:rsidRPr="00AB25E7">
          <w:rPr>
            <w:rStyle w:val="Hyperlink"/>
          </w:rPr>
          <w:t>https://doi.org/10.2466/pms.2002.94.2.623</w:t>
        </w:r>
      </w:hyperlink>
      <w:r w:rsidR="00237DE5">
        <w:t xml:space="preserve"> </w:t>
      </w:r>
    </w:p>
  </w:endnote>
  <w:endnote w:id="143">
    <w:p w14:paraId="7DFA3960" w14:textId="0736A99F" w:rsidR="004E04E1" w:rsidRPr="00053374" w:rsidRDefault="004E04E1" w:rsidP="004C3828">
      <w:pPr>
        <w:pStyle w:val="EndnoteText"/>
        <w:spacing w:before="0"/>
        <w:jc w:val="left"/>
        <w:rPr>
          <w:highlight w:val="green"/>
          <w:lang w:val="en-US"/>
        </w:rPr>
      </w:pPr>
      <w:r w:rsidRPr="00237DE5">
        <w:rPr>
          <w:rStyle w:val="EndnoteReference"/>
        </w:rPr>
        <w:endnoteRef/>
      </w:r>
      <w:r w:rsidRPr="00237DE5">
        <w:t xml:space="preserve"> McCloskey, M.</w:t>
      </w:r>
      <w:r w:rsidR="00AD77F9" w:rsidRPr="00237DE5">
        <w:t xml:space="preserve"> and</w:t>
      </w:r>
      <w:r w:rsidRPr="00237DE5">
        <w:t xml:space="preserve"> Rapp, B. (2019). </w:t>
      </w:r>
      <w:r w:rsidR="00AD77F9" w:rsidRPr="00237DE5">
        <w:t>‘</w:t>
      </w:r>
      <w:r w:rsidRPr="00237DE5">
        <w:t>Developmental dysgraphia: An overview and framework for research</w:t>
      </w:r>
      <w:r w:rsidR="00AD77F9" w:rsidRPr="00237DE5">
        <w:t>’,</w:t>
      </w:r>
      <w:r w:rsidRPr="00237DE5">
        <w:t> </w:t>
      </w:r>
      <w:r w:rsidRPr="00237DE5">
        <w:rPr>
          <w:i/>
          <w:iCs/>
        </w:rPr>
        <w:t>Developmental Dysgraphia</w:t>
      </w:r>
      <w:r w:rsidRPr="00237DE5">
        <w:t xml:space="preserve">, </w:t>
      </w:r>
      <w:r w:rsidR="00AD77F9" w:rsidRPr="00237DE5">
        <w:t>pp.</w:t>
      </w:r>
      <w:r w:rsidRPr="00237DE5">
        <w:t>1-18.</w:t>
      </w:r>
      <w:r w:rsidR="00295578" w:rsidRPr="00237DE5">
        <w:t xml:space="preserve"> </w:t>
      </w:r>
      <w:r w:rsidR="00237DE5" w:rsidRPr="00237DE5">
        <w:t>d</w:t>
      </w:r>
      <w:r w:rsidR="00295578" w:rsidRPr="00237DE5">
        <w:t>oi</w:t>
      </w:r>
      <w:r w:rsidR="00237DE5" w:rsidRPr="00237DE5">
        <w:t xml:space="preserve">: </w:t>
      </w:r>
      <w:hyperlink r:id="rId129" w:history="1">
        <w:r w:rsidR="00237DE5" w:rsidRPr="00237DE5">
          <w:rPr>
            <w:rStyle w:val="Hyperlink"/>
          </w:rPr>
          <w:t>https://doi.org/10.1080/02643294.2017.1369016</w:t>
        </w:r>
      </w:hyperlink>
      <w:r w:rsidR="00237DE5">
        <w:t xml:space="preserve"> </w:t>
      </w:r>
    </w:p>
  </w:endnote>
  <w:endnote w:id="144">
    <w:p w14:paraId="203759B0" w14:textId="5BE09617" w:rsidR="004E04E1" w:rsidRPr="00053374" w:rsidRDefault="004E04E1" w:rsidP="004C3828">
      <w:pPr>
        <w:pStyle w:val="EndnoteText"/>
        <w:keepLines/>
        <w:spacing w:before="0"/>
        <w:jc w:val="left"/>
        <w:rPr>
          <w:highlight w:val="green"/>
          <w:lang w:val="en-US"/>
        </w:rPr>
      </w:pPr>
      <w:r w:rsidRPr="00B31B49">
        <w:rPr>
          <w:rStyle w:val="EndnoteReference"/>
        </w:rPr>
        <w:endnoteRef/>
      </w:r>
      <w:r w:rsidRPr="00B31B49">
        <w:t xml:space="preserve"> Government Office for Science (2020). </w:t>
      </w:r>
      <w:r w:rsidRPr="00B31B49">
        <w:rPr>
          <w:i/>
          <w:iCs/>
        </w:rPr>
        <w:t xml:space="preserve">Current </w:t>
      </w:r>
      <w:r w:rsidR="00B31B49">
        <w:rPr>
          <w:i/>
          <w:iCs/>
        </w:rPr>
        <w:t>u</w:t>
      </w:r>
      <w:r w:rsidRPr="00B31B49">
        <w:rPr>
          <w:i/>
          <w:iCs/>
        </w:rPr>
        <w:t xml:space="preserve">nderstanding, </w:t>
      </w:r>
      <w:r w:rsidR="00B31B49">
        <w:rPr>
          <w:i/>
          <w:iCs/>
        </w:rPr>
        <w:t>s</w:t>
      </w:r>
      <w:r w:rsidRPr="00B31B49">
        <w:rPr>
          <w:i/>
          <w:iCs/>
        </w:rPr>
        <w:t xml:space="preserve">upport </w:t>
      </w:r>
      <w:r w:rsidR="00B31B49">
        <w:rPr>
          <w:i/>
          <w:iCs/>
        </w:rPr>
        <w:t>s</w:t>
      </w:r>
      <w:r w:rsidRPr="00B31B49">
        <w:rPr>
          <w:i/>
          <w:iCs/>
        </w:rPr>
        <w:t xml:space="preserve">ystems, and </w:t>
      </w:r>
      <w:r w:rsidR="00B31B49">
        <w:rPr>
          <w:i/>
          <w:iCs/>
        </w:rPr>
        <w:t>t</w:t>
      </w:r>
      <w:r w:rsidRPr="00B31B49">
        <w:rPr>
          <w:i/>
          <w:iCs/>
        </w:rPr>
        <w:t xml:space="preserve">echnology-led </w:t>
      </w:r>
      <w:r w:rsidR="00B31B49">
        <w:rPr>
          <w:i/>
          <w:iCs/>
        </w:rPr>
        <w:t>i</w:t>
      </w:r>
      <w:r w:rsidRPr="00B31B49">
        <w:rPr>
          <w:i/>
          <w:iCs/>
        </w:rPr>
        <w:t xml:space="preserve">nterventions for </w:t>
      </w:r>
      <w:r w:rsidR="00B31B49">
        <w:rPr>
          <w:i/>
          <w:iCs/>
        </w:rPr>
        <w:t>s</w:t>
      </w:r>
      <w:r w:rsidRPr="00B31B49">
        <w:rPr>
          <w:i/>
          <w:iCs/>
        </w:rPr>
        <w:t xml:space="preserve">pecific </w:t>
      </w:r>
      <w:r w:rsidR="00B31B49">
        <w:rPr>
          <w:i/>
          <w:iCs/>
        </w:rPr>
        <w:t>l</w:t>
      </w:r>
      <w:r w:rsidRPr="00B31B49">
        <w:rPr>
          <w:i/>
          <w:iCs/>
        </w:rPr>
        <w:t xml:space="preserve">earning </w:t>
      </w:r>
      <w:r w:rsidR="00B31B49">
        <w:rPr>
          <w:i/>
          <w:iCs/>
        </w:rPr>
        <w:t>d</w:t>
      </w:r>
      <w:r w:rsidRPr="00B31B49">
        <w:rPr>
          <w:i/>
          <w:iCs/>
        </w:rPr>
        <w:t>ifficulties</w:t>
      </w:r>
      <w:r w:rsidRPr="00B31B49">
        <w:t xml:space="preserve">. </w:t>
      </w:r>
      <w:r w:rsidR="00415841" w:rsidRPr="00B31B49">
        <w:t xml:space="preserve">Available at: </w:t>
      </w:r>
      <w:hyperlink r:id="rId130" w:history="1">
        <w:r w:rsidR="00415841" w:rsidRPr="00B31B49">
          <w:rPr>
            <w:rStyle w:val="Hyperlink"/>
          </w:rPr>
          <w:t>https://assets.publishing.service.gov.uk/media/5f849afa8fa8f504594d4b84/specific-learning-difficulties-spld-cst-report.pdf</w:t>
        </w:r>
      </w:hyperlink>
      <w:r w:rsidRPr="00B31B49">
        <w:t xml:space="preserve"> </w:t>
      </w:r>
      <w:r w:rsidR="00415841" w:rsidRPr="00B31B49">
        <w:t xml:space="preserve">(Accessed: </w:t>
      </w:r>
      <w:r w:rsidR="00B31B49" w:rsidRPr="00B31B49">
        <w:t>30 July 2025).</w:t>
      </w:r>
    </w:p>
  </w:endnote>
  <w:endnote w:id="145">
    <w:p w14:paraId="0678803F" w14:textId="2A9ED066" w:rsidR="004E04E1" w:rsidRPr="00CE466D" w:rsidRDefault="004E04E1" w:rsidP="004C3828">
      <w:pPr>
        <w:pStyle w:val="EndnoteText"/>
        <w:spacing w:before="0"/>
        <w:jc w:val="left"/>
        <w:rPr>
          <w:highlight w:val="green"/>
          <w:lang w:val="en-US"/>
        </w:rPr>
      </w:pPr>
      <w:r w:rsidRPr="00512509">
        <w:rPr>
          <w:rStyle w:val="EndnoteReference"/>
        </w:rPr>
        <w:endnoteRef/>
      </w:r>
      <w:r w:rsidRPr="00512509">
        <w:rPr>
          <w:lang w:val="it-IT"/>
        </w:rPr>
        <w:t xml:space="preserve"> Graziani, C. L., Brunelli, D., Lorini, D., Bonaccorsi, D., Palese, D., Fedeli, D.</w:t>
      </w:r>
      <w:r w:rsidR="00CE466D" w:rsidRPr="00512509">
        <w:rPr>
          <w:lang w:val="it-IT"/>
        </w:rPr>
        <w:t xml:space="preserve"> and</w:t>
      </w:r>
      <w:r w:rsidRPr="00512509">
        <w:rPr>
          <w:lang w:val="it-IT"/>
        </w:rPr>
        <w:t xml:space="preserve"> Arnoldo, D. (2024). </w:t>
      </w:r>
      <w:r w:rsidR="00CE466D" w:rsidRPr="00E273A5">
        <w:t>‘</w:t>
      </w:r>
      <w:r w:rsidRPr="00512509">
        <w:t>Assessment of the level of health literacy in students with specific learning disorders</w:t>
      </w:r>
      <w:r w:rsidR="00CE466D" w:rsidRPr="00512509">
        <w:t>’,</w:t>
      </w:r>
      <w:r w:rsidRPr="00512509">
        <w:t> </w:t>
      </w:r>
      <w:r w:rsidRPr="00512509">
        <w:rPr>
          <w:i/>
          <w:iCs/>
        </w:rPr>
        <w:t>European Journal of Public Health</w:t>
      </w:r>
      <w:r w:rsidRPr="00512509">
        <w:t>, </w:t>
      </w:r>
      <w:r w:rsidR="00CE466D" w:rsidRPr="00512509">
        <w:t>34.</w:t>
      </w:r>
      <w:r w:rsidR="00512509" w:rsidRPr="00512509">
        <w:t xml:space="preserve"> doi: </w:t>
      </w:r>
      <w:hyperlink r:id="rId131" w:history="1">
        <w:r w:rsidR="00512509" w:rsidRPr="00512509">
          <w:rPr>
            <w:rStyle w:val="Hyperlink"/>
          </w:rPr>
          <w:t>https://doi.org/10.1093/eurpub/ckae144.1718</w:t>
        </w:r>
      </w:hyperlink>
      <w:r w:rsidR="00512509">
        <w:t xml:space="preserve"> </w:t>
      </w:r>
    </w:p>
  </w:endnote>
  <w:endnote w:id="146">
    <w:p w14:paraId="2843B627" w14:textId="0C6BC37A" w:rsidR="004E04E1" w:rsidRPr="00053374" w:rsidRDefault="004E04E1" w:rsidP="004C3828">
      <w:pPr>
        <w:pStyle w:val="EndnoteText"/>
        <w:jc w:val="left"/>
        <w:rPr>
          <w:highlight w:val="green"/>
          <w:lang w:val="en-US"/>
        </w:rPr>
      </w:pPr>
      <w:r w:rsidRPr="00BE3A96">
        <w:rPr>
          <w:rStyle w:val="EndnoteReference"/>
        </w:rPr>
        <w:endnoteRef/>
      </w:r>
      <w:r w:rsidRPr="00BE3A96">
        <w:t xml:space="preserve"> Taanila, A., Ebeling, H., Tiihala, M., Kaakinen, M., Moilanen, I., Hurtig, T.</w:t>
      </w:r>
      <w:r w:rsidR="00865C1C" w:rsidRPr="00BE3A96">
        <w:t xml:space="preserve"> and </w:t>
      </w:r>
      <w:r w:rsidRPr="00BE3A96">
        <w:t xml:space="preserve">Yliherva, A. (2014). </w:t>
      </w:r>
      <w:r w:rsidR="00865C1C" w:rsidRPr="00BE3A96">
        <w:t>‘</w:t>
      </w:r>
      <w:r w:rsidRPr="00BE3A96">
        <w:t>Association between childhood specific learning difficulties and school performance in adolescents with and without ADHD symptoms: a 16-year follow-up</w:t>
      </w:r>
      <w:r w:rsidR="00865C1C" w:rsidRPr="00BE3A96">
        <w:t>’,</w:t>
      </w:r>
      <w:r w:rsidRPr="00BE3A96">
        <w:t> </w:t>
      </w:r>
      <w:r w:rsidRPr="00BE3A96">
        <w:rPr>
          <w:i/>
          <w:iCs/>
        </w:rPr>
        <w:t>Journal of Attention Disorders</w:t>
      </w:r>
      <w:r w:rsidRPr="00BE3A96">
        <w:t xml:space="preserve">, 18(1), </w:t>
      </w:r>
      <w:r w:rsidR="00865C1C" w:rsidRPr="00BE3A96">
        <w:t>pp.</w:t>
      </w:r>
      <w:r w:rsidRPr="00BE3A96">
        <w:t>61-72.</w:t>
      </w:r>
      <w:r w:rsidR="00865C1C" w:rsidRPr="00BE3A96">
        <w:t xml:space="preserve"> doi:</w:t>
      </w:r>
      <w:r w:rsidR="00BE3A96" w:rsidRPr="00BE3A96">
        <w:t xml:space="preserve"> </w:t>
      </w:r>
      <w:hyperlink r:id="rId132" w:history="1">
        <w:r w:rsidR="00BE3A96" w:rsidRPr="00BE3A96">
          <w:rPr>
            <w:rStyle w:val="Hyperlink"/>
          </w:rPr>
          <w:t>https://doi.org/10.1177/1087054712446813</w:t>
        </w:r>
      </w:hyperlink>
      <w:r w:rsidR="00BE3A96">
        <w:t xml:space="preserve"> </w:t>
      </w:r>
    </w:p>
  </w:endnote>
  <w:endnote w:id="147">
    <w:p w14:paraId="48AFBA94" w14:textId="61C6CFD2" w:rsidR="004E04E1" w:rsidRPr="00E273A5" w:rsidRDefault="004E04E1" w:rsidP="004C3828">
      <w:pPr>
        <w:pStyle w:val="EndnoteText"/>
        <w:jc w:val="left"/>
        <w:rPr>
          <w:highlight w:val="green"/>
        </w:rPr>
      </w:pPr>
      <w:r w:rsidRPr="00FD65CC">
        <w:rPr>
          <w:rStyle w:val="EndnoteReference"/>
        </w:rPr>
        <w:endnoteRef/>
      </w:r>
      <w:r w:rsidRPr="00FD65CC">
        <w:t xml:space="preserve"> Lithari, E. (2019). </w:t>
      </w:r>
      <w:r w:rsidR="00F86297" w:rsidRPr="00FD65CC">
        <w:t>‘</w:t>
      </w:r>
      <w:r w:rsidRPr="00FD65CC">
        <w:t>Fractured academic identities: Dyslexia, secondary education, self-esteem and school experiences</w:t>
      </w:r>
      <w:r w:rsidR="00F86297" w:rsidRPr="00FD65CC">
        <w:t>’,</w:t>
      </w:r>
      <w:r w:rsidRPr="00FD65CC">
        <w:t> </w:t>
      </w:r>
      <w:r w:rsidRPr="00E273A5">
        <w:rPr>
          <w:i/>
        </w:rPr>
        <w:t>International Journal of Inclusive Education</w:t>
      </w:r>
      <w:r w:rsidRPr="00E273A5">
        <w:t>, </w:t>
      </w:r>
      <w:r w:rsidRPr="00E273A5">
        <w:rPr>
          <w:iCs/>
        </w:rPr>
        <w:t>23</w:t>
      </w:r>
      <w:r w:rsidRPr="00E273A5">
        <w:t>(3),</w:t>
      </w:r>
      <w:r w:rsidR="00F86297" w:rsidRPr="00E273A5">
        <w:t xml:space="preserve"> pp.</w:t>
      </w:r>
      <w:r w:rsidRPr="00E273A5">
        <w:t>280-296.</w:t>
      </w:r>
      <w:r w:rsidR="00FD65CC" w:rsidRPr="00E273A5">
        <w:t xml:space="preserve"> doi: </w:t>
      </w:r>
      <w:hyperlink r:id="rId133" w:history="1">
        <w:r w:rsidR="00FD65CC" w:rsidRPr="00E273A5">
          <w:rPr>
            <w:rStyle w:val="Hyperlink"/>
          </w:rPr>
          <w:t>https://doi.org/10.1080/13603116.2018.1433242</w:t>
        </w:r>
      </w:hyperlink>
      <w:r w:rsidR="00FD65CC" w:rsidRPr="00E273A5">
        <w:t xml:space="preserve"> </w:t>
      </w:r>
    </w:p>
  </w:endnote>
  <w:endnote w:id="148">
    <w:p w14:paraId="18959363" w14:textId="709B3D28" w:rsidR="004E04E1" w:rsidRPr="00053374" w:rsidRDefault="004E04E1" w:rsidP="004C3828">
      <w:pPr>
        <w:pStyle w:val="EndnoteText"/>
        <w:jc w:val="left"/>
        <w:rPr>
          <w:highlight w:val="green"/>
          <w:lang w:val="en-US"/>
        </w:rPr>
      </w:pPr>
      <w:r w:rsidRPr="00B23872">
        <w:rPr>
          <w:rStyle w:val="EndnoteReference"/>
        </w:rPr>
        <w:endnoteRef/>
      </w:r>
      <w:r w:rsidRPr="00B23872">
        <w:rPr>
          <w:lang w:val="it-IT"/>
        </w:rPr>
        <w:t xml:space="preserve"> Alesi, M., Giordano, G., Ingoglia, S.</w:t>
      </w:r>
      <w:r w:rsidR="00A632CC" w:rsidRPr="00B23872">
        <w:rPr>
          <w:lang w:val="it-IT"/>
        </w:rPr>
        <w:t xml:space="preserve"> and</w:t>
      </w:r>
      <w:r w:rsidRPr="00B23872">
        <w:rPr>
          <w:lang w:val="it-IT"/>
        </w:rPr>
        <w:t xml:space="preserve"> Inguglia, C. (2024). </w:t>
      </w:r>
      <w:r w:rsidR="00A632CC" w:rsidRPr="00E273A5">
        <w:t>‘</w:t>
      </w:r>
      <w:r w:rsidRPr="00B23872">
        <w:t>The association among executive functions, academic motivation, anxiety and depression: a comparison between students with specific learning disabilities and undiagnosed peers</w:t>
      </w:r>
      <w:r w:rsidR="00A632CC" w:rsidRPr="00B23872">
        <w:t>’,</w:t>
      </w:r>
      <w:r w:rsidRPr="00B23872">
        <w:t> </w:t>
      </w:r>
      <w:r w:rsidRPr="00B23872">
        <w:rPr>
          <w:i/>
          <w:iCs/>
        </w:rPr>
        <w:t>European Journal of Special Needs Education</w:t>
      </w:r>
      <w:r w:rsidRPr="00B23872">
        <w:t>, 39(5),</w:t>
      </w:r>
      <w:r w:rsidR="00A632CC" w:rsidRPr="00B23872">
        <w:t xml:space="preserve"> pp.</w:t>
      </w:r>
      <w:r w:rsidRPr="00B23872">
        <w:t>805-819.</w:t>
      </w:r>
      <w:r w:rsidR="00B23872" w:rsidRPr="00B23872">
        <w:t xml:space="preserve"> doi: </w:t>
      </w:r>
      <w:hyperlink r:id="rId134" w:history="1">
        <w:r w:rsidR="00B23872" w:rsidRPr="00B23872">
          <w:rPr>
            <w:rStyle w:val="Hyperlink"/>
          </w:rPr>
          <w:t>https://doi.org/10.1080/08856257.2023.2300172</w:t>
        </w:r>
      </w:hyperlink>
      <w:r w:rsidR="00B23872">
        <w:t xml:space="preserve"> </w:t>
      </w:r>
    </w:p>
  </w:endnote>
  <w:endnote w:id="149">
    <w:p w14:paraId="3D440BB7" w14:textId="5C8F16BB" w:rsidR="004E04E1" w:rsidRPr="00053374" w:rsidRDefault="004E04E1" w:rsidP="004C3828">
      <w:pPr>
        <w:pStyle w:val="EndnoteText"/>
        <w:jc w:val="left"/>
        <w:rPr>
          <w:highlight w:val="green"/>
          <w:lang w:val="en-US"/>
        </w:rPr>
      </w:pPr>
      <w:r w:rsidRPr="00DA28C8">
        <w:rPr>
          <w:rStyle w:val="EndnoteReference"/>
        </w:rPr>
        <w:endnoteRef/>
      </w:r>
      <w:r w:rsidRPr="00DA28C8">
        <w:t xml:space="preserve"> Mishra, R.</w:t>
      </w:r>
      <w:r w:rsidR="0099430A" w:rsidRPr="00DA28C8">
        <w:t xml:space="preserve"> and</w:t>
      </w:r>
      <w:r w:rsidRPr="00DA28C8">
        <w:t xml:space="preserve"> Mohan, A. (2016). </w:t>
      </w:r>
      <w:r w:rsidR="0099430A" w:rsidRPr="00DA28C8">
        <w:t>‘</w:t>
      </w:r>
      <w:r w:rsidRPr="00DA28C8">
        <w:t>Developments in effective teaching strategies for students with dyslexia: A review of literature and research</w:t>
      </w:r>
      <w:r w:rsidR="0099430A" w:rsidRPr="00DA28C8">
        <w:t>’,</w:t>
      </w:r>
      <w:r w:rsidRPr="00DA28C8">
        <w:t> </w:t>
      </w:r>
      <w:r w:rsidRPr="00DA28C8">
        <w:rPr>
          <w:i/>
          <w:iCs/>
        </w:rPr>
        <w:t>International Journal of Applied Research</w:t>
      </w:r>
      <w:r w:rsidRPr="00DA28C8">
        <w:t>, 2(6),</w:t>
      </w:r>
      <w:r w:rsidR="0099430A" w:rsidRPr="00DA28C8">
        <w:t xml:space="preserve"> pp.</w:t>
      </w:r>
      <w:r w:rsidRPr="00DA28C8">
        <w:t>206-209.</w:t>
      </w:r>
    </w:p>
  </w:endnote>
  <w:endnote w:id="150">
    <w:p w14:paraId="768241A5" w14:textId="3DA6F1B4" w:rsidR="004E04E1" w:rsidRPr="00053374" w:rsidRDefault="004E04E1" w:rsidP="004C3828">
      <w:pPr>
        <w:pStyle w:val="EndnoteText"/>
        <w:jc w:val="left"/>
        <w:rPr>
          <w:highlight w:val="green"/>
          <w:lang w:val="en-US"/>
        </w:rPr>
      </w:pPr>
      <w:r w:rsidRPr="0024073F">
        <w:rPr>
          <w:rStyle w:val="EndnoteReference"/>
        </w:rPr>
        <w:endnoteRef/>
      </w:r>
      <w:r w:rsidRPr="0024073F">
        <w:t xml:space="preserve"> Brunswick, N., Wilson, N. J., Kruger, I., Chamberlain, R.</w:t>
      </w:r>
      <w:r w:rsidR="00DA28C8" w:rsidRPr="0024073F">
        <w:t xml:space="preserve"> and</w:t>
      </w:r>
      <w:r w:rsidRPr="0024073F">
        <w:t xml:space="preserve"> McManus, I. C. (2025). </w:t>
      </w:r>
      <w:r w:rsidR="008F4ACD" w:rsidRPr="0024073F">
        <w:t>‘</w:t>
      </w:r>
      <w:r w:rsidRPr="0024073F">
        <w:t>The prevalence of Specific Learning Difficulties in Higher Education: A study of UK Universities across 12 academic years</w:t>
      </w:r>
      <w:r w:rsidR="008F4ACD" w:rsidRPr="0024073F">
        <w:t>’,</w:t>
      </w:r>
      <w:r w:rsidRPr="0024073F">
        <w:t> </w:t>
      </w:r>
      <w:r w:rsidRPr="0024073F">
        <w:rPr>
          <w:i/>
          <w:iCs/>
        </w:rPr>
        <w:t>Journal of Learning Disabilities</w:t>
      </w:r>
      <w:r w:rsidRPr="0024073F">
        <w:t>, 58(3),</w:t>
      </w:r>
      <w:r w:rsidR="008F4ACD" w:rsidRPr="0024073F">
        <w:t xml:space="preserve"> pp.</w:t>
      </w:r>
      <w:r w:rsidRPr="0024073F">
        <w:t>179-191.</w:t>
      </w:r>
      <w:r w:rsidR="0024073F" w:rsidRPr="0024073F">
        <w:t xml:space="preserve"> doi: </w:t>
      </w:r>
      <w:hyperlink r:id="rId135" w:history="1">
        <w:r w:rsidR="0024073F" w:rsidRPr="0024073F">
          <w:rPr>
            <w:rStyle w:val="Hyperlink"/>
          </w:rPr>
          <w:t>https://doi.org/10.1177/00222194241281479</w:t>
        </w:r>
      </w:hyperlink>
      <w:r w:rsidR="0024073F">
        <w:t xml:space="preserve"> </w:t>
      </w:r>
    </w:p>
  </w:endnote>
  <w:endnote w:id="151">
    <w:p w14:paraId="7E1D52CB" w14:textId="405EFC06" w:rsidR="004E04E1" w:rsidRPr="00973F27" w:rsidRDefault="004E04E1" w:rsidP="004C3828">
      <w:pPr>
        <w:pStyle w:val="EndnoteText"/>
        <w:jc w:val="left"/>
        <w:rPr>
          <w:lang w:val="en-US"/>
        </w:rPr>
      </w:pPr>
      <w:r w:rsidRPr="00331A79">
        <w:rPr>
          <w:rStyle w:val="EndnoteReference"/>
        </w:rPr>
        <w:endnoteRef/>
      </w:r>
      <w:r w:rsidRPr="00476C25">
        <w:rPr>
          <w:lang w:val="it-IT"/>
        </w:rPr>
        <w:t xml:space="preserve"> Matteucci, M. C.</w:t>
      </w:r>
      <w:r w:rsidR="002743F6" w:rsidRPr="00476C25">
        <w:rPr>
          <w:lang w:val="it-IT"/>
        </w:rPr>
        <w:t xml:space="preserve"> and</w:t>
      </w:r>
      <w:r w:rsidRPr="00476C25">
        <w:rPr>
          <w:lang w:val="it-IT"/>
        </w:rPr>
        <w:t xml:space="preserve"> Soncini, A. (2021). </w:t>
      </w:r>
      <w:r w:rsidR="002743F6" w:rsidRPr="00331A79">
        <w:t>‘</w:t>
      </w:r>
      <w:r w:rsidRPr="00331A79">
        <w:t>Self-efficacy and psychological well-being in a sample of Italian university students with and without Specific Learning Disorder</w:t>
      </w:r>
      <w:r w:rsidR="002743F6" w:rsidRPr="00331A79">
        <w:t>’,</w:t>
      </w:r>
      <w:r w:rsidRPr="00331A79">
        <w:t> </w:t>
      </w:r>
      <w:r w:rsidRPr="00331A79">
        <w:rPr>
          <w:i/>
          <w:iCs/>
        </w:rPr>
        <w:t>Research in Developmental Disabilities</w:t>
      </w:r>
      <w:r w:rsidRPr="00331A79">
        <w:t xml:space="preserve">, 110, </w:t>
      </w:r>
      <w:r w:rsidR="002743F6" w:rsidRPr="00331A79">
        <w:t>p.</w:t>
      </w:r>
      <w:r w:rsidRPr="00331A79">
        <w:t>103858.</w:t>
      </w:r>
      <w:r w:rsidR="002743F6" w:rsidRPr="00331A79">
        <w:t xml:space="preserve"> </w:t>
      </w:r>
      <w:r w:rsidR="00331A79" w:rsidRPr="00973F27">
        <w:t xml:space="preserve">doi: </w:t>
      </w:r>
      <w:hyperlink r:id="rId136" w:history="1">
        <w:r w:rsidR="00331A79" w:rsidRPr="00973F27">
          <w:rPr>
            <w:rStyle w:val="Hyperlink"/>
          </w:rPr>
          <w:t>https://doi.org/10.1016/j.ridd.2021.103858</w:t>
        </w:r>
      </w:hyperlink>
      <w:r w:rsidR="00331A79" w:rsidRPr="00973F27">
        <w:t xml:space="preserve"> </w:t>
      </w:r>
    </w:p>
  </w:endnote>
  <w:endnote w:id="152">
    <w:p w14:paraId="45DE2C36" w14:textId="7CF67499" w:rsidR="004E04E1" w:rsidRPr="00053374" w:rsidRDefault="004E04E1" w:rsidP="004C3828">
      <w:pPr>
        <w:pStyle w:val="EndnoteText"/>
        <w:jc w:val="left"/>
        <w:rPr>
          <w:highlight w:val="green"/>
          <w:lang w:val="en-US"/>
        </w:rPr>
      </w:pPr>
      <w:r w:rsidRPr="00E57988">
        <w:rPr>
          <w:rStyle w:val="EndnoteReference"/>
        </w:rPr>
        <w:endnoteRef/>
      </w:r>
      <w:r w:rsidRPr="00E57988">
        <w:t xml:space="preserve"> Sewell, A. (2022). </w:t>
      </w:r>
      <w:r w:rsidR="007C4D90" w:rsidRPr="00E57988">
        <w:t>‘</w:t>
      </w:r>
      <w:r w:rsidRPr="00E57988">
        <w:t>Understanding and supporting learners with specific learning difficulties from a neurodiversity perspective: A narrative synthesis</w:t>
      </w:r>
      <w:r w:rsidR="007C4D90" w:rsidRPr="00E57988">
        <w:t>’,</w:t>
      </w:r>
      <w:r w:rsidRPr="00E57988">
        <w:t> </w:t>
      </w:r>
      <w:r w:rsidRPr="00E57988">
        <w:rPr>
          <w:i/>
          <w:iCs/>
        </w:rPr>
        <w:t>British Journal of Special Education</w:t>
      </w:r>
      <w:r w:rsidRPr="00E57988">
        <w:t xml:space="preserve">, 49(4), </w:t>
      </w:r>
      <w:r w:rsidR="007C4D90" w:rsidRPr="00E57988">
        <w:t>pp.</w:t>
      </w:r>
      <w:r w:rsidRPr="00E57988">
        <w:t>539-560.</w:t>
      </w:r>
      <w:r w:rsidR="00E57988" w:rsidRPr="00E57988">
        <w:t xml:space="preserve"> doi: </w:t>
      </w:r>
      <w:hyperlink r:id="rId137" w:history="1">
        <w:r w:rsidR="00E57988" w:rsidRPr="00E57988">
          <w:rPr>
            <w:rStyle w:val="Hyperlink"/>
          </w:rPr>
          <w:t>https://doi.org/10.1111/1467-8578.12422</w:t>
        </w:r>
      </w:hyperlink>
      <w:r w:rsidR="00E57988">
        <w:t xml:space="preserve"> </w:t>
      </w:r>
    </w:p>
  </w:endnote>
  <w:endnote w:id="153">
    <w:p w14:paraId="7752F552" w14:textId="0223714B" w:rsidR="004E04E1" w:rsidRPr="009266D4" w:rsidRDefault="004E04E1" w:rsidP="004C3828">
      <w:pPr>
        <w:pStyle w:val="EndnoteText"/>
        <w:jc w:val="left"/>
        <w:rPr>
          <w:lang w:val="en-US"/>
        </w:rPr>
      </w:pPr>
      <w:r w:rsidRPr="00830034">
        <w:rPr>
          <w:rStyle w:val="EndnoteReference"/>
        </w:rPr>
        <w:endnoteRef/>
      </w:r>
      <w:r w:rsidRPr="00830034">
        <w:t xml:space="preserve"> </w:t>
      </w:r>
      <w:r w:rsidRPr="009266D4">
        <w:t>Rolka, E. J.</w:t>
      </w:r>
      <w:r w:rsidR="00C86D05" w:rsidRPr="009266D4">
        <w:t xml:space="preserve"> and</w:t>
      </w:r>
      <w:r w:rsidRPr="009266D4">
        <w:t xml:space="preserve"> Silverman, M. J. (2015). </w:t>
      </w:r>
      <w:r w:rsidR="00C86D05" w:rsidRPr="009266D4">
        <w:t>‘</w:t>
      </w:r>
      <w:r w:rsidRPr="009266D4">
        <w:t>A systematic review of music and dyslexia</w:t>
      </w:r>
      <w:r w:rsidR="00C86D05" w:rsidRPr="009266D4">
        <w:t>’,</w:t>
      </w:r>
      <w:r w:rsidRPr="009266D4">
        <w:t> </w:t>
      </w:r>
      <w:r w:rsidRPr="009266D4">
        <w:rPr>
          <w:i/>
          <w:iCs/>
        </w:rPr>
        <w:t>The Arts in Psychotherapy</w:t>
      </w:r>
      <w:r w:rsidRPr="009266D4">
        <w:t>, 46,</w:t>
      </w:r>
      <w:r w:rsidR="00C86D05" w:rsidRPr="009266D4">
        <w:t xml:space="preserve"> pp.</w:t>
      </w:r>
      <w:r w:rsidRPr="009266D4">
        <w:t>24-32.</w:t>
      </w:r>
      <w:r w:rsidR="00830034" w:rsidRPr="009266D4">
        <w:t xml:space="preserve"> doi: </w:t>
      </w:r>
      <w:hyperlink r:id="rId138" w:history="1">
        <w:r w:rsidR="00830034" w:rsidRPr="009266D4">
          <w:rPr>
            <w:rStyle w:val="Hyperlink"/>
          </w:rPr>
          <w:t>https://doi.org/10.1016/j.aip.2015.09.002</w:t>
        </w:r>
      </w:hyperlink>
      <w:r w:rsidR="00830034" w:rsidRPr="009266D4">
        <w:t xml:space="preserve"> </w:t>
      </w:r>
    </w:p>
  </w:endnote>
  <w:endnote w:id="154">
    <w:p w14:paraId="449A4599" w14:textId="6053A122" w:rsidR="004E04E1" w:rsidRPr="00053374" w:rsidRDefault="004E04E1" w:rsidP="004C3828">
      <w:pPr>
        <w:pStyle w:val="EndnoteText"/>
        <w:jc w:val="left"/>
        <w:rPr>
          <w:highlight w:val="green"/>
          <w:lang w:val="en-US"/>
        </w:rPr>
      </w:pPr>
      <w:r w:rsidRPr="009266D4">
        <w:rPr>
          <w:rStyle w:val="EndnoteReference"/>
        </w:rPr>
        <w:endnoteRef/>
      </w:r>
      <w:r w:rsidRPr="00E273A5">
        <w:rPr>
          <w:lang w:val="it-IT"/>
        </w:rPr>
        <w:t xml:space="preserve"> Benavides-Varela, S., Callegher, C. Z., Fagiolini, B., Leo, I., Altoè, G.</w:t>
      </w:r>
      <w:r w:rsidR="00861C17" w:rsidRPr="00E273A5">
        <w:rPr>
          <w:lang w:val="it-IT"/>
        </w:rPr>
        <w:t xml:space="preserve"> and</w:t>
      </w:r>
      <w:r w:rsidRPr="00E273A5">
        <w:rPr>
          <w:lang w:val="it-IT"/>
        </w:rPr>
        <w:t xml:space="preserve"> Lucangeli, D. (2020). </w:t>
      </w:r>
      <w:r w:rsidR="00861C17" w:rsidRPr="009266D4">
        <w:t>‘</w:t>
      </w:r>
      <w:r w:rsidRPr="009266D4">
        <w:t>Effectiveness of digital-based interventions for children with mathematical learning difficulties: A meta-analysis</w:t>
      </w:r>
      <w:r w:rsidR="00861C17" w:rsidRPr="009266D4">
        <w:t>’,</w:t>
      </w:r>
      <w:r w:rsidRPr="009266D4">
        <w:t> </w:t>
      </w:r>
      <w:r w:rsidRPr="009266D4">
        <w:rPr>
          <w:i/>
          <w:iCs/>
        </w:rPr>
        <w:t>Computers &amp; Education</w:t>
      </w:r>
      <w:r w:rsidRPr="009266D4">
        <w:t xml:space="preserve">, 157, </w:t>
      </w:r>
      <w:r w:rsidR="003B3055" w:rsidRPr="009266D4">
        <w:t>p.</w:t>
      </w:r>
      <w:r w:rsidRPr="009266D4">
        <w:t>103953.</w:t>
      </w:r>
      <w:r w:rsidR="009266D4" w:rsidRPr="009266D4">
        <w:t xml:space="preserve"> doi: </w:t>
      </w:r>
      <w:hyperlink r:id="rId139" w:history="1">
        <w:r w:rsidR="009266D4" w:rsidRPr="009266D4">
          <w:rPr>
            <w:rStyle w:val="Hyperlink"/>
          </w:rPr>
          <w:t>https://doi.org/10.1016/j.compedu.2020.103953</w:t>
        </w:r>
      </w:hyperlink>
      <w:r w:rsidR="009266D4">
        <w:t xml:space="preserve"> </w:t>
      </w:r>
    </w:p>
  </w:endnote>
  <w:endnote w:id="155">
    <w:p w14:paraId="6D6CCD54" w14:textId="4302E117" w:rsidR="004E04E1" w:rsidRPr="00053374" w:rsidRDefault="004E04E1" w:rsidP="004C3828">
      <w:pPr>
        <w:pStyle w:val="EndnoteText"/>
        <w:jc w:val="left"/>
        <w:rPr>
          <w:highlight w:val="green"/>
          <w:lang w:val="en-US"/>
        </w:rPr>
      </w:pPr>
      <w:r w:rsidRPr="001101DA">
        <w:rPr>
          <w:rStyle w:val="EndnoteReference"/>
        </w:rPr>
        <w:endnoteRef/>
      </w:r>
      <w:r w:rsidRPr="001101DA">
        <w:t xml:space="preserve"> Yaacob, H., Zakariya, N. Z.</w:t>
      </w:r>
      <w:r w:rsidR="00D12462" w:rsidRPr="001101DA">
        <w:t xml:space="preserve"> and</w:t>
      </w:r>
      <w:r w:rsidRPr="001101DA">
        <w:t xml:space="preserve"> Rashid, S. M. (2024). </w:t>
      </w:r>
      <w:r w:rsidR="008A6C28">
        <w:t>‘</w:t>
      </w:r>
      <w:r w:rsidRPr="001101DA">
        <w:t>Technology-based Interventions for Dyslexic Children: A Systematic Literature Review (SLR)</w:t>
      </w:r>
      <w:r w:rsidR="008A6C28">
        <w:t>’,</w:t>
      </w:r>
      <w:r w:rsidRPr="001101DA">
        <w:t> </w:t>
      </w:r>
      <w:r w:rsidRPr="001101DA">
        <w:rPr>
          <w:i/>
          <w:iCs/>
        </w:rPr>
        <w:t>Int</w:t>
      </w:r>
      <w:r w:rsidR="001A5656" w:rsidRPr="001101DA">
        <w:rPr>
          <w:i/>
          <w:iCs/>
        </w:rPr>
        <w:t>ernational</w:t>
      </w:r>
      <w:r w:rsidRPr="001101DA">
        <w:rPr>
          <w:i/>
          <w:iCs/>
        </w:rPr>
        <w:t xml:space="preserve"> J</w:t>
      </w:r>
      <w:r w:rsidR="001A5656" w:rsidRPr="001101DA">
        <w:rPr>
          <w:i/>
          <w:iCs/>
        </w:rPr>
        <w:t>ournal of</w:t>
      </w:r>
      <w:r w:rsidRPr="001101DA">
        <w:rPr>
          <w:i/>
          <w:iCs/>
        </w:rPr>
        <w:t xml:space="preserve"> Acad</w:t>
      </w:r>
      <w:r w:rsidR="001A5656" w:rsidRPr="001101DA">
        <w:rPr>
          <w:i/>
          <w:iCs/>
        </w:rPr>
        <w:t>emic</w:t>
      </w:r>
      <w:r w:rsidRPr="001101DA">
        <w:rPr>
          <w:i/>
          <w:iCs/>
        </w:rPr>
        <w:t xml:space="preserve"> Res</w:t>
      </w:r>
      <w:r w:rsidR="001A5656" w:rsidRPr="001101DA">
        <w:rPr>
          <w:i/>
          <w:iCs/>
        </w:rPr>
        <w:t>earch in</w:t>
      </w:r>
      <w:r w:rsidRPr="001101DA">
        <w:rPr>
          <w:i/>
          <w:iCs/>
        </w:rPr>
        <w:t xml:space="preserve"> Bus</w:t>
      </w:r>
      <w:r w:rsidR="001A5656" w:rsidRPr="001101DA">
        <w:rPr>
          <w:i/>
          <w:iCs/>
        </w:rPr>
        <w:t xml:space="preserve">iness and </w:t>
      </w:r>
      <w:r w:rsidRPr="001101DA">
        <w:rPr>
          <w:i/>
          <w:iCs/>
        </w:rPr>
        <w:t>Soc</w:t>
      </w:r>
      <w:r w:rsidR="001A5656" w:rsidRPr="001101DA">
        <w:rPr>
          <w:i/>
          <w:iCs/>
        </w:rPr>
        <w:t>ial Sciences</w:t>
      </w:r>
      <w:r w:rsidRPr="001101DA">
        <w:t>, 14(2).</w:t>
      </w:r>
      <w:r w:rsidR="001101DA" w:rsidRPr="001101DA">
        <w:t xml:space="preserve"> doi: </w:t>
      </w:r>
      <w:hyperlink r:id="rId140" w:history="1">
        <w:r w:rsidR="001101DA" w:rsidRPr="001101DA">
          <w:rPr>
            <w:rStyle w:val="Hyperlink"/>
          </w:rPr>
          <w:t>http://doi.org/10.6007/IJARBSS/v14-i2/20826</w:t>
        </w:r>
      </w:hyperlink>
      <w:r w:rsidR="001101DA">
        <w:t xml:space="preserve"> </w:t>
      </w:r>
    </w:p>
  </w:endnote>
  <w:endnote w:id="156">
    <w:p w14:paraId="7FE07D87" w14:textId="2FEA8933" w:rsidR="00083F56" w:rsidRPr="00293C95" w:rsidRDefault="00083F56">
      <w:pPr>
        <w:pStyle w:val="EndnoteText"/>
        <w:rPr>
          <w:lang w:val="en-US"/>
        </w:rPr>
      </w:pPr>
      <w:r>
        <w:rPr>
          <w:rStyle w:val="EndnoteReference"/>
        </w:rPr>
        <w:endnoteRef/>
      </w:r>
      <w:r w:rsidRPr="00293C95">
        <w:rPr>
          <w:lang w:val="it-IT"/>
        </w:rPr>
        <w:t xml:space="preserve"> Bonifacci, P., Colombini, E., Marzocchi, M., Tobia, V., </w:t>
      </w:r>
      <w:r w:rsidR="00DC503C" w:rsidRPr="00293C95">
        <w:rPr>
          <w:lang w:val="it-IT"/>
        </w:rPr>
        <w:t>and</w:t>
      </w:r>
      <w:r w:rsidRPr="00293C95">
        <w:rPr>
          <w:lang w:val="it-IT"/>
        </w:rPr>
        <w:t xml:space="preserve"> Desideri, L. (2022). </w:t>
      </w:r>
      <w:r>
        <w:t>‘</w:t>
      </w:r>
      <w:r w:rsidRPr="00083F56">
        <w:t>Text‐to‐speech applications to reduce mind wandering in students with dyslexia</w:t>
      </w:r>
      <w:r w:rsidR="00DC503C">
        <w:t>’,</w:t>
      </w:r>
      <w:r w:rsidRPr="00083F56">
        <w:t> </w:t>
      </w:r>
      <w:r w:rsidRPr="00083F56">
        <w:rPr>
          <w:i/>
          <w:iCs/>
        </w:rPr>
        <w:t>Journal of Computer Assisted Learning</w:t>
      </w:r>
      <w:r w:rsidRPr="00083F56">
        <w:t>, </w:t>
      </w:r>
      <w:r w:rsidRPr="00293C95">
        <w:t>38</w:t>
      </w:r>
      <w:r w:rsidRPr="00083F56">
        <w:t>(2),</w:t>
      </w:r>
      <w:r w:rsidR="00DC503C">
        <w:t xml:space="preserve"> pp.</w:t>
      </w:r>
      <w:r w:rsidRPr="00083F56">
        <w:t>440-454.</w:t>
      </w:r>
      <w:r w:rsidR="00DC503C">
        <w:t xml:space="preserve"> doi: </w:t>
      </w:r>
      <w:hyperlink r:id="rId141" w:history="1">
        <w:r w:rsidR="00381D00" w:rsidRPr="00993C17">
          <w:rPr>
            <w:rStyle w:val="Hyperlink"/>
          </w:rPr>
          <w:t>https://doi.org/10.1111/jcal.12624</w:t>
        </w:r>
      </w:hyperlink>
      <w:r w:rsidR="00381D00">
        <w:t xml:space="preserve"> </w:t>
      </w:r>
    </w:p>
  </w:endnote>
  <w:endnote w:id="157">
    <w:p w14:paraId="020E0C0D" w14:textId="697C0D06" w:rsidR="004E04E1" w:rsidRPr="00053374" w:rsidRDefault="004E04E1" w:rsidP="004C3828">
      <w:pPr>
        <w:pStyle w:val="EndnoteText"/>
        <w:jc w:val="left"/>
        <w:rPr>
          <w:highlight w:val="green"/>
          <w:lang w:val="en-US"/>
        </w:rPr>
      </w:pPr>
      <w:r w:rsidRPr="00FF5E6B">
        <w:rPr>
          <w:rStyle w:val="EndnoteReference"/>
        </w:rPr>
        <w:endnoteRef/>
      </w:r>
      <w:r w:rsidRPr="00FF5E6B">
        <w:t xml:space="preserve"> Bray, L., Skubik-Peplaski, C.</w:t>
      </w:r>
      <w:r w:rsidR="008A6C28" w:rsidRPr="00FF5E6B">
        <w:t xml:space="preserve"> and</w:t>
      </w:r>
      <w:r w:rsidRPr="00FF5E6B">
        <w:t xml:space="preserve"> Ackerman, K. B. (2021). </w:t>
      </w:r>
      <w:r w:rsidR="008A6C28" w:rsidRPr="00FF5E6B">
        <w:t>‘</w:t>
      </w:r>
      <w:r w:rsidRPr="00FF5E6B">
        <w:t>A systematic review of the effectiveness of interventions to improve handwriting and spelling in children with specific learning disabilities</w:t>
      </w:r>
      <w:r w:rsidR="008A6C28" w:rsidRPr="00FF5E6B">
        <w:t>’,</w:t>
      </w:r>
      <w:r w:rsidRPr="00FF5E6B">
        <w:t> </w:t>
      </w:r>
      <w:r w:rsidRPr="00FF5E6B">
        <w:rPr>
          <w:i/>
          <w:iCs/>
        </w:rPr>
        <w:t>Journal of Occupational Therapy, Schools, &amp; Early Intervention</w:t>
      </w:r>
      <w:r w:rsidRPr="00FF5E6B">
        <w:t xml:space="preserve">, 14(4), </w:t>
      </w:r>
      <w:r w:rsidR="008A6C28" w:rsidRPr="00FF5E6B">
        <w:t>pp.</w:t>
      </w:r>
      <w:r w:rsidRPr="00FF5E6B">
        <w:t>437-465.</w:t>
      </w:r>
      <w:r w:rsidR="001C684B" w:rsidRPr="00FF5E6B">
        <w:t xml:space="preserve"> doi: </w:t>
      </w:r>
      <w:hyperlink r:id="rId142" w:history="1">
        <w:r w:rsidR="00FF5E6B" w:rsidRPr="00FF5E6B">
          <w:rPr>
            <w:rStyle w:val="Hyperlink"/>
          </w:rPr>
          <w:t>https://doi.org/10.1080/19411243.2021.1934227</w:t>
        </w:r>
      </w:hyperlink>
      <w:r w:rsidR="00FF5E6B">
        <w:t xml:space="preserve"> </w:t>
      </w:r>
    </w:p>
  </w:endnote>
  <w:endnote w:id="158">
    <w:p w14:paraId="6FF0FE00" w14:textId="766F4699" w:rsidR="004E04E1" w:rsidRPr="00053374" w:rsidRDefault="004E04E1" w:rsidP="004C3828">
      <w:pPr>
        <w:pStyle w:val="EndnoteText"/>
        <w:jc w:val="left"/>
        <w:rPr>
          <w:highlight w:val="green"/>
          <w:lang w:val="en-US"/>
        </w:rPr>
      </w:pPr>
      <w:r w:rsidRPr="00A726F3">
        <w:rPr>
          <w:rStyle w:val="EndnoteReference"/>
        </w:rPr>
        <w:endnoteRef/>
      </w:r>
      <w:r w:rsidRPr="00A726F3">
        <w:t xml:space="preserve"> Grigorenko, E. L., Compton, D. L., Fuchs, L. S., Wagner, R. K., Willcutt, E. G.</w:t>
      </w:r>
      <w:r w:rsidR="0019623E" w:rsidRPr="00A726F3">
        <w:t xml:space="preserve"> and</w:t>
      </w:r>
      <w:r w:rsidRPr="00A726F3">
        <w:t xml:space="preserve"> Fletcher, J. M. (2020). </w:t>
      </w:r>
      <w:r w:rsidR="0019623E" w:rsidRPr="00A726F3">
        <w:t>‘</w:t>
      </w:r>
      <w:r w:rsidRPr="00A726F3">
        <w:t>Understanding, educating, and supporting children with specific learning disabilities: 50 years of science and practice</w:t>
      </w:r>
      <w:r w:rsidR="0019623E" w:rsidRPr="00A726F3">
        <w:t>’,</w:t>
      </w:r>
      <w:r w:rsidRPr="00A726F3">
        <w:t> </w:t>
      </w:r>
      <w:r w:rsidRPr="00A726F3">
        <w:rPr>
          <w:i/>
          <w:iCs/>
        </w:rPr>
        <w:t xml:space="preserve">American </w:t>
      </w:r>
      <w:r w:rsidR="0019623E" w:rsidRPr="00A726F3">
        <w:rPr>
          <w:i/>
          <w:iCs/>
        </w:rPr>
        <w:t>P</w:t>
      </w:r>
      <w:r w:rsidRPr="00A726F3">
        <w:rPr>
          <w:i/>
          <w:iCs/>
        </w:rPr>
        <w:t>sychologist</w:t>
      </w:r>
      <w:r w:rsidRPr="00A726F3">
        <w:t xml:space="preserve">, 75(1), </w:t>
      </w:r>
      <w:r w:rsidR="0019623E" w:rsidRPr="00A726F3">
        <w:t>p.</w:t>
      </w:r>
      <w:r w:rsidRPr="00A726F3">
        <w:t>37.</w:t>
      </w:r>
      <w:r w:rsidR="002E774C" w:rsidRPr="00A726F3">
        <w:t xml:space="preserve"> doi: </w:t>
      </w:r>
      <w:hyperlink r:id="rId143" w:history="1">
        <w:r w:rsidR="00A726F3" w:rsidRPr="00A726F3">
          <w:rPr>
            <w:rStyle w:val="Hyperlink"/>
          </w:rPr>
          <w:t>https://doi.org/10.1037/amp0000452</w:t>
        </w:r>
      </w:hyperlink>
      <w:r w:rsidR="002E774C">
        <w:t xml:space="preserve"> </w:t>
      </w:r>
    </w:p>
  </w:endnote>
  <w:endnote w:id="159">
    <w:p w14:paraId="0B306495" w14:textId="319D85CB" w:rsidR="006964CC" w:rsidRPr="00053374" w:rsidRDefault="006964CC" w:rsidP="004C3828">
      <w:pPr>
        <w:pStyle w:val="EndnoteText"/>
        <w:jc w:val="left"/>
        <w:rPr>
          <w:highlight w:val="green"/>
          <w:lang w:val="en-US"/>
        </w:rPr>
      </w:pPr>
      <w:r w:rsidRPr="009077FE">
        <w:rPr>
          <w:rStyle w:val="EndnoteReference"/>
        </w:rPr>
        <w:endnoteRef/>
      </w:r>
      <w:r w:rsidRPr="009077FE">
        <w:t xml:space="preserve"> </w:t>
      </w:r>
      <w:r w:rsidRPr="009077FE">
        <w:rPr>
          <w:lang w:val="en-US"/>
        </w:rPr>
        <w:t>Family Hubs Tower Hamlets (n.d.)</w:t>
      </w:r>
      <w:r w:rsidR="00C20EC4" w:rsidRPr="009077FE">
        <w:rPr>
          <w:lang w:val="en-US"/>
        </w:rPr>
        <w:t>.</w:t>
      </w:r>
      <w:r w:rsidRPr="009077FE">
        <w:rPr>
          <w:lang w:val="en-US"/>
        </w:rPr>
        <w:t xml:space="preserve"> </w:t>
      </w:r>
      <w:r w:rsidRPr="009077FE">
        <w:rPr>
          <w:i/>
          <w:iCs/>
          <w:lang w:val="en-US"/>
        </w:rPr>
        <w:t xml:space="preserve">Mental Health Service. </w:t>
      </w:r>
      <w:r w:rsidRPr="009077FE">
        <w:rPr>
          <w:lang w:val="en-US"/>
        </w:rPr>
        <w:t xml:space="preserve">Available </w:t>
      </w:r>
      <w:r w:rsidR="00C20EC4" w:rsidRPr="009077FE">
        <w:rPr>
          <w:lang w:val="en-US"/>
        </w:rPr>
        <w:t>at</w:t>
      </w:r>
      <w:r w:rsidRPr="009077FE">
        <w:rPr>
          <w:lang w:val="en-US"/>
        </w:rPr>
        <w:t xml:space="preserve">: </w:t>
      </w:r>
      <w:hyperlink r:id="rId144" w:history="1">
        <w:r w:rsidR="0059131A" w:rsidRPr="009077FE">
          <w:rPr>
            <w:rStyle w:val="Hyperlink"/>
            <w:lang w:val="en-US"/>
          </w:rPr>
          <w:t>https://thfamilyhubs.co.uk/</w:t>
        </w:r>
      </w:hyperlink>
      <w:r w:rsidR="0059131A" w:rsidRPr="009077FE">
        <w:rPr>
          <w:lang w:val="en-US"/>
        </w:rPr>
        <w:t xml:space="preserve"> (Accessed 5 August 2025).</w:t>
      </w:r>
    </w:p>
  </w:endnote>
  <w:endnote w:id="160">
    <w:p w14:paraId="7A2FFC2E" w14:textId="3024CD01" w:rsidR="004E04E1" w:rsidRPr="00053374" w:rsidRDefault="004E04E1" w:rsidP="004C3828">
      <w:pPr>
        <w:pStyle w:val="EndnoteText"/>
        <w:jc w:val="left"/>
        <w:rPr>
          <w:highlight w:val="green"/>
        </w:rPr>
      </w:pPr>
      <w:r w:rsidRPr="00473E69">
        <w:rPr>
          <w:rStyle w:val="EndnoteReference"/>
        </w:rPr>
        <w:endnoteRef/>
      </w:r>
      <w:r w:rsidRPr="00473E69">
        <w:t xml:space="preserve"> Martin-Denham, S. (2021). </w:t>
      </w:r>
      <w:r w:rsidR="009077FE" w:rsidRPr="00473E69">
        <w:t>‘</w:t>
      </w:r>
      <w:r w:rsidRPr="00473E69">
        <w:t>Defining, identifying, and recognising underlying causes of social, emotional and mental health difficulties: thematic analysis of interviews with headteachers in England</w:t>
      </w:r>
      <w:r w:rsidR="009077FE" w:rsidRPr="00473E69">
        <w:t>’</w:t>
      </w:r>
      <w:r w:rsidRPr="00473E69">
        <w:t>. </w:t>
      </w:r>
      <w:r w:rsidRPr="00473E69">
        <w:rPr>
          <w:i/>
          <w:iCs/>
        </w:rPr>
        <w:t xml:space="preserve">Emotional and </w:t>
      </w:r>
      <w:r w:rsidR="009077FE" w:rsidRPr="00473E69">
        <w:rPr>
          <w:i/>
          <w:iCs/>
        </w:rPr>
        <w:t>B</w:t>
      </w:r>
      <w:r w:rsidRPr="00473E69">
        <w:rPr>
          <w:i/>
          <w:iCs/>
        </w:rPr>
        <w:t xml:space="preserve">ehavioural </w:t>
      </w:r>
      <w:r w:rsidR="009077FE" w:rsidRPr="00473E69">
        <w:rPr>
          <w:i/>
          <w:iCs/>
        </w:rPr>
        <w:t>D</w:t>
      </w:r>
      <w:r w:rsidRPr="00473E69">
        <w:rPr>
          <w:i/>
          <w:iCs/>
        </w:rPr>
        <w:t>ifficulties</w:t>
      </w:r>
      <w:r w:rsidRPr="00473E69">
        <w:t>, 26(2),</w:t>
      </w:r>
      <w:r w:rsidR="009077FE" w:rsidRPr="00473E69">
        <w:t xml:space="preserve"> pp.</w:t>
      </w:r>
      <w:r w:rsidRPr="00473E69">
        <w:t>187-205.</w:t>
      </w:r>
      <w:r w:rsidR="009077FE" w:rsidRPr="00473E69">
        <w:t xml:space="preserve"> </w:t>
      </w:r>
      <w:r w:rsidR="00473E69" w:rsidRPr="00473E69">
        <w:t xml:space="preserve">doi: </w:t>
      </w:r>
      <w:hyperlink r:id="rId145" w:history="1">
        <w:r w:rsidR="00473E69" w:rsidRPr="00473E69">
          <w:rPr>
            <w:rStyle w:val="Hyperlink"/>
          </w:rPr>
          <w:t>https://doi.org/10.1080/13632752.2021.1930909</w:t>
        </w:r>
      </w:hyperlink>
      <w:r w:rsidR="00473E69">
        <w:t xml:space="preserve"> </w:t>
      </w:r>
    </w:p>
  </w:endnote>
  <w:endnote w:id="161">
    <w:p w14:paraId="439E3EDC" w14:textId="13C07029" w:rsidR="004E04E1" w:rsidRPr="00053374" w:rsidRDefault="004E04E1" w:rsidP="004C3828">
      <w:pPr>
        <w:pStyle w:val="EndnoteText"/>
        <w:jc w:val="left"/>
        <w:rPr>
          <w:highlight w:val="green"/>
        </w:rPr>
      </w:pPr>
      <w:r w:rsidRPr="00110C8D">
        <w:rPr>
          <w:rStyle w:val="EndnoteReference"/>
        </w:rPr>
        <w:endnoteRef/>
      </w:r>
      <w:r w:rsidRPr="00110C8D">
        <w:t xml:space="preserve"> Children’s Commissioner (2022). </w:t>
      </w:r>
      <w:r w:rsidRPr="00110C8D">
        <w:rPr>
          <w:i/>
          <w:iCs/>
        </w:rPr>
        <w:t>Experiences of children with SEND: findings from a nationally representative survey</w:t>
      </w:r>
      <w:r w:rsidRPr="00110C8D">
        <w:t>.</w:t>
      </w:r>
      <w:r w:rsidR="00C15A81" w:rsidRPr="00110C8D">
        <w:t xml:space="preserve"> Available at:</w:t>
      </w:r>
      <w:r w:rsidRPr="00110C8D">
        <w:t xml:space="preserve"> </w:t>
      </w:r>
      <w:hyperlink r:id="rId146" w:history="1">
        <w:r w:rsidRPr="00110C8D">
          <w:rPr>
            <w:rStyle w:val="Hyperlink"/>
          </w:rPr>
          <w:t>https://assets.childrenscommissioner.gov.uk/wpuploads/2022/11/Annex-4-March-2021-survey-findings.pdf</w:t>
        </w:r>
      </w:hyperlink>
      <w:r w:rsidRPr="00110C8D">
        <w:t xml:space="preserve"> </w:t>
      </w:r>
      <w:r w:rsidR="00C15A81" w:rsidRPr="00110C8D">
        <w:rPr>
          <w:lang w:val="en-US"/>
        </w:rPr>
        <w:t>(Accessed 5 August 2025).</w:t>
      </w:r>
    </w:p>
  </w:endnote>
  <w:endnote w:id="162">
    <w:p w14:paraId="080DCDE2" w14:textId="20C3B9F7" w:rsidR="004E04E1" w:rsidRPr="006B3BE2" w:rsidRDefault="004E04E1" w:rsidP="004C3828">
      <w:pPr>
        <w:pStyle w:val="EndnoteText"/>
        <w:jc w:val="left"/>
      </w:pPr>
      <w:r w:rsidRPr="006B3BE2">
        <w:rPr>
          <w:rStyle w:val="EndnoteReference"/>
        </w:rPr>
        <w:endnoteRef/>
      </w:r>
      <w:r w:rsidRPr="006B3BE2">
        <w:rPr>
          <w:lang w:val="de-DE"/>
        </w:rPr>
        <w:t xml:space="preserve"> Morgül, E., Kallitsoglou, A.</w:t>
      </w:r>
      <w:r w:rsidR="00F41D93" w:rsidRPr="006B3BE2">
        <w:rPr>
          <w:lang w:val="de-DE"/>
        </w:rPr>
        <w:t xml:space="preserve"> and </w:t>
      </w:r>
      <w:r w:rsidRPr="006B3BE2">
        <w:rPr>
          <w:lang w:val="de-DE"/>
        </w:rPr>
        <w:t xml:space="preserve">Essau, C. (2024). </w:t>
      </w:r>
      <w:r w:rsidR="00F41D93" w:rsidRPr="00476C25">
        <w:t>‘</w:t>
      </w:r>
      <w:r w:rsidRPr="006B3BE2">
        <w:t>Experiences of mothers of children with and without Special Educational Needs (SEN) in England during the COVID-19 lockdowns: a qualitative study</w:t>
      </w:r>
      <w:r w:rsidR="00F41D93" w:rsidRPr="006B3BE2">
        <w:t>’</w:t>
      </w:r>
      <w:r w:rsidR="00B4583A" w:rsidRPr="006B3BE2">
        <w:t>,</w:t>
      </w:r>
      <w:r w:rsidRPr="006B3BE2">
        <w:t> </w:t>
      </w:r>
      <w:r w:rsidRPr="006B3BE2">
        <w:rPr>
          <w:i/>
          <w:iCs/>
        </w:rPr>
        <w:t>Current Psychology</w:t>
      </w:r>
      <w:r w:rsidRPr="006B3BE2">
        <w:t xml:space="preserve">, </w:t>
      </w:r>
      <w:r w:rsidR="002B49BF" w:rsidRPr="006B3BE2">
        <w:t xml:space="preserve">44, </w:t>
      </w:r>
      <w:r w:rsidR="00B4583A" w:rsidRPr="006B3BE2">
        <w:t>pp.</w:t>
      </w:r>
      <w:r w:rsidR="002B49BF" w:rsidRPr="006B3BE2">
        <w:t>7470</w:t>
      </w:r>
      <w:r w:rsidRPr="006B3BE2">
        <w:t>-</w:t>
      </w:r>
      <w:r w:rsidR="002B49BF" w:rsidRPr="006B3BE2">
        <w:t>7485</w:t>
      </w:r>
      <w:r w:rsidR="0000618E" w:rsidRPr="006B3BE2">
        <w:t xml:space="preserve">. doi: </w:t>
      </w:r>
      <w:hyperlink r:id="rId147" w:history="1">
        <w:r w:rsidR="00052A6C" w:rsidRPr="006B3BE2">
          <w:rPr>
            <w:rStyle w:val="Hyperlink"/>
          </w:rPr>
          <w:t>https://doi.org/10.1007/s12144-024-06954-x</w:t>
        </w:r>
      </w:hyperlink>
      <w:r w:rsidR="00052A6C" w:rsidRPr="006B3BE2">
        <w:t xml:space="preserve"> </w:t>
      </w:r>
    </w:p>
  </w:endnote>
  <w:endnote w:id="163">
    <w:p w14:paraId="346D0D39" w14:textId="567407D1" w:rsidR="004E04E1" w:rsidRPr="00053374" w:rsidRDefault="004E04E1" w:rsidP="004C3828">
      <w:pPr>
        <w:pStyle w:val="EndnoteText"/>
        <w:jc w:val="left"/>
        <w:rPr>
          <w:highlight w:val="green"/>
        </w:rPr>
      </w:pPr>
      <w:r w:rsidRPr="006B3BE2">
        <w:rPr>
          <w:rStyle w:val="EndnoteReference"/>
        </w:rPr>
        <w:endnoteRef/>
      </w:r>
      <w:r w:rsidRPr="006B3BE2">
        <w:t xml:space="preserve"> </w:t>
      </w:r>
      <w:r w:rsidR="00BF3D3F" w:rsidRPr="006B3BE2">
        <w:t xml:space="preserve">Lai, M.C., Kassee, C., Besney, R., Bonato, S., Hull, L., Mandy, W., Szatmari, P. and Ameis, S.H. (2019). </w:t>
      </w:r>
      <w:r w:rsidR="00304701" w:rsidRPr="006B3BE2">
        <w:t>‘</w:t>
      </w:r>
      <w:r w:rsidR="00BF3D3F" w:rsidRPr="006B3BE2">
        <w:t>Prevalence of co-occurring mental health diagnoses in the autism population: a systematic review and meta-analysis</w:t>
      </w:r>
      <w:r w:rsidR="00304701" w:rsidRPr="006B3BE2">
        <w:t>’,</w:t>
      </w:r>
      <w:r w:rsidR="00BF3D3F" w:rsidRPr="006B3BE2">
        <w:t> </w:t>
      </w:r>
      <w:r w:rsidR="00BF3D3F" w:rsidRPr="006B3BE2">
        <w:rPr>
          <w:i/>
          <w:iCs/>
        </w:rPr>
        <w:t>The Lancet Psychiatry</w:t>
      </w:r>
      <w:r w:rsidR="00BF3D3F" w:rsidRPr="006B3BE2">
        <w:t>, 6(10), pp.819-829.</w:t>
      </w:r>
    </w:p>
  </w:endnote>
  <w:endnote w:id="164">
    <w:p w14:paraId="56A1057E" w14:textId="0714130E" w:rsidR="004E04E1" w:rsidRPr="00053374" w:rsidRDefault="004E04E1" w:rsidP="004C3828">
      <w:pPr>
        <w:pStyle w:val="EndnoteText"/>
        <w:jc w:val="left"/>
        <w:rPr>
          <w:highlight w:val="green"/>
        </w:rPr>
      </w:pPr>
      <w:r w:rsidRPr="000A55F3">
        <w:rPr>
          <w:rStyle w:val="EndnoteReference"/>
        </w:rPr>
        <w:endnoteRef/>
      </w:r>
      <w:r w:rsidRPr="000A55F3">
        <w:t xml:space="preserve"> Sedgewick, F., Leppanen, J.</w:t>
      </w:r>
      <w:r w:rsidR="00301C96" w:rsidRPr="000A55F3">
        <w:t xml:space="preserve"> and</w:t>
      </w:r>
      <w:r w:rsidRPr="000A55F3">
        <w:t xml:space="preserve"> Tchanturia, K. (2020). </w:t>
      </w:r>
      <w:r w:rsidR="00301C96" w:rsidRPr="000A55F3">
        <w:t>‘</w:t>
      </w:r>
      <w:r w:rsidRPr="000A55F3">
        <w:t>Gender differences in mental health prevalence in autism</w:t>
      </w:r>
      <w:r w:rsidR="00301C96" w:rsidRPr="000A55F3">
        <w:t>’,</w:t>
      </w:r>
      <w:r w:rsidRPr="000A55F3">
        <w:t> </w:t>
      </w:r>
      <w:r w:rsidRPr="000A55F3">
        <w:rPr>
          <w:i/>
          <w:iCs/>
        </w:rPr>
        <w:t>Advances in Autism</w:t>
      </w:r>
      <w:r w:rsidRPr="000A55F3">
        <w:t xml:space="preserve">, 7(3), </w:t>
      </w:r>
      <w:r w:rsidR="00301C96" w:rsidRPr="000A55F3">
        <w:t>pp.</w:t>
      </w:r>
      <w:r w:rsidRPr="000A55F3">
        <w:t>208-224.</w:t>
      </w:r>
      <w:r w:rsidR="000A55F3" w:rsidRPr="000A55F3">
        <w:t xml:space="preserve"> doi: </w:t>
      </w:r>
      <w:hyperlink r:id="rId148" w:history="1">
        <w:r w:rsidR="000A55F3" w:rsidRPr="000A55F3">
          <w:rPr>
            <w:rStyle w:val="Hyperlink"/>
          </w:rPr>
          <w:t>https://doi.org/10.1108/AIA-01-2020-0007</w:t>
        </w:r>
      </w:hyperlink>
      <w:r w:rsidR="000A55F3">
        <w:t xml:space="preserve"> </w:t>
      </w:r>
    </w:p>
  </w:endnote>
  <w:endnote w:id="165">
    <w:p w14:paraId="7A5C9F0B" w14:textId="2704E45F" w:rsidR="004E04E1" w:rsidRPr="00D46CBD" w:rsidRDefault="004E04E1" w:rsidP="008C37D6">
      <w:pPr>
        <w:pStyle w:val="EndnoteText"/>
        <w:jc w:val="left"/>
      </w:pPr>
      <w:r w:rsidRPr="008C37D6">
        <w:rPr>
          <w:rStyle w:val="EndnoteReference"/>
        </w:rPr>
        <w:endnoteRef/>
      </w:r>
      <w:r w:rsidRPr="008C37D6">
        <w:t xml:space="preserve"> NHS Digital</w:t>
      </w:r>
      <w:r w:rsidR="006A43C8" w:rsidRPr="008C37D6">
        <w:t xml:space="preserve"> </w:t>
      </w:r>
      <w:r w:rsidRPr="008C37D6">
        <w:t>(2</w:t>
      </w:r>
      <w:r w:rsidR="006A43C8" w:rsidRPr="008C37D6">
        <w:t>025</w:t>
      </w:r>
      <w:r w:rsidRPr="008C37D6">
        <w:t xml:space="preserve">). </w:t>
      </w:r>
      <w:r w:rsidRPr="008C37D6">
        <w:rPr>
          <w:i/>
          <w:iCs/>
        </w:rPr>
        <w:t xml:space="preserve">Adult Psychiatric Morbidity Survey: Survey of Mental Health and Wellbeing, England, 2023/24. </w:t>
      </w:r>
      <w:r w:rsidRPr="008C37D6">
        <w:t xml:space="preserve">Available </w:t>
      </w:r>
      <w:r w:rsidR="000932A4" w:rsidRPr="008C37D6">
        <w:t>at</w:t>
      </w:r>
      <w:r w:rsidRPr="008C37D6">
        <w:t>:</w:t>
      </w:r>
      <w:r w:rsidR="008C37D6" w:rsidRPr="008C37D6">
        <w:t xml:space="preserve"> </w:t>
      </w:r>
      <w:hyperlink r:id="rId149" w:history="1">
        <w:r w:rsidR="008C37D6" w:rsidRPr="00D46CBD">
          <w:rPr>
            <w:rStyle w:val="Hyperlink"/>
          </w:rPr>
          <w:t>https://digital.nhs.uk/data-and-information/publications/statistical/adult-psychiatric-morbidity-survey/survey-of-mental-health-and-wellbeing-england-2023-24/attention-deficit-hyperactivity-disorder</w:t>
        </w:r>
      </w:hyperlink>
      <w:r w:rsidR="008C37D6" w:rsidRPr="00D46CBD">
        <w:t xml:space="preserve"> (Accessed: 5 August 2025).</w:t>
      </w:r>
    </w:p>
  </w:endnote>
  <w:endnote w:id="166">
    <w:p w14:paraId="4E4E54E4" w14:textId="6A917943" w:rsidR="004E04E1" w:rsidRPr="00053374" w:rsidRDefault="004E04E1" w:rsidP="004C3828">
      <w:pPr>
        <w:pStyle w:val="EndnoteText"/>
        <w:jc w:val="left"/>
        <w:rPr>
          <w:highlight w:val="green"/>
        </w:rPr>
      </w:pPr>
      <w:r w:rsidRPr="00D46CBD">
        <w:rPr>
          <w:rStyle w:val="EndnoteReference"/>
        </w:rPr>
        <w:endnoteRef/>
      </w:r>
      <w:r w:rsidRPr="00D46CBD">
        <w:t xml:space="preserve"> Song, J., Fogarty, K., Suk, R.</w:t>
      </w:r>
      <w:r w:rsidR="00EF51D4" w:rsidRPr="00D46CBD">
        <w:t xml:space="preserve"> and</w:t>
      </w:r>
      <w:r w:rsidRPr="00D46CBD">
        <w:t xml:space="preserve"> Gillen, M. (2021). </w:t>
      </w:r>
      <w:r w:rsidR="0003542D" w:rsidRPr="00D46CBD">
        <w:t>‘</w:t>
      </w:r>
      <w:r w:rsidRPr="00D46CBD">
        <w:t>Behavioral and mental health problems in adolescents with ADHD: Exploring the role of family resilience</w:t>
      </w:r>
      <w:r w:rsidR="0003542D" w:rsidRPr="00D46CBD">
        <w:t>’,</w:t>
      </w:r>
      <w:r w:rsidRPr="00D46CBD">
        <w:t> </w:t>
      </w:r>
      <w:r w:rsidRPr="00D46CBD">
        <w:rPr>
          <w:i/>
          <w:iCs/>
        </w:rPr>
        <w:t>Journal of Affective Disorders</w:t>
      </w:r>
      <w:r w:rsidRPr="00D46CBD">
        <w:t xml:space="preserve">, 294, </w:t>
      </w:r>
      <w:r w:rsidR="0003542D" w:rsidRPr="00D46CBD">
        <w:t>pp.</w:t>
      </w:r>
      <w:r w:rsidRPr="00D46CBD">
        <w:t>450-458.</w:t>
      </w:r>
      <w:r w:rsidR="00D46CBD" w:rsidRPr="00D46CBD">
        <w:t xml:space="preserve"> doi: </w:t>
      </w:r>
      <w:hyperlink r:id="rId150" w:history="1">
        <w:r w:rsidR="00D46CBD" w:rsidRPr="00D46CBD">
          <w:rPr>
            <w:rStyle w:val="Hyperlink"/>
          </w:rPr>
          <w:t>https://doi.org/10.1016/j.jad.2021.07.073</w:t>
        </w:r>
      </w:hyperlink>
      <w:r w:rsidR="00D46CBD">
        <w:t xml:space="preserve"> </w:t>
      </w:r>
    </w:p>
  </w:endnote>
  <w:endnote w:id="167">
    <w:p w14:paraId="2E1B9E3F" w14:textId="78F9C15B" w:rsidR="004E04E1" w:rsidRPr="00053374" w:rsidRDefault="004E04E1" w:rsidP="004C3828">
      <w:pPr>
        <w:pStyle w:val="EndnoteText"/>
        <w:jc w:val="left"/>
        <w:rPr>
          <w:highlight w:val="green"/>
        </w:rPr>
      </w:pPr>
      <w:r w:rsidRPr="00643EE8">
        <w:rPr>
          <w:rStyle w:val="EndnoteReference"/>
        </w:rPr>
        <w:endnoteRef/>
      </w:r>
      <w:r w:rsidRPr="00643EE8">
        <w:t xml:space="preserve"> Hancock, A., Northcott, S., Hobson, H.</w:t>
      </w:r>
      <w:r w:rsidR="00D46CBD" w:rsidRPr="00643EE8">
        <w:t xml:space="preserve"> and</w:t>
      </w:r>
      <w:r w:rsidRPr="00643EE8">
        <w:t xml:space="preserve"> Clarke, M. (2023). </w:t>
      </w:r>
      <w:r w:rsidR="00D46CBD" w:rsidRPr="00643EE8">
        <w:t>‘</w:t>
      </w:r>
      <w:r w:rsidRPr="00643EE8">
        <w:t>Speech, language and communication needs and mental health: the experiences of speech and language therapists and mental health professionals</w:t>
      </w:r>
      <w:r w:rsidR="00D46CBD" w:rsidRPr="00643EE8">
        <w:t>’,</w:t>
      </w:r>
      <w:r w:rsidRPr="00643EE8">
        <w:t> </w:t>
      </w:r>
      <w:r w:rsidRPr="00643EE8">
        <w:rPr>
          <w:i/>
          <w:iCs/>
        </w:rPr>
        <w:t xml:space="preserve">International </w:t>
      </w:r>
      <w:r w:rsidR="00643EE8">
        <w:rPr>
          <w:i/>
          <w:iCs/>
        </w:rPr>
        <w:t>J</w:t>
      </w:r>
      <w:r w:rsidRPr="00643EE8">
        <w:rPr>
          <w:i/>
          <w:iCs/>
        </w:rPr>
        <w:t xml:space="preserve">ournal of </w:t>
      </w:r>
      <w:r w:rsidR="00643EE8">
        <w:rPr>
          <w:i/>
          <w:iCs/>
        </w:rPr>
        <w:t>L</w:t>
      </w:r>
      <w:r w:rsidRPr="00643EE8">
        <w:rPr>
          <w:i/>
          <w:iCs/>
        </w:rPr>
        <w:t xml:space="preserve">anguage &amp; </w:t>
      </w:r>
      <w:r w:rsidR="00643EE8">
        <w:rPr>
          <w:i/>
          <w:iCs/>
        </w:rPr>
        <w:t>C</w:t>
      </w:r>
      <w:r w:rsidRPr="00643EE8">
        <w:rPr>
          <w:i/>
          <w:iCs/>
        </w:rPr>
        <w:t xml:space="preserve">ommunication </w:t>
      </w:r>
      <w:r w:rsidR="00643EE8">
        <w:rPr>
          <w:i/>
          <w:iCs/>
        </w:rPr>
        <w:t>D</w:t>
      </w:r>
      <w:r w:rsidRPr="00643EE8">
        <w:rPr>
          <w:i/>
          <w:iCs/>
        </w:rPr>
        <w:t>isorders</w:t>
      </w:r>
      <w:r w:rsidRPr="00643EE8">
        <w:t xml:space="preserve">, 58(1), </w:t>
      </w:r>
      <w:r w:rsidR="00D46CBD" w:rsidRPr="00643EE8">
        <w:t>pp.</w:t>
      </w:r>
      <w:r w:rsidRPr="00643EE8">
        <w:t>52-66.</w:t>
      </w:r>
      <w:r w:rsidR="00643EE8" w:rsidRPr="00643EE8">
        <w:t xml:space="preserve"> doi: </w:t>
      </w:r>
      <w:hyperlink r:id="rId151" w:history="1">
        <w:r w:rsidR="00643EE8" w:rsidRPr="00643EE8">
          <w:rPr>
            <w:rStyle w:val="Hyperlink"/>
          </w:rPr>
          <w:t>https://doi.org/10.1111/1460-6984.12767</w:t>
        </w:r>
      </w:hyperlink>
      <w:r w:rsidR="00643EE8">
        <w:t xml:space="preserve"> </w:t>
      </w:r>
    </w:p>
  </w:endnote>
  <w:endnote w:id="168">
    <w:p w14:paraId="76AC9AB2" w14:textId="05FEDCC0" w:rsidR="004E04E1" w:rsidRPr="00053374" w:rsidRDefault="004E04E1" w:rsidP="004C3828">
      <w:pPr>
        <w:pStyle w:val="EndnoteText"/>
        <w:jc w:val="left"/>
        <w:rPr>
          <w:highlight w:val="green"/>
        </w:rPr>
      </w:pPr>
      <w:r w:rsidRPr="0042773D">
        <w:rPr>
          <w:rStyle w:val="EndnoteReference"/>
        </w:rPr>
        <w:endnoteRef/>
      </w:r>
      <w:r w:rsidRPr="0042773D">
        <w:t xml:space="preserve"> Lyons, R.</w:t>
      </w:r>
      <w:r w:rsidR="001E09A8" w:rsidRPr="0042773D">
        <w:t xml:space="preserve"> and</w:t>
      </w:r>
      <w:r w:rsidRPr="0042773D">
        <w:t xml:space="preserve"> Roulstone, S. (2018). </w:t>
      </w:r>
      <w:r w:rsidR="001E09A8" w:rsidRPr="0042773D">
        <w:t>‘</w:t>
      </w:r>
      <w:r w:rsidRPr="0042773D">
        <w:t>Well-being and resilience in children with speech and language disorders</w:t>
      </w:r>
      <w:r w:rsidR="001E09A8" w:rsidRPr="0042773D">
        <w:t>’,</w:t>
      </w:r>
      <w:r w:rsidRPr="0042773D">
        <w:t> </w:t>
      </w:r>
      <w:r w:rsidRPr="0042773D">
        <w:rPr>
          <w:i/>
          <w:iCs/>
        </w:rPr>
        <w:t>Journal of Speech, Language, and Hearing Research</w:t>
      </w:r>
      <w:r w:rsidRPr="0042773D">
        <w:t xml:space="preserve">, 61(2), </w:t>
      </w:r>
      <w:r w:rsidR="001E09A8" w:rsidRPr="0042773D">
        <w:t>pp.</w:t>
      </w:r>
      <w:r w:rsidRPr="0042773D">
        <w:t>324-344.</w:t>
      </w:r>
      <w:r w:rsidR="0042773D" w:rsidRPr="0042773D">
        <w:t xml:space="preserve"> doi: </w:t>
      </w:r>
      <w:hyperlink r:id="rId152" w:history="1">
        <w:r w:rsidR="0042773D" w:rsidRPr="0042773D">
          <w:rPr>
            <w:rStyle w:val="Hyperlink"/>
          </w:rPr>
          <w:t>https://doi.org/10.1044/2017_JSLHR-L-16-0391</w:t>
        </w:r>
      </w:hyperlink>
      <w:r w:rsidR="0042773D">
        <w:t xml:space="preserve"> </w:t>
      </w:r>
    </w:p>
  </w:endnote>
  <w:endnote w:id="169">
    <w:p w14:paraId="222A671E" w14:textId="15C1E40A" w:rsidR="004E04E1" w:rsidRPr="00053374" w:rsidRDefault="004E04E1" w:rsidP="004C3828">
      <w:pPr>
        <w:pStyle w:val="EndnoteText"/>
        <w:jc w:val="left"/>
        <w:rPr>
          <w:highlight w:val="green"/>
        </w:rPr>
      </w:pPr>
      <w:r w:rsidRPr="00612F29">
        <w:rPr>
          <w:rStyle w:val="EndnoteReference"/>
        </w:rPr>
        <w:endnoteRef/>
      </w:r>
      <w:r w:rsidRPr="00476C25">
        <w:rPr>
          <w:lang w:val="it-IT"/>
        </w:rPr>
        <w:t xml:space="preserve"> Matteucci, M. C.</w:t>
      </w:r>
      <w:r w:rsidR="0042773D" w:rsidRPr="00476C25">
        <w:rPr>
          <w:lang w:val="it-IT"/>
        </w:rPr>
        <w:t xml:space="preserve"> and</w:t>
      </w:r>
      <w:r w:rsidRPr="00476C25">
        <w:rPr>
          <w:lang w:val="it-IT"/>
        </w:rPr>
        <w:t xml:space="preserve"> Soncini, A. (2021). </w:t>
      </w:r>
      <w:r w:rsidR="0042773D" w:rsidRPr="00612F29">
        <w:t>‘</w:t>
      </w:r>
      <w:r w:rsidRPr="00612F29">
        <w:t>Self-efficacy and psychological well-being in a sample of Italian university students with and without Specific Learning Disorder</w:t>
      </w:r>
      <w:r w:rsidR="0042773D" w:rsidRPr="00612F29">
        <w:t>’,</w:t>
      </w:r>
      <w:r w:rsidRPr="00612F29">
        <w:t> </w:t>
      </w:r>
      <w:r w:rsidRPr="00612F29">
        <w:rPr>
          <w:i/>
          <w:iCs/>
        </w:rPr>
        <w:t>Research in Developmental Disabilities</w:t>
      </w:r>
      <w:r w:rsidRPr="00612F29">
        <w:t xml:space="preserve">, 110, </w:t>
      </w:r>
      <w:r w:rsidR="0042773D" w:rsidRPr="00612F29">
        <w:t>p.</w:t>
      </w:r>
      <w:r w:rsidRPr="00612F29">
        <w:t>103858.</w:t>
      </w:r>
      <w:r w:rsidR="00612F29" w:rsidRPr="00612F29">
        <w:t xml:space="preserve"> doi: </w:t>
      </w:r>
      <w:hyperlink r:id="rId153" w:history="1">
        <w:r w:rsidR="00612F29" w:rsidRPr="00612F29">
          <w:rPr>
            <w:rStyle w:val="Hyperlink"/>
          </w:rPr>
          <w:t>https://doi.org/10.1016/j.ridd.2021.103858</w:t>
        </w:r>
      </w:hyperlink>
      <w:r w:rsidR="00612F29">
        <w:t xml:space="preserve"> </w:t>
      </w:r>
    </w:p>
  </w:endnote>
  <w:endnote w:id="170">
    <w:p w14:paraId="1E47B96A" w14:textId="747AF22B" w:rsidR="004E04E1" w:rsidRPr="00053374" w:rsidRDefault="004E04E1" w:rsidP="004C3828">
      <w:pPr>
        <w:pStyle w:val="EndnoteText"/>
        <w:jc w:val="left"/>
        <w:rPr>
          <w:highlight w:val="green"/>
        </w:rPr>
      </w:pPr>
      <w:r w:rsidRPr="004A6674">
        <w:rPr>
          <w:rStyle w:val="EndnoteReference"/>
        </w:rPr>
        <w:endnoteRef/>
      </w:r>
      <w:r w:rsidRPr="004A6674">
        <w:t xml:space="preserve"> Shoham, N., Lewis, G., McManus, S.</w:t>
      </w:r>
      <w:r w:rsidR="00612F29" w:rsidRPr="004A6674">
        <w:t xml:space="preserve"> and</w:t>
      </w:r>
      <w:r w:rsidRPr="004A6674">
        <w:t xml:space="preserve"> Cooper, C. (2019). </w:t>
      </w:r>
      <w:r w:rsidR="00612F29" w:rsidRPr="004A6674">
        <w:t>‘</w:t>
      </w:r>
      <w:r w:rsidRPr="004A6674">
        <w:t>Common mental illness in people with sensory impairment: results from the 2014 adult psychiatric morbidity survey</w:t>
      </w:r>
      <w:r w:rsidR="00612F29" w:rsidRPr="004A6674">
        <w:t>’,</w:t>
      </w:r>
      <w:r w:rsidRPr="004A6674">
        <w:t> </w:t>
      </w:r>
      <w:r w:rsidRPr="004A6674">
        <w:rPr>
          <w:i/>
          <w:iCs/>
        </w:rPr>
        <w:t xml:space="preserve">BJPsych </w:t>
      </w:r>
      <w:r w:rsidR="00612F29" w:rsidRPr="004A6674">
        <w:rPr>
          <w:i/>
          <w:iCs/>
        </w:rPr>
        <w:t>O</w:t>
      </w:r>
      <w:r w:rsidRPr="004A6674">
        <w:rPr>
          <w:i/>
          <w:iCs/>
        </w:rPr>
        <w:t>pen</w:t>
      </w:r>
      <w:r w:rsidRPr="004A6674">
        <w:t xml:space="preserve">, 5(6), </w:t>
      </w:r>
      <w:r w:rsidR="00612F29" w:rsidRPr="004A6674">
        <w:t>p.</w:t>
      </w:r>
      <w:r w:rsidRPr="004A6674">
        <w:t>e94.</w:t>
      </w:r>
      <w:r w:rsidR="004A6674" w:rsidRPr="004A6674">
        <w:t xml:space="preserve"> doi: </w:t>
      </w:r>
      <w:hyperlink r:id="rId154" w:history="1">
        <w:r w:rsidR="004A6674" w:rsidRPr="00AB25E7">
          <w:rPr>
            <w:rStyle w:val="Hyperlink"/>
          </w:rPr>
          <w:t>https://doi.org/10.1192/bjo.2019.81</w:t>
        </w:r>
      </w:hyperlink>
      <w:r w:rsidR="004A6674">
        <w:t xml:space="preserve"> </w:t>
      </w:r>
    </w:p>
  </w:endnote>
  <w:endnote w:id="171">
    <w:p w14:paraId="40A0D972" w14:textId="1F8DBCAF" w:rsidR="004E04E1" w:rsidRPr="00053374" w:rsidRDefault="004E04E1" w:rsidP="004C3828">
      <w:pPr>
        <w:pStyle w:val="EndnoteText"/>
        <w:jc w:val="left"/>
        <w:rPr>
          <w:highlight w:val="green"/>
        </w:rPr>
      </w:pPr>
      <w:r w:rsidRPr="00727353">
        <w:rPr>
          <w:rStyle w:val="EndnoteReference"/>
        </w:rPr>
        <w:endnoteRef/>
      </w:r>
      <w:r w:rsidRPr="00727353">
        <w:t xml:space="preserve"> Mallardo, M., Cuskelly, M., White, P.</w:t>
      </w:r>
      <w:r w:rsidR="00076DC7" w:rsidRPr="00727353">
        <w:t xml:space="preserve"> and</w:t>
      </w:r>
      <w:r w:rsidRPr="00727353">
        <w:t xml:space="preserve"> Jobling, A. (2014). </w:t>
      </w:r>
      <w:r w:rsidR="00076DC7" w:rsidRPr="00727353">
        <w:t>‘</w:t>
      </w:r>
      <w:r w:rsidRPr="00727353">
        <w:t>Mental health problems in adults with Down syndrome and their association with life circumstances</w:t>
      </w:r>
      <w:r w:rsidR="00076DC7" w:rsidRPr="00727353">
        <w:t>’,</w:t>
      </w:r>
      <w:r w:rsidRPr="00727353">
        <w:t> </w:t>
      </w:r>
      <w:r w:rsidRPr="00727353">
        <w:rPr>
          <w:i/>
          <w:iCs/>
        </w:rPr>
        <w:t>Journal of Mental Health Research in Intellectual Disabilities</w:t>
      </w:r>
      <w:r w:rsidRPr="00727353">
        <w:t xml:space="preserve">, 7(3), </w:t>
      </w:r>
      <w:r w:rsidR="00076DC7" w:rsidRPr="00727353">
        <w:t>pp.</w:t>
      </w:r>
      <w:r w:rsidRPr="00727353">
        <w:t>229-245.</w:t>
      </w:r>
      <w:r w:rsidR="00C46F33" w:rsidRPr="00727353">
        <w:t xml:space="preserve"> </w:t>
      </w:r>
      <w:r w:rsidR="00727353" w:rsidRPr="00727353">
        <w:t xml:space="preserve">doi: </w:t>
      </w:r>
      <w:hyperlink r:id="rId155" w:history="1">
        <w:r w:rsidR="00727353" w:rsidRPr="00727353">
          <w:rPr>
            <w:rStyle w:val="Hyperlink"/>
          </w:rPr>
          <w:t>https://doi.org/10.1080/19315864.2013.842622</w:t>
        </w:r>
      </w:hyperlink>
      <w:r w:rsidR="00727353">
        <w:t xml:space="preserve"> </w:t>
      </w:r>
    </w:p>
  </w:endnote>
  <w:endnote w:id="172">
    <w:p w14:paraId="75C2BE42" w14:textId="6EFB7B51" w:rsidR="004E04E1" w:rsidRPr="00053374" w:rsidRDefault="004E04E1" w:rsidP="004C3828">
      <w:pPr>
        <w:pStyle w:val="EndnoteText"/>
        <w:jc w:val="left"/>
        <w:rPr>
          <w:highlight w:val="green"/>
        </w:rPr>
      </w:pPr>
      <w:r w:rsidRPr="000C7746">
        <w:rPr>
          <w:rStyle w:val="EndnoteReference"/>
        </w:rPr>
        <w:endnoteRef/>
      </w:r>
      <w:r w:rsidRPr="00476C25">
        <w:rPr>
          <w:lang w:val="de-DE"/>
        </w:rPr>
        <w:t xml:space="preserve"> Walton, C</w:t>
      </w:r>
      <w:r w:rsidR="00760F77" w:rsidRPr="00476C25">
        <w:rPr>
          <w:lang w:val="de-DE"/>
        </w:rPr>
        <w:t>. and</w:t>
      </w:r>
      <w:r w:rsidRPr="00476C25">
        <w:rPr>
          <w:lang w:val="de-DE"/>
        </w:rPr>
        <w:t xml:space="preserve"> Kerr, M. (2015). </w:t>
      </w:r>
      <w:r w:rsidR="00760F77" w:rsidRPr="000C7746">
        <w:t>‘</w:t>
      </w:r>
      <w:r w:rsidRPr="000C7746">
        <w:t>Down syndrome: systematic review of the prevalence and nature of presentation of unipolar depression</w:t>
      </w:r>
      <w:r w:rsidR="00760F77" w:rsidRPr="000C7746">
        <w:t>’,</w:t>
      </w:r>
      <w:r w:rsidRPr="000C7746">
        <w:t> </w:t>
      </w:r>
      <w:r w:rsidRPr="000C7746">
        <w:rPr>
          <w:i/>
          <w:iCs/>
        </w:rPr>
        <w:t>Advances in Mental Health and Intellectual Disabilities</w:t>
      </w:r>
      <w:r w:rsidRPr="000C7746">
        <w:t xml:space="preserve">, 9(4), </w:t>
      </w:r>
      <w:r w:rsidR="00760F77" w:rsidRPr="000C7746">
        <w:t>pp.</w:t>
      </w:r>
      <w:r w:rsidRPr="000C7746">
        <w:t>151-162.</w:t>
      </w:r>
      <w:r w:rsidR="000C7746" w:rsidRPr="000C7746">
        <w:t xml:space="preserve"> doi: </w:t>
      </w:r>
      <w:hyperlink r:id="rId156" w:history="1">
        <w:r w:rsidR="000C7746" w:rsidRPr="000C7746">
          <w:rPr>
            <w:rStyle w:val="Hyperlink"/>
          </w:rPr>
          <w:t>https://doi.org/10.1108/AMHID-11-2014-0037</w:t>
        </w:r>
      </w:hyperlink>
      <w:r w:rsidR="000C7746">
        <w:t xml:space="preserve"> </w:t>
      </w:r>
    </w:p>
  </w:endnote>
  <w:endnote w:id="173">
    <w:p w14:paraId="42ABA962" w14:textId="680F7732" w:rsidR="004E04E1" w:rsidRPr="00053374" w:rsidRDefault="004E04E1" w:rsidP="004C3828">
      <w:pPr>
        <w:pStyle w:val="EndnoteText"/>
        <w:jc w:val="left"/>
        <w:rPr>
          <w:highlight w:val="green"/>
        </w:rPr>
      </w:pPr>
      <w:r w:rsidRPr="00202A3D">
        <w:rPr>
          <w:rStyle w:val="EndnoteReference"/>
        </w:rPr>
        <w:endnoteRef/>
      </w:r>
      <w:r w:rsidRPr="00202A3D">
        <w:t xml:space="preserve"> Hoare, E., Werneck, A. O., Stubbs, B., Firth, J., Collins, S., Corder, K.</w:t>
      </w:r>
      <w:r w:rsidR="003E41C0" w:rsidRPr="00202A3D">
        <w:t xml:space="preserve"> and</w:t>
      </w:r>
      <w:r w:rsidRPr="00202A3D">
        <w:t xml:space="preserve"> van Sluijs, E. M. (2020). </w:t>
      </w:r>
      <w:r w:rsidR="00B76660" w:rsidRPr="00202A3D">
        <w:t>‘</w:t>
      </w:r>
      <w:r w:rsidRPr="00202A3D">
        <w:t>Association of child and adolescent mental health with adolescent health behaviors in the UK millennium cohort</w:t>
      </w:r>
      <w:r w:rsidR="00B76660" w:rsidRPr="00202A3D">
        <w:t>’,</w:t>
      </w:r>
      <w:r w:rsidRPr="00202A3D">
        <w:t> </w:t>
      </w:r>
      <w:r w:rsidRPr="00202A3D">
        <w:rPr>
          <w:i/>
          <w:iCs/>
        </w:rPr>
        <w:t>JAMA Network Open</w:t>
      </w:r>
      <w:r w:rsidRPr="00202A3D">
        <w:t xml:space="preserve">, 3(8), </w:t>
      </w:r>
      <w:r w:rsidR="00B76660" w:rsidRPr="00202A3D">
        <w:t>p.</w:t>
      </w:r>
      <w:r w:rsidRPr="00202A3D">
        <w:t>e2011381</w:t>
      </w:r>
      <w:r w:rsidR="00B76660" w:rsidRPr="00202A3D">
        <w:t>.</w:t>
      </w:r>
    </w:p>
  </w:endnote>
  <w:endnote w:id="174">
    <w:p w14:paraId="02E40857" w14:textId="4F0E97DE" w:rsidR="004E04E1" w:rsidRPr="00053374" w:rsidRDefault="004E04E1" w:rsidP="004C3828">
      <w:pPr>
        <w:pStyle w:val="EndnoteText"/>
        <w:jc w:val="left"/>
        <w:rPr>
          <w:highlight w:val="green"/>
          <w:lang w:val="en-US"/>
        </w:rPr>
      </w:pPr>
      <w:r w:rsidRPr="00D03345">
        <w:rPr>
          <w:rStyle w:val="EndnoteReference"/>
        </w:rPr>
        <w:endnoteRef/>
      </w:r>
      <w:r w:rsidRPr="00D03345">
        <w:t xml:space="preserve"> Daniel, J. (2025). </w:t>
      </w:r>
      <w:r w:rsidR="00EC7E9E" w:rsidRPr="00D03345">
        <w:t>‘</w:t>
      </w:r>
      <w:r w:rsidRPr="00D03345">
        <w:t>The academic achievement gap between students with and without special educational needs and disabilities</w:t>
      </w:r>
      <w:r w:rsidR="00BA053A" w:rsidRPr="00D03345">
        <w:t>’,</w:t>
      </w:r>
      <w:r w:rsidRPr="00D03345">
        <w:t> </w:t>
      </w:r>
      <w:r w:rsidRPr="00D03345">
        <w:rPr>
          <w:i/>
          <w:iCs/>
        </w:rPr>
        <w:t>European Journal of Special Needs Education</w:t>
      </w:r>
      <w:r w:rsidRPr="00D03345">
        <w:t xml:space="preserve">, 40(3), </w:t>
      </w:r>
      <w:r w:rsidR="00BA053A" w:rsidRPr="00D03345">
        <w:t>pp.</w:t>
      </w:r>
      <w:r w:rsidRPr="00D03345">
        <w:t>539-556.</w:t>
      </w:r>
      <w:r w:rsidR="00D03345" w:rsidRPr="00D03345">
        <w:t xml:space="preserve"> doi: </w:t>
      </w:r>
      <w:hyperlink r:id="rId157" w:history="1">
        <w:r w:rsidR="00D03345" w:rsidRPr="00D03345">
          <w:rPr>
            <w:rStyle w:val="Hyperlink"/>
          </w:rPr>
          <w:t>https://doi.org/10.1080/08856257.2024.2400771</w:t>
        </w:r>
      </w:hyperlink>
      <w:r w:rsidR="00D03345">
        <w:t xml:space="preserve"> </w:t>
      </w:r>
    </w:p>
  </w:endnote>
  <w:endnote w:id="175">
    <w:p w14:paraId="2DCE70B4" w14:textId="6E434995" w:rsidR="004E04E1" w:rsidRPr="00053374" w:rsidRDefault="004E04E1" w:rsidP="004C3828">
      <w:pPr>
        <w:pStyle w:val="EndnoteText"/>
        <w:jc w:val="left"/>
        <w:rPr>
          <w:highlight w:val="green"/>
          <w:lang w:val="en-US"/>
        </w:rPr>
      </w:pPr>
      <w:r w:rsidRPr="00850114">
        <w:rPr>
          <w:rStyle w:val="EndnoteReference"/>
        </w:rPr>
        <w:endnoteRef/>
      </w:r>
      <w:r w:rsidRPr="00850114">
        <w:t xml:space="preserve"> Dimitrellou, E.</w:t>
      </w:r>
      <w:r w:rsidR="00D03345" w:rsidRPr="00850114">
        <w:t xml:space="preserve"> and</w:t>
      </w:r>
      <w:r w:rsidRPr="00850114">
        <w:t xml:space="preserve"> Male, D. (2020). </w:t>
      </w:r>
      <w:r w:rsidR="00D03345" w:rsidRPr="00850114">
        <w:t>‘</w:t>
      </w:r>
      <w:r w:rsidRPr="00850114">
        <w:t>Understanding what makes a positive school experience for pupils with SEND: can their voices inform inclusive practice?</w:t>
      </w:r>
      <w:r w:rsidR="00D03345" w:rsidRPr="00850114">
        <w:t>’,</w:t>
      </w:r>
      <w:r w:rsidRPr="00850114">
        <w:t> </w:t>
      </w:r>
      <w:r w:rsidRPr="00850114">
        <w:rPr>
          <w:i/>
          <w:iCs/>
        </w:rPr>
        <w:t>Journal of Research in Special Educational Needs</w:t>
      </w:r>
      <w:r w:rsidRPr="00850114">
        <w:t xml:space="preserve">, 20(2), </w:t>
      </w:r>
      <w:r w:rsidR="007B654E" w:rsidRPr="00850114">
        <w:t xml:space="preserve">pp. </w:t>
      </w:r>
      <w:r w:rsidRPr="00850114">
        <w:t>87-96.</w:t>
      </w:r>
      <w:r w:rsidR="00850114" w:rsidRPr="00850114">
        <w:t xml:space="preserve"> doi: </w:t>
      </w:r>
      <w:hyperlink r:id="rId158" w:history="1">
        <w:r w:rsidR="00850114" w:rsidRPr="00850114">
          <w:rPr>
            <w:rStyle w:val="Hyperlink"/>
          </w:rPr>
          <w:t>https://doi.org/10.1111/1471-3802.12457</w:t>
        </w:r>
      </w:hyperlink>
      <w:r w:rsidR="00850114">
        <w:t xml:space="preserve"> </w:t>
      </w:r>
    </w:p>
  </w:endnote>
  <w:endnote w:id="176">
    <w:p w14:paraId="42E0D1B4" w14:textId="48950912" w:rsidR="004E04E1" w:rsidRPr="00053374" w:rsidRDefault="004E04E1" w:rsidP="004C3828">
      <w:pPr>
        <w:pStyle w:val="EndnoteText"/>
        <w:jc w:val="left"/>
        <w:rPr>
          <w:highlight w:val="green"/>
        </w:rPr>
      </w:pPr>
      <w:r w:rsidRPr="005B3B46">
        <w:rPr>
          <w:rStyle w:val="EndnoteReference"/>
        </w:rPr>
        <w:endnoteRef/>
      </w:r>
      <w:r w:rsidRPr="005B3B46">
        <w:t xml:space="preserve"> Arseneault, L. (2017). </w:t>
      </w:r>
      <w:r w:rsidR="00A36FFE" w:rsidRPr="005B3B46">
        <w:t>‘</w:t>
      </w:r>
      <w:r w:rsidRPr="005B3B46">
        <w:t>The long‐term impact of bullying victimization on mental health</w:t>
      </w:r>
      <w:r w:rsidR="00A36FFE" w:rsidRPr="005B3B46">
        <w:t>’,</w:t>
      </w:r>
      <w:r w:rsidRPr="005B3B46">
        <w:t> </w:t>
      </w:r>
      <w:r w:rsidRPr="005B3B46">
        <w:rPr>
          <w:i/>
          <w:iCs/>
        </w:rPr>
        <w:t xml:space="preserve">World </w:t>
      </w:r>
      <w:r w:rsidR="00A36FFE" w:rsidRPr="005B3B46">
        <w:rPr>
          <w:i/>
          <w:iCs/>
        </w:rPr>
        <w:t>P</w:t>
      </w:r>
      <w:r w:rsidRPr="005B3B46">
        <w:rPr>
          <w:i/>
          <w:iCs/>
        </w:rPr>
        <w:t>sychiatry</w:t>
      </w:r>
      <w:r w:rsidRPr="005B3B46">
        <w:t xml:space="preserve">, 16(1), </w:t>
      </w:r>
      <w:r w:rsidR="00CB7C90" w:rsidRPr="005B3B46">
        <w:t>p.</w:t>
      </w:r>
      <w:r w:rsidRPr="005B3B46">
        <w:t>27.</w:t>
      </w:r>
      <w:r w:rsidR="003F7B56" w:rsidRPr="005B3B46">
        <w:t xml:space="preserve"> doi: https://doi.org/10.1002/wps.20393</w:t>
      </w:r>
    </w:p>
  </w:endnote>
  <w:endnote w:id="177">
    <w:p w14:paraId="03350FA2" w14:textId="26CF2762" w:rsidR="004E04E1" w:rsidRPr="00053374" w:rsidRDefault="004E04E1" w:rsidP="004C3828">
      <w:pPr>
        <w:pStyle w:val="EndnoteText"/>
        <w:jc w:val="left"/>
        <w:rPr>
          <w:highlight w:val="green"/>
        </w:rPr>
      </w:pPr>
      <w:r w:rsidRPr="007505C9">
        <w:rPr>
          <w:rStyle w:val="EndnoteReference"/>
        </w:rPr>
        <w:endnoteRef/>
      </w:r>
      <w:r w:rsidRPr="007505C9">
        <w:t xml:space="preserve"> Hickinbotham, L.</w:t>
      </w:r>
      <w:r w:rsidR="005B3B46" w:rsidRPr="007505C9">
        <w:t xml:space="preserve"> and</w:t>
      </w:r>
      <w:r w:rsidRPr="007505C9">
        <w:t xml:space="preserve"> Soni, A. (2021). </w:t>
      </w:r>
      <w:r w:rsidR="005B3B46" w:rsidRPr="007505C9">
        <w:t>‘</w:t>
      </w:r>
      <w:r w:rsidRPr="007505C9">
        <w:t>A systematic literature review exploring the views and experiences of children and young people of the label Social, Emotional and Mental Health (SEMH)</w:t>
      </w:r>
      <w:r w:rsidR="00177A39" w:rsidRPr="007505C9">
        <w:t>’,</w:t>
      </w:r>
      <w:r w:rsidRPr="007505C9">
        <w:t> </w:t>
      </w:r>
      <w:r w:rsidRPr="007505C9">
        <w:rPr>
          <w:i/>
          <w:iCs/>
        </w:rPr>
        <w:t>Emotional and Behavioural Difficulties</w:t>
      </w:r>
      <w:r w:rsidRPr="007505C9">
        <w:t xml:space="preserve">, 26(2), </w:t>
      </w:r>
      <w:r w:rsidR="00D604F6" w:rsidRPr="007505C9">
        <w:t>pp.</w:t>
      </w:r>
      <w:r w:rsidRPr="007505C9">
        <w:t>135-150.</w:t>
      </w:r>
      <w:r w:rsidR="00D2182D" w:rsidRPr="007505C9">
        <w:t xml:space="preserve"> doi: </w:t>
      </w:r>
      <w:hyperlink r:id="rId159" w:history="1">
        <w:r w:rsidR="00D2182D" w:rsidRPr="007505C9">
          <w:rPr>
            <w:rStyle w:val="Hyperlink"/>
          </w:rPr>
          <w:t>https://doi.org/10.1080/13632752.2021.1894743</w:t>
        </w:r>
      </w:hyperlink>
      <w:r w:rsidR="00D2182D">
        <w:t xml:space="preserve"> </w:t>
      </w:r>
    </w:p>
  </w:endnote>
  <w:endnote w:id="178">
    <w:p w14:paraId="099CA3EE" w14:textId="7219747E" w:rsidR="004E04E1" w:rsidRPr="00053374" w:rsidRDefault="004E04E1" w:rsidP="004C3828">
      <w:pPr>
        <w:pStyle w:val="EndnoteText"/>
        <w:jc w:val="left"/>
        <w:rPr>
          <w:highlight w:val="green"/>
        </w:rPr>
      </w:pPr>
      <w:r w:rsidRPr="00EA3A92">
        <w:rPr>
          <w:rStyle w:val="EndnoteReference"/>
        </w:rPr>
        <w:endnoteRef/>
      </w:r>
      <w:r w:rsidRPr="00EA3A92">
        <w:t xml:space="preserve"> Kirkby, J., Ashworth, E., Bray, L.</w:t>
      </w:r>
      <w:r w:rsidR="007505C9" w:rsidRPr="00EA3A92">
        <w:t xml:space="preserve"> and</w:t>
      </w:r>
      <w:r w:rsidRPr="00EA3A92">
        <w:t xml:space="preserve"> Alghrani, A. (2021). </w:t>
      </w:r>
      <w:r w:rsidRPr="00EA3A92">
        <w:rPr>
          <w:i/>
          <w:iCs/>
        </w:rPr>
        <w:t>A Rapid Scoping Review-The Impact of the COVID-19 Pandemic on the Education, Health and Social Care Provision for Children with Special Educational Needs and Disabilities (SEND)</w:t>
      </w:r>
      <w:r w:rsidR="007C2C3D" w:rsidRPr="00EA3A92">
        <w:t xml:space="preserve">. Available at: </w:t>
      </w:r>
      <w:hyperlink r:id="rId160" w:history="1">
        <w:r w:rsidR="00EA3A92" w:rsidRPr="00EA3A92">
          <w:rPr>
            <w:rStyle w:val="Hyperlink"/>
          </w:rPr>
          <w:t>https://researchonline.ljmu.ac.uk/id/eprint/15715/1/A%20Rapid%20Scoping%20Review.pdf</w:t>
        </w:r>
      </w:hyperlink>
      <w:r w:rsidR="00EA3A92" w:rsidRPr="00EA3A92">
        <w:t xml:space="preserve"> </w:t>
      </w:r>
    </w:p>
  </w:endnote>
  <w:endnote w:id="179">
    <w:p w14:paraId="78157799" w14:textId="728EF2EC" w:rsidR="004E04E1" w:rsidRPr="00053374" w:rsidRDefault="004E04E1" w:rsidP="004C3828">
      <w:pPr>
        <w:pStyle w:val="EndnoteText"/>
        <w:jc w:val="left"/>
        <w:rPr>
          <w:highlight w:val="green"/>
          <w:lang w:val="de-DE"/>
        </w:rPr>
      </w:pPr>
      <w:r w:rsidRPr="007B6778">
        <w:rPr>
          <w:rStyle w:val="EndnoteReference"/>
        </w:rPr>
        <w:endnoteRef/>
      </w:r>
      <w:r w:rsidRPr="007B6778">
        <w:t xml:space="preserve"> </w:t>
      </w:r>
      <w:r w:rsidR="00A31F34" w:rsidRPr="007B6778">
        <w:t xml:space="preserve">Winstone, J. (2016). </w:t>
      </w:r>
      <w:r w:rsidR="00845D83" w:rsidRPr="007B6778">
        <w:t>‘</w:t>
      </w:r>
      <w:r w:rsidR="00A31F34" w:rsidRPr="007B6778">
        <w:t>Crime, exclusion and mental health: Current realities and future responses</w:t>
      </w:r>
      <w:r w:rsidR="00845D83" w:rsidRPr="007B6778">
        <w:t>’, i</w:t>
      </w:r>
      <w:r w:rsidR="00A31F34" w:rsidRPr="007B6778">
        <w:t>n </w:t>
      </w:r>
      <w:r w:rsidR="00A31F34" w:rsidRPr="007B6778">
        <w:rPr>
          <w:i/>
          <w:iCs/>
        </w:rPr>
        <w:t>Mental Health, Crime and Criminal Justice: Responses and Reforms</w:t>
      </w:r>
      <w:r w:rsidR="00A31F34" w:rsidRPr="007B6778">
        <w:t xml:space="preserve">. </w:t>
      </w:r>
      <w:r w:rsidR="00A31F34" w:rsidRPr="00476C25">
        <w:rPr>
          <w:lang w:val="de-DE"/>
        </w:rPr>
        <w:t>London: Palgrave Macmillan UK</w:t>
      </w:r>
      <w:r w:rsidR="00747042" w:rsidRPr="00476C25">
        <w:rPr>
          <w:lang w:val="de-DE"/>
        </w:rPr>
        <w:t>,</w:t>
      </w:r>
      <w:r w:rsidR="004317CF" w:rsidRPr="00476C25">
        <w:rPr>
          <w:lang w:val="de-DE"/>
        </w:rPr>
        <w:t xml:space="preserve"> pp.1-20</w:t>
      </w:r>
      <w:r w:rsidR="00747042" w:rsidRPr="00476C25">
        <w:rPr>
          <w:lang w:val="de-DE"/>
        </w:rPr>
        <w:t>.</w:t>
      </w:r>
    </w:p>
  </w:endnote>
  <w:endnote w:id="180">
    <w:p w14:paraId="6A9A2350" w14:textId="3239707C" w:rsidR="004E04E1" w:rsidRPr="00053374" w:rsidRDefault="004E04E1" w:rsidP="004C3828">
      <w:pPr>
        <w:pStyle w:val="EndnoteText"/>
        <w:jc w:val="left"/>
        <w:rPr>
          <w:highlight w:val="green"/>
        </w:rPr>
      </w:pPr>
      <w:r w:rsidRPr="00801FC2">
        <w:rPr>
          <w:rStyle w:val="EndnoteReference"/>
        </w:rPr>
        <w:endnoteRef/>
      </w:r>
      <w:r w:rsidRPr="00801FC2">
        <w:rPr>
          <w:lang w:val="de-DE"/>
        </w:rPr>
        <w:t xml:space="preserve"> Mohr-Jensen, C.</w:t>
      </w:r>
      <w:r w:rsidR="00417A82" w:rsidRPr="00801FC2">
        <w:rPr>
          <w:lang w:val="de-DE"/>
        </w:rPr>
        <w:t xml:space="preserve"> and</w:t>
      </w:r>
      <w:r w:rsidRPr="00801FC2">
        <w:rPr>
          <w:lang w:val="de-DE"/>
        </w:rPr>
        <w:t xml:space="preserve"> Steinhausen, H. C. (2016). </w:t>
      </w:r>
      <w:r w:rsidR="00417A82" w:rsidRPr="00476C25">
        <w:t>‘</w:t>
      </w:r>
      <w:r w:rsidRPr="00801FC2">
        <w:t>A meta-analysis and systematic review of the risks associated with childhood attention-deficit hyperactivity disorder on long-term outcome of arrests, convictions, and incarcerations</w:t>
      </w:r>
      <w:r w:rsidR="00417A82" w:rsidRPr="00801FC2">
        <w:t>’,</w:t>
      </w:r>
      <w:r w:rsidRPr="00801FC2">
        <w:t> </w:t>
      </w:r>
      <w:r w:rsidRPr="00801FC2">
        <w:rPr>
          <w:i/>
          <w:iCs/>
        </w:rPr>
        <w:t xml:space="preserve">Clinical </w:t>
      </w:r>
      <w:r w:rsidR="00417A82" w:rsidRPr="00801FC2">
        <w:rPr>
          <w:i/>
          <w:iCs/>
        </w:rPr>
        <w:t>P</w:t>
      </w:r>
      <w:r w:rsidRPr="00801FC2">
        <w:rPr>
          <w:i/>
          <w:iCs/>
        </w:rPr>
        <w:t xml:space="preserve">sychology </w:t>
      </w:r>
      <w:r w:rsidR="00417A82" w:rsidRPr="00801FC2">
        <w:rPr>
          <w:i/>
          <w:iCs/>
        </w:rPr>
        <w:t>R</w:t>
      </w:r>
      <w:r w:rsidRPr="00801FC2">
        <w:rPr>
          <w:i/>
          <w:iCs/>
        </w:rPr>
        <w:t>eview</w:t>
      </w:r>
      <w:r w:rsidRPr="00801FC2">
        <w:t xml:space="preserve">, 48, </w:t>
      </w:r>
      <w:r w:rsidR="00417A82" w:rsidRPr="00801FC2">
        <w:t>pp.</w:t>
      </w:r>
      <w:r w:rsidRPr="00801FC2">
        <w:t>32-42.</w:t>
      </w:r>
      <w:r w:rsidR="00801FC2" w:rsidRPr="00801FC2">
        <w:t xml:space="preserve"> doi: </w:t>
      </w:r>
      <w:hyperlink r:id="rId161" w:history="1">
        <w:r w:rsidR="00801FC2" w:rsidRPr="00801FC2">
          <w:rPr>
            <w:rStyle w:val="Hyperlink"/>
          </w:rPr>
          <w:t>https://doi.org/10.1016/j.cpr.2016.05.002</w:t>
        </w:r>
      </w:hyperlink>
      <w:r w:rsidR="00801FC2">
        <w:t xml:space="preserve"> </w:t>
      </w:r>
    </w:p>
  </w:endnote>
  <w:endnote w:id="181">
    <w:p w14:paraId="3649A248" w14:textId="7918E3EF" w:rsidR="004E04E1" w:rsidRPr="00053374" w:rsidRDefault="004E04E1" w:rsidP="004C3828">
      <w:pPr>
        <w:pStyle w:val="EndnoteText"/>
        <w:jc w:val="left"/>
        <w:rPr>
          <w:highlight w:val="green"/>
        </w:rPr>
      </w:pPr>
      <w:r w:rsidRPr="00CC44BB">
        <w:rPr>
          <w:rStyle w:val="EndnoteReference"/>
        </w:rPr>
        <w:endnoteRef/>
      </w:r>
      <w:r w:rsidRPr="00CC44BB">
        <w:t xml:space="preserve"> Chester, V., Bunning, K., Tromans, S., Alexander, R.</w:t>
      </w:r>
      <w:r w:rsidR="004B778C" w:rsidRPr="00CC44BB">
        <w:t xml:space="preserve"> and</w:t>
      </w:r>
      <w:r w:rsidRPr="00CC44BB">
        <w:t xml:space="preserve"> Langdon, P. (2022). </w:t>
      </w:r>
      <w:r w:rsidR="004B778C" w:rsidRPr="00CC44BB">
        <w:t>‘</w:t>
      </w:r>
      <w:r w:rsidRPr="00CC44BB">
        <w:t>The prevalence of autism in the criminal justice system: A systematic review</w:t>
      </w:r>
      <w:r w:rsidR="004B778C" w:rsidRPr="00CC44BB">
        <w:t>’</w:t>
      </w:r>
      <w:r w:rsidR="00C710BC" w:rsidRPr="00CC44BB">
        <w:t>,</w:t>
      </w:r>
      <w:r w:rsidRPr="00CC44BB">
        <w:t> </w:t>
      </w:r>
      <w:r w:rsidRPr="00CC44BB">
        <w:rPr>
          <w:i/>
        </w:rPr>
        <w:t>BJPsych Open</w:t>
      </w:r>
      <w:r w:rsidRPr="00CC44BB">
        <w:t xml:space="preserve">, 8(S1), </w:t>
      </w:r>
      <w:r w:rsidR="00C710BC" w:rsidRPr="00CC44BB">
        <w:t>pp.</w:t>
      </w:r>
      <w:r w:rsidRPr="00CC44BB">
        <w:t>S45-S46.</w:t>
      </w:r>
      <w:r w:rsidR="00CC44BB" w:rsidRPr="00CC44BB">
        <w:t xml:space="preserve"> doi: </w:t>
      </w:r>
      <w:hyperlink r:id="rId162" w:history="1">
        <w:r w:rsidR="00CC44BB" w:rsidRPr="00CC44BB">
          <w:rPr>
            <w:rStyle w:val="Hyperlink"/>
          </w:rPr>
          <w:t>https://doi.org/10.1192/bjo.2022.179</w:t>
        </w:r>
      </w:hyperlink>
      <w:r w:rsidR="00CC44BB">
        <w:t xml:space="preserve"> </w:t>
      </w:r>
    </w:p>
  </w:endnote>
  <w:endnote w:id="182">
    <w:p w14:paraId="41E3856A" w14:textId="01203240" w:rsidR="004E04E1" w:rsidRPr="00053374" w:rsidRDefault="004E04E1" w:rsidP="004C3828">
      <w:pPr>
        <w:pStyle w:val="EndnoteText"/>
        <w:jc w:val="left"/>
        <w:rPr>
          <w:highlight w:val="green"/>
        </w:rPr>
      </w:pPr>
      <w:r w:rsidRPr="00C021B0">
        <w:rPr>
          <w:rStyle w:val="EndnoteReference"/>
        </w:rPr>
        <w:endnoteRef/>
      </w:r>
      <w:r w:rsidRPr="00C021B0">
        <w:t xml:space="preserve"> Bryan, K., Garvani, G., Gregory, J.</w:t>
      </w:r>
      <w:r w:rsidR="006B3196" w:rsidRPr="00C021B0">
        <w:t xml:space="preserve"> and</w:t>
      </w:r>
      <w:r w:rsidRPr="00C021B0">
        <w:t xml:space="preserve"> Kilner, K. (2015). </w:t>
      </w:r>
      <w:r w:rsidR="006B3196" w:rsidRPr="00C021B0">
        <w:t>‘</w:t>
      </w:r>
      <w:r w:rsidRPr="00C021B0">
        <w:t>Language difficulties and criminal justice: the need for earlier identification</w:t>
      </w:r>
      <w:r w:rsidR="006B3196" w:rsidRPr="00C021B0">
        <w:t>’,</w:t>
      </w:r>
      <w:r w:rsidRPr="00C021B0">
        <w:t> </w:t>
      </w:r>
      <w:r w:rsidRPr="00C021B0">
        <w:rPr>
          <w:i/>
        </w:rPr>
        <w:t>International Journal of Language &amp; Communication Disorders</w:t>
      </w:r>
      <w:r w:rsidRPr="00C021B0">
        <w:t xml:space="preserve">, 50(6), </w:t>
      </w:r>
      <w:r w:rsidR="006B3196" w:rsidRPr="00C021B0">
        <w:t>pp.</w:t>
      </w:r>
      <w:r w:rsidRPr="00C021B0">
        <w:t>763-775.</w:t>
      </w:r>
      <w:r w:rsidR="00C021B0" w:rsidRPr="00C021B0">
        <w:t xml:space="preserve"> doi: </w:t>
      </w:r>
      <w:hyperlink r:id="rId163" w:history="1">
        <w:r w:rsidR="00C021B0" w:rsidRPr="00C021B0">
          <w:rPr>
            <w:rStyle w:val="Hyperlink"/>
          </w:rPr>
          <w:t>https://doi.org/10.1111/1460-6984.12183</w:t>
        </w:r>
      </w:hyperlink>
      <w:r w:rsidR="00C021B0">
        <w:t xml:space="preserve"> </w:t>
      </w:r>
    </w:p>
  </w:endnote>
  <w:endnote w:id="183">
    <w:p w14:paraId="26F3B044" w14:textId="3571CDBD" w:rsidR="004E04E1" w:rsidRPr="00053374" w:rsidRDefault="004E04E1" w:rsidP="004C3828">
      <w:pPr>
        <w:pStyle w:val="EndnoteText"/>
        <w:jc w:val="left"/>
        <w:rPr>
          <w:highlight w:val="green"/>
        </w:rPr>
      </w:pPr>
      <w:r w:rsidRPr="008F538D">
        <w:rPr>
          <w:rStyle w:val="EndnoteReference"/>
        </w:rPr>
        <w:endnoteRef/>
      </w:r>
      <w:r w:rsidRPr="008F538D">
        <w:t xml:space="preserve"> Barry, R., Anderson, J., Tran, L., Bahji, A., Dimitropoulos, G., Ghosh, S.</w:t>
      </w:r>
      <w:r w:rsidR="00A77664" w:rsidRPr="008F538D">
        <w:t>M., Kirkham, J., Messier, G., Patten, S.B., Rittenbach, K. and</w:t>
      </w:r>
      <w:r w:rsidRPr="008F538D">
        <w:t xml:space="preserve"> Seitz, D. (2024). </w:t>
      </w:r>
      <w:r w:rsidR="00A15DB9" w:rsidRPr="008F538D">
        <w:t>‘</w:t>
      </w:r>
      <w:r w:rsidRPr="008F538D">
        <w:t>Prevalence of mental health disorders among individuals experiencing homelessness: a systematic review and meta-</w:t>
      </w:r>
      <w:r w:rsidR="00A77664" w:rsidRPr="008F538D">
        <w:t>analysis</w:t>
      </w:r>
      <w:r w:rsidR="00A15DB9" w:rsidRPr="008F538D">
        <w:t>’</w:t>
      </w:r>
      <w:r w:rsidR="00A77664" w:rsidRPr="008F538D">
        <w:t>.</w:t>
      </w:r>
      <w:r w:rsidRPr="008F538D">
        <w:t> </w:t>
      </w:r>
      <w:r w:rsidRPr="008F538D">
        <w:rPr>
          <w:i/>
        </w:rPr>
        <w:t xml:space="preserve">JAMA </w:t>
      </w:r>
      <w:r w:rsidR="00A15DB9" w:rsidRPr="008F538D">
        <w:rPr>
          <w:i/>
          <w:iCs/>
        </w:rPr>
        <w:t>P</w:t>
      </w:r>
      <w:r w:rsidR="00A77664" w:rsidRPr="008F538D">
        <w:rPr>
          <w:i/>
          <w:iCs/>
        </w:rPr>
        <w:t>sychiatry</w:t>
      </w:r>
      <w:r w:rsidRPr="008F538D">
        <w:t xml:space="preserve">, 81(7), </w:t>
      </w:r>
      <w:r w:rsidR="00A77664" w:rsidRPr="008F538D">
        <w:t>pp.</w:t>
      </w:r>
      <w:r w:rsidRPr="008F538D">
        <w:t>691-699.</w:t>
      </w:r>
      <w:r w:rsidR="008F538D" w:rsidRPr="008F538D">
        <w:t xml:space="preserve"> doi: </w:t>
      </w:r>
      <w:hyperlink r:id="rId164" w:history="1">
        <w:r w:rsidR="008F538D" w:rsidRPr="008F538D">
          <w:rPr>
            <w:rStyle w:val="Hyperlink"/>
          </w:rPr>
          <w:t>https://doi.org/10.1001/jamapsychiatry.2024.0426</w:t>
        </w:r>
      </w:hyperlink>
      <w:r w:rsidR="008F538D" w:rsidRPr="008F538D">
        <w:t xml:space="preserve"> </w:t>
      </w:r>
    </w:p>
  </w:endnote>
  <w:endnote w:id="184">
    <w:p w14:paraId="6DBDEDA7" w14:textId="769096AA" w:rsidR="004E04E1" w:rsidRPr="004B6266" w:rsidRDefault="004E04E1" w:rsidP="004C3828">
      <w:pPr>
        <w:pStyle w:val="EndnoteText"/>
        <w:jc w:val="left"/>
      </w:pPr>
      <w:r w:rsidRPr="00523764">
        <w:rPr>
          <w:rStyle w:val="EndnoteReference"/>
        </w:rPr>
        <w:endnoteRef/>
      </w:r>
      <w:r w:rsidRPr="00523764">
        <w:t xml:space="preserve"> Gallagher, A. (2023). </w:t>
      </w:r>
      <w:r w:rsidRPr="00523764">
        <w:rPr>
          <w:i/>
        </w:rPr>
        <w:t>Homelessness amongst autistic people and people with ADHD: a systematic review of the prevalence rates and risk factors and a qualitative exploration of individual experiences</w:t>
      </w:r>
      <w:r w:rsidRPr="00523764">
        <w:t>.</w:t>
      </w:r>
      <w:r w:rsidR="00280C54" w:rsidRPr="00523764">
        <w:t xml:space="preserve"> D Clin Psy thesis</w:t>
      </w:r>
      <w:r w:rsidR="00F869B1" w:rsidRPr="00523764">
        <w:t>. University of Glasgow.</w:t>
      </w:r>
      <w:r w:rsidR="00D61626" w:rsidRPr="00523764">
        <w:t xml:space="preserve"> Available at: </w:t>
      </w:r>
      <w:hyperlink r:id="rId165" w:history="1">
        <w:r w:rsidR="00D61626" w:rsidRPr="00523764">
          <w:rPr>
            <w:rStyle w:val="Hyperlink"/>
          </w:rPr>
          <w:t>https://theses.gla.ac.uk/83816/5/2023GallagherDClinPsy.pdf</w:t>
        </w:r>
      </w:hyperlink>
      <w:r w:rsidR="00D61626" w:rsidRPr="00523764">
        <w:t xml:space="preserve"> </w:t>
      </w:r>
    </w:p>
  </w:endnote>
  <w:endnote w:id="185">
    <w:p w14:paraId="2A530E6A" w14:textId="3BDE0AE9" w:rsidR="004E04E1" w:rsidRPr="00053374" w:rsidRDefault="004E04E1" w:rsidP="004C3828">
      <w:pPr>
        <w:pStyle w:val="EndnoteText"/>
        <w:jc w:val="left"/>
        <w:rPr>
          <w:highlight w:val="green"/>
        </w:rPr>
      </w:pPr>
      <w:r w:rsidRPr="004B6266">
        <w:rPr>
          <w:rStyle w:val="EndnoteReference"/>
        </w:rPr>
        <w:endnoteRef/>
      </w:r>
      <w:r w:rsidRPr="004B6266">
        <w:t xml:space="preserve"> Brown, M.</w:t>
      </w:r>
      <w:r w:rsidR="00505057" w:rsidRPr="004B6266">
        <w:t xml:space="preserve"> and</w:t>
      </w:r>
      <w:r w:rsidRPr="004B6266">
        <w:t xml:space="preserve"> McCann, E. (2021). </w:t>
      </w:r>
      <w:r w:rsidR="00505057" w:rsidRPr="004B6266">
        <w:t>‘</w:t>
      </w:r>
      <w:r w:rsidRPr="004B6266">
        <w:t>Homelessness and people with intellectual disabilities: A systematic review of the international research evidence</w:t>
      </w:r>
      <w:r w:rsidR="00505057" w:rsidRPr="004B6266">
        <w:t>’,</w:t>
      </w:r>
      <w:r w:rsidRPr="004B6266">
        <w:t> </w:t>
      </w:r>
      <w:r w:rsidRPr="004B6266">
        <w:rPr>
          <w:i/>
        </w:rPr>
        <w:t>Journal of Applied Research in Intellectual Disabilities</w:t>
      </w:r>
      <w:r w:rsidRPr="004B6266">
        <w:t xml:space="preserve">, 34(2), </w:t>
      </w:r>
      <w:r w:rsidR="00505057" w:rsidRPr="004B6266">
        <w:t xml:space="preserve">pp. </w:t>
      </w:r>
      <w:r w:rsidRPr="004B6266">
        <w:t>390-401.</w:t>
      </w:r>
      <w:r w:rsidR="004B6266" w:rsidRPr="004B6266">
        <w:t xml:space="preserve"> doi: </w:t>
      </w:r>
      <w:hyperlink r:id="rId166" w:history="1">
        <w:r w:rsidR="004B6266" w:rsidRPr="004B6266">
          <w:rPr>
            <w:rStyle w:val="Hyperlink"/>
          </w:rPr>
          <w:t>https://doi.org/10.1111/jar.12815</w:t>
        </w:r>
      </w:hyperlink>
      <w:r w:rsidR="004B6266">
        <w:t xml:space="preserve"> </w:t>
      </w:r>
    </w:p>
  </w:endnote>
  <w:endnote w:id="186">
    <w:p w14:paraId="4F5CBDF7" w14:textId="4E7EDF92" w:rsidR="004E04E1" w:rsidRPr="00053374" w:rsidRDefault="004E04E1" w:rsidP="004C3828">
      <w:pPr>
        <w:pStyle w:val="EndnoteText"/>
        <w:jc w:val="left"/>
        <w:rPr>
          <w:highlight w:val="green"/>
        </w:rPr>
      </w:pPr>
      <w:r w:rsidRPr="008835A6">
        <w:rPr>
          <w:rStyle w:val="EndnoteReference"/>
        </w:rPr>
        <w:endnoteRef/>
      </w:r>
      <w:r w:rsidRPr="008835A6">
        <w:t xml:space="preserve"> Money and Mental Health (2021). </w:t>
      </w:r>
      <w:r w:rsidRPr="008835A6">
        <w:rPr>
          <w:i/>
        </w:rPr>
        <w:t>Closing the gap</w:t>
      </w:r>
      <w:r w:rsidRPr="008835A6">
        <w:t xml:space="preserve">. </w:t>
      </w:r>
      <w:r w:rsidR="00DA35CA" w:rsidRPr="008835A6">
        <w:t xml:space="preserve">Available at: </w:t>
      </w:r>
      <w:hyperlink r:id="rId167" w:history="1">
        <w:r w:rsidR="008C37D6" w:rsidRPr="008835A6">
          <w:rPr>
            <w:rStyle w:val="Hyperlink"/>
          </w:rPr>
          <w:t>https://www.moneyandmentalhealth.org/publications/closing-the-gap/</w:t>
        </w:r>
      </w:hyperlink>
      <w:r w:rsidRPr="008835A6">
        <w:t xml:space="preserve"> </w:t>
      </w:r>
    </w:p>
  </w:endnote>
  <w:endnote w:id="187">
    <w:p w14:paraId="33F0952E" w14:textId="0C1CF8BB" w:rsidR="004E04E1" w:rsidRPr="00053374" w:rsidRDefault="004E04E1" w:rsidP="004C3828">
      <w:pPr>
        <w:pStyle w:val="EndnoteText"/>
        <w:jc w:val="left"/>
        <w:rPr>
          <w:highlight w:val="green"/>
        </w:rPr>
      </w:pPr>
      <w:r w:rsidRPr="005B28C9">
        <w:rPr>
          <w:rStyle w:val="EndnoteReference"/>
        </w:rPr>
        <w:endnoteRef/>
      </w:r>
      <w:r w:rsidRPr="005B28C9">
        <w:t xml:space="preserve"> Parsons, S. </w:t>
      </w:r>
      <w:r w:rsidR="008835A6" w:rsidRPr="005B28C9">
        <w:t>and</w:t>
      </w:r>
      <w:r w:rsidRPr="005B28C9">
        <w:t xml:space="preserve"> Platt, L. (2022). </w:t>
      </w:r>
      <w:r w:rsidRPr="005B28C9">
        <w:rPr>
          <w:i/>
        </w:rPr>
        <w:t>Special educational needs and disability: a lifetime of disadvantage in the labour market?</w:t>
      </w:r>
      <w:r w:rsidRPr="005B28C9">
        <w:t xml:space="preserve">. </w:t>
      </w:r>
      <w:r w:rsidR="005B28C9" w:rsidRPr="005B28C9">
        <w:t>Available at:</w:t>
      </w:r>
      <w:r w:rsidRPr="005B28C9">
        <w:t xml:space="preserve"> </w:t>
      </w:r>
      <w:hyperlink r:id="rId168" w:history="1">
        <w:r w:rsidRPr="005B28C9">
          <w:rPr>
            <w:rStyle w:val="Hyperlink"/>
          </w:rPr>
          <w:t>https://cls.ucl.ac.uk/wp-content/uploads/2017/02/CLS-Working-Paper-2022-4-Special-educational-needs-and-disability-a-lifetime-of-disadvantage-in-the-labour-market.pdf</w:t>
        </w:r>
      </w:hyperlink>
      <w:r w:rsidRPr="005B28C9">
        <w:t xml:space="preserve"> </w:t>
      </w:r>
    </w:p>
  </w:endnote>
  <w:endnote w:id="188">
    <w:p w14:paraId="2F97E77E" w14:textId="2BF5EE7A" w:rsidR="004E04E1" w:rsidRPr="00053374" w:rsidRDefault="004E04E1" w:rsidP="004C3828">
      <w:pPr>
        <w:pStyle w:val="EndnoteText"/>
        <w:jc w:val="left"/>
        <w:rPr>
          <w:highlight w:val="green"/>
        </w:rPr>
      </w:pPr>
      <w:r w:rsidRPr="00622098">
        <w:rPr>
          <w:rStyle w:val="EndnoteReference"/>
        </w:rPr>
        <w:endnoteRef/>
      </w:r>
      <w:r w:rsidRPr="00622098">
        <w:t xml:space="preserve"> Carroll, C.</w:t>
      </w:r>
      <w:r w:rsidR="00D87AB3" w:rsidRPr="00622098">
        <w:t xml:space="preserve"> and</w:t>
      </w:r>
      <w:r w:rsidRPr="00622098">
        <w:t xml:space="preserve"> Hurry, J. (2018). </w:t>
      </w:r>
      <w:r w:rsidR="00D87AB3" w:rsidRPr="00622098">
        <w:t>‘</w:t>
      </w:r>
      <w:r w:rsidRPr="00622098">
        <w:t>Supporting pupils in school with social, emotional and mental health needs: a scoping review of the literature</w:t>
      </w:r>
      <w:r w:rsidR="00D87AB3" w:rsidRPr="00622098">
        <w:t>’,</w:t>
      </w:r>
      <w:r w:rsidRPr="00622098">
        <w:t> </w:t>
      </w:r>
      <w:r w:rsidRPr="00622098">
        <w:rPr>
          <w:i/>
        </w:rPr>
        <w:t>Emotional and Behavioural Difficulties</w:t>
      </w:r>
      <w:r w:rsidRPr="00622098">
        <w:t xml:space="preserve">, 23(3), </w:t>
      </w:r>
      <w:r w:rsidR="00D87AB3" w:rsidRPr="00622098">
        <w:t>pp.</w:t>
      </w:r>
      <w:r w:rsidRPr="00622098">
        <w:t>310-325.</w:t>
      </w:r>
      <w:r w:rsidR="00622098" w:rsidRPr="00622098">
        <w:t xml:space="preserve"> doi: </w:t>
      </w:r>
      <w:hyperlink r:id="rId169" w:history="1">
        <w:r w:rsidR="00622098" w:rsidRPr="00622098">
          <w:rPr>
            <w:rStyle w:val="Hyperlink"/>
          </w:rPr>
          <w:t>https://doi.org/10.1080/13632752.2018.1452590</w:t>
        </w:r>
      </w:hyperlink>
      <w:r w:rsidR="00622098">
        <w:t xml:space="preserve"> </w:t>
      </w:r>
    </w:p>
  </w:endnote>
  <w:endnote w:id="189">
    <w:p w14:paraId="5F09D574" w14:textId="4CF8DFFB" w:rsidR="004E04E1" w:rsidRPr="00053374" w:rsidRDefault="004E04E1" w:rsidP="004C3828">
      <w:pPr>
        <w:pStyle w:val="EndnoteText"/>
        <w:jc w:val="left"/>
        <w:rPr>
          <w:highlight w:val="green"/>
        </w:rPr>
      </w:pPr>
      <w:r w:rsidRPr="00B158E9">
        <w:rPr>
          <w:rStyle w:val="EndnoteReference"/>
        </w:rPr>
        <w:endnoteRef/>
      </w:r>
      <w:r w:rsidRPr="00476C25">
        <w:rPr>
          <w:lang w:val="de-DE"/>
        </w:rPr>
        <w:t xml:space="preserve"> Arnberg, A.</w:t>
      </w:r>
      <w:r w:rsidR="0031497D" w:rsidRPr="00476C25">
        <w:rPr>
          <w:lang w:val="de-DE"/>
        </w:rPr>
        <w:t xml:space="preserve"> and</w:t>
      </w:r>
      <w:r w:rsidRPr="00476C25">
        <w:rPr>
          <w:lang w:val="de-DE"/>
        </w:rPr>
        <w:t xml:space="preserve"> Öst, L. G. (2014). </w:t>
      </w:r>
      <w:r w:rsidR="0031497D" w:rsidRPr="00B158E9">
        <w:t>‘</w:t>
      </w:r>
      <w:r w:rsidRPr="00B158E9">
        <w:t>CBT for children with depressive symptoms: a meta-analysis</w:t>
      </w:r>
      <w:r w:rsidR="0031497D" w:rsidRPr="00B158E9">
        <w:t>’,</w:t>
      </w:r>
      <w:r w:rsidRPr="00B158E9">
        <w:t> </w:t>
      </w:r>
      <w:r w:rsidRPr="00B158E9">
        <w:rPr>
          <w:i/>
        </w:rPr>
        <w:t>Cognitive Behaviour Therapy</w:t>
      </w:r>
      <w:r w:rsidRPr="00B158E9">
        <w:t xml:space="preserve">, 43(4), </w:t>
      </w:r>
      <w:r w:rsidR="0031497D" w:rsidRPr="00B158E9">
        <w:t>pp.</w:t>
      </w:r>
      <w:r w:rsidRPr="00B158E9">
        <w:t>275-288.</w:t>
      </w:r>
      <w:r w:rsidR="00B158E9" w:rsidRPr="00B158E9">
        <w:t xml:space="preserve"> doi: </w:t>
      </w:r>
      <w:hyperlink r:id="rId170" w:history="1">
        <w:r w:rsidR="00B158E9" w:rsidRPr="00B158E9">
          <w:rPr>
            <w:rStyle w:val="Hyperlink"/>
          </w:rPr>
          <w:t>https://doi.org/10.1080/16506073.2014.947316</w:t>
        </w:r>
      </w:hyperlink>
      <w:r w:rsidR="00B158E9">
        <w:t xml:space="preserve"> </w:t>
      </w:r>
    </w:p>
  </w:endnote>
  <w:endnote w:id="190">
    <w:p w14:paraId="5E475BA9" w14:textId="6875C791" w:rsidR="004E04E1" w:rsidRPr="00053374" w:rsidRDefault="004E04E1" w:rsidP="004C3828">
      <w:pPr>
        <w:pStyle w:val="EndnoteText"/>
        <w:jc w:val="left"/>
        <w:rPr>
          <w:highlight w:val="green"/>
        </w:rPr>
      </w:pPr>
      <w:r w:rsidRPr="003C226A">
        <w:rPr>
          <w:rStyle w:val="EndnoteReference"/>
        </w:rPr>
        <w:endnoteRef/>
      </w:r>
      <w:r w:rsidRPr="003C226A">
        <w:t xml:space="preserve"> Choo, C. (2014). </w:t>
      </w:r>
      <w:r w:rsidR="001E0B36" w:rsidRPr="003C226A">
        <w:t>‘</w:t>
      </w:r>
      <w:r w:rsidRPr="003C226A">
        <w:t>Adapting cognitive behavioral therapy for children and adolescents with complex symptoms of neurodevelopmental disorders and conduct disorders</w:t>
      </w:r>
      <w:r w:rsidR="001E0B36" w:rsidRPr="003C226A">
        <w:t>’,</w:t>
      </w:r>
      <w:r w:rsidRPr="003C226A">
        <w:t> </w:t>
      </w:r>
      <w:r w:rsidRPr="003C226A">
        <w:rPr>
          <w:i/>
        </w:rPr>
        <w:t>Journal of Psychological Abnormalities in Children</w:t>
      </w:r>
      <w:r w:rsidRPr="003C226A">
        <w:t xml:space="preserve">, 3, </w:t>
      </w:r>
      <w:r w:rsidR="001E0B36" w:rsidRPr="003C226A">
        <w:t>pp.</w:t>
      </w:r>
      <w:r w:rsidRPr="003C226A">
        <w:t>1-3.</w:t>
      </w:r>
      <w:r w:rsidR="001E0B36" w:rsidRPr="003C226A">
        <w:t xml:space="preserve"> doi: </w:t>
      </w:r>
      <w:hyperlink r:id="rId171" w:history="1">
        <w:r w:rsidR="003C226A" w:rsidRPr="003C226A">
          <w:rPr>
            <w:rStyle w:val="Hyperlink"/>
          </w:rPr>
          <w:t>http://doi.org/10.4172/2329-9525.1000124</w:t>
        </w:r>
      </w:hyperlink>
      <w:r w:rsidR="003C226A">
        <w:t xml:space="preserve"> </w:t>
      </w:r>
    </w:p>
  </w:endnote>
  <w:endnote w:id="191">
    <w:p w14:paraId="1974983B" w14:textId="270717E0" w:rsidR="004E04E1" w:rsidRPr="00053374" w:rsidRDefault="004E04E1" w:rsidP="004C3828">
      <w:pPr>
        <w:pStyle w:val="EndnoteText"/>
        <w:jc w:val="left"/>
        <w:rPr>
          <w:highlight w:val="green"/>
        </w:rPr>
      </w:pPr>
      <w:r w:rsidRPr="00654C91">
        <w:rPr>
          <w:rStyle w:val="EndnoteReference"/>
        </w:rPr>
        <w:endnoteRef/>
      </w:r>
      <w:r w:rsidRPr="00654C91">
        <w:t xml:space="preserve"> Spain, D.</w:t>
      </w:r>
      <w:r w:rsidR="003C226A" w:rsidRPr="00654C91">
        <w:t xml:space="preserve"> and</w:t>
      </w:r>
      <w:r w:rsidRPr="00654C91">
        <w:t xml:space="preserve"> Happé, F. (2020). </w:t>
      </w:r>
      <w:r w:rsidR="003C226A" w:rsidRPr="00654C91">
        <w:t>‘</w:t>
      </w:r>
      <w:r w:rsidRPr="00654C91">
        <w:t>How to optimise cognitive behaviour therapy (CBT) for people with autism spectrum disorders (ASD): A Delphi study</w:t>
      </w:r>
      <w:r w:rsidR="003C226A" w:rsidRPr="00654C91">
        <w:t>’,</w:t>
      </w:r>
      <w:r w:rsidRPr="00654C91">
        <w:t> </w:t>
      </w:r>
      <w:r w:rsidRPr="00654C91">
        <w:rPr>
          <w:i/>
        </w:rPr>
        <w:t>Journal of Rational-Emotive &amp; Cognitive-Behavior Therapy</w:t>
      </w:r>
      <w:r w:rsidRPr="00654C91">
        <w:t xml:space="preserve">, 38(2), </w:t>
      </w:r>
      <w:r w:rsidR="003C226A" w:rsidRPr="00654C91">
        <w:t>pp.</w:t>
      </w:r>
      <w:r w:rsidRPr="00654C91">
        <w:t>184-208.</w:t>
      </w:r>
      <w:r w:rsidR="00654C91" w:rsidRPr="00654C91">
        <w:t xml:space="preserve"> doi: </w:t>
      </w:r>
      <w:hyperlink r:id="rId172" w:history="1">
        <w:r w:rsidR="00654C91" w:rsidRPr="00654C91">
          <w:rPr>
            <w:rStyle w:val="Hyperlink"/>
          </w:rPr>
          <w:t>https://doi.org/10.1007/s10942-019-00335-1</w:t>
        </w:r>
      </w:hyperlink>
      <w:r w:rsidR="00654C91">
        <w:t xml:space="preserve"> </w:t>
      </w:r>
    </w:p>
  </w:endnote>
  <w:endnote w:id="192">
    <w:p w14:paraId="1C959484" w14:textId="0FF74422" w:rsidR="004E04E1" w:rsidRPr="00053374" w:rsidRDefault="004E04E1" w:rsidP="004C3828">
      <w:pPr>
        <w:pStyle w:val="EndnoteText"/>
        <w:jc w:val="left"/>
        <w:rPr>
          <w:highlight w:val="green"/>
        </w:rPr>
      </w:pPr>
      <w:r w:rsidRPr="00046730">
        <w:rPr>
          <w:rStyle w:val="EndnoteReference"/>
        </w:rPr>
        <w:endnoteRef/>
      </w:r>
      <w:r w:rsidRPr="00046730">
        <w:t xml:space="preserve"> Kim, J.</w:t>
      </w:r>
      <w:r w:rsidR="00654C91" w:rsidRPr="00046730">
        <w:t xml:space="preserve"> and</w:t>
      </w:r>
      <w:r w:rsidRPr="00046730">
        <w:t xml:space="preserve"> Chung, Y. J. (2023). </w:t>
      </w:r>
      <w:r w:rsidR="00654C91" w:rsidRPr="00046730">
        <w:t>‘</w:t>
      </w:r>
      <w:r w:rsidRPr="00046730">
        <w:t>A case study of group art therapy using digital media for adolescents with intellectual disabilities</w:t>
      </w:r>
      <w:r w:rsidR="00654C91" w:rsidRPr="00046730">
        <w:t>’,</w:t>
      </w:r>
      <w:r w:rsidRPr="00046730">
        <w:t> </w:t>
      </w:r>
      <w:r w:rsidRPr="00046730">
        <w:rPr>
          <w:i/>
        </w:rPr>
        <w:t>Frontiers in Psychiatry</w:t>
      </w:r>
      <w:r w:rsidRPr="00046730">
        <w:t xml:space="preserve">, 14, </w:t>
      </w:r>
      <w:r w:rsidR="00654C91" w:rsidRPr="00046730">
        <w:t>p.</w:t>
      </w:r>
      <w:r w:rsidRPr="00046730">
        <w:t>1172079.</w:t>
      </w:r>
      <w:r w:rsidR="00046730" w:rsidRPr="00046730">
        <w:t xml:space="preserve"> doi: </w:t>
      </w:r>
      <w:hyperlink r:id="rId173" w:history="1">
        <w:r w:rsidR="00046730" w:rsidRPr="00046730">
          <w:rPr>
            <w:rStyle w:val="Hyperlink"/>
          </w:rPr>
          <w:t>https://doi.org/10.3389/fpsyt.2023.1172079</w:t>
        </w:r>
      </w:hyperlink>
      <w:r w:rsidR="00046730">
        <w:t xml:space="preserve"> </w:t>
      </w:r>
    </w:p>
  </w:endnote>
  <w:endnote w:id="193">
    <w:p w14:paraId="316F4D97" w14:textId="126980BA" w:rsidR="004E04E1" w:rsidRPr="00053374" w:rsidRDefault="004E04E1" w:rsidP="004C3828">
      <w:pPr>
        <w:pStyle w:val="EndnoteText"/>
        <w:jc w:val="left"/>
        <w:rPr>
          <w:highlight w:val="green"/>
        </w:rPr>
      </w:pPr>
      <w:r w:rsidRPr="00DA3F88">
        <w:rPr>
          <w:rStyle w:val="EndnoteReference"/>
        </w:rPr>
        <w:endnoteRef/>
      </w:r>
      <w:r w:rsidRPr="00DA3F88">
        <w:t xml:space="preserve"> Kovačević, T. R.</w:t>
      </w:r>
      <w:r w:rsidR="00046730" w:rsidRPr="00DA3F88">
        <w:t xml:space="preserve"> and</w:t>
      </w:r>
      <w:r w:rsidRPr="00DA3F88">
        <w:t xml:space="preserve"> Đoković, S. T. (2023). </w:t>
      </w:r>
      <w:r w:rsidR="00046730" w:rsidRPr="00DA3F88">
        <w:t>‘</w:t>
      </w:r>
      <w:r w:rsidRPr="00DA3F88">
        <w:t>Development of artistic expression in deaf and hard of hearing preschool children</w:t>
      </w:r>
      <w:r w:rsidR="00046730" w:rsidRPr="00DA3F88">
        <w:t>’,</w:t>
      </w:r>
      <w:r w:rsidRPr="00DA3F88">
        <w:t> </w:t>
      </w:r>
      <w:r w:rsidRPr="00DA3F88">
        <w:rPr>
          <w:i/>
        </w:rPr>
        <w:t>Baština</w:t>
      </w:r>
      <w:r w:rsidRPr="00DA3F88">
        <w:t>, 33(60).</w:t>
      </w:r>
      <w:r w:rsidR="00DA3F88" w:rsidRPr="00DA3F88">
        <w:t xml:space="preserve"> </w:t>
      </w:r>
      <w:r w:rsidR="00DA3F88">
        <w:t xml:space="preserve">doi: </w:t>
      </w:r>
      <w:hyperlink r:id="rId174" w:history="1">
        <w:r w:rsidR="00047B05" w:rsidRPr="00AB25E7">
          <w:rPr>
            <w:rStyle w:val="Hyperlink"/>
          </w:rPr>
          <w:t>https://doi.org/10.5937/bastina33-43061</w:t>
        </w:r>
      </w:hyperlink>
      <w:r w:rsidR="00DA3F88">
        <w:t xml:space="preserve"> </w:t>
      </w:r>
    </w:p>
  </w:endnote>
  <w:endnote w:id="194">
    <w:p w14:paraId="16007831" w14:textId="3A124077" w:rsidR="004E04E1" w:rsidRPr="00053374" w:rsidRDefault="004E04E1" w:rsidP="004C3828">
      <w:pPr>
        <w:pStyle w:val="EndnoteText"/>
        <w:jc w:val="left"/>
        <w:rPr>
          <w:highlight w:val="green"/>
        </w:rPr>
      </w:pPr>
      <w:r w:rsidRPr="000D03B6">
        <w:rPr>
          <w:rStyle w:val="EndnoteReference"/>
        </w:rPr>
        <w:endnoteRef/>
      </w:r>
      <w:r w:rsidRPr="000D03B6">
        <w:t xml:space="preserve"> Vogel, S. W., Mullins, K. L.</w:t>
      </w:r>
      <w:r w:rsidR="00047B05" w:rsidRPr="000D03B6">
        <w:t xml:space="preserve"> and</w:t>
      </w:r>
      <w:r w:rsidRPr="000D03B6">
        <w:t xml:space="preserve"> Kumar, S. (2025). </w:t>
      </w:r>
      <w:r w:rsidR="00047B05" w:rsidRPr="000D03B6">
        <w:t>‘</w:t>
      </w:r>
      <w:r w:rsidRPr="000D03B6">
        <w:t>Art therapy for children and adolescents with autism: a systematic review</w:t>
      </w:r>
      <w:r w:rsidR="00047B05" w:rsidRPr="000D03B6">
        <w:t>’,</w:t>
      </w:r>
      <w:r w:rsidRPr="000D03B6">
        <w:t> </w:t>
      </w:r>
      <w:r w:rsidRPr="000D03B6">
        <w:rPr>
          <w:i/>
        </w:rPr>
        <w:t>International Journal of Art Therapy</w:t>
      </w:r>
      <w:r w:rsidRPr="000D03B6">
        <w:t xml:space="preserve">, 30(2), </w:t>
      </w:r>
      <w:r w:rsidR="00047B05" w:rsidRPr="000D03B6">
        <w:t>pp.</w:t>
      </w:r>
      <w:r w:rsidRPr="000D03B6">
        <w:t>113-122.</w:t>
      </w:r>
      <w:r w:rsidR="000D03B6" w:rsidRPr="000D03B6">
        <w:t xml:space="preserve"> doi: </w:t>
      </w:r>
      <w:hyperlink r:id="rId175" w:history="1">
        <w:r w:rsidR="000D03B6" w:rsidRPr="000D03B6">
          <w:rPr>
            <w:rStyle w:val="Hyperlink"/>
          </w:rPr>
          <w:t>https://doi.org/10.1080/17454832.2024.2343373</w:t>
        </w:r>
      </w:hyperlink>
      <w:r w:rsidR="000D03B6">
        <w:t xml:space="preserve"> </w:t>
      </w:r>
    </w:p>
  </w:endnote>
  <w:endnote w:id="195">
    <w:p w14:paraId="0937BA69" w14:textId="380CD226" w:rsidR="005C70DF" w:rsidRPr="00053374" w:rsidRDefault="005C70DF" w:rsidP="004C3828">
      <w:pPr>
        <w:pStyle w:val="EndnoteText"/>
        <w:jc w:val="left"/>
        <w:rPr>
          <w:highlight w:val="green"/>
        </w:rPr>
      </w:pPr>
      <w:r w:rsidRPr="00A010AC">
        <w:rPr>
          <w:rStyle w:val="EndnoteReference"/>
        </w:rPr>
        <w:endnoteRef/>
      </w:r>
      <w:r w:rsidRPr="00A010AC">
        <w:t xml:space="preserve"> </w:t>
      </w:r>
      <w:r w:rsidR="00F83FB7" w:rsidRPr="00A010AC">
        <w:t>Royal National Institute for Deaf People (</w:t>
      </w:r>
      <w:r w:rsidR="00ED6895" w:rsidRPr="00A010AC">
        <w:t xml:space="preserve">2024). </w:t>
      </w:r>
      <w:r w:rsidRPr="00A010AC">
        <w:rPr>
          <w:i/>
        </w:rPr>
        <w:t>Prevalence of deafness and hearing loss</w:t>
      </w:r>
      <w:r w:rsidRPr="00A010AC">
        <w:t xml:space="preserve">. </w:t>
      </w:r>
      <w:r w:rsidR="00A010AC" w:rsidRPr="00A010AC">
        <w:t xml:space="preserve">Available at: </w:t>
      </w:r>
      <w:hyperlink r:id="rId176" w:history="1">
        <w:r w:rsidR="00A010AC" w:rsidRPr="00A010AC">
          <w:rPr>
            <w:rStyle w:val="Hyperlink"/>
          </w:rPr>
          <w:t>https://rnid.org.uk/get-involved/research-and-policy/facts-and-figures/prevalence-of-deafness-and-hearing-loss/</w:t>
        </w:r>
      </w:hyperlink>
      <w:r w:rsidR="00A010AC" w:rsidRPr="00A010AC">
        <w:t xml:space="preserve"> </w:t>
      </w:r>
    </w:p>
  </w:endnote>
  <w:endnote w:id="196">
    <w:p w14:paraId="7809BF0D" w14:textId="5A72B813" w:rsidR="005C70DF" w:rsidRPr="00053374" w:rsidRDefault="005C70DF" w:rsidP="004C3828">
      <w:pPr>
        <w:pStyle w:val="EndnoteText"/>
        <w:jc w:val="left"/>
        <w:rPr>
          <w:highlight w:val="green"/>
        </w:rPr>
      </w:pPr>
      <w:r w:rsidRPr="00CC56BA">
        <w:rPr>
          <w:rStyle w:val="EndnoteReference"/>
        </w:rPr>
        <w:endnoteRef/>
      </w:r>
      <w:r w:rsidRPr="00CC56BA">
        <w:t xml:space="preserve"> Akeroyd, M</w:t>
      </w:r>
      <w:r w:rsidR="001901B6" w:rsidRPr="00CC56BA">
        <w:t>.</w:t>
      </w:r>
      <w:r w:rsidRPr="00CC56BA">
        <w:t>A. and Munro</w:t>
      </w:r>
      <w:r w:rsidR="001901B6" w:rsidRPr="00CC56BA">
        <w:t>, K.J. (2024)</w:t>
      </w:r>
      <w:r w:rsidRPr="00CC56BA">
        <w:t xml:space="preserve">. </w:t>
      </w:r>
      <w:r w:rsidR="003C5A78" w:rsidRPr="00CC56BA">
        <w:t>‘</w:t>
      </w:r>
      <w:r w:rsidRPr="00CC56BA">
        <w:t>Population estimates of the number of adults in the UK with a hearing loss updated using 2021 and 2022 census data</w:t>
      </w:r>
      <w:r w:rsidR="003C5A78" w:rsidRPr="00CC56BA">
        <w:t>’,</w:t>
      </w:r>
      <w:r w:rsidRPr="00CC56BA">
        <w:t> </w:t>
      </w:r>
      <w:r w:rsidRPr="00CC56BA">
        <w:rPr>
          <w:i/>
        </w:rPr>
        <w:t>International Journal of Audiology</w:t>
      </w:r>
      <w:r w:rsidR="00305DBC" w:rsidRPr="00CC56BA">
        <w:rPr>
          <w:i/>
        </w:rPr>
        <w:t xml:space="preserve">, </w:t>
      </w:r>
      <w:r w:rsidRPr="00CC56BA">
        <w:t>63</w:t>
      </w:r>
      <w:r w:rsidR="00305DBC" w:rsidRPr="00CC56BA">
        <w:t>(</w:t>
      </w:r>
      <w:r w:rsidRPr="00CC56BA">
        <w:t>9</w:t>
      </w:r>
      <w:r w:rsidR="00305DBC" w:rsidRPr="00CC56BA">
        <w:t>), pp.</w:t>
      </w:r>
      <w:r w:rsidRPr="00CC56BA">
        <w:t>659-660</w:t>
      </w:r>
      <w:r w:rsidRPr="00CC56BA">
        <w:rPr>
          <w:i/>
        </w:rPr>
        <w:t xml:space="preserve">. </w:t>
      </w:r>
      <w:r w:rsidR="00CC56BA" w:rsidRPr="00CC56BA">
        <w:t xml:space="preserve">doi: </w:t>
      </w:r>
      <w:hyperlink r:id="rId177" w:history="1">
        <w:r w:rsidR="00CC56BA" w:rsidRPr="00CC56BA">
          <w:rPr>
            <w:rStyle w:val="Hyperlink"/>
          </w:rPr>
          <w:t>https://doi.org/10.1080/14992027.2024.2341956</w:t>
        </w:r>
      </w:hyperlink>
      <w:r w:rsidR="00CC56BA" w:rsidRPr="00CC56BA">
        <w:t xml:space="preserve"> </w:t>
      </w:r>
      <w:r w:rsidRPr="00CC56BA">
        <w:t xml:space="preserve"> </w:t>
      </w:r>
    </w:p>
  </w:endnote>
  <w:endnote w:id="197">
    <w:p w14:paraId="175CF7A4" w14:textId="158A2ED2" w:rsidR="005C70DF" w:rsidRPr="00053374" w:rsidRDefault="005C70DF" w:rsidP="004C3828">
      <w:pPr>
        <w:pStyle w:val="EndnoteText"/>
        <w:jc w:val="left"/>
        <w:rPr>
          <w:highlight w:val="green"/>
        </w:rPr>
      </w:pPr>
      <w:r w:rsidRPr="00D54BA7">
        <w:rPr>
          <w:rStyle w:val="EndnoteReference"/>
        </w:rPr>
        <w:endnoteRef/>
      </w:r>
      <w:r w:rsidRPr="00476C25">
        <w:t xml:space="preserve"> Ohgami, N., Iida, M., Yajima, I., Tamura, H., Ohgami, K.</w:t>
      </w:r>
      <w:r w:rsidR="00CC56BA" w:rsidRPr="00476C25">
        <w:t xml:space="preserve"> and</w:t>
      </w:r>
      <w:r w:rsidRPr="00476C25">
        <w:t xml:space="preserve"> Kato, M. (2013). </w:t>
      </w:r>
      <w:r w:rsidR="00CC56BA" w:rsidRPr="00D54BA7">
        <w:t>‘</w:t>
      </w:r>
      <w:r w:rsidRPr="00D54BA7">
        <w:t>Hearing impairments caused by genetic and environmental factors</w:t>
      </w:r>
      <w:r w:rsidR="00CC56BA" w:rsidRPr="00D54BA7">
        <w:t>’,</w:t>
      </w:r>
      <w:r w:rsidRPr="00D54BA7">
        <w:t> </w:t>
      </w:r>
      <w:r w:rsidRPr="00D54BA7">
        <w:rPr>
          <w:i/>
        </w:rPr>
        <w:t xml:space="preserve">Environmental </w:t>
      </w:r>
      <w:r w:rsidR="00CC56BA" w:rsidRPr="00D54BA7">
        <w:rPr>
          <w:i/>
        </w:rPr>
        <w:t>H</w:t>
      </w:r>
      <w:r w:rsidRPr="00D54BA7">
        <w:rPr>
          <w:i/>
        </w:rPr>
        <w:t xml:space="preserve">ealth and </w:t>
      </w:r>
      <w:r w:rsidR="00CC56BA" w:rsidRPr="00D54BA7">
        <w:rPr>
          <w:i/>
        </w:rPr>
        <w:t>P</w:t>
      </w:r>
      <w:r w:rsidRPr="00D54BA7">
        <w:rPr>
          <w:i/>
        </w:rPr>
        <w:t xml:space="preserve">reventive </w:t>
      </w:r>
      <w:r w:rsidR="00CC56BA" w:rsidRPr="00D54BA7">
        <w:rPr>
          <w:i/>
        </w:rPr>
        <w:t>M</w:t>
      </w:r>
      <w:r w:rsidRPr="00D54BA7">
        <w:rPr>
          <w:i/>
        </w:rPr>
        <w:t>edicine</w:t>
      </w:r>
      <w:r w:rsidRPr="00D54BA7">
        <w:t xml:space="preserve">, 18, </w:t>
      </w:r>
      <w:r w:rsidR="00CC56BA" w:rsidRPr="00D54BA7">
        <w:t>pp.</w:t>
      </w:r>
      <w:r w:rsidRPr="00D54BA7">
        <w:t>10-15.</w:t>
      </w:r>
      <w:r w:rsidR="00CC56BA" w:rsidRPr="00D54BA7">
        <w:t xml:space="preserve"> doi: </w:t>
      </w:r>
      <w:hyperlink r:id="rId178" w:history="1">
        <w:r w:rsidR="000108A9" w:rsidRPr="00D54BA7">
          <w:rPr>
            <w:rStyle w:val="Hyperlink"/>
          </w:rPr>
          <w:t>https://doi.org/10.1007/s12199-012-0300-z</w:t>
        </w:r>
      </w:hyperlink>
    </w:p>
  </w:endnote>
  <w:endnote w:id="198">
    <w:p w14:paraId="4687A1B6" w14:textId="09799CAA" w:rsidR="005C70DF" w:rsidRPr="00053374" w:rsidRDefault="005C70DF" w:rsidP="004C3828">
      <w:pPr>
        <w:pStyle w:val="EndnoteText"/>
        <w:jc w:val="left"/>
        <w:rPr>
          <w:highlight w:val="green"/>
        </w:rPr>
      </w:pPr>
      <w:r w:rsidRPr="00C91D36">
        <w:rPr>
          <w:rStyle w:val="EndnoteReference"/>
        </w:rPr>
        <w:endnoteRef/>
      </w:r>
      <w:r w:rsidRPr="00C91D36">
        <w:t xml:space="preserve"> </w:t>
      </w:r>
      <w:r w:rsidR="00CF62F5" w:rsidRPr="00A010AC">
        <w:t xml:space="preserve">Royal National Institute for Deaf People </w:t>
      </w:r>
      <w:r w:rsidR="00CF62F5">
        <w:t>(</w:t>
      </w:r>
      <w:r w:rsidR="00A5501E">
        <w:t>n.d.</w:t>
      </w:r>
      <w:r w:rsidR="00CF62F5">
        <w:t>).</w:t>
      </w:r>
      <w:r w:rsidR="00A5501E">
        <w:t xml:space="preserve"> </w:t>
      </w:r>
      <w:r w:rsidRPr="00C91D36">
        <w:rPr>
          <w:i/>
        </w:rPr>
        <w:t>Types and causes of hearing loss and deafness</w:t>
      </w:r>
      <w:r w:rsidRPr="00C91D36">
        <w:t xml:space="preserve">. </w:t>
      </w:r>
      <w:r w:rsidR="00A65FCF" w:rsidRPr="00C91D36">
        <w:t>Available at:</w:t>
      </w:r>
      <w:r w:rsidR="00751332" w:rsidRPr="00C91D36">
        <w:t xml:space="preserve"> </w:t>
      </w:r>
      <w:hyperlink r:id="rId179" w:history="1">
        <w:r w:rsidR="00751332" w:rsidRPr="00C91D36">
          <w:rPr>
            <w:rStyle w:val="Hyperlink"/>
          </w:rPr>
          <w:t>https://rnid.org.uk/information-and-support/hearing-loss/types-of-hearing-loss-and-deafness/</w:t>
        </w:r>
      </w:hyperlink>
      <w:r w:rsidR="00751332" w:rsidRPr="00C91D36">
        <w:t xml:space="preserve"> </w:t>
      </w:r>
    </w:p>
  </w:endnote>
  <w:endnote w:id="199">
    <w:p w14:paraId="5C53983C" w14:textId="3CEB1FC2" w:rsidR="005C70DF" w:rsidRPr="00F70B88" w:rsidRDefault="005C70DF" w:rsidP="004C3828">
      <w:pPr>
        <w:pStyle w:val="EndnoteText"/>
        <w:jc w:val="left"/>
      </w:pPr>
      <w:r w:rsidRPr="00F70B88">
        <w:rPr>
          <w:rStyle w:val="EndnoteReference"/>
        </w:rPr>
        <w:endnoteRef/>
      </w:r>
      <w:r w:rsidRPr="00F70B88">
        <w:t xml:space="preserve"> U.S. Department of Health and Human Services (n.d). </w:t>
      </w:r>
      <w:r w:rsidRPr="00F70B88">
        <w:rPr>
          <w:i/>
        </w:rPr>
        <w:t>Sudden deafness</w:t>
      </w:r>
      <w:r w:rsidRPr="00F70B88">
        <w:t xml:space="preserve">. </w:t>
      </w:r>
      <w:r w:rsidR="008C4503" w:rsidRPr="00F70B88">
        <w:t>Available at:</w:t>
      </w:r>
      <w:r>
        <w:t xml:space="preserve"> </w:t>
      </w:r>
      <w:hyperlink r:id="rId180" w:history="1">
        <w:r w:rsidRPr="00F70B88">
          <w:rPr>
            <w:rStyle w:val="Hyperlink"/>
          </w:rPr>
          <w:t>https://www.nidcd.nih.gov/health/sudden-deafness</w:t>
        </w:r>
      </w:hyperlink>
      <w:r w:rsidRPr="00F70B88">
        <w:t xml:space="preserve"> </w:t>
      </w:r>
    </w:p>
  </w:endnote>
  <w:endnote w:id="200">
    <w:p w14:paraId="0E041CD4" w14:textId="197BC96D" w:rsidR="005C70DF" w:rsidRPr="00053374" w:rsidRDefault="005C70DF" w:rsidP="004C3828">
      <w:pPr>
        <w:pStyle w:val="EndnoteText"/>
        <w:jc w:val="left"/>
        <w:rPr>
          <w:highlight w:val="green"/>
        </w:rPr>
      </w:pPr>
      <w:r w:rsidRPr="00F70B88">
        <w:rPr>
          <w:rStyle w:val="EndnoteReference"/>
        </w:rPr>
        <w:endnoteRef/>
      </w:r>
      <w:r w:rsidRPr="00F70B88">
        <w:t xml:space="preserve"> U.S. Department of Health and Human Services. (n.d). </w:t>
      </w:r>
      <w:r w:rsidRPr="00F70B88">
        <w:rPr>
          <w:i/>
        </w:rPr>
        <w:t>Noise-induced hearing loss</w:t>
      </w:r>
      <w:r w:rsidRPr="00F70B88">
        <w:t xml:space="preserve">. </w:t>
      </w:r>
      <w:r w:rsidR="00F70B88" w:rsidRPr="00F70B88">
        <w:t>Available at:</w:t>
      </w:r>
      <w:r w:rsidRPr="00F70B88">
        <w:t xml:space="preserve"> </w:t>
      </w:r>
      <w:hyperlink r:id="rId181" w:history="1">
        <w:r w:rsidRPr="00F70B88">
          <w:rPr>
            <w:rStyle w:val="Hyperlink"/>
          </w:rPr>
          <w:t>https://www.nidcd.nih.gov/health/noise-induced-hearing-loss</w:t>
        </w:r>
      </w:hyperlink>
      <w:r w:rsidRPr="00F70B88">
        <w:t xml:space="preserve"> </w:t>
      </w:r>
    </w:p>
  </w:endnote>
  <w:endnote w:id="201">
    <w:p w14:paraId="2BD36878" w14:textId="5414FF98" w:rsidR="00CB1620" w:rsidRDefault="00CB1620" w:rsidP="00293C95">
      <w:pPr>
        <w:pStyle w:val="EndnoteText"/>
        <w:jc w:val="left"/>
      </w:pPr>
      <w:r>
        <w:rPr>
          <w:rStyle w:val="EndnoteReference"/>
        </w:rPr>
        <w:endnoteRef/>
      </w:r>
      <w:r>
        <w:t xml:space="preserve"> </w:t>
      </w:r>
      <w:r w:rsidR="001977D3" w:rsidRPr="001977D3">
        <w:t>Sutton, A. E., &amp; Goldman, J. (2025). Syndromic sensorineural hearing loss. In </w:t>
      </w:r>
      <w:r w:rsidR="001977D3" w:rsidRPr="001977D3">
        <w:rPr>
          <w:i/>
          <w:iCs/>
        </w:rPr>
        <w:t xml:space="preserve">StatPearls </w:t>
      </w:r>
      <w:r w:rsidR="001977D3" w:rsidRPr="001977D3">
        <w:t>. StatPearls Publishing.</w:t>
      </w:r>
      <w:r w:rsidR="004C732C">
        <w:t xml:space="preserve"> Available at: </w:t>
      </w:r>
      <w:hyperlink r:id="rId182" w:anchor=":~:text=Approximately%20half%20of%20congenital%20deafness,ideal%20candidates%20for%20cochlear%20implantation" w:history="1">
        <w:r w:rsidR="00991CD3" w:rsidRPr="000E6898">
          <w:rPr>
            <w:rStyle w:val="Hyperlink"/>
          </w:rPr>
          <w:t>https://www.ncbi.nlm.nih.gov/books/NBK526088/#:~:text=Approximately%20half%20of%20congenital%20deafness,ideal%20candidates%20for%20cochlear%20implantation</w:t>
        </w:r>
      </w:hyperlink>
      <w:r w:rsidR="00991CD3" w:rsidRPr="00991CD3">
        <w:t>.</w:t>
      </w:r>
      <w:r w:rsidR="00991CD3">
        <w:t xml:space="preserve"> </w:t>
      </w:r>
    </w:p>
  </w:endnote>
  <w:endnote w:id="202">
    <w:p w14:paraId="6827AB76" w14:textId="19313D67" w:rsidR="007A18CF" w:rsidRDefault="007A18CF">
      <w:pPr>
        <w:pStyle w:val="EndnoteText"/>
      </w:pPr>
      <w:r>
        <w:rPr>
          <w:rStyle w:val="EndnoteReference"/>
        </w:rPr>
        <w:endnoteRef/>
      </w:r>
      <w:r>
        <w:t xml:space="preserve"> </w:t>
      </w:r>
      <w:r w:rsidR="0053291D" w:rsidRPr="0053291D">
        <w:t>Wroblewska-Seniuk, K., Greczka, G., Dabrowski, P., Szyfter-Harris, J., &amp; Mazela, J. (2017). Hearing impairment in premature newborns—Analysis based on the national hearing screening database in Poland. </w:t>
      </w:r>
      <w:r w:rsidR="0053291D" w:rsidRPr="0053291D">
        <w:rPr>
          <w:i/>
          <w:iCs/>
        </w:rPr>
        <w:t>PloS one</w:t>
      </w:r>
      <w:r w:rsidR="0053291D" w:rsidRPr="0053291D">
        <w:t>, </w:t>
      </w:r>
      <w:r w:rsidR="0053291D" w:rsidRPr="0053291D">
        <w:rPr>
          <w:i/>
          <w:iCs/>
        </w:rPr>
        <w:t>12</w:t>
      </w:r>
      <w:r w:rsidR="0053291D" w:rsidRPr="0053291D">
        <w:t>(9), e0184359.</w:t>
      </w:r>
      <w:r w:rsidR="0053291D">
        <w:t xml:space="preserve"> </w:t>
      </w:r>
    </w:p>
  </w:endnote>
  <w:endnote w:id="203">
    <w:p w14:paraId="6FA120A5" w14:textId="6F2EEBE7" w:rsidR="00D251EE" w:rsidRPr="00D251EE" w:rsidRDefault="00D251EE">
      <w:pPr>
        <w:pStyle w:val="EndnoteText"/>
      </w:pPr>
      <w:r>
        <w:rPr>
          <w:rStyle w:val="EndnoteReference"/>
        </w:rPr>
        <w:endnoteRef/>
      </w:r>
      <w:r>
        <w:t xml:space="preserve"> </w:t>
      </w:r>
      <w:r w:rsidRPr="00D251EE">
        <w:t>National Deaf Children's Society (n.d</w:t>
      </w:r>
      <w:r w:rsidR="008C4503">
        <w:t>.</w:t>
      </w:r>
      <w:r w:rsidRPr="00D251EE">
        <w:t>)</w:t>
      </w:r>
      <w:r>
        <w:t>.</w:t>
      </w:r>
      <w:r w:rsidRPr="00D251EE">
        <w:t xml:space="preserve"> </w:t>
      </w:r>
      <w:r w:rsidRPr="00D251EE">
        <w:rPr>
          <w:i/>
          <w:iCs/>
        </w:rPr>
        <w:t>Causes of deafness and hearing loss</w:t>
      </w:r>
      <w:r w:rsidRPr="00D251EE">
        <w:t xml:space="preserve">. Available at: </w:t>
      </w:r>
      <w:hyperlink r:id="rId183" w:history="1">
        <w:r w:rsidRPr="00D251EE">
          <w:rPr>
            <w:rStyle w:val="Hyperlink"/>
          </w:rPr>
          <w:t>https://www.ndcs.org.uk/advice-and-support/all-advice-and-support-topics/causes-types-and-signs-deafness/causes-deafness-and-hearing-loss</w:t>
        </w:r>
      </w:hyperlink>
      <w:r w:rsidRPr="00D251EE">
        <w:t xml:space="preserve"> </w:t>
      </w:r>
    </w:p>
  </w:endnote>
  <w:endnote w:id="204">
    <w:p w14:paraId="5063B8B7" w14:textId="18CD0D91" w:rsidR="006964CC" w:rsidRPr="00053374" w:rsidRDefault="006964CC" w:rsidP="004C3828">
      <w:pPr>
        <w:pStyle w:val="EndnoteText"/>
        <w:jc w:val="left"/>
        <w:rPr>
          <w:highlight w:val="green"/>
        </w:rPr>
      </w:pPr>
      <w:r w:rsidRPr="00113835">
        <w:rPr>
          <w:rStyle w:val="EndnoteReference"/>
        </w:rPr>
        <w:endnoteRef/>
      </w:r>
      <w:r w:rsidRPr="00113835">
        <w:t xml:space="preserve"> Vieira-Potter, V. J., Karamichos, D.</w:t>
      </w:r>
      <w:r w:rsidR="00D03589" w:rsidRPr="00113835">
        <w:t xml:space="preserve"> and</w:t>
      </w:r>
      <w:r w:rsidRPr="00113835">
        <w:t xml:space="preserve"> Lee, D. J. (2016). </w:t>
      </w:r>
      <w:r w:rsidR="00D03589" w:rsidRPr="00113835">
        <w:t>‘</w:t>
      </w:r>
      <w:r w:rsidRPr="00113835">
        <w:t>Ocular complications of diabetes and therapeutic approaches</w:t>
      </w:r>
      <w:r w:rsidR="00D03589" w:rsidRPr="00113835">
        <w:t>’,</w:t>
      </w:r>
      <w:r w:rsidRPr="00113835">
        <w:t> </w:t>
      </w:r>
      <w:r w:rsidRPr="00113835">
        <w:rPr>
          <w:i/>
        </w:rPr>
        <w:t xml:space="preserve">BioMed </w:t>
      </w:r>
      <w:r w:rsidR="00D03589" w:rsidRPr="00113835">
        <w:rPr>
          <w:i/>
          <w:iCs/>
        </w:rPr>
        <w:t>R</w:t>
      </w:r>
      <w:r w:rsidRPr="00113835">
        <w:rPr>
          <w:i/>
          <w:iCs/>
        </w:rPr>
        <w:t xml:space="preserve">esearch </w:t>
      </w:r>
      <w:r w:rsidR="00D03589" w:rsidRPr="00113835">
        <w:rPr>
          <w:i/>
          <w:iCs/>
        </w:rPr>
        <w:t>I</w:t>
      </w:r>
      <w:r w:rsidRPr="00113835">
        <w:rPr>
          <w:i/>
          <w:iCs/>
        </w:rPr>
        <w:t>nternational</w:t>
      </w:r>
      <w:r w:rsidRPr="00113835">
        <w:t>, 2016(1</w:t>
      </w:r>
      <w:r w:rsidR="00CE6B2A" w:rsidRPr="00113835">
        <w:t>).</w:t>
      </w:r>
      <w:r w:rsidR="00F36ED0" w:rsidRPr="00113835">
        <w:t xml:space="preserve"> doi: </w:t>
      </w:r>
      <w:hyperlink r:id="rId184" w:history="1">
        <w:r w:rsidR="00113835" w:rsidRPr="00113835">
          <w:rPr>
            <w:rStyle w:val="Hyperlink"/>
          </w:rPr>
          <w:t>https://doi.org/10.1155/2016/3801570</w:t>
        </w:r>
      </w:hyperlink>
      <w:r w:rsidR="00113835">
        <w:t xml:space="preserve"> </w:t>
      </w:r>
    </w:p>
  </w:endnote>
  <w:endnote w:id="205">
    <w:p w14:paraId="1CB22DF2" w14:textId="6CF8181A" w:rsidR="006964CC" w:rsidRPr="00053374" w:rsidRDefault="006964CC" w:rsidP="004C3828">
      <w:pPr>
        <w:pStyle w:val="EndnoteText"/>
        <w:jc w:val="left"/>
        <w:rPr>
          <w:highlight w:val="green"/>
        </w:rPr>
      </w:pPr>
      <w:r w:rsidRPr="00425D76">
        <w:rPr>
          <w:rStyle w:val="EndnoteReference"/>
        </w:rPr>
        <w:endnoteRef/>
      </w:r>
      <w:r w:rsidRPr="00425D76">
        <w:t xml:space="preserve"> Liu, Y. C., Wilkins, M., Kim, T., Malyugin, B.</w:t>
      </w:r>
      <w:r w:rsidR="00B66947" w:rsidRPr="00425D76">
        <w:t xml:space="preserve"> and</w:t>
      </w:r>
      <w:r w:rsidRPr="00425D76">
        <w:t xml:space="preserve"> Mehta, J. S. (2017). </w:t>
      </w:r>
      <w:r w:rsidR="00B66947" w:rsidRPr="00425D76">
        <w:t>‘</w:t>
      </w:r>
      <w:r w:rsidRPr="00425D76">
        <w:t>Cataracts</w:t>
      </w:r>
      <w:r w:rsidR="00B66947" w:rsidRPr="00425D76">
        <w:t>’,</w:t>
      </w:r>
      <w:r w:rsidRPr="00425D76">
        <w:t> </w:t>
      </w:r>
      <w:r w:rsidRPr="00425D76">
        <w:rPr>
          <w:i/>
        </w:rPr>
        <w:t>The Lancet</w:t>
      </w:r>
      <w:r w:rsidRPr="00425D76">
        <w:t xml:space="preserve">, 390(10094), </w:t>
      </w:r>
      <w:r w:rsidR="00B66947" w:rsidRPr="00425D76">
        <w:t>pp.</w:t>
      </w:r>
      <w:r w:rsidRPr="00425D76">
        <w:t>600-612.</w:t>
      </w:r>
    </w:p>
  </w:endnote>
  <w:endnote w:id="206">
    <w:p w14:paraId="7A995675" w14:textId="1723C1BF" w:rsidR="006964CC" w:rsidRPr="00053374" w:rsidRDefault="006964CC" w:rsidP="004C3828">
      <w:pPr>
        <w:pStyle w:val="EndnoteText"/>
        <w:jc w:val="left"/>
        <w:rPr>
          <w:highlight w:val="green"/>
        </w:rPr>
      </w:pPr>
      <w:r w:rsidRPr="00972C7C">
        <w:rPr>
          <w:rStyle w:val="EndnoteReference"/>
        </w:rPr>
        <w:endnoteRef/>
      </w:r>
      <w:r w:rsidRPr="00972C7C">
        <w:t xml:space="preserve"> BMJ Best Practice US.</w:t>
      </w:r>
      <w:r w:rsidR="00440F41">
        <w:t xml:space="preserve">, </w:t>
      </w:r>
      <w:r w:rsidR="00FD1D25">
        <w:t>(</w:t>
      </w:r>
      <w:r w:rsidR="00440F41">
        <w:t>2024</w:t>
      </w:r>
      <w:r w:rsidR="00FD1D25">
        <w:t>)</w:t>
      </w:r>
      <w:r w:rsidR="009A79B6">
        <w:t xml:space="preserve"> </w:t>
      </w:r>
      <w:r w:rsidR="00B14AB4" w:rsidRPr="00FC062B">
        <w:rPr>
          <w:i/>
          <w:iCs/>
        </w:rPr>
        <w:t>Trachoma - Symptoms, diagnosis and treatment</w:t>
      </w:r>
      <w:r w:rsidR="00972C7C" w:rsidRPr="00972C7C">
        <w:t xml:space="preserve">. Available at: </w:t>
      </w:r>
      <w:hyperlink r:id="rId185" w:anchor=":~:text=Summary.%20Trachoma%20is%20a%20keratoconjunctivitis%20caused%20by,the%20reservoir%20of%20infection%20within%20a%20population" w:history="1">
        <w:r w:rsidR="00972C7C" w:rsidRPr="00972C7C">
          <w:rPr>
            <w:rStyle w:val="Hyperlink"/>
          </w:rPr>
          <w:t>https://bestpractice.bmj.com/topics/en-gb/958#:~:text=Summary.%20Trachoma%20is%20a%20keratoconjunctivitis%20caused%20by,the%20reservoir%20of%20infection%20within%20a%20population</w:t>
        </w:r>
      </w:hyperlink>
      <w:r w:rsidRPr="00972C7C">
        <w:t xml:space="preserve">. </w:t>
      </w:r>
    </w:p>
  </w:endnote>
  <w:endnote w:id="207">
    <w:p w14:paraId="62FEA9B8" w14:textId="2386D8C6" w:rsidR="00EE766E" w:rsidRDefault="00EE766E">
      <w:pPr>
        <w:pStyle w:val="EndnoteText"/>
      </w:pPr>
      <w:r>
        <w:rPr>
          <w:rStyle w:val="EndnoteReference"/>
        </w:rPr>
        <w:endnoteRef/>
      </w:r>
      <w:r>
        <w:t xml:space="preserve"> </w:t>
      </w:r>
      <w:r w:rsidRPr="00EE766E">
        <w:t>Scase, M. O., &amp; Johnson, M. R. (2005, September). Visual impairment in ethnic minorities in the UK. In </w:t>
      </w:r>
      <w:r w:rsidRPr="00EE766E">
        <w:rPr>
          <w:i/>
          <w:iCs/>
        </w:rPr>
        <w:t>International Congress Series</w:t>
      </w:r>
      <w:r w:rsidRPr="00EE766E">
        <w:t> (Vol. 1282, pp. 438-442). Elsevier.</w:t>
      </w:r>
    </w:p>
  </w:endnote>
  <w:endnote w:id="208">
    <w:p w14:paraId="6796B386" w14:textId="6C07FDEE" w:rsidR="006964CC" w:rsidRPr="00053374" w:rsidRDefault="00A37160" w:rsidP="00A37160">
      <w:pPr>
        <w:pStyle w:val="EndnoteText"/>
        <w:jc w:val="left"/>
        <w:rPr>
          <w:highlight w:val="green"/>
        </w:rPr>
      </w:pPr>
      <w:r>
        <w:rPr>
          <w:rStyle w:val="EndnoteReference"/>
        </w:rPr>
        <w:endnoteRef/>
      </w:r>
      <w:r w:rsidR="00D04C81" w:rsidRPr="00D04C81">
        <w:t xml:space="preserve">Siegfried, C. J., &amp; Shui, Y. B. (2022). Racial disparities in glaucoma: from epidemiology to pathophysiology. </w:t>
      </w:r>
      <w:r w:rsidR="00D04C81" w:rsidRPr="00D04C81">
        <w:rPr>
          <w:i/>
          <w:iCs/>
        </w:rPr>
        <w:t>Missouri medicine</w:t>
      </w:r>
      <w:r w:rsidR="00D04C81" w:rsidRPr="00D04C81">
        <w:t>, 119(1), 49.</w:t>
      </w:r>
    </w:p>
  </w:endnote>
  <w:endnote w:id="209">
    <w:p w14:paraId="1B72009C" w14:textId="6C5E3DAB" w:rsidR="006964CC" w:rsidRPr="00053374" w:rsidRDefault="006964CC" w:rsidP="004C3828">
      <w:pPr>
        <w:pStyle w:val="EndnoteText"/>
        <w:jc w:val="left"/>
        <w:rPr>
          <w:highlight w:val="green"/>
        </w:rPr>
      </w:pPr>
      <w:r w:rsidRPr="000A2D37">
        <w:rPr>
          <w:rStyle w:val="EndnoteReference"/>
        </w:rPr>
        <w:endnoteRef/>
      </w:r>
      <w:r w:rsidRPr="000A2D37">
        <w:t xml:space="preserve"> NHS. (n.d). </w:t>
      </w:r>
      <w:r w:rsidR="00F551AC" w:rsidRPr="009A79B6">
        <w:rPr>
          <w:i/>
          <w:iCs/>
        </w:rPr>
        <w:t>Eye tests for children</w:t>
      </w:r>
      <w:r w:rsidRPr="000A2D37">
        <w:t xml:space="preserve">. </w:t>
      </w:r>
      <w:r w:rsidR="000A2D37" w:rsidRPr="000A2D37">
        <w:t xml:space="preserve">Available at: </w:t>
      </w:r>
      <w:hyperlink r:id="rId186" w:anchor=":~:text=Causes%20of%20eye%20problems%20in,common%20in%20boys%20than%20girls" w:history="1">
        <w:r w:rsidR="000A2D37" w:rsidRPr="000A2D37">
          <w:rPr>
            <w:rStyle w:val="Hyperlink"/>
          </w:rPr>
          <w:t>https://www.nhs.uk/tests-and-treatments/eye-tests-in-children/#:~:text=Causes%20of%20eye%20problems%20in,common%20in%20boys%20than%20girls</w:t>
        </w:r>
      </w:hyperlink>
      <w:r w:rsidRPr="000A2D37">
        <w:t xml:space="preserve"> </w:t>
      </w:r>
    </w:p>
  </w:endnote>
  <w:endnote w:id="210">
    <w:p w14:paraId="0C81BB1F" w14:textId="0426BEC4" w:rsidR="006964CC" w:rsidRPr="00053374" w:rsidRDefault="006964CC" w:rsidP="004C3828">
      <w:pPr>
        <w:pStyle w:val="EndnoteText"/>
        <w:jc w:val="left"/>
        <w:rPr>
          <w:highlight w:val="green"/>
        </w:rPr>
      </w:pPr>
      <w:r w:rsidRPr="008D130F">
        <w:rPr>
          <w:rStyle w:val="EndnoteReference"/>
        </w:rPr>
        <w:endnoteRef/>
      </w:r>
      <w:r w:rsidRPr="008D130F">
        <w:t xml:space="preserve"> Early Support (2012) </w:t>
      </w:r>
      <w:r w:rsidRPr="009A79B6">
        <w:rPr>
          <w:i/>
          <w:iCs/>
        </w:rPr>
        <w:t>Information about multi-sensory impairment</w:t>
      </w:r>
      <w:r w:rsidRPr="008D130F">
        <w:t xml:space="preserve">. PDF. </w:t>
      </w:r>
      <w:r w:rsidR="00A3785C">
        <w:t>Available at</w:t>
      </w:r>
      <w:r w:rsidRPr="008D130F">
        <w:t xml:space="preserve"> </w:t>
      </w:r>
      <w:hyperlink r:id="rId187" w:history="1">
        <w:r w:rsidRPr="008D130F">
          <w:rPr>
            <w:rStyle w:val="Hyperlink"/>
          </w:rPr>
          <w:t>https://councilfordisabledchildren.org.uk/sites/default/files/uploads/files/earlysupportmulti-sensoryimpairmentsfinal2.pdf</w:t>
        </w:r>
      </w:hyperlink>
      <w:r w:rsidRPr="008D130F">
        <w:t xml:space="preserve"> </w:t>
      </w:r>
    </w:p>
  </w:endnote>
  <w:endnote w:id="211">
    <w:p w14:paraId="008906DF" w14:textId="4CE6FFDB" w:rsidR="009B7601" w:rsidRPr="00293C95" w:rsidRDefault="009B7601">
      <w:pPr>
        <w:pStyle w:val="EndnoteText"/>
        <w:rPr>
          <w:lang w:val="it-IT"/>
        </w:rPr>
      </w:pPr>
      <w:r>
        <w:rPr>
          <w:rStyle w:val="EndnoteReference"/>
        </w:rPr>
        <w:endnoteRef/>
      </w:r>
      <w:r>
        <w:t xml:space="preserve"> </w:t>
      </w:r>
      <w:r w:rsidR="00411B76" w:rsidRPr="00411B76">
        <w:t>Robertson, J., &amp; Emerson, E. (2010). Estimating the number of people with co-occurring vision and hearing impairments in the UK. </w:t>
      </w:r>
      <w:r w:rsidR="00411B76" w:rsidRPr="00293C95">
        <w:rPr>
          <w:i/>
          <w:iCs/>
          <w:lang w:val="it-IT"/>
        </w:rPr>
        <w:t>Centre for Disability Research</w:t>
      </w:r>
      <w:r w:rsidR="00411B76" w:rsidRPr="00293C95">
        <w:rPr>
          <w:lang w:val="it-IT"/>
        </w:rPr>
        <w:t>.</w:t>
      </w:r>
    </w:p>
  </w:endnote>
  <w:endnote w:id="212">
    <w:p w14:paraId="67F44D48" w14:textId="0FCEEEEB" w:rsidR="006964CC" w:rsidRPr="00053374" w:rsidRDefault="006964CC" w:rsidP="004C3828">
      <w:pPr>
        <w:pStyle w:val="EndnoteText"/>
        <w:jc w:val="left"/>
        <w:rPr>
          <w:highlight w:val="green"/>
        </w:rPr>
      </w:pPr>
      <w:r w:rsidRPr="00D84154">
        <w:rPr>
          <w:rStyle w:val="EndnoteReference"/>
        </w:rPr>
        <w:endnoteRef/>
      </w:r>
      <w:r w:rsidRPr="00D84154">
        <w:rPr>
          <w:lang w:val="it-IT"/>
        </w:rPr>
        <w:t xml:space="preserve"> </w:t>
      </w:r>
      <w:r w:rsidR="00E273A5" w:rsidRPr="00D84154">
        <w:rPr>
          <w:color w:val="222222"/>
          <w:shd w:val="clear" w:color="auto" w:fill="FFFFFF"/>
          <w:lang w:val="it-IT"/>
        </w:rPr>
        <w:t xml:space="preserve">Passarello, N., Tarantino, V., Chirico, A., Menghini, D., Costanzo, F., Sorrentino, P., Fucà, E., Gigliotta, O., Alivernini, F., Oliveri, M. and Lucidi, F., </w:t>
      </w:r>
      <w:r w:rsidR="00EE71B8">
        <w:rPr>
          <w:color w:val="222222"/>
          <w:shd w:val="clear" w:color="auto" w:fill="FFFFFF"/>
          <w:lang w:val="it-IT"/>
        </w:rPr>
        <w:t>(</w:t>
      </w:r>
      <w:r w:rsidR="00E273A5" w:rsidRPr="00D84154">
        <w:rPr>
          <w:color w:val="222222"/>
          <w:shd w:val="clear" w:color="auto" w:fill="FFFFFF"/>
          <w:lang w:val="it-IT"/>
        </w:rPr>
        <w:t>2022</w:t>
      </w:r>
      <w:r w:rsidR="00EE71B8">
        <w:rPr>
          <w:color w:val="222222"/>
          <w:shd w:val="clear" w:color="auto" w:fill="FFFFFF"/>
          <w:lang w:val="it-IT"/>
        </w:rPr>
        <w:t>)</w:t>
      </w:r>
      <w:r w:rsidR="00E273A5" w:rsidRPr="00D84154">
        <w:rPr>
          <w:color w:val="222222"/>
          <w:shd w:val="clear" w:color="auto" w:fill="FFFFFF"/>
          <w:lang w:val="it-IT"/>
        </w:rPr>
        <w:t xml:space="preserve">. </w:t>
      </w:r>
      <w:r w:rsidR="00E273A5" w:rsidRPr="00D84154">
        <w:rPr>
          <w:color w:val="222222"/>
          <w:shd w:val="clear" w:color="auto" w:fill="FFFFFF"/>
        </w:rPr>
        <w:t>Sensory processing disorders in children and adolescents: Taking stock of assessment and novel therapeutic tools. </w:t>
      </w:r>
      <w:r w:rsidR="00E273A5" w:rsidRPr="00D84154">
        <w:rPr>
          <w:i/>
          <w:iCs/>
          <w:color w:val="222222"/>
          <w:shd w:val="clear" w:color="auto" w:fill="FFFFFF"/>
        </w:rPr>
        <w:t>Brain sciences</w:t>
      </w:r>
      <w:r w:rsidR="00E273A5" w:rsidRPr="00D84154">
        <w:rPr>
          <w:color w:val="222222"/>
          <w:shd w:val="clear" w:color="auto" w:fill="FFFFFF"/>
        </w:rPr>
        <w:t>, </w:t>
      </w:r>
      <w:r w:rsidR="00E273A5" w:rsidRPr="00D84154">
        <w:rPr>
          <w:i/>
          <w:iCs/>
          <w:color w:val="222222"/>
          <w:shd w:val="clear" w:color="auto" w:fill="FFFFFF"/>
        </w:rPr>
        <w:t>12</w:t>
      </w:r>
      <w:r w:rsidR="00E273A5" w:rsidRPr="00D84154">
        <w:rPr>
          <w:color w:val="222222"/>
          <w:shd w:val="clear" w:color="auto" w:fill="FFFFFF"/>
        </w:rPr>
        <w:t>(11), p.1478.</w:t>
      </w:r>
    </w:p>
  </w:endnote>
  <w:endnote w:id="213">
    <w:p w14:paraId="2F4744A1" w14:textId="6A7ACD4C" w:rsidR="006964CC" w:rsidRPr="00AF4DC9" w:rsidRDefault="006964CC" w:rsidP="004C3828">
      <w:pPr>
        <w:pStyle w:val="EndnoteText"/>
        <w:jc w:val="left"/>
        <w:rPr>
          <w:lang w:val="en-US"/>
        </w:rPr>
      </w:pPr>
      <w:r w:rsidRPr="00AF4DC9">
        <w:rPr>
          <w:rStyle w:val="EndnoteReference"/>
        </w:rPr>
        <w:endnoteRef/>
      </w:r>
      <w:r w:rsidRPr="00AF4DC9">
        <w:t xml:space="preserve"> Hearing Link Services (2024). </w:t>
      </w:r>
      <w:r w:rsidRPr="00AF4DC9">
        <w:rPr>
          <w:i/>
          <w:iCs/>
        </w:rPr>
        <w:t xml:space="preserve">What is tinnitus? </w:t>
      </w:r>
      <w:r w:rsidRPr="00AF4DC9">
        <w:t xml:space="preserve">Available </w:t>
      </w:r>
      <w:r w:rsidR="00113729">
        <w:t>at</w:t>
      </w:r>
      <w:r w:rsidRPr="00AF4DC9">
        <w:t xml:space="preserve">: </w:t>
      </w:r>
      <w:hyperlink r:id="rId188" w:history="1">
        <w:r w:rsidRPr="00AF4DC9">
          <w:rPr>
            <w:rStyle w:val="Hyperlink"/>
          </w:rPr>
          <w:t>What is tinnitus? - Hearing Link Services</w:t>
        </w:r>
      </w:hyperlink>
    </w:p>
  </w:endnote>
  <w:endnote w:id="214">
    <w:p w14:paraId="2245A5C4" w14:textId="3E12D1D0" w:rsidR="005C70DF" w:rsidRPr="00053374" w:rsidRDefault="005C70DF" w:rsidP="004C3828">
      <w:pPr>
        <w:pStyle w:val="EndnoteText"/>
        <w:jc w:val="left"/>
        <w:rPr>
          <w:highlight w:val="green"/>
        </w:rPr>
      </w:pPr>
      <w:r w:rsidRPr="00D84154">
        <w:rPr>
          <w:rStyle w:val="EndnoteReference"/>
        </w:rPr>
        <w:endnoteRef/>
      </w:r>
      <w:r w:rsidRPr="00D84154">
        <w:t xml:space="preserve"> </w:t>
      </w:r>
      <w:r w:rsidR="00D84154" w:rsidRPr="00D84154">
        <w:t xml:space="preserve">Jarach, C.M., Lugo, A., Scala, M., van den Brandt, P.A., Cederroth, C.R., Odone, A., Garavello, W., Schlee, W., Langguth, B. and Gallus, S., </w:t>
      </w:r>
      <w:r w:rsidR="00EE71B8">
        <w:t>(</w:t>
      </w:r>
      <w:r w:rsidR="00D84154" w:rsidRPr="00D84154">
        <w:t>2022</w:t>
      </w:r>
      <w:r w:rsidR="00EE71B8">
        <w:t>)</w:t>
      </w:r>
      <w:r w:rsidR="00D84154" w:rsidRPr="00D84154">
        <w:t>. Global prevalence and incidence of tinnitus: a systematic review and meta-analysis. </w:t>
      </w:r>
      <w:r w:rsidR="00D84154" w:rsidRPr="00D84154">
        <w:rPr>
          <w:i/>
          <w:iCs/>
        </w:rPr>
        <w:t>JAMA neurology</w:t>
      </w:r>
      <w:r w:rsidR="00D84154" w:rsidRPr="00D84154">
        <w:t>, </w:t>
      </w:r>
      <w:r w:rsidR="00D84154" w:rsidRPr="00D84154">
        <w:rPr>
          <w:i/>
          <w:iCs/>
        </w:rPr>
        <w:t>79</w:t>
      </w:r>
      <w:r w:rsidR="00D84154" w:rsidRPr="00D84154">
        <w:t>(9), pp.888-900.</w:t>
      </w:r>
    </w:p>
  </w:endnote>
  <w:endnote w:id="215">
    <w:p w14:paraId="46A64604" w14:textId="6818D676" w:rsidR="003E3E94" w:rsidRDefault="003E3E94">
      <w:pPr>
        <w:pStyle w:val="EndnoteText"/>
      </w:pPr>
      <w:r>
        <w:rPr>
          <w:rStyle w:val="EndnoteReference"/>
        </w:rPr>
        <w:endnoteRef/>
      </w:r>
      <w:r>
        <w:t xml:space="preserve"> </w:t>
      </w:r>
      <w:r w:rsidR="00364185" w:rsidRPr="00364185">
        <w:t>Rosing, S. N., Schmidt, J. H., Wedderkopp, N., &amp; Baguley, D. M. (2016). Prevalence of tinnitus and hyperacusis in children and adolescents: a systematic review. </w:t>
      </w:r>
      <w:r w:rsidR="00364185" w:rsidRPr="00364185">
        <w:rPr>
          <w:i/>
          <w:iCs/>
        </w:rPr>
        <w:t>BMJ open</w:t>
      </w:r>
      <w:r w:rsidR="00364185" w:rsidRPr="00364185">
        <w:t>, </w:t>
      </w:r>
      <w:r w:rsidR="00364185" w:rsidRPr="00364185">
        <w:rPr>
          <w:i/>
          <w:iCs/>
        </w:rPr>
        <w:t>6</w:t>
      </w:r>
      <w:r w:rsidR="00364185" w:rsidRPr="00364185">
        <w:t>(6), e010596.</w:t>
      </w:r>
    </w:p>
  </w:endnote>
  <w:endnote w:id="216">
    <w:p w14:paraId="486D49AB" w14:textId="2A5685C1" w:rsidR="006B57E9" w:rsidRDefault="006B57E9">
      <w:pPr>
        <w:pStyle w:val="EndnoteText"/>
      </w:pPr>
      <w:r>
        <w:rPr>
          <w:rStyle w:val="EndnoteReference"/>
        </w:rPr>
        <w:endnoteRef/>
      </w:r>
      <w:r>
        <w:t xml:space="preserve"> </w:t>
      </w:r>
      <w:r w:rsidR="00FF51E3">
        <w:t>Tinnitus</w:t>
      </w:r>
      <w:r w:rsidR="002A55AB">
        <w:t xml:space="preserve"> UK (n.d) </w:t>
      </w:r>
      <w:r w:rsidR="002A55AB" w:rsidRPr="00293C95">
        <w:rPr>
          <w:i/>
          <w:iCs/>
        </w:rPr>
        <w:t>My child has tinnitus</w:t>
      </w:r>
      <w:r w:rsidR="002A55AB">
        <w:t xml:space="preserve">. </w:t>
      </w:r>
      <w:r w:rsidR="00441C91">
        <w:t xml:space="preserve">Available at: </w:t>
      </w:r>
      <w:hyperlink r:id="rId189" w:history="1">
        <w:r w:rsidR="00FF51E3" w:rsidRPr="000E6898">
          <w:rPr>
            <w:rStyle w:val="Hyperlink"/>
          </w:rPr>
          <w:t>https://tinnitus.org.uk/understanding-tinnitus/support-people/my-child-has-tinnitus/</w:t>
        </w:r>
      </w:hyperlink>
      <w:r w:rsidR="00FF51E3">
        <w:t xml:space="preserve"> </w:t>
      </w:r>
    </w:p>
  </w:endnote>
  <w:endnote w:id="217">
    <w:p w14:paraId="64F5052D" w14:textId="7F6EEE11" w:rsidR="005C70DF" w:rsidRPr="00053374" w:rsidRDefault="005C70DF" w:rsidP="004C3828">
      <w:pPr>
        <w:pStyle w:val="EndnoteText"/>
        <w:jc w:val="left"/>
        <w:rPr>
          <w:highlight w:val="green"/>
        </w:rPr>
      </w:pPr>
      <w:r w:rsidRPr="005863E1">
        <w:rPr>
          <w:rStyle w:val="EndnoteReference"/>
        </w:rPr>
        <w:endnoteRef/>
      </w:r>
      <w:r w:rsidRPr="005863E1">
        <w:t xml:space="preserve"> </w:t>
      </w:r>
      <w:r w:rsidR="003E407D" w:rsidRPr="005863E1">
        <w:t xml:space="preserve">National institute on Deafness and Other Communication Disorders </w:t>
      </w:r>
      <w:r w:rsidR="005863E1" w:rsidRPr="005863E1">
        <w:t>(NIDCD</w:t>
      </w:r>
      <w:r w:rsidR="005954A8" w:rsidRPr="005863E1">
        <w:t>) (</w:t>
      </w:r>
      <w:r w:rsidR="005863E1" w:rsidRPr="005863E1">
        <w:t xml:space="preserve">2023). </w:t>
      </w:r>
      <w:r w:rsidRPr="005863E1">
        <w:rPr>
          <w:i/>
        </w:rPr>
        <w:t>What is tinnitus? — Causes and treatment</w:t>
      </w:r>
      <w:r w:rsidRPr="005863E1">
        <w:t xml:space="preserve">. </w:t>
      </w:r>
      <w:r w:rsidR="005863E1" w:rsidRPr="005863E1">
        <w:t>Available at:</w:t>
      </w:r>
      <w:r w:rsidRPr="005863E1">
        <w:t xml:space="preserve"> </w:t>
      </w:r>
      <w:hyperlink r:id="rId190" w:history="1">
        <w:r w:rsidRPr="005863E1">
          <w:rPr>
            <w:rStyle w:val="Hyperlink"/>
          </w:rPr>
          <w:t>https://www.nidcd.nih.gov/health/tinnitus</w:t>
        </w:r>
      </w:hyperlink>
      <w:r w:rsidRPr="005863E1">
        <w:t xml:space="preserve"> </w:t>
      </w:r>
    </w:p>
  </w:endnote>
  <w:endnote w:id="218">
    <w:p w14:paraId="26D4794C" w14:textId="7AC07A27" w:rsidR="005C70DF" w:rsidRDefault="005C70DF" w:rsidP="004C3828">
      <w:pPr>
        <w:pStyle w:val="EndnoteText"/>
        <w:jc w:val="left"/>
      </w:pPr>
      <w:r w:rsidRPr="0060409A">
        <w:rPr>
          <w:rStyle w:val="EndnoteReference"/>
        </w:rPr>
        <w:endnoteRef/>
      </w:r>
      <w:r w:rsidRPr="0060409A">
        <w:t xml:space="preserve"> </w:t>
      </w:r>
      <w:r w:rsidR="0060409A" w:rsidRPr="0060409A">
        <w:t xml:space="preserve">Ismail, F.Y., Accardo, P.J. and Shapiro, B.K. eds., </w:t>
      </w:r>
      <w:r w:rsidR="00EE71B8">
        <w:t>(</w:t>
      </w:r>
      <w:r w:rsidR="0060409A" w:rsidRPr="0060409A">
        <w:t>2024</w:t>
      </w:r>
      <w:r w:rsidR="00EE71B8">
        <w:t>)</w:t>
      </w:r>
      <w:r w:rsidR="0060409A" w:rsidRPr="0060409A">
        <w:t>. </w:t>
      </w:r>
      <w:r w:rsidR="0060409A" w:rsidRPr="0060409A">
        <w:rPr>
          <w:i/>
          <w:iCs/>
        </w:rPr>
        <w:t>Capute and Accardo's neurodevelopmental disabilities in infancy and childhood</w:t>
      </w:r>
      <w:r w:rsidR="0060409A" w:rsidRPr="0060409A">
        <w:t>. Elsevier.</w:t>
      </w:r>
      <w:r w:rsidR="00D53348">
        <w:t xml:space="preserve"> </w:t>
      </w:r>
    </w:p>
  </w:endnote>
  <w:endnote w:id="219">
    <w:p w14:paraId="17A69DBE" w14:textId="1CDE4E86" w:rsidR="00A232AA" w:rsidRDefault="00A232AA">
      <w:pPr>
        <w:pStyle w:val="EndnoteText"/>
      </w:pPr>
      <w:r>
        <w:rPr>
          <w:rStyle w:val="EndnoteReference"/>
        </w:rPr>
        <w:endnoteRef/>
      </w:r>
      <w:r>
        <w:t xml:space="preserve"> </w:t>
      </w:r>
      <w:r w:rsidR="007B7775" w:rsidRPr="007B7775">
        <w:t xml:space="preserve">Tower Hamlets. (2021). </w:t>
      </w:r>
      <w:r w:rsidR="007B7775" w:rsidRPr="007B7775">
        <w:rPr>
          <w:i/>
          <w:iCs/>
        </w:rPr>
        <w:t xml:space="preserve">2021 Census </w:t>
      </w:r>
      <w:r w:rsidR="007B7775">
        <w:rPr>
          <w:i/>
          <w:iCs/>
        </w:rPr>
        <w:t>–</w:t>
      </w:r>
      <w:r w:rsidR="007B7775" w:rsidRPr="007B7775">
        <w:rPr>
          <w:i/>
          <w:iCs/>
        </w:rPr>
        <w:t xml:space="preserve"> findings</w:t>
      </w:r>
      <w:r w:rsidR="000E299D">
        <w:rPr>
          <w:i/>
          <w:iCs/>
        </w:rPr>
        <w:t xml:space="preserve">. Available at: </w:t>
      </w:r>
      <w:hyperlink r:id="rId191" w:history="1">
        <w:r w:rsidR="000E299D" w:rsidRPr="000E299D">
          <w:rPr>
            <w:rStyle w:val="Hyperlink"/>
            <w:i/>
            <w:iCs/>
          </w:rPr>
          <w:t>https://explore-education-statistics.service.gov.uk/data-tables/school-pupils-and-their-characteristics</w:t>
        </w:r>
      </w:hyperlink>
    </w:p>
  </w:endnote>
  <w:endnote w:id="220">
    <w:p w14:paraId="1AA358FF" w14:textId="46264C9E" w:rsidR="005C0FE5" w:rsidRDefault="005C0FE5">
      <w:pPr>
        <w:pStyle w:val="EndnoteText"/>
      </w:pPr>
      <w:r>
        <w:rPr>
          <w:rStyle w:val="EndnoteReference"/>
        </w:rPr>
        <w:endnoteRef/>
      </w:r>
      <w:r>
        <w:t xml:space="preserve"> </w:t>
      </w:r>
      <w:r w:rsidR="00BA6B06" w:rsidRPr="00BA6B06">
        <w:t>Newman, L., &amp; Chadwick, R. (2022). Supporting language development in deaf children with cochlear implants from low-income families. BATOD (British Association of Teachers of the Deaf) Magazine, 17-19.</w:t>
      </w:r>
    </w:p>
  </w:endnote>
  <w:endnote w:id="221">
    <w:p w14:paraId="47975EED" w14:textId="5F16F2E0" w:rsidR="005565B6" w:rsidRPr="00053374" w:rsidRDefault="005565B6" w:rsidP="005565B6">
      <w:pPr>
        <w:pStyle w:val="EndnoteText"/>
        <w:jc w:val="left"/>
        <w:rPr>
          <w:highlight w:val="green"/>
        </w:rPr>
      </w:pPr>
      <w:r w:rsidRPr="006C7DF3">
        <w:rPr>
          <w:rStyle w:val="EndnoteReference"/>
        </w:rPr>
        <w:endnoteRef/>
      </w:r>
      <w:r w:rsidRPr="006C7DF3">
        <w:t xml:space="preserve"> Newman, L., &amp; Chadwick, R., </w:t>
      </w:r>
      <w:r>
        <w:t>(</w:t>
      </w:r>
      <w:r w:rsidRPr="006C7DF3">
        <w:t>2023</w:t>
      </w:r>
      <w:r>
        <w:t>)</w:t>
      </w:r>
      <w:r w:rsidRPr="006C7DF3">
        <w:t xml:space="preserve">. Diversity and Communication Needs of Deaf Children with Cochlear Implants in Tower Hamlets. In Royal College of Speech and Language Therapists, </w:t>
      </w:r>
      <w:r w:rsidR="005954A8" w:rsidRPr="006C7DF3">
        <w:rPr>
          <w:i/>
          <w:iCs/>
        </w:rPr>
        <w:t>RCSLT</w:t>
      </w:r>
      <w:r w:rsidR="005954A8" w:rsidRPr="006C7DF3">
        <w:t>,</w:t>
      </w:r>
      <w:r w:rsidRPr="006C7DF3">
        <w:t xml:space="preserve"> pp. 36–37 </w:t>
      </w:r>
    </w:p>
  </w:endnote>
  <w:endnote w:id="222">
    <w:p w14:paraId="4FCBBAC5" w14:textId="1D1DEB38" w:rsidR="00DD462D" w:rsidRDefault="00DD462D">
      <w:pPr>
        <w:pStyle w:val="EndnoteText"/>
      </w:pPr>
      <w:r>
        <w:rPr>
          <w:rStyle w:val="EndnoteReference"/>
        </w:rPr>
        <w:endnoteRef/>
      </w:r>
      <w:r>
        <w:t xml:space="preserve"> </w:t>
      </w:r>
      <w:r w:rsidR="003B5664" w:rsidRPr="007B7775">
        <w:t xml:space="preserve">Tower Hamlets. (2021). </w:t>
      </w:r>
      <w:r w:rsidR="003B5664" w:rsidRPr="007B7775">
        <w:rPr>
          <w:i/>
          <w:iCs/>
        </w:rPr>
        <w:t xml:space="preserve">2021 Census </w:t>
      </w:r>
      <w:r w:rsidR="003B5664">
        <w:rPr>
          <w:i/>
          <w:iCs/>
        </w:rPr>
        <w:t>–</w:t>
      </w:r>
      <w:r w:rsidR="003B5664" w:rsidRPr="007B7775">
        <w:rPr>
          <w:i/>
          <w:iCs/>
        </w:rPr>
        <w:t xml:space="preserve"> findings</w:t>
      </w:r>
      <w:r w:rsidR="003B5664">
        <w:rPr>
          <w:i/>
          <w:iCs/>
        </w:rPr>
        <w:t xml:space="preserve">. Available at: </w:t>
      </w:r>
      <w:hyperlink r:id="rId192" w:history="1">
        <w:r w:rsidR="008E7A2C" w:rsidRPr="008E7A2C">
          <w:rPr>
            <w:rStyle w:val="Hyperlink"/>
          </w:rPr>
          <w:t>https://explore-education-statistics.service.gov.uk/data-tables/school-pupils-and-their-characteristics</w:t>
        </w:r>
      </w:hyperlink>
    </w:p>
  </w:endnote>
  <w:endnote w:id="223">
    <w:p w14:paraId="30314E76" w14:textId="3C5FD715" w:rsidR="00EC1517" w:rsidRPr="00EC1517" w:rsidRDefault="00EC1517" w:rsidP="008D442B">
      <w:pPr>
        <w:pStyle w:val="EndnoteText"/>
        <w:jc w:val="left"/>
        <w:rPr>
          <w:lang w:val="en-US"/>
        </w:rPr>
      </w:pPr>
      <w:r>
        <w:rPr>
          <w:rStyle w:val="EndnoteReference"/>
        </w:rPr>
        <w:endnoteRef/>
      </w:r>
      <w:r>
        <w:t xml:space="preserve"> </w:t>
      </w:r>
      <w:r w:rsidRPr="00EC1517">
        <w:t>NHS (2024)</w:t>
      </w:r>
      <w:r>
        <w:t>.</w:t>
      </w:r>
      <w:r w:rsidRPr="00EC1517">
        <w:t xml:space="preserve"> </w:t>
      </w:r>
      <w:r w:rsidRPr="00EC1517">
        <w:rPr>
          <w:i/>
          <w:iCs/>
        </w:rPr>
        <w:t>Newborn Hearing Screening</w:t>
      </w:r>
      <w:r w:rsidRPr="00EC1517">
        <w:t xml:space="preserve">. Available at: </w:t>
      </w:r>
      <w:hyperlink r:id="rId193" w:anchor=":~:text=The%20AABR%20test%20involves%20placing,your%20baby%20in%20any%20way." w:history="1">
        <w:r w:rsidRPr="00EC1517">
          <w:rPr>
            <w:rStyle w:val="Hyperlink"/>
          </w:rPr>
          <w:t>https://www.nhs.uk/baby/newborn-screening/hearing-test/#:~:text=The%20AABR%20test%20involves%20placing,your%20baby%20in%20any%20way.</w:t>
        </w:r>
      </w:hyperlink>
      <w:r w:rsidRPr="00EC1517">
        <w:t xml:space="preserve"> </w:t>
      </w:r>
    </w:p>
  </w:endnote>
  <w:endnote w:id="224">
    <w:p w14:paraId="39FE0A57" w14:textId="5ADF1CC7" w:rsidR="00EC1517" w:rsidRPr="00EC1517" w:rsidRDefault="00EC1517" w:rsidP="008D442B">
      <w:pPr>
        <w:pStyle w:val="EndnoteText"/>
        <w:jc w:val="left"/>
      </w:pPr>
      <w:r>
        <w:rPr>
          <w:rStyle w:val="EndnoteReference"/>
        </w:rPr>
        <w:endnoteRef/>
      </w:r>
      <w:r>
        <w:t xml:space="preserve"> </w:t>
      </w:r>
      <w:r w:rsidRPr="00EC1517">
        <w:t>Walker, A. (2025)</w:t>
      </w:r>
      <w:r>
        <w:t>.</w:t>
      </w:r>
      <w:r w:rsidRPr="00EC1517">
        <w:t xml:space="preserve"> Hearing loss in children: spotting the signs and how it’s treated. Spire Healthcare. Available at: </w:t>
      </w:r>
      <w:hyperlink r:id="rId194" w:anchor=":~:text=If%20you%20have%20noticed%20any,Temporary%20hearing%20loss" w:history="1">
        <w:r w:rsidRPr="00EC1517">
          <w:rPr>
            <w:rStyle w:val="Hyperlink"/>
          </w:rPr>
          <w:t>https://www.spirehealthcare.com/health-hub/specialties/childrens-health/hearing-loss-in-children-spotting-the-signs-and-how-it-s-treated/#:~:text=If%20you%20have%20noticed%20any,Temporary%20hearing%20loss</w:t>
        </w:r>
      </w:hyperlink>
      <w:r w:rsidRPr="00EC1517">
        <w:t xml:space="preserve"> </w:t>
      </w:r>
    </w:p>
  </w:endnote>
  <w:endnote w:id="225">
    <w:p w14:paraId="3B37923B" w14:textId="4983A85F" w:rsidR="008D422A" w:rsidRPr="008D422A" w:rsidRDefault="008D422A" w:rsidP="008D442B">
      <w:pPr>
        <w:pStyle w:val="EndnoteText"/>
        <w:jc w:val="left"/>
      </w:pPr>
      <w:r>
        <w:rPr>
          <w:rStyle w:val="EndnoteReference"/>
        </w:rPr>
        <w:endnoteRef/>
      </w:r>
      <w:r>
        <w:t xml:space="preserve"> N</w:t>
      </w:r>
      <w:r w:rsidRPr="008D422A">
        <w:t>HS (n.d</w:t>
      </w:r>
      <w:r w:rsidR="009036CC">
        <w:t>.</w:t>
      </w:r>
      <w:r w:rsidRPr="008D422A">
        <w:t>)</w:t>
      </w:r>
      <w:r>
        <w:t>.</w:t>
      </w:r>
      <w:r w:rsidRPr="008D422A">
        <w:t xml:space="preserve"> </w:t>
      </w:r>
      <w:r w:rsidRPr="008D422A">
        <w:rPr>
          <w:i/>
          <w:iCs/>
        </w:rPr>
        <w:t>Hearing loss and deafness.</w:t>
      </w:r>
      <w:r w:rsidRPr="008D422A">
        <w:t xml:space="preserve"> Available at: </w:t>
      </w:r>
      <w:hyperlink r:id="rId195" w:anchor=":~:text=Have%20concerns%20about%20your%20child's,Last%20reviewed:%201%20November%2C%202023." w:history="1">
        <w:r w:rsidRPr="008D422A">
          <w:rPr>
            <w:rStyle w:val="Hyperlink"/>
          </w:rPr>
          <w:t>https://cambspborochildrenshealth.nhs.uk/services/cambridgeshire-childrens-speech-and-language-therapy-service/common-speech-language-and-communication-concerns/hearing-loss-and-deafness/#:~:text=Have%20concerns%20about%20your%20child's,Last%20reviewed:%</w:t>
        </w:r>
      </w:hyperlink>
      <w:r w:rsidRPr="008D422A">
        <w:t xml:space="preserve"> </w:t>
      </w:r>
    </w:p>
  </w:endnote>
  <w:endnote w:id="226">
    <w:p w14:paraId="66016112" w14:textId="3BF1E24E" w:rsidR="008D422A" w:rsidRPr="009036CC" w:rsidRDefault="008D422A" w:rsidP="008D442B">
      <w:pPr>
        <w:pStyle w:val="EndnoteText"/>
        <w:jc w:val="left"/>
      </w:pPr>
      <w:r>
        <w:rPr>
          <w:rStyle w:val="EndnoteReference"/>
        </w:rPr>
        <w:endnoteRef/>
      </w:r>
      <w:r w:rsidR="009036CC" w:rsidRPr="009036CC">
        <w:t>NHS (n.d</w:t>
      </w:r>
      <w:r w:rsidR="009036CC">
        <w:t>.</w:t>
      </w:r>
      <w:r w:rsidR="009036CC" w:rsidRPr="009036CC">
        <w:t>)</w:t>
      </w:r>
      <w:r w:rsidR="009036CC">
        <w:t>.</w:t>
      </w:r>
      <w:r w:rsidR="009036CC" w:rsidRPr="009036CC">
        <w:t xml:space="preserve"> </w:t>
      </w:r>
      <w:r w:rsidR="009036CC" w:rsidRPr="009036CC">
        <w:rPr>
          <w:i/>
          <w:iCs/>
        </w:rPr>
        <w:t>Eye tests for children.</w:t>
      </w:r>
      <w:r w:rsidR="009036CC" w:rsidRPr="009036CC">
        <w:t xml:space="preserve"> Available at: </w:t>
      </w:r>
      <w:hyperlink r:id="rId196" w:anchor=":~:text=The%20red%20reflex%20test%20is,sign%20of%20an%20eye%20problem." w:history="1">
        <w:r w:rsidR="009036CC" w:rsidRPr="009036CC">
          <w:rPr>
            <w:rStyle w:val="Hyperlink"/>
          </w:rPr>
          <w:t>https://www.nhs.uk/tests-and-treatments/eye-tests-in-children/#:~:text=The%20red%20reflex%20test%20is,sign%20of%20an%20eye%20problem.</w:t>
        </w:r>
      </w:hyperlink>
      <w:r w:rsidR="009036CC" w:rsidRPr="009036CC">
        <w:t xml:space="preserve"> </w:t>
      </w:r>
    </w:p>
  </w:endnote>
  <w:endnote w:id="227">
    <w:p w14:paraId="49C2C754" w14:textId="714EDD4B" w:rsidR="005C70DF" w:rsidRPr="00053374" w:rsidRDefault="005C70DF" w:rsidP="004C3828">
      <w:pPr>
        <w:pStyle w:val="EndnoteText"/>
        <w:jc w:val="left"/>
        <w:rPr>
          <w:highlight w:val="green"/>
        </w:rPr>
      </w:pPr>
      <w:r w:rsidRPr="0051432A">
        <w:rPr>
          <w:rStyle w:val="EndnoteReference"/>
        </w:rPr>
        <w:endnoteRef/>
      </w:r>
      <w:r w:rsidRPr="0051432A">
        <w:t xml:space="preserve"> Sense for Early Support. (n.d.). </w:t>
      </w:r>
      <w:r w:rsidRPr="0051432A">
        <w:rPr>
          <w:i/>
        </w:rPr>
        <w:t>Information About Multi-sensory Impairments</w:t>
      </w:r>
      <w:r w:rsidR="0051432A" w:rsidRPr="0051432A">
        <w:t>. Available at:</w:t>
      </w:r>
      <w:r w:rsidRPr="0051432A">
        <w:t xml:space="preserve"> </w:t>
      </w:r>
      <w:hyperlink r:id="rId197" w:history="1">
        <w:r w:rsidRPr="0051432A">
          <w:rPr>
            <w:rStyle w:val="Hyperlink"/>
          </w:rPr>
          <w:t>https://councilfordisabledchildren.org.uk/sites/default/files/uploads/files/earlysupportmulti-sensoryimpairmentsfinal2.pdf</w:t>
        </w:r>
      </w:hyperlink>
      <w:r w:rsidRPr="0051432A">
        <w:t xml:space="preserve"> </w:t>
      </w:r>
    </w:p>
  </w:endnote>
  <w:endnote w:id="228">
    <w:p w14:paraId="5065AF24" w14:textId="6DC9EE65" w:rsidR="005C70DF" w:rsidRPr="00053374" w:rsidRDefault="005C70DF" w:rsidP="004C3828">
      <w:pPr>
        <w:pStyle w:val="EndnoteText"/>
        <w:jc w:val="left"/>
        <w:rPr>
          <w:highlight w:val="green"/>
        </w:rPr>
      </w:pPr>
      <w:r w:rsidRPr="0061074D">
        <w:rPr>
          <w:rStyle w:val="EndnoteReference"/>
        </w:rPr>
        <w:endnoteRef/>
      </w:r>
      <w:r w:rsidRPr="0061074D">
        <w:t xml:space="preserve"> </w:t>
      </w:r>
      <w:r w:rsidR="0061074D" w:rsidRPr="0061074D">
        <w:t>Sense (n.d.)</w:t>
      </w:r>
      <w:r w:rsidRPr="0061074D">
        <w:t xml:space="preserve"> </w:t>
      </w:r>
      <w:r w:rsidRPr="0061074D">
        <w:rPr>
          <w:i/>
        </w:rPr>
        <w:t>Requesting a care needs assessment in relation to deafblind children and adults</w:t>
      </w:r>
      <w:r w:rsidR="0061074D" w:rsidRPr="0061074D">
        <w:t>.</w:t>
      </w:r>
      <w:r w:rsidR="0061074D">
        <w:t xml:space="preserve"> Available at:</w:t>
      </w:r>
      <w:r>
        <w:t xml:space="preserve"> </w:t>
      </w:r>
      <w:hyperlink r:id="rId198" w:history="1">
        <w:r w:rsidRPr="006C2BA4">
          <w:rPr>
            <w:rStyle w:val="Hyperlink"/>
          </w:rPr>
          <w:t>https://www.sense.org.uk/information-and-advice/life-with-complex-disabilities/deafblind-guidance/requesting-a-care-needs-assessment-in-relation-to-deafblind-children-and-adults/</w:t>
        </w:r>
      </w:hyperlink>
      <w:r w:rsidRPr="0061074D">
        <w:t xml:space="preserve"> </w:t>
      </w:r>
    </w:p>
  </w:endnote>
  <w:endnote w:id="229">
    <w:p w14:paraId="6A166A25" w14:textId="5070EB85" w:rsidR="005C70DF" w:rsidRPr="00476C25" w:rsidRDefault="005C70DF" w:rsidP="004C3828">
      <w:pPr>
        <w:pStyle w:val="EndnoteText"/>
        <w:jc w:val="left"/>
      </w:pPr>
      <w:r w:rsidRPr="00CE13D4">
        <w:rPr>
          <w:rStyle w:val="EndnoteReference"/>
        </w:rPr>
        <w:endnoteRef/>
      </w:r>
      <w:r w:rsidRPr="00CE13D4">
        <w:t xml:space="preserve"> </w:t>
      </w:r>
      <w:r w:rsidR="00CE13D4" w:rsidRPr="00476C25">
        <w:t>NHS England. (2024).</w:t>
      </w:r>
      <w:r w:rsidRPr="00476C25">
        <w:t xml:space="preserve"> </w:t>
      </w:r>
      <w:r w:rsidRPr="00CE13D4">
        <w:rPr>
          <w:i/>
        </w:rPr>
        <w:t>Newborn hearing screening pathway requirements</w:t>
      </w:r>
      <w:r w:rsidRPr="00CE13D4">
        <w:t xml:space="preserve">. </w:t>
      </w:r>
      <w:r w:rsidR="00CE13D4" w:rsidRPr="00476C25">
        <w:t xml:space="preserve"> Available at:</w:t>
      </w:r>
      <w:r w:rsidRPr="00476C25">
        <w:t xml:space="preserve"> </w:t>
      </w:r>
      <w:hyperlink r:id="rId199" w:anchor=":~:text=The%20NHS%20offers%20newborn%20hearing,screening%20in%20the%20programme%20overview" w:history="1">
        <w:r w:rsidRPr="00476C25">
          <w:rPr>
            <w:rStyle w:val="Hyperlink"/>
          </w:rPr>
          <w:t>https://www.gov.uk/government/publications/newborn-hearing-screening-pathway-requirements-specification/newborn-hearing-screening-pathway-requirements-specification#:~:text=The%20NHS%20offers%20newborn%20hearing,screening%20in%20the%20programme%20overview</w:t>
        </w:r>
      </w:hyperlink>
      <w:r w:rsidRPr="00476C25">
        <w:t xml:space="preserve"> </w:t>
      </w:r>
    </w:p>
  </w:endnote>
  <w:endnote w:id="230">
    <w:p w14:paraId="78F2EB53" w14:textId="109518B8" w:rsidR="005C70DF" w:rsidRPr="00053374" w:rsidRDefault="005C70DF" w:rsidP="004C3828">
      <w:pPr>
        <w:pStyle w:val="EndnoteText"/>
        <w:jc w:val="left"/>
        <w:rPr>
          <w:highlight w:val="green"/>
        </w:rPr>
      </w:pPr>
      <w:r w:rsidRPr="00004687">
        <w:rPr>
          <w:rStyle w:val="EndnoteReference"/>
        </w:rPr>
        <w:endnoteRef/>
      </w:r>
      <w:r w:rsidRPr="00004687">
        <w:t xml:space="preserve"> National Deaf Children’s Society. (2025). </w:t>
      </w:r>
      <w:r w:rsidR="00BE16DC" w:rsidRPr="00004687">
        <w:rPr>
          <w:i/>
          <w:iCs/>
        </w:rPr>
        <w:t>Newborn hearing screening</w:t>
      </w:r>
      <w:r w:rsidR="00BE16DC" w:rsidRPr="00004687">
        <w:t xml:space="preserve">. </w:t>
      </w:r>
      <w:r w:rsidR="00004687" w:rsidRPr="00004687">
        <w:t>Available at:</w:t>
      </w:r>
      <w:r w:rsidRPr="00004687">
        <w:t xml:space="preserve"> </w:t>
      </w:r>
      <w:hyperlink r:id="rId200" w:history="1">
        <w:r w:rsidRPr="00004687">
          <w:rPr>
            <w:rStyle w:val="Hyperlink"/>
          </w:rPr>
          <w:t>https://www.ndcs.org.uk/advice-and-support/all-advice-and-support-topics/causes-types-and-signs-deafness/newborn-hearing-screening</w:t>
        </w:r>
      </w:hyperlink>
      <w:r w:rsidRPr="00004687">
        <w:t xml:space="preserve"> </w:t>
      </w:r>
    </w:p>
  </w:endnote>
  <w:endnote w:id="231">
    <w:p w14:paraId="683C0F26" w14:textId="302C7EEC" w:rsidR="001F05D8" w:rsidRDefault="001F05D8">
      <w:pPr>
        <w:pStyle w:val="EndnoteText"/>
      </w:pPr>
      <w:r>
        <w:rPr>
          <w:rStyle w:val="EndnoteReference"/>
        </w:rPr>
        <w:endnoteRef/>
      </w:r>
      <w:r>
        <w:t xml:space="preserve"> </w:t>
      </w:r>
      <w:r w:rsidRPr="001F05D8">
        <w:t xml:space="preserve">NHS (n.d.) Diagnosis: Deafblindness. Available at: </w:t>
      </w:r>
      <w:hyperlink r:id="rId201" w:history="1">
        <w:r w:rsidRPr="001F05D8">
          <w:rPr>
            <w:rStyle w:val="Hyperlink"/>
          </w:rPr>
          <w:t>https://www.nhs.uk/conditions/deafblindness/diagnosis/</w:t>
        </w:r>
      </w:hyperlink>
    </w:p>
  </w:endnote>
  <w:endnote w:id="232">
    <w:p w14:paraId="5ADEA280" w14:textId="1FB22C11" w:rsidR="006964CC" w:rsidRPr="00053374" w:rsidRDefault="006964CC" w:rsidP="004C3828">
      <w:pPr>
        <w:pStyle w:val="EndnoteText"/>
        <w:jc w:val="left"/>
        <w:rPr>
          <w:highlight w:val="green"/>
        </w:rPr>
      </w:pPr>
      <w:r w:rsidRPr="00055543">
        <w:rPr>
          <w:rStyle w:val="EndnoteReference"/>
        </w:rPr>
        <w:endnoteRef/>
      </w:r>
      <w:r w:rsidRPr="00055543">
        <w:t xml:space="preserve"> </w:t>
      </w:r>
      <w:r w:rsidR="00055543" w:rsidRPr="00055543">
        <w:t>Sense. (n.d.)</w:t>
      </w:r>
      <w:r w:rsidRPr="00055543">
        <w:t xml:space="preserve"> </w:t>
      </w:r>
      <w:r w:rsidRPr="00947FC1">
        <w:rPr>
          <w:i/>
        </w:rPr>
        <w:t>Route map to meeting the needs of Deafblind Children and young people in the new send system</w:t>
      </w:r>
      <w:r w:rsidR="00947FC1" w:rsidRPr="00055543">
        <w:t>.</w:t>
      </w:r>
      <w:r w:rsidR="00055543" w:rsidRPr="00055543">
        <w:t xml:space="preserve"> Available at:</w:t>
      </w:r>
      <w:r w:rsidRPr="00055543">
        <w:t xml:space="preserve"> </w:t>
      </w:r>
      <w:hyperlink r:id="rId202" w:history="1">
        <w:r w:rsidRPr="00055543">
          <w:rPr>
            <w:rStyle w:val="Hyperlink"/>
          </w:rPr>
          <w:t>https://www.sense.org.uk/information-and-advice/for-professionals/resources-for-education-and-early-years-professionals/route-map-to-meeting-the-needs-of-deafblind-children/</w:t>
        </w:r>
      </w:hyperlink>
      <w:r w:rsidRPr="00055543">
        <w:t xml:space="preserve"> </w:t>
      </w:r>
    </w:p>
  </w:endnote>
  <w:endnote w:id="233">
    <w:p w14:paraId="722FDF73" w14:textId="77777777" w:rsidR="00BF0B5E" w:rsidRPr="00053374" w:rsidRDefault="00BF0B5E" w:rsidP="00BF0B5E">
      <w:pPr>
        <w:pStyle w:val="EndnoteText"/>
        <w:jc w:val="left"/>
        <w:rPr>
          <w:highlight w:val="green"/>
          <w:lang w:val="en-US"/>
        </w:rPr>
      </w:pPr>
      <w:r w:rsidRPr="00DD3881">
        <w:rPr>
          <w:rStyle w:val="EndnoteReference"/>
        </w:rPr>
        <w:endnoteRef/>
      </w:r>
      <w:r w:rsidRPr="00DD3881">
        <w:t xml:space="preserve"> </w:t>
      </w:r>
      <w:r w:rsidRPr="00DD3881">
        <w:rPr>
          <w:lang w:val="en-US"/>
        </w:rPr>
        <w:t xml:space="preserve">NHS England (2025). </w:t>
      </w:r>
      <w:r w:rsidRPr="00DD3881">
        <w:rPr>
          <w:i/>
          <w:lang w:val="en-US"/>
        </w:rPr>
        <w:t xml:space="preserve">Accessible information standard. </w:t>
      </w:r>
      <w:r w:rsidRPr="00DD3881">
        <w:rPr>
          <w:lang w:val="en-US"/>
        </w:rPr>
        <w:t xml:space="preserve">Available at: </w:t>
      </w:r>
      <w:hyperlink r:id="rId203" w:history="1">
        <w:r w:rsidRPr="00DD3881">
          <w:rPr>
            <w:rStyle w:val="Hyperlink"/>
          </w:rPr>
          <w:t>NHS England » About the standard</w:t>
        </w:r>
      </w:hyperlink>
    </w:p>
  </w:endnote>
  <w:endnote w:id="234">
    <w:p w14:paraId="6B295924" w14:textId="6998979E" w:rsidR="00363665" w:rsidRDefault="00363665" w:rsidP="00293C95">
      <w:pPr>
        <w:pStyle w:val="EndnoteText"/>
        <w:jc w:val="left"/>
      </w:pPr>
      <w:r>
        <w:rPr>
          <w:rStyle w:val="EndnoteReference"/>
        </w:rPr>
        <w:endnoteRef/>
      </w:r>
      <w:r>
        <w:t xml:space="preserve"> </w:t>
      </w:r>
      <w:r w:rsidR="004E2FED" w:rsidRPr="004E2FED">
        <w:t>Deaf and hard of hearing people's healthcare experiences</w:t>
      </w:r>
      <w:r w:rsidR="00B14155">
        <w:t xml:space="preserve"> (2024) </w:t>
      </w:r>
      <w:r w:rsidR="005E1546" w:rsidRPr="00293C95">
        <w:rPr>
          <w:i/>
          <w:iCs/>
        </w:rPr>
        <w:t>Healthwatch</w:t>
      </w:r>
      <w:r w:rsidR="008520DB">
        <w:t xml:space="preserve">. </w:t>
      </w:r>
      <w:hyperlink r:id="rId204" w:history="1">
        <w:r w:rsidR="008D206E" w:rsidRPr="000E6898">
          <w:rPr>
            <w:rStyle w:val="Hyperlink"/>
          </w:rPr>
          <w:t>https://www.healthwatch.co.uk/blog/2024-04-10/deaf-and-hard-hearing-peoples-healthcare-experiences</w:t>
        </w:r>
      </w:hyperlink>
      <w:r w:rsidR="008D206E">
        <w:t xml:space="preserve"> </w:t>
      </w:r>
    </w:p>
  </w:endnote>
  <w:endnote w:id="235">
    <w:p w14:paraId="6B71D81F" w14:textId="003DEE17" w:rsidR="00EF6D63" w:rsidRDefault="00EF6D63" w:rsidP="00293C95">
      <w:pPr>
        <w:pStyle w:val="EndnoteText"/>
        <w:jc w:val="left"/>
      </w:pPr>
      <w:r>
        <w:rPr>
          <w:rStyle w:val="EndnoteReference"/>
        </w:rPr>
        <w:endnoteRef/>
      </w:r>
      <w:r>
        <w:t xml:space="preserve"> </w:t>
      </w:r>
      <w:r w:rsidR="00BF2F9D">
        <w:t xml:space="preserve">RNID (2025) </w:t>
      </w:r>
      <w:r w:rsidR="00BF2F9D" w:rsidRPr="00293C95">
        <w:rPr>
          <w:i/>
          <w:iCs/>
        </w:rPr>
        <w:t xml:space="preserve">Still </w:t>
      </w:r>
      <w:r w:rsidR="00E05EC4">
        <w:rPr>
          <w:i/>
          <w:iCs/>
        </w:rPr>
        <w:t>i</w:t>
      </w:r>
      <w:r w:rsidR="00720EC3" w:rsidRPr="00293C95">
        <w:rPr>
          <w:i/>
          <w:iCs/>
        </w:rPr>
        <w:t>gnored: The fight for accessible Healthcare</w:t>
      </w:r>
      <w:r w:rsidR="00E05EC4">
        <w:t xml:space="preserve">. </w:t>
      </w:r>
      <w:hyperlink r:id="rId205" w:history="1">
        <w:r w:rsidR="00E05EC4" w:rsidRPr="000E6898">
          <w:rPr>
            <w:rStyle w:val="Hyperlink"/>
          </w:rPr>
          <w:t>https://rnid.org.uk/wp-content/uploads/2020/05/AIS-policy-report-England-UPDATED.pdf</w:t>
        </w:r>
      </w:hyperlink>
      <w:r w:rsidR="00E05EC4">
        <w:t xml:space="preserve"> </w:t>
      </w:r>
    </w:p>
  </w:endnote>
  <w:endnote w:id="236">
    <w:p w14:paraId="359651A9" w14:textId="7B2EE4E6" w:rsidR="006964CC" w:rsidRPr="00D575EB" w:rsidRDefault="006964CC" w:rsidP="004C3828">
      <w:pPr>
        <w:pStyle w:val="EndnoteText"/>
        <w:jc w:val="left"/>
        <w:rPr>
          <w:highlight w:val="green"/>
        </w:rPr>
      </w:pPr>
      <w:r w:rsidRPr="003C7C6F">
        <w:rPr>
          <w:rStyle w:val="EndnoteReference"/>
        </w:rPr>
        <w:endnoteRef/>
      </w:r>
      <w:r w:rsidRPr="003C7C6F">
        <w:t xml:space="preserve"> Bailey, T., &amp; Lavery, C.</w:t>
      </w:r>
      <w:r w:rsidR="00D575EB" w:rsidRPr="003C7C6F">
        <w:t xml:space="preserve">, </w:t>
      </w:r>
      <w:r w:rsidR="00DD3881">
        <w:t>(</w:t>
      </w:r>
      <w:r w:rsidRPr="003C7C6F">
        <w:t>2018</w:t>
      </w:r>
      <w:r w:rsidR="00DD3881">
        <w:t>)</w:t>
      </w:r>
      <w:r w:rsidRPr="003C7C6F">
        <w:t xml:space="preserve">. </w:t>
      </w:r>
      <w:r w:rsidRPr="003C7C6F">
        <w:rPr>
          <w:i/>
          <w:iCs/>
        </w:rPr>
        <w:t>Good practice? Why people who are deaf or have hearing loss are still not getting accessible information from their GP</w:t>
      </w:r>
      <w:r w:rsidRPr="003C7C6F">
        <w:t>. </w:t>
      </w:r>
      <w:r w:rsidR="00D575EB" w:rsidRPr="003C7C6F">
        <w:t>Available at:</w:t>
      </w:r>
      <w:r w:rsidRPr="003C7C6F">
        <w:t xml:space="preserve"> </w:t>
      </w:r>
      <w:hyperlink r:id="rId206" w:history="1">
        <w:r w:rsidRPr="003C7C6F">
          <w:rPr>
            <w:rStyle w:val="Hyperlink"/>
          </w:rPr>
          <w:t>https://rnid.org.uk/wp-content/uploads/2020/07/Good-practice-full-report.pdf</w:t>
        </w:r>
      </w:hyperlink>
      <w:r w:rsidRPr="003C7C6F">
        <w:t xml:space="preserve"> </w:t>
      </w:r>
    </w:p>
  </w:endnote>
  <w:endnote w:id="237">
    <w:p w14:paraId="4B1153A1" w14:textId="77777777" w:rsidR="00383443" w:rsidRPr="00053374" w:rsidRDefault="00383443" w:rsidP="00383443">
      <w:pPr>
        <w:pStyle w:val="EndnoteText"/>
        <w:jc w:val="left"/>
        <w:rPr>
          <w:highlight w:val="green"/>
        </w:rPr>
      </w:pPr>
      <w:r w:rsidRPr="00D367C7">
        <w:rPr>
          <w:rStyle w:val="EndnoteReference"/>
        </w:rPr>
        <w:endnoteRef/>
      </w:r>
      <w:r w:rsidRPr="00476C25">
        <w:rPr>
          <w:lang w:val="de-DE"/>
        </w:rPr>
        <w:t xml:space="preserve"> Barasche-Berdah, D., Paltiel, O. and Raz, R., (2023). </w:t>
      </w:r>
      <w:r w:rsidRPr="00D367C7">
        <w:t>Active lifestyle and mobility of adults with vision impairment: A multiphase mixed-methods study. </w:t>
      </w:r>
      <w:r w:rsidRPr="00D367C7">
        <w:rPr>
          <w:i/>
          <w:iCs/>
        </w:rPr>
        <w:t>International Journal of Environmental Research and Public Health</w:t>
      </w:r>
      <w:r w:rsidRPr="00D367C7">
        <w:t>, </w:t>
      </w:r>
      <w:r w:rsidRPr="00D367C7">
        <w:rPr>
          <w:i/>
          <w:iCs/>
        </w:rPr>
        <w:t>20</w:t>
      </w:r>
      <w:r w:rsidRPr="00D367C7">
        <w:t>(19), p.6839.</w:t>
      </w:r>
    </w:p>
  </w:endnote>
  <w:endnote w:id="238">
    <w:p w14:paraId="157C9A0C" w14:textId="77777777" w:rsidR="00996F94" w:rsidRPr="00053374" w:rsidRDefault="00996F94" w:rsidP="00996F94">
      <w:pPr>
        <w:pStyle w:val="EndnoteText"/>
        <w:jc w:val="left"/>
        <w:rPr>
          <w:highlight w:val="green"/>
        </w:rPr>
      </w:pPr>
      <w:r w:rsidRPr="00F56345">
        <w:rPr>
          <w:rStyle w:val="EndnoteReference"/>
        </w:rPr>
        <w:endnoteRef/>
      </w:r>
      <w:r w:rsidRPr="00F56345">
        <w:t xml:space="preserve"> Beverley, C.A., Bath, P.A. and Booth, A., </w:t>
      </w:r>
      <w:r>
        <w:t>(</w:t>
      </w:r>
      <w:r w:rsidRPr="00F56345">
        <w:t>2004</w:t>
      </w:r>
      <w:r>
        <w:t>)</w:t>
      </w:r>
      <w:r w:rsidRPr="00F56345">
        <w:t>. Health information needs of visually impaired people: a systematic review of the literature. </w:t>
      </w:r>
      <w:r w:rsidRPr="00F56345">
        <w:rPr>
          <w:i/>
          <w:iCs/>
        </w:rPr>
        <w:t>Health &amp; Social Care in the Community</w:t>
      </w:r>
      <w:r w:rsidRPr="00F56345">
        <w:t>, </w:t>
      </w:r>
      <w:r w:rsidRPr="00F56345">
        <w:rPr>
          <w:i/>
          <w:iCs/>
        </w:rPr>
        <w:t>12</w:t>
      </w:r>
      <w:r w:rsidRPr="00F56345">
        <w:t>(1), pp.1-24.</w:t>
      </w:r>
    </w:p>
  </w:endnote>
  <w:endnote w:id="239">
    <w:p w14:paraId="72C22299" w14:textId="77777777" w:rsidR="00383443" w:rsidRPr="00053374" w:rsidRDefault="00383443" w:rsidP="00383443">
      <w:pPr>
        <w:pStyle w:val="EndnoteText"/>
        <w:jc w:val="left"/>
        <w:rPr>
          <w:highlight w:val="green"/>
        </w:rPr>
      </w:pPr>
      <w:r w:rsidRPr="00463BDF">
        <w:rPr>
          <w:rStyle w:val="EndnoteReference"/>
        </w:rPr>
        <w:endnoteRef/>
      </w:r>
      <w:r w:rsidRPr="00463BDF">
        <w:t xml:space="preserve"> Remillard, E.T., Koon, L.M., Mitzner, T.L. and Rogers, W.A., </w:t>
      </w:r>
      <w:r>
        <w:t>(</w:t>
      </w:r>
      <w:r w:rsidRPr="00463BDF">
        <w:t>2024</w:t>
      </w:r>
      <w:r>
        <w:t>)</w:t>
      </w:r>
      <w:r w:rsidRPr="00463BDF">
        <w:t>. Everyday challenges for individuals aging with vision impairment: Technology implications. </w:t>
      </w:r>
      <w:r w:rsidRPr="00463BDF">
        <w:rPr>
          <w:i/>
          <w:iCs/>
        </w:rPr>
        <w:t>The Gerontologist</w:t>
      </w:r>
      <w:r w:rsidRPr="00463BDF">
        <w:t>, </w:t>
      </w:r>
      <w:r w:rsidRPr="00463BDF">
        <w:rPr>
          <w:i/>
          <w:iCs/>
        </w:rPr>
        <w:t>64</w:t>
      </w:r>
      <w:r w:rsidRPr="00463BDF">
        <w:t>(6), p.gnad169.</w:t>
      </w:r>
    </w:p>
  </w:endnote>
  <w:endnote w:id="240">
    <w:p w14:paraId="1CB642FE" w14:textId="77777777" w:rsidR="00383443" w:rsidRPr="00053374" w:rsidRDefault="00383443" w:rsidP="00383443">
      <w:pPr>
        <w:pStyle w:val="EndnoteText"/>
        <w:jc w:val="left"/>
        <w:rPr>
          <w:highlight w:val="green"/>
        </w:rPr>
      </w:pPr>
      <w:r w:rsidRPr="000C1D64">
        <w:rPr>
          <w:rStyle w:val="EndnoteReference"/>
        </w:rPr>
        <w:endnoteRef/>
      </w:r>
      <w:r w:rsidRPr="000C1D64">
        <w:t xml:space="preserve"> Healthwatch Royal Borough of Kensington and Chelsea. (2025). </w:t>
      </w:r>
      <w:r w:rsidRPr="000C1D64">
        <w:rPr>
          <w:i/>
        </w:rPr>
        <w:t>How accessible is your healthcare?</w:t>
      </w:r>
      <w:r w:rsidRPr="000C1D64">
        <w:t xml:space="preserve"> Healthwatch RBKC. Available at: </w:t>
      </w:r>
      <w:hyperlink r:id="rId207" w:tgtFrame="_new" w:history="1">
        <w:r w:rsidRPr="000C1D64">
          <w:rPr>
            <w:rStyle w:val="Hyperlink"/>
          </w:rPr>
          <w:t>https://www.healthwatchrbkc.org.uk/blog/2025-06-12/how-accessible-your-healthcare</w:t>
        </w:r>
      </w:hyperlink>
    </w:p>
  </w:endnote>
  <w:endnote w:id="241">
    <w:p w14:paraId="6EC63E1D" w14:textId="4C5ACE48" w:rsidR="00EA41EB" w:rsidRDefault="00EA41EB">
      <w:pPr>
        <w:pStyle w:val="EndnoteText"/>
      </w:pPr>
      <w:r>
        <w:rPr>
          <w:rStyle w:val="EndnoteReference"/>
        </w:rPr>
        <w:endnoteRef/>
      </w:r>
      <w:r>
        <w:t xml:space="preserve"> </w:t>
      </w:r>
      <w:r w:rsidR="00BB09F5" w:rsidRPr="00BB09F5">
        <w:t xml:space="preserve">Edmondson, S. and Howe, J., </w:t>
      </w:r>
      <w:r w:rsidR="006E24FA">
        <w:t>(</w:t>
      </w:r>
      <w:r w:rsidR="00BB09F5" w:rsidRPr="00BB09F5">
        <w:t>2019</w:t>
      </w:r>
      <w:r w:rsidR="006E24FA">
        <w:t>)</w:t>
      </w:r>
      <w:r w:rsidR="00BB09F5" w:rsidRPr="00BB09F5">
        <w:t>. Exploring the social inclusion of deaf young people in mainstream schools, using their lived experience. </w:t>
      </w:r>
      <w:r w:rsidR="00BB09F5" w:rsidRPr="00BB09F5">
        <w:rPr>
          <w:i/>
          <w:iCs/>
        </w:rPr>
        <w:t>Educational Psychology in Practice</w:t>
      </w:r>
      <w:r w:rsidR="00BB09F5" w:rsidRPr="00BB09F5">
        <w:t>, </w:t>
      </w:r>
      <w:r w:rsidR="00BB09F5" w:rsidRPr="00BB09F5">
        <w:rPr>
          <w:i/>
          <w:iCs/>
        </w:rPr>
        <w:t>35</w:t>
      </w:r>
      <w:r w:rsidR="00BB09F5" w:rsidRPr="00BB09F5">
        <w:t>(2), pp.216-228.</w:t>
      </w:r>
    </w:p>
  </w:endnote>
  <w:endnote w:id="242">
    <w:p w14:paraId="25CFCCA1" w14:textId="1030EFB3" w:rsidR="006E24FA" w:rsidRDefault="006E24FA">
      <w:pPr>
        <w:pStyle w:val="EndnoteText"/>
      </w:pPr>
      <w:r>
        <w:rPr>
          <w:rStyle w:val="EndnoteReference"/>
        </w:rPr>
        <w:endnoteRef/>
      </w:r>
      <w:r>
        <w:t xml:space="preserve"> </w:t>
      </w:r>
      <w:r w:rsidR="00603F5D" w:rsidRPr="00603F5D">
        <w:t xml:space="preserve">Winiger, A.M., Alexander, J.M. and Diefendorf, A.O., </w:t>
      </w:r>
      <w:r w:rsidR="00603F5D">
        <w:t>(</w:t>
      </w:r>
      <w:r w:rsidR="00603F5D" w:rsidRPr="00603F5D">
        <w:t>2016</w:t>
      </w:r>
      <w:r w:rsidR="00603F5D">
        <w:t>)</w:t>
      </w:r>
      <w:r w:rsidR="00603F5D" w:rsidRPr="00603F5D">
        <w:t>. Minimal hearing loss: From a failure-based approach to evidence-based practice. </w:t>
      </w:r>
      <w:r w:rsidR="00603F5D" w:rsidRPr="00603F5D">
        <w:rPr>
          <w:i/>
          <w:iCs/>
        </w:rPr>
        <w:t>American journal of audiology</w:t>
      </w:r>
      <w:r w:rsidR="00603F5D" w:rsidRPr="00603F5D">
        <w:t>, </w:t>
      </w:r>
      <w:r w:rsidR="00603F5D" w:rsidRPr="00603F5D">
        <w:rPr>
          <w:i/>
          <w:iCs/>
        </w:rPr>
        <w:t>25</w:t>
      </w:r>
      <w:r w:rsidR="00603F5D" w:rsidRPr="00603F5D">
        <w:t>(3), pp.232-245.</w:t>
      </w:r>
    </w:p>
  </w:endnote>
  <w:endnote w:id="243">
    <w:p w14:paraId="6C564D17" w14:textId="733EE376" w:rsidR="00F74AF1" w:rsidRDefault="00F74AF1">
      <w:pPr>
        <w:pStyle w:val="EndnoteText"/>
      </w:pPr>
      <w:r>
        <w:rPr>
          <w:rStyle w:val="EndnoteReference"/>
        </w:rPr>
        <w:endnoteRef/>
      </w:r>
      <w:r>
        <w:t xml:space="preserve"> </w:t>
      </w:r>
      <w:r w:rsidRPr="00F74AF1">
        <w:t>Tomblin, J. B., Harrison, M., Ambrose, S. E., Walker, E. A., Oleson, J. J., &amp; Moeller, M. P. (2015). Language outcomes in young children with mild to severe hearing loss. </w:t>
      </w:r>
      <w:r w:rsidRPr="00F74AF1">
        <w:rPr>
          <w:i/>
          <w:iCs/>
        </w:rPr>
        <w:t>Ear and hearing</w:t>
      </w:r>
      <w:r w:rsidRPr="00F74AF1">
        <w:t>, </w:t>
      </w:r>
      <w:r w:rsidRPr="00F74AF1">
        <w:rPr>
          <w:i/>
          <w:iCs/>
        </w:rPr>
        <w:t>36</w:t>
      </w:r>
      <w:r w:rsidRPr="00F74AF1">
        <w:t>, 76S-91S.</w:t>
      </w:r>
    </w:p>
  </w:endnote>
  <w:endnote w:id="244">
    <w:p w14:paraId="5C984B67" w14:textId="77777777" w:rsidR="00383443" w:rsidRDefault="00383443" w:rsidP="00383443">
      <w:pPr>
        <w:pStyle w:val="EndnoteText"/>
        <w:jc w:val="left"/>
        <w:rPr>
          <w:highlight w:val="green"/>
        </w:rPr>
      </w:pPr>
      <w:r w:rsidRPr="004C0CD2">
        <w:rPr>
          <w:rStyle w:val="EndnoteReference"/>
        </w:rPr>
        <w:endnoteRef/>
      </w:r>
      <w:r w:rsidRPr="004C0CD2">
        <w:t xml:space="preserve"> Tadić, V., Pring, L. and Dale, N., </w:t>
      </w:r>
      <w:r>
        <w:t>(</w:t>
      </w:r>
      <w:r w:rsidRPr="004C0CD2">
        <w:t>2010</w:t>
      </w:r>
      <w:r>
        <w:t>)</w:t>
      </w:r>
      <w:r w:rsidRPr="004C0CD2">
        <w:t>. Are language and social communication intact in children with congenital visual impairment at school age?. </w:t>
      </w:r>
      <w:r w:rsidRPr="004C0CD2">
        <w:rPr>
          <w:i/>
          <w:iCs/>
        </w:rPr>
        <w:t>Journal of Child Psychology and Psychiatry</w:t>
      </w:r>
      <w:r w:rsidRPr="004C0CD2">
        <w:t>, </w:t>
      </w:r>
      <w:r w:rsidRPr="004C0CD2">
        <w:rPr>
          <w:i/>
          <w:iCs/>
        </w:rPr>
        <w:t>51</w:t>
      </w:r>
      <w:r w:rsidRPr="004C0CD2">
        <w:t>(6), pp.696-705.</w:t>
      </w:r>
    </w:p>
  </w:endnote>
  <w:endnote w:id="245">
    <w:p w14:paraId="1ADCF2BC" w14:textId="552E5288" w:rsidR="00052E1A" w:rsidRDefault="00052E1A">
      <w:pPr>
        <w:pStyle w:val="EndnoteText"/>
      </w:pPr>
      <w:r>
        <w:rPr>
          <w:rStyle w:val="EndnoteReference"/>
        </w:rPr>
        <w:endnoteRef/>
      </w:r>
      <w:r>
        <w:t xml:space="preserve"> </w:t>
      </w:r>
      <w:r w:rsidR="00A93C1E" w:rsidRPr="00A93C1E">
        <w:t>Meier, S., Höger, B., &amp; Giese, M. (2023). “If only balls could talk…”: barriers and opportunities to participation for students with blindness and visual impairment in specialized PE. </w:t>
      </w:r>
      <w:r w:rsidR="00A93C1E" w:rsidRPr="00A93C1E">
        <w:rPr>
          <w:i/>
          <w:iCs/>
        </w:rPr>
        <w:t>Frontiers in Sports and Active Living</w:t>
      </w:r>
      <w:r w:rsidR="00A93C1E" w:rsidRPr="00A93C1E">
        <w:t>, </w:t>
      </w:r>
      <w:r w:rsidR="00A93C1E" w:rsidRPr="00A93C1E">
        <w:rPr>
          <w:i/>
          <w:iCs/>
        </w:rPr>
        <w:t>5</w:t>
      </w:r>
      <w:r w:rsidR="00A93C1E" w:rsidRPr="00A93C1E">
        <w:t>, 1286909.</w:t>
      </w:r>
      <w:r w:rsidR="00A93C1E">
        <w:t xml:space="preserve"> </w:t>
      </w:r>
    </w:p>
  </w:endnote>
  <w:endnote w:id="246">
    <w:p w14:paraId="5A2AEE22" w14:textId="725B1647" w:rsidR="00A93C1E" w:rsidRDefault="00A93C1E">
      <w:pPr>
        <w:pStyle w:val="EndnoteText"/>
      </w:pPr>
      <w:r>
        <w:rPr>
          <w:rStyle w:val="EndnoteReference"/>
        </w:rPr>
        <w:endnoteRef/>
      </w:r>
      <w:r>
        <w:t xml:space="preserve"> </w:t>
      </w:r>
      <w:r w:rsidR="00382A8E" w:rsidRPr="00382A8E">
        <w:t>Linsenbigler, K., Petersen, S., &amp; Lieberman, L. (2018). Barriers to physical activity for children with visual impairments: How far have we come and where do we still need to go?. </w:t>
      </w:r>
      <w:r w:rsidR="00382A8E" w:rsidRPr="00382A8E">
        <w:rPr>
          <w:i/>
          <w:iCs/>
        </w:rPr>
        <w:t>Palaestra</w:t>
      </w:r>
      <w:r w:rsidR="00382A8E" w:rsidRPr="00382A8E">
        <w:t>, </w:t>
      </w:r>
      <w:r w:rsidR="00382A8E" w:rsidRPr="00382A8E">
        <w:rPr>
          <w:i/>
          <w:iCs/>
        </w:rPr>
        <w:t>32</w:t>
      </w:r>
      <w:r w:rsidR="00382A8E" w:rsidRPr="00382A8E">
        <w:t>(1).</w:t>
      </w:r>
    </w:p>
  </w:endnote>
  <w:endnote w:id="247">
    <w:p w14:paraId="7BCCE20A" w14:textId="409A5BD6" w:rsidR="001617C2" w:rsidRDefault="001617C2">
      <w:pPr>
        <w:pStyle w:val="EndnoteText"/>
      </w:pPr>
      <w:r>
        <w:rPr>
          <w:rStyle w:val="EndnoteReference"/>
        </w:rPr>
        <w:endnoteRef/>
      </w:r>
      <w:r>
        <w:t xml:space="preserve"> </w:t>
      </w:r>
      <w:r w:rsidR="006167E8" w:rsidRPr="006167E8">
        <w:t>Early Support (2012). Information about multi-sensory impairment, 4th edition</w:t>
      </w:r>
      <w:r w:rsidR="0061626D">
        <w:t xml:space="preserve"> </w:t>
      </w:r>
    </w:p>
  </w:endnote>
  <w:endnote w:id="248">
    <w:p w14:paraId="1D201D6F" w14:textId="3D702FA0" w:rsidR="00985E0C" w:rsidRDefault="00985E0C">
      <w:pPr>
        <w:pStyle w:val="EndnoteText"/>
      </w:pPr>
      <w:r>
        <w:rPr>
          <w:rStyle w:val="EndnoteReference"/>
        </w:rPr>
        <w:endnoteRef/>
      </w:r>
      <w:r>
        <w:t xml:space="preserve"> </w:t>
      </w:r>
      <w:r w:rsidRPr="00985E0C">
        <w:t>Sense (2002) Breaking Out: opening the community for deafblind children and young people: a Sense Campaign Report. London: Sense.</w:t>
      </w:r>
    </w:p>
  </w:endnote>
  <w:endnote w:id="249">
    <w:p w14:paraId="0F590728" w14:textId="51B162E0" w:rsidR="00BA1717" w:rsidRDefault="00BA1717">
      <w:pPr>
        <w:pStyle w:val="EndnoteText"/>
      </w:pPr>
      <w:r>
        <w:rPr>
          <w:rStyle w:val="EndnoteReference"/>
        </w:rPr>
        <w:endnoteRef/>
      </w:r>
      <w:r>
        <w:t xml:space="preserve"> </w:t>
      </w:r>
      <w:r w:rsidRPr="00BA1717">
        <w:t xml:space="preserve">Möller, K. and Danermark, B., </w:t>
      </w:r>
      <w:r w:rsidR="00C47B3B">
        <w:t>(</w:t>
      </w:r>
      <w:r w:rsidRPr="00BA1717">
        <w:t>2007</w:t>
      </w:r>
      <w:r w:rsidR="00C47B3B">
        <w:t>)</w:t>
      </w:r>
      <w:r w:rsidRPr="00BA1717">
        <w:t xml:space="preserve"> Social recognition, participation, and the dynamic between the environment and personal factors of students with deafblindness. </w:t>
      </w:r>
      <w:r w:rsidRPr="00BA1717">
        <w:rPr>
          <w:i/>
          <w:iCs/>
        </w:rPr>
        <w:t>American annals of the deaf</w:t>
      </w:r>
      <w:r w:rsidRPr="00BA1717">
        <w:t>, </w:t>
      </w:r>
      <w:r w:rsidRPr="00BA1717">
        <w:rPr>
          <w:i/>
          <w:iCs/>
        </w:rPr>
        <w:t>152</w:t>
      </w:r>
      <w:r w:rsidRPr="00BA1717">
        <w:t>(1), pp.42-55</w:t>
      </w:r>
      <w:r w:rsidR="00C47B3B">
        <w:t>.</w:t>
      </w:r>
    </w:p>
  </w:endnote>
  <w:endnote w:id="250">
    <w:p w14:paraId="1AEC9EBD" w14:textId="3653658B" w:rsidR="005C70DF" w:rsidRPr="0072732F" w:rsidRDefault="005C70DF" w:rsidP="004C3828">
      <w:pPr>
        <w:pStyle w:val="EndnoteText"/>
        <w:jc w:val="left"/>
      </w:pPr>
      <w:r w:rsidRPr="0072732F">
        <w:rPr>
          <w:rStyle w:val="EndnoteReference"/>
        </w:rPr>
        <w:endnoteRef/>
      </w:r>
      <w:r w:rsidRPr="0072732F">
        <w:t xml:space="preserve"> </w:t>
      </w:r>
      <w:r w:rsidR="0072732F" w:rsidRPr="0072732F">
        <w:t xml:space="preserve">Schlumberger, E., Narbona, J. and Manrique, M., </w:t>
      </w:r>
      <w:r w:rsidR="008D0213">
        <w:t>(</w:t>
      </w:r>
      <w:r w:rsidR="0072732F" w:rsidRPr="0072732F">
        <w:t>2004</w:t>
      </w:r>
      <w:r w:rsidR="008D0213">
        <w:t>)</w:t>
      </w:r>
      <w:r w:rsidR="0072732F" w:rsidRPr="0072732F">
        <w:t>. Non-verbal development of children with deafness with and without cochlear implants. </w:t>
      </w:r>
      <w:r w:rsidR="0072732F" w:rsidRPr="0072732F">
        <w:rPr>
          <w:i/>
          <w:iCs/>
        </w:rPr>
        <w:t>Developmental medicine and child neurology</w:t>
      </w:r>
      <w:r w:rsidR="0072732F" w:rsidRPr="0072732F">
        <w:t>, </w:t>
      </w:r>
      <w:r w:rsidR="0072732F" w:rsidRPr="0072732F">
        <w:rPr>
          <w:i/>
          <w:iCs/>
        </w:rPr>
        <w:t>46</w:t>
      </w:r>
      <w:r w:rsidR="0072732F" w:rsidRPr="0072732F">
        <w:t>(9), pp.599-606.</w:t>
      </w:r>
    </w:p>
  </w:endnote>
  <w:endnote w:id="251">
    <w:p w14:paraId="02927189" w14:textId="4001E632" w:rsidR="005C70DF" w:rsidRPr="00053374" w:rsidRDefault="005C70DF" w:rsidP="004C3828">
      <w:pPr>
        <w:pStyle w:val="EndnoteText"/>
        <w:jc w:val="left"/>
        <w:rPr>
          <w:highlight w:val="green"/>
        </w:rPr>
      </w:pPr>
      <w:r w:rsidRPr="002A37AD">
        <w:rPr>
          <w:rStyle w:val="EndnoteReference"/>
        </w:rPr>
        <w:endnoteRef/>
      </w:r>
      <w:r w:rsidRPr="002A37AD">
        <w:t xml:space="preserve"> </w:t>
      </w:r>
      <w:r w:rsidR="002A37AD" w:rsidRPr="002A37AD">
        <w:t xml:space="preserve">Hindley, P., </w:t>
      </w:r>
      <w:r w:rsidR="006A076F">
        <w:t>(</w:t>
      </w:r>
      <w:r w:rsidR="002A37AD" w:rsidRPr="002A37AD">
        <w:t>1997</w:t>
      </w:r>
      <w:r w:rsidR="006A076F">
        <w:t>)</w:t>
      </w:r>
      <w:r w:rsidR="002A37AD" w:rsidRPr="002A37AD">
        <w:t>. Psychiatric aspects of hearing impairments. </w:t>
      </w:r>
      <w:r w:rsidR="002A37AD" w:rsidRPr="002A37AD">
        <w:rPr>
          <w:i/>
          <w:iCs/>
        </w:rPr>
        <w:t>Journal of child psychology and psychiatry</w:t>
      </w:r>
      <w:r w:rsidR="002A37AD" w:rsidRPr="002A37AD">
        <w:t>, </w:t>
      </w:r>
      <w:r w:rsidR="002A37AD" w:rsidRPr="002A37AD">
        <w:rPr>
          <w:i/>
          <w:iCs/>
        </w:rPr>
        <w:t>38</w:t>
      </w:r>
      <w:r w:rsidR="002A37AD" w:rsidRPr="002A37AD">
        <w:t>(1), pp.101-117.</w:t>
      </w:r>
    </w:p>
  </w:endnote>
  <w:endnote w:id="252">
    <w:p w14:paraId="471A4313" w14:textId="3A8FD1BB" w:rsidR="005C70DF" w:rsidRPr="00053374" w:rsidRDefault="005C70DF" w:rsidP="004C3828">
      <w:pPr>
        <w:pStyle w:val="EndnoteText"/>
        <w:jc w:val="left"/>
        <w:rPr>
          <w:highlight w:val="green"/>
        </w:rPr>
      </w:pPr>
      <w:r w:rsidRPr="00E95F86">
        <w:rPr>
          <w:rStyle w:val="EndnoteReference"/>
        </w:rPr>
        <w:endnoteRef/>
      </w:r>
      <w:r w:rsidRPr="00E95F86">
        <w:t xml:space="preserve"> </w:t>
      </w:r>
      <w:r w:rsidR="00E95F86" w:rsidRPr="00E95F86">
        <w:t xml:space="preserve">Roland, L., Fischer, C., Tran, K., Rachakonda, T., Kallogjeri, D. and Lieu, J.E., </w:t>
      </w:r>
      <w:r w:rsidR="006A076F">
        <w:t>(</w:t>
      </w:r>
      <w:r w:rsidR="00E95F86" w:rsidRPr="00E95F86">
        <w:t>2016</w:t>
      </w:r>
      <w:r w:rsidR="006A076F">
        <w:t>)</w:t>
      </w:r>
      <w:r w:rsidR="00E95F86" w:rsidRPr="00E95F86">
        <w:t>. Quality of life in children with hearing impairment: systematic review and meta-analysis. </w:t>
      </w:r>
      <w:r w:rsidR="00E95F86" w:rsidRPr="00E95F86">
        <w:rPr>
          <w:i/>
          <w:iCs/>
        </w:rPr>
        <w:t>Otolaryngology–Head and Neck Surgery</w:t>
      </w:r>
      <w:r w:rsidR="00E95F86" w:rsidRPr="00E95F86">
        <w:t>, </w:t>
      </w:r>
      <w:r w:rsidR="00E95F86" w:rsidRPr="00E95F86">
        <w:rPr>
          <w:i/>
          <w:iCs/>
        </w:rPr>
        <w:t>155</w:t>
      </w:r>
      <w:r w:rsidR="00E95F86" w:rsidRPr="00E95F86">
        <w:t>(2), pp.208-219.</w:t>
      </w:r>
    </w:p>
  </w:endnote>
  <w:endnote w:id="253">
    <w:p w14:paraId="558C137C" w14:textId="220AB175" w:rsidR="005C70DF" w:rsidRPr="00053374" w:rsidRDefault="005C70DF" w:rsidP="004C3828">
      <w:pPr>
        <w:pStyle w:val="EndnoteText"/>
        <w:jc w:val="left"/>
        <w:rPr>
          <w:highlight w:val="green"/>
        </w:rPr>
      </w:pPr>
      <w:r w:rsidRPr="00B247E0">
        <w:rPr>
          <w:rStyle w:val="EndnoteReference"/>
        </w:rPr>
        <w:endnoteRef/>
      </w:r>
      <w:r w:rsidRPr="00B247E0">
        <w:t xml:space="preserve"> </w:t>
      </w:r>
      <w:r w:rsidR="00B247E0" w:rsidRPr="00B247E0">
        <w:t xml:space="preserve">Woodcock, K. and Pole, J.D., </w:t>
      </w:r>
      <w:r w:rsidR="006A076F">
        <w:t>(</w:t>
      </w:r>
      <w:r w:rsidR="00B247E0" w:rsidRPr="00B247E0">
        <w:t>2008</w:t>
      </w:r>
      <w:r w:rsidR="006A076F">
        <w:t>)</w:t>
      </w:r>
      <w:r w:rsidR="00B247E0" w:rsidRPr="00B247E0">
        <w:t>. Educational attainment, labour force status and injury: a comparison of Canadians with and without deafness and hearing loss. </w:t>
      </w:r>
      <w:r w:rsidR="00B247E0" w:rsidRPr="00B247E0">
        <w:rPr>
          <w:i/>
          <w:iCs/>
        </w:rPr>
        <w:t>International Journal of Rehabilitation Research</w:t>
      </w:r>
      <w:r w:rsidR="00B247E0" w:rsidRPr="00B247E0">
        <w:t>, </w:t>
      </w:r>
      <w:r w:rsidR="00B247E0" w:rsidRPr="00B247E0">
        <w:rPr>
          <w:i/>
          <w:iCs/>
        </w:rPr>
        <w:t>31</w:t>
      </w:r>
      <w:r w:rsidR="00B247E0" w:rsidRPr="00B247E0">
        <w:t>(4), pp.297-304.</w:t>
      </w:r>
    </w:p>
  </w:endnote>
  <w:endnote w:id="254">
    <w:p w14:paraId="61EFB723" w14:textId="2146A83E" w:rsidR="005C70DF" w:rsidRPr="00053374" w:rsidRDefault="005C70DF" w:rsidP="004C3828">
      <w:pPr>
        <w:pStyle w:val="EndnoteText"/>
        <w:jc w:val="left"/>
        <w:rPr>
          <w:highlight w:val="green"/>
        </w:rPr>
      </w:pPr>
      <w:r w:rsidRPr="00324C71">
        <w:rPr>
          <w:rStyle w:val="EndnoteReference"/>
        </w:rPr>
        <w:endnoteRef/>
      </w:r>
      <w:r w:rsidRPr="00324C71">
        <w:t xml:space="preserve"> </w:t>
      </w:r>
      <w:r w:rsidR="00324C71" w:rsidRPr="00324C71">
        <w:t xml:space="preserve">Idstad, M. and Engdahl, B., </w:t>
      </w:r>
      <w:r w:rsidR="006A076F">
        <w:t>(</w:t>
      </w:r>
      <w:r w:rsidR="00324C71" w:rsidRPr="00324C71">
        <w:t>2019</w:t>
      </w:r>
      <w:r w:rsidR="006A076F">
        <w:t>)</w:t>
      </w:r>
      <w:r w:rsidR="00324C71" w:rsidRPr="00324C71">
        <w:t>. Childhood sensorineural hearing loss and educational attainment in adulthood: results from the HUNT study. </w:t>
      </w:r>
      <w:r w:rsidR="00324C71" w:rsidRPr="00324C71">
        <w:rPr>
          <w:i/>
          <w:iCs/>
        </w:rPr>
        <w:t>Ear and Hearing</w:t>
      </w:r>
      <w:r w:rsidR="00324C71" w:rsidRPr="00324C71">
        <w:t>, </w:t>
      </w:r>
      <w:r w:rsidR="00324C71" w:rsidRPr="00324C71">
        <w:rPr>
          <w:i/>
          <w:iCs/>
        </w:rPr>
        <w:t>40</w:t>
      </w:r>
      <w:r w:rsidR="00324C71" w:rsidRPr="00324C71">
        <w:t>(6), pp.1359-1367.</w:t>
      </w:r>
    </w:p>
  </w:endnote>
  <w:endnote w:id="255">
    <w:p w14:paraId="44519341" w14:textId="5D22676A" w:rsidR="005C70DF" w:rsidRPr="00053374" w:rsidRDefault="005C70DF" w:rsidP="004C3828">
      <w:pPr>
        <w:pStyle w:val="EndnoteText"/>
        <w:jc w:val="left"/>
        <w:rPr>
          <w:highlight w:val="green"/>
        </w:rPr>
      </w:pPr>
      <w:r w:rsidRPr="00C34772">
        <w:rPr>
          <w:rStyle w:val="EndnoteReference"/>
        </w:rPr>
        <w:endnoteRef/>
      </w:r>
      <w:r w:rsidRPr="00C34772">
        <w:t xml:space="preserve"> </w:t>
      </w:r>
      <w:r w:rsidR="00C34772" w:rsidRPr="00C34772">
        <w:t xml:space="preserve">Haukedal, C.L., Lyxell, B. and Wie, O.B., </w:t>
      </w:r>
      <w:r w:rsidR="006A076F">
        <w:t>(</w:t>
      </w:r>
      <w:r w:rsidR="00C34772" w:rsidRPr="00C34772">
        <w:t>2020</w:t>
      </w:r>
      <w:r w:rsidR="006A076F">
        <w:t>)</w:t>
      </w:r>
      <w:r w:rsidR="00C34772" w:rsidRPr="00C34772">
        <w:t>. Health-related quality of life with cochlear implants: the children’s perspective. </w:t>
      </w:r>
      <w:r w:rsidR="00C34772" w:rsidRPr="00C34772">
        <w:rPr>
          <w:i/>
          <w:iCs/>
        </w:rPr>
        <w:t>Ear and hearing</w:t>
      </w:r>
      <w:r w:rsidR="00C34772" w:rsidRPr="00C34772">
        <w:t>, </w:t>
      </w:r>
      <w:r w:rsidR="00C34772" w:rsidRPr="00C34772">
        <w:rPr>
          <w:i/>
          <w:iCs/>
        </w:rPr>
        <w:t>41</w:t>
      </w:r>
      <w:r w:rsidR="00C34772" w:rsidRPr="00C34772">
        <w:t>(2), pp.330-343.</w:t>
      </w:r>
    </w:p>
  </w:endnote>
  <w:endnote w:id="256">
    <w:p w14:paraId="27888A27" w14:textId="0A08D449" w:rsidR="005C70DF" w:rsidRPr="00053374" w:rsidRDefault="005C70DF" w:rsidP="004C3828">
      <w:pPr>
        <w:pStyle w:val="EndnoteText"/>
        <w:jc w:val="left"/>
        <w:rPr>
          <w:highlight w:val="green"/>
        </w:rPr>
      </w:pPr>
      <w:r w:rsidRPr="0007295C">
        <w:rPr>
          <w:rStyle w:val="EndnoteReference"/>
        </w:rPr>
        <w:endnoteRef/>
      </w:r>
      <w:r w:rsidRPr="0007295C">
        <w:t xml:space="preserve"> </w:t>
      </w:r>
      <w:r w:rsidR="0007295C" w:rsidRPr="0007295C">
        <w:t xml:space="preserve">Ching, T.Y., Dillon, H., Leigh, G. and Cupples, L., </w:t>
      </w:r>
      <w:r w:rsidR="001D270F">
        <w:t>(</w:t>
      </w:r>
      <w:r w:rsidR="0007295C" w:rsidRPr="0007295C">
        <w:t>2018</w:t>
      </w:r>
      <w:r w:rsidR="001D270F">
        <w:t>)</w:t>
      </w:r>
      <w:r w:rsidR="0007295C" w:rsidRPr="0007295C">
        <w:t>. Learning from the Longitudinal Outcomes of Children with Hearing Impairment (LOCHI) study: Summary of 5-year findings and implications. </w:t>
      </w:r>
      <w:r w:rsidR="0007295C" w:rsidRPr="0007295C">
        <w:rPr>
          <w:i/>
          <w:iCs/>
        </w:rPr>
        <w:t>International journal of audiology</w:t>
      </w:r>
      <w:r w:rsidR="0007295C" w:rsidRPr="0007295C">
        <w:t>, </w:t>
      </w:r>
      <w:r w:rsidR="0007295C" w:rsidRPr="0007295C">
        <w:rPr>
          <w:i/>
          <w:iCs/>
        </w:rPr>
        <w:t>57</w:t>
      </w:r>
      <w:r w:rsidR="0007295C" w:rsidRPr="0007295C">
        <w:t>(sup2), pp.S105-S111.</w:t>
      </w:r>
    </w:p>
  </w:endnote>
  <w:endnote w:id="257">
    <w:p w14:paraId="3C28CBD7" w14:textId="47D4E0B5" w:rsidR="005C70DF" w:rsidRPr="00053374" w:rsidRDefault="005C70DF" w:rsidP="004C3828">
      <w:pPr>
        <w:pStyle w:val="EndnoteText"/>
        <w:jc w:val="left"/>
        <w:rPr>
          <w:highlight w:val="green"/>
        </w:rPr>
      </w:pPr>
      <w:r w:rsidRPr="006927F2">
        <w:rPr>
          <w:rStyle w:val="EndnoteReference"/>
        </w:rPr>
        <w:endnoteRef/>
      </w:r>
      <w:r w:rsidRPr="006927F2">
        <w:t xml:space="preserve"> </w:t>
      </w:r>
      <w:r w:rsidR="006927F2" w:rsidRPr="006927F2">
        <w:t xml:space="preserve">Korver, A.M., Konings, S., Dekker, F.W., Beers, M., Wever, C.C., Frijns, J.H., Oudesluys-Murphy, A.M. and DECIBEL Collaborative Study Group, </w:t>
      </w:r>
      <w:r w:rsidR="00F62D48">
        <w:t>(</w:t>
      </w:r>
      <w:r w:rsidR="006927F2" w:rsidRPr="006927F2">
        <w:t>2010</w:t>
      </w:r>
      <w:r w:rsidR="00F62D48">
        <w:t>)</w:t>
      </w:r>
      <w:r w:rsidR="006927F2" w:rsidRPr="006927F2">
        <w:t>. Newborn hearing screening vs later hearing screening and developmental outcomes in children with permanent childhood hearing impairment. </w:t>
      </w:r>
      <w:r w:rsidR="006927F2" w:rsidRPr="006927F2">
        <w:rPr>
          <w:i/>
          <w:iCs/>
        </w:rPr>
        <w:t>Jama</w:t>
      </w:r>
      <w:r w:rsidR="006927F2" w:rsidRPr="006927F2">
        <w:t>, </w:t>
      </w:r>
      <w:r w:rsidR="006927F2" w:rsidRPr="006927F2">
        <w:rPr>
          <w:i/>
          <w:iCs/>
        </w:rPr>
        <w:t>304</w:t>
      </w:r>
      <w:r w:rsidR="006927F2" w:rsidRPr="006927F2">
        <w:t>(15), pp.1701-1708.</w:t>
      </w:r>
    </w:p>
  </w:endnote>
  <w:endnote w:id="258">
    <w:p w14:paraId="0420D080" w14:textId="18819E1E" w:rsidR="005C70DF" w:rsidRPr="00053374" w:rsidRDefault="005C70DF" w:rsidP="004C3828">
      <w:pPr>
        <w:pStyle w:val="EndnoteText"/>
        <w:jc w:val="left"/>
        <w:rPr>
          <w:highlight w:val="green"/>
        </w:rPr>
      </w:pPr>
      <w:r w:rsidRPr="00C35245">
        <w:rPr>
          <w:rStyle w:val="EndnoteReference"/>
        </w:rPr>
        <w:endnoteRef/>
      </w:r>
      <w:r w:rsidRPr="00C35245">
        <w:t xml:space="preserve"> </w:t>
      </w:r>
      <w:r w:rsidR="00C35245" w:rsidRPr="00C35245">
        <w:t xml:space="preserve">Hogan, A., Phillips, R.L., Howard, D. and Yiengprugsawan, V., </w:t>
      </w:r>
      <w:r w:rsidR="00F62D48">
        <w:t>(</w:t>
      </w:r>
      <w:r w:rsidR="00C35245" w:rsidRPr="00C35245">
        <w:t>2014</w:t>
      </w:r>
      <w:r w:rsidR="00F62D48">
        <w:t>)</w:t>
      </w:r>
      <w:r w:rsidR="00C35245" w:rsidRPr="00C35245">
        <w:t>. Psychosocial outcomes of children with ear infections and hearing problems: a longitudinal study. </w:t>
      </w:r>
      <w:r w:rsidR="00C35245" w:rsidRPr="00C35245">
        <w:rPr>
          <w:i/>
          <w:iCs/>
        </w:rPr>
        <w:t>BMC pediatrics</w:t>
      </w:r>
      <w:r w:rsidR="00C35245" w:rsidRPr="00C35245">
        <w:t>, </w:t>
      </w:r>
      <w:r w:rsidR="00C35245" w:rsidRPr="00C35245">
        <w:rPr>
          <w:i/>
          <w:iCs/>
        </w:rPr>
        <w:t>14</w:t>
      </w:r>
      <w:r w:rsidR="00C35245" w:rsidRPr="00C35245">
        <w:t>(1), p.65.</w:t>
      </w:r>
    </w:p>
  </w:endnote>
  <w:endnote w:id="259">
    <w:p w14:paraId="7EA7B11E" w14:textId="77777777" w:rsidR="00383443" w:rsidRPr="00053374" w:rsidRDefault="00383443" w:rsidP="00383443">
      <w:pPr>
        <w:pStyle w:val="EndnoteText"/>
        <w:jc w:val="left"/>
        <w:rPr>
          <w:highlight w:val="green"/>
        </w:rPr>
      </w:pPr>
      <w:r w:rsidRPr="00500448">
        <w:rPr>
          <w:rStyle w:val="EndnoteReference"/>
        </w:rPr>
        <w:endnoteRef/>
      </w:r>
      <w:r w:rsidRPr="00500448">
        <w:t xml:space="preserve"> Hamblion, E.L., Moore, A.T. and Rahi, J.S., </w:t>
      </w:r>
      <w:r>
        <w:t>(</w:t>
      </w:r>
      <w:r w:rsidRPr="00500448">
        <w:t>2011</w:t>
      </w:r>
      <w:r>
        <w:t>)</w:t>
      </w:r>
      <w:r w:rsidRPr="00500448">
        <w:t>. The health-related quality of life of children with hereditary retinal disorders and the psychosocial impact on their families. </w:t>
      </w:r>
      <w:r w:rsidRPr="00500448">
        <w:rPr>
          <w:i/>
          <w:iCs/>
        </w:rPr>
        <w:t>Investigative ophthalmology &amp; visual science</w:t>
      </w:r>
      <w:r w:rsidRPr="00500448">
        <w:t>, </w:t>
      </w:r>
      <w:r w:rsidRPr="00500448">
        <w:rPr>
          <w:i/>
          <w:iCs/>
        </w:rPr>
        <w:t>52</w:t>
      </w:r>
      <w:r w:rsidRPr="00500448">
        <w:t>(11), pp.7981-7986.</w:t>
      </w:r>
    </w:p>
  </w:endnote>
  <w:endnote w:id="260">
    <w:p w14:paraId="0242C8E2" w14:textId="77777777" w:rsidR="00383443" w:rsidRPr="00053374" w:rsidRDefault="00383443" w:rsidP="00383443">
      <w:pPr>
        <w:pStyle w:val="EndnoteText"/>
        <w:jc w:val="left"/>
        <w:rPr>
          <w:highlight w:val="green"/>
        </w:rPr>
      </w:pPr>
      <w:r w:rsidRPr="008079FB">
        <w:rPr>
          <w:rStyle w:val="EndnoteReference"/>
        </w:rPr>
        <w:endnoteRef/>
      </w:r>
      <w:r w:rsidRPr="008079FB">
        <w:t xml:space="preserve"> Huurre, T.M. and Aro, H.M., </w:t>
      </w:r>
      <w:r>
        <w:t>(</w:t>
      </w:r>
      <w:r w:rsidRPr="008079FB">
        <w:t>1998</w:t>
      </w:r>
      <w:r>
        <w:t>)</w:t>
      </w:r>
      <w:r w:rsidRPr="008079FB">
        <w:t>. Psychosocial development among adolescents with visual impairment. </w:t>
      </w:r>
      <w:r w:rsidRPr="008079FB">
        <w:rPr>
          <w:i/>
          <w:iCs/>
        </w:rPr>
        <w:t>European child &amp; adolescent psychiatry</w:t>
      </w:r>
      <w:r w:rsidRPr="008079FB">
        <w:t>, </w:t>
      </w:r>
      <w:r w:rsidRPr="008079FB">
        <w:rPr>
          <w:i/>
          <w:iCs/>
        </w:rPr>
        <w:t>7</w:t>
      </w:r>
      <w:r w:rsidRPr="008079FB">
        <w:t>(2), pp.73-78.</w:t>
      </w:r>
    </w:p>
  </w:endnote>
  <w:endnote w:id="261">
    <w:p w14:paraId="572138AD" w14:textId="77777777" w:rsidR="00383443" w:rsidRPr="00053374" w:rsidRDefault="00383443" w:rsidP="00383443">
      <w:pPr>
        <w:pStyle w:val="EndnoteText"/>
        <w:jc w:val="left"/>
        <w:rPr>
          <w:highlight w:val="green"/>
        </w:rPr>
      </w:pPr>
      <w:r w:rsidRPr="00BD7E29">
        <w:rPr>
          <w:rStyle w:val="EndnoteReference"/>
        </w:rPr>
        <w:endnoteRef/>
      </w:r>
      <w:r w:rsidRPr="00BD7E29">
        <w:t xml:space="preserve"> DeCarlo, D.K., McGwin Jr, G., Bixler, M.L., Wallander, J. and Owsley, C., </w:t>
      </w:r>
      <w:r>
        <w:t>(</w:t>
      </w:r>
      <w:r w:rsidRPr="00BD7E29">
        <w:t>2012</w:t>
      </w:r>
      <w:r>
        <w:t>)</w:t>
      </w:r>
      <w:r w:rsidRPr="00BD7E29">
        <w:t>. Impact of pediatric vision impairment on daily life: results of focus groups. </w:t>
      </w:r>
      <w:r w:rsidRPr="00BD7E29">
        <w:rPr>
          <w:i/>
          <w:iCs/>
        </w:rPr>
        <w:t>Optometry and Vision Science</w:t>
      </w:r>
      <w:r w:rsidRPr="00BD7E29">
        <w:t>, </w:t>
      </w:r>
      <w:r w:rsidRPr="00BD7E29">
        <w:rPr>
          <w:i/>
          <w:iCs/>
        </w:rPr>
        <w:t>89</w:t>
      </w:r>
      <w:r w:rsidRPr="00BD7E29">
        <w:t>(9), pp.1409-1416.</w:t>
      </w:r>
    </w:p>
  </w:endnote>
  <w:endnote w:id="262">
    <w:p w14:paraId="21FA4AFC" w14:textId="2D7EB3D7" w:rsidR="005C70DF" w:rsidRPr="00053374" w:rsidRDefault="005C70DF" w:rsidP="004C3828">
      <w:pPr>
        <w:pStyle w:val="EndnoteText"/>
        <w:jc w:val="left"/>
        <w:rPr>
          <w:highlight w:val="green"/>
        </w:rPr>
      </w:pPr>
      <w:r w:rsidRPr="00BD137C">
        <w:rPr>
          <w:rStyle w:val="EndnoteReference"/>
        </w:rPr>
        <w:endnoteRef/>
      </w:r>
      <w:r w:rsidRPr="00BD137C">
        <w:t xml:space="preserve"> </w:t>
      </w:r>
      <w:r w:rsidR="00BD137C" w:rsidRPr="00BD137C">
        <w:t xml:space="preserve">Kiely, K.M., Anstey, K.J. and Luszcz, M.A., </w:t>
      </w:r>
      <w:r w:rsidR="00527A89">
        <w:t>(</w:t>
      </w:r>
      <w:r w:rsidR="00BD137C" w:rsidRPr="00BD137C">
        <w:t>2013</w:t>
      </w:r>
      <w:r w:rsidR="00527A89">
        <w:t>)</w:t>
      </w:r>
      <w:r w:rsidR="00BD137C" w:rsidRPr="00BD137C">
        <w:t>. Dual sensory loss and depressive symptoms: the importance of hearing, daily functioning, and activity engagement. </w:t>
      </w:r>
      <w:r w:rsidR="00BD137C" w:rsidRPr="00BD137C">
        <w:rPr>
          <w:i/>
          <w:iCs/>
        </w:rPr>
        <w:t>Frontiers in human neuroscience</w:t>
      </w:r>
      <w:r w:rsidR="00BD137C" w:rsidRPr="00BD137C">
        <w:t>, </w:t>
      </w:r>
      <w:r w:rsidR="00BD137C" w:rsidRPr="00BD137C">
        <w:rPr>
          <w:i/>
          <w:iCs/>
        </w:rPr>
        <w:t>7</w:t>
      </w:r>
      <w:r w:rsidR="00BD137C" w:rsidRPr="00BD137C">
        <w:t>, p.837.</w:t>
      </w:r>
    </w:p>
  </w:endnote>
  <w:endnote w:id="263">
    <w:p w14:paraId="1A1B5A39" w14:textId="7B41C760" w:rsidR="005C70DF" w:rsidRPr="00053374" w:rsidRDefault="005C70DF" w:rsidP="004C3828">
      <w:pPr>
        <w:pStyle w:val="EndnoteText"/>
        <w:jc w:val="left"/>
        <w:rPr>
          <w:highlight w:val="green"/>
        </w:rPr>
      </w:pPr>
      <w:r w:rsidRPr="00F6223D">
        <w:rPr>
          <w:rStyle w:val="EndnoteReference"/>
        </w:rPr>
        <w:endnoteRef/>
      </w:r>
      <w:r w:rsidRPr="00F6223D">
        <w:t xml:space="preserve"> </w:t>
      </w:r>
      <w:r w:rsidR="00F6223D" w:rsidRPr="00F6223D">
        <w:t xml:space="preserve">Brennan, M., Horowitz, A. and Su, Y.P., </w:t>
      </w:r>
      <w:r w:rsidR="00527A89">
        <w:t>(</w:t>
      </w:r>
      <w:r w:rsidR="00F6223D" w:rsidRPr="00F6223D">
        <w:t>2005</w:t>
      </w:r>
      <w:r w:rsidR="00527A89">
        <w:t>)</w:t>
      </w:r>
      <w:r w:rsidR="00F6223D" w:rsidRPr="00F6223D">
        <w:t>. Dual sensory loss and its impact on everyday competence. </w:t>
      </w:r>
      <w:r w:rsidR="00F6223D" w:rsidRPr="00F6223D">
        <w:rPr>
          <w:i/>
          <w:iCs/>
        </w:rPr>
        <w:t>The Gerontologist</w:t>
      </w:r>
      <w:r w:rsidR="00F6223D" w:rsidRPr="00F6223D">
        <w:t>, </w:t>
      </w:r>
      <w:r w:rsidR="00F6223D" w:rsidRPr="00F6223D">
        <w:rPr>
          <w:i/>
          <w:iCs/>
        </w:rPr>
        <w:t>45</w:t>
      </w:r>
      <w:r w:rsidR="00F6223D" w:rsidRPr="00F6223D">
        <w:t>(3), pp.337-346.</w:t>
      </w:r>
    </w:p>
  </w:endnote>
  <w:endnote w:id="264">
    <w:p w14:paraId="26610AC9" w14:textId="535391E0" w:rsidR="005C70DF" w:rsidRPr="00053374" w:rsidRDefault="005C70DF" w:rsidP="004C3828">
      <w:pPr>
        <w:pStyle w:val="EndnoteText"/>
        <w:jc w:val="left"/>
        <w:rPr>
          <w:highlight w:val="green"/>
        </w:rPr>
      </w:pPr>
      <w:r w:rsidRPr="000F05FD">
        <w:rPr>
          <w:rStyle w:val="EndnoteReference"/>
        </w:rPr>
        <w:endnoteRef/>
      </w:r>
      <w:r w:rsidRPr="000F05FD">
        <w:t xml:space="preserve"> </w:t>
      </w:r>
      <w:r w:rsidR="000F05FD" w:rsidRPr="000F05FD">
        <w:t xml:space="preserve">Harada, S., Nishiwaki, Y., Michikawa, T., Kikuchi, Y., Iwasawa, S., Nakano, M., Ishigami, A., Saito, H. and Takebayashi, T., </w:t>
      </w:r>
      <w:r w:rsidR="00527A89">
        <w:t>(</w:t>
      </w:r>
      <w:r w:rsidR="000F05FD" w:rsidRPr="000F05FD">
        <w:t>2008</w:t>
      </w:r>
      <w:r w:rsidR="00527A89">
        <w:t>)</w:t>
      </w:r>
      <w:r w:rsidR="000F05FD" w:rsidRPr="000F05FD">
        <w:t>. Gender difference in the relationships between vision and hearing impairments and negative well-being. </w:t>
      </w:r>
      <w:r w:rsidR="000F05FD" w:rsidRPr="000F05FD">
        <w:rPr>
          <w:i/>
          <w:iCs/>
        </w:rPr>
        <w:t>Preventive medicine</w:t>
      </w:r>
      <w:r w:rsidR="000F05FD" w:rsidRPr="000F05FD">
        <w:t>, </w:t>
      </w:r>
      <w:r w:rsidR="000F05FD" w:rsidRPr="000F05FD">
        <w:rPr>
          <w:i/>
          <w:iCs/>
        </w:rPr>
        <w:t>47</w:t>
      </w:r>
      <w:r w:rsidR="000F05FD" w:rsidRPr="000F05FD">
        <w:t>(4), pp.433-437.</w:t>
      </w:r>
    </w:p>
  </w:endnote>
  <w:endnote w:id="265">
    <w:p w14:paraId="73E77ED5" w14:textId="2D9A5ADA" w:rsidR="005C70DF" w:rsidRPr="00053374" w:rsidRDefault="005C70DF" w:rsidP="004C3828">
      <w:pPr>
        <w:pStyle w:val="EndnoteText"/>
        <w:jc w:val="left"/>
        <w:rPr>
          <w:highlight w:val="green"/>
        </w:rPr>
      </w:pPr>
      <w:r w:rsidRPr="00386C65">
        <w:rPr>
          <w:rStyle w:val="EndnoteReference"/>
        </w:rPr>
        <w:endnoteRef/>
      </w:r>
      <w:r w:rsidRPr="00386C65">
        <w:t xml:space="preserve"> </w:t>
      </w:r>
      <w:r w:rsidR="00386C65" w:rsidRPr="00386C65">
        <w:t xml:space="preserve">Ehrlich, J.R., Ramke, J., Macleod, D., Burn, H., Lee, C.N., Zhang, J.H., Waldock, W., Swenor, B.K., Gordon, I., Congdon, N. and Burton, M., </w:t>
      </w:r>
      <w:r w:rsidR="00527A89">
        <w:t>(</w:t>
      </w:r>
      <w:r w:rsidR="00386C65" w:rsidRPr="00386C65">
        <w:t>2021</w:t>
      </w:r>
      <w:r w:rsidR="00527A89">
        <w:t>)</w:t>
      </w:r>
      <w:r w:rsidR="00386C65" w:rsidRPr="00386C65">
        <w:t>. Association between vision impairment and mortality: a systematic review and meta-analysis. </w:t>
      </w:r>
      <w:r w:rsidR="00386C65" w:rsidRPr="00386C65">
        <w:rPr>
          <w:i/>
          <w:iCs/>
        </w:rPr>
        <w:t>The Lancet Global Health</w:t>
      </w:r>
      <w:r w:rsidR="00386C65" w:rsidRPr="00386C65">
        <w:t>, </w:t>
      </w:r>
      <w:r w:rsidR="00386C65" w:rsidRPr="00386C65">
        <w:rPr>
          <w:i/>
          <w:iCs/>
        </w:rPr>
        <w:t>9</w:t>
      </w:r>
      <w:r w:rsidR="00386C65" w:rsidRPr="00386C65">
        <w:t>(4), pp.e418-e430.</w:t>
      </w:r>
    </w:p>
  </w:endnote>
  <w:endnote w:id="266">
    <w:p w14:paraId="12F9ABF7" w14:textId="2140B0C0" w:rsidR="005C70DF" w:rsidRPr="00053374" w:rsidRDefault="005C70DF" w:rsidP="004C3828">
      <w:pPr>
        <w:pStyle w:val="EndnoteText"/>
        <w:jc w:val="left"/>
        <w:rPr>
          <w:highlight w:val="green"/>
        </w:rPr>
      </w:pPr>
      <w:r w:rsidRPr="006C36FF">
        <w:rPr>
          <w:rStyle w:val="EndnoteReference"/>
        </w:rPr>
        <w:endnoteRef/>
      </w:r>
      <w:r w:rsidRPr="006C36FF">
        <w:t xml:space="preserve"> </w:t>
      </w:r>
      <w:r w:rsidR="006C36FF" w:rsidRPr="006C36FF">
        <w:t xml:space="preserve">Rune, J., </w:t>
      </w:r>
      <w:r w:rsidR="00527A89">
        <w:t>(</w:t>
      </w:r>
      <w:r w:rsidR="006C36FF" w:rsidRPr="006C36FF">
        <w:t>2018</w:t>
      </w:r>
      <w:r w:rsidR="00527A89">
        <w:t>)</w:t>
      </w:r>
      <w:r w:rsidR="006C36FF" w:rsidRPr="006C36FF">
        <w:t>. At risk of exclusion from CRPD and SDGs implementation: inequality and persons with deafblindness. </w:t>
      </w:r>
      <w:r w:rsidR="006C36FF" w:rsidRPr="006C36FF">
        <w:rPr>
          <w:i/>
          <w:iCs/>
        </w:rPr>
        <w:t>World Federation of the Deafblind: Oslo, Norway</w:t>
      </w:r>
      <w:r w:rsidR="006C36FF" w:rsidRPr="006C36FF">
        <w:t>.</w:t>
      </w:r>
    </w:p>
  </w:endnote>
  <w:endnote w:id="267">
    <w:p w14:paraId="0F46DC81" w14:textId="10032E45" w:rsidR="005C70DF" w:rsidRPr="00053374" w:rsidRDefault="005C70DF" w:rsidP="004C3828">
      <w:pPr>
        <w:pStyle w:val="EndnoteText"/>
        <w:jc w:val="left"/>
        <w:rPr>
          <w:highlight w:val="green"/>
        </w:rPr>
      </w:pPr>
      <w:r w:rsidRPr="00AE3599">
        <w:rPr>
          <w:rStyle w:val="EndnoteReference"/>
        </w:rPr>
        <w:endnoteRef/>
      </w:r>
      <w:r w:rsidRPr="00AE3599">
        <w:t xml:space="preserve"> </w:t>
      </w:r>
      <w:r w:rsidR="00AE3599" w:rsidRPr="00AE3599">
        <w:t xml:space="preserve">Yoshinaga-Itano, C., </w:t>
      </w:r>
      <w:r w:rsidR="00527A89">
        <w:t>(</w:t>
      </w:r>
      <w:r w:rsidR="00AE3599" w:rsidRPr="00AE3599">
        <w:t>2003</w:t>
      </w:r>
      <w:r w:rsidR="003C58B9">
        <w:t>)</w:t>
      </w:r>
      <w:r w:rsidR="00AE3599" w:rsidRPr="00AE3599">
        <w:t>. From screening to early identification and intervention: Discovering predictors to successful outcomes for children with significant hearing loss. </w:t>
      </w:r>
      <w:r w:rsidR="00AE3599" w:rsidRPr="00AE3599">
        <w:rPr>
          <w:i/>
          <w:iCs/>
        </w:rPr>
        <w:t>Journal of deaf studies and deaf education</w:t>
      </w:r>
      <w:r w:rsidR="00AE3599" w:rsidRPr="00AE3599">
        <w:t>, </w:t>
      </w:r>
      <w:r w:rsidR="00AE3599" w:rsidRPr="00AE3599">
        <w:rPr>
          <w:i/>
          <w:iCs/>
        </w:rPr>
        <w:t>8</w:t>
      </w:r>
      <w:r w:rsidR="00AE3599" w:rsidRPr="00AE3599">
        <w:t>(1), pp.11-30.</w:t>
      </w:r>
    </w:p>
  </w:endnote>
  <w:endnote w:id="268">
    <w:p w14:paraId="2C85F610" w14:textId="1E234722" w:rsidR="005C70DF" w:rsidRPr="00053374" w:rsidRDefault="005C70DF" w:rsidP="004C3828">
      <w:pPr>
        <w:pStyle w:val="EndnoteText"/>
        <w:jc w:val="left"/>
        <w:rPr>
          <w:highlight w:val="green"/>
        </w:rPr>
      </w:pPr>
      <w:r w:rsidRPr="00281EAB">
        <w:rPr>
          <w:rStyle w:val="EndnoteReference"/>
        </w:rPr>
        <w:endnoteRef/>
      </w:r>
      <w:r w:rsidRPr="00281EAB">
        <w:t xml:space="preserve"> </w:t>
      </w:r>
      <w:r w:rsidR="00281EAB" w:rsidRPr="00281EAB">
        <w:t xml:space="preserve">Scarinci, N., Erbasi, E., Moore, E., Ching, T.Y. and Marnane, V., </w:t>
      </w:r>
      <w:r w:rsidR="003C58B9">
        <w:t>(</w:t>
      </w:r>
      <w:r w:rsidR="00281EAB" w:rsidRPr="00281EAB">
        <w:t>2018</w:t>
      </w:r>
      <w:r w:rsidR="003C58B9">
        <w:t>)</w:t>
      </w:r>
      <w:r w:rsidR="00281EAB" w:rsidRPr="00281EAB">
        <w:t>. The parents’ perspective of the early diagnostic period of their child with hearing loss: Information and support. </w:t>
      </w:r>
      <w:r w:rsidR="00281EAB" w:rsidRPr="00281EAB">
        <w:rPr>
          <w:i/>
          <w:iCs/>
        </w:rPr>
        <w:t>International journal of audiology</w:t>
      </w:r>
      <w:r w:rsidR="00281EAB" w:rsidRPr="00281EAB">
        <w:t>, </w:t>
      </w:r>
      <w:r w:rsidR="00281EAB" w:rsidRPr="00281EAB">
        <w:rPr>
          <w:i/>
          <w:iCs/>
        </w:rPr>
        <w:t>57</w:t>
      </w:r>
      <w:r w:rsidR="00281EAB" w:rsidRPr="00281EAB">
        <w:t>(sup2), pp.S3-S14.</w:t>
      </w:r>
    </w:p>
  </w:endnote>
  <w:endnote w:id="269">
    <w:p w14:paraId="2A3D9C4E" w14:textId="4413C6FB" w:rsidR="005C70DF" w:rsidRPr="00053374" w:rsidRDefault="005C70DF" w:rsidP="004C3828">
      <w:pPr>
        <w:pStyle w:val="EndnoteText"/>
        <w:jc w:val="left"/>
        <w:rPr>
          <w:highlight w:val="green"/>
        </w:rPr>
      </w:pPr>
      <w:r w:rsidRPr="00696FD6">
        <w:rPr>
          <w:rStyle w:val="EndnoteReference"/>
        </w:rPr>
        <w:endnoteRef/>
      </w:r>
      <w:r w:rsidRPr="00696FD6">
        <w:t xml:space="preserve"> </w:t>
      </w:r>
      <w:r w:rsidR="00696FD6" w:rsidRPr="00696FD6">
        <w:t xml:space="preserve">Eleweke, C.J., Gilbert, S., Bays, D. and Austin, E., </w:t>
      </w:r>
      <w:r w:rsidR="003C58B9">
        <w:t>(</w:t>
      </w:r>
      <w:r w:rsidR="00696FD6" w:rsidRPr="00696FD6">
        <w:t>2008</w:t>
      </w:r>
      <w:r w:rsidR="003C58B9">
        <w:t>)</w:t>
      </w:r>
      <w:r w:rsidR="00696FD6" w:rsidRPr="00696FD6">
        <w:t>. Information about support services for families of young children with hearing loss: A review of some useful outcomes and challenges. </w:t>
      </w:r>
      <w:r w:rsidR="00696FD6" w:rsidRPr="00696FD6">
        <w:rPr>
          <w:i/>
          <w:iCs/>
        </w:rPr>
        <w:t>Deafness &amp; Education International</w:t>
      </w:r>
      <w:r w:rsidR="00696FD6" w:rsidRPr="00696FD6">
        <w:t>, </w:t>
      </w:r>
      <w:r w:rsidR="00696FD6" w:rsidRPr="00696FD6">
        <w:rPr>
          <w:i/>
          <w:iCs/>
        </w:rPr>
        <w:t>10</w:t>
      </w:r>
      <w:r w:rsidR="00696FD6" w:rsidRPr="00696FD6">
        <w:t>(4), pp.190-212.</w:t>
      </w:r>
    </w:p>
  </w:endnote>
  <w:endnote w:id="270">
    <w:p w14:paraId="18A223AC" w14:textId="3E77033C" w:rsidR="005C70DF" w:rsidRPr="00053374" w:rsidRDefault="005C70DF" w:rsidP="004C3828">
      <w:pPr>
        <w:pStyle w:val="EndnoteText"/>
        <w:jc w:val="left"/>
        <w:rPr>
          <w:highlight w:val="green"/>
        </w:rPr>
      </w:pPr>
      <w:r w:rsidRPr="005630DA">
        <w:rPr>
          <w:rStyle w:val="EndnoteReference"/>
        </w:rPr>
        <w:endnoteRef/>
      </w:r>
      <w:r w:rsidRPr="005630DA">
        <w:t xml:space="preserve"> </w:t>
      </w:r>
      <w:r w:rsidR="005630DA" w:rsidRPr="005630DA">
        <w:t xml:space="preserve">Aljedaani, W., Krasniqi, R., Aljedaani, S., Mkaouer, M.W., Ludi, S. and Al-Raddah, K., </w:t>
      </w:r>
      <w:r w:rsidR="003C58B9">
        <w:t>(</w:t>
      </w:r>
      <w:r w:rsidR="005630DA" w:rsidRPr="005630DA">
        <w:t>2023</w:t>
      </w:r>
      <w:r w:rsidR="003C58B9">
        <w:t>)</w:t>
      </w:r>
      <w:r w:rsidR="005630DA" w:rsidRPr="005630DA">
        <w:t>. If online learning works for you, what about deaf students? Emerging challenges of online learning for deaf and hearing-impaired students during COVID-19: a literature review. </w:t>
      </w:r>
      <w:r w:rsidR="005630DA" w:rsidRPr="005630DA">
        <w:rPr>
          <w:i/>
          <w:iCs/>
        </w:rPr>
        <w:t>Universal access in the information society</w:t>
      </w:r>
      <w:r w:rsidR="005630DA" w:rsidRPr="005630DA">
        <w:t>, </w:t>
      </w:r>
      <w:r w:rsidR="005630DA" w:rsidRPr="005630DA">
        <w:rPr>
          <w:i/>
          <w:iCs/>
        </w:rPr>
        <w:t>22</w:t>
      </w:r>
      <w:r w:rsidR="005630DA" w:rsidRPr="005630DA">
        <w:t>(3), pp.1027-1046.</w:t>
      </w:r>
    </w:p>
  </w:endnote>
  <w:endnote w:id="271">
    <w:p w14:paraId="3BB6657C" w14:textId="5516FB5A" w:rsidR="009338AA" w:rsidRPr="00476C25" w:rsidRDefault="009338AA" w:rsidP="004C3828">
      <w:pPr>
        <w:pStyle w:val="EndnoteText"/>
        <w:jc w:val="left"/>
        <w:rPr>
          <w:highlight w:val="green"/>
        </w:rPr>
      </w:pPr>
      <w:r w:rsidRPr="00A220B9">
        <w:rPr>
          <w:rStyle w:val="EndnoteReference"/>
        </w:rPr>
        <w:endnoteRef/>
      </w:r>
      <w:r w:rsidRPr="00A220B9">
        <w:t xml:space="preserve"> </w:t>
      </w:r>
      <w:r w:rsidR="00A220B9" w:rsidRPr="00A220B9">
        <w:t xml:space="preserve">Eriks-Brophy, A., Durieux-Smith, A., Olds, J., Fitzpatrick, E., Duquette, C. and Whittingham, J., </w:t>
      </w:r>
      <w:r w:rsidR="003C58B9">
        <w:t>(</w:t>
      </w:r>
      <w:r w:rsidR="00A220B9" w:rsidRPr="00A220B9">
        <w:t>2006</w:t>
      </w:r>
      <w:r w:rsidR="003C58B9">
        <w:t>)</w:t>
      </w:r>
      <w:r w:rsidR="00A220B9" w:rsidRPr="00A220B9">
        <w:t>. Facilitators and barriers to the inclusion of orally educated children and youth with hearing loss in schools: promoting partnerships to support inclusion. </w:t>
      </w:r>
      <w:r w:rsidR="00A220B9" w:rsidRPr="00A220B9">
        <w:rPr>
          <w:i/>
          <w:iCs/>
        </w:rPr>
        <w:t>Volta Review</w:t>
      </w:r>
      <w:r w:rsidR="00A220B9" w:rsidRPr="00A220B9">
        <w:t>, </w:t>
      </w:r>
      <w:r w:rsidR="00A220B9" w:rsidRPr="00A220B9">
        <w:rPr>
          <w:i/>
          <w:iCs/>
        </w:rPr>
        <w:t>106</w:t>
      </w:r>
      <w:r w:rsidR="00A220B9" w:rsidRPr="00A220B9">
        <w:t>(1).</w:t>
      </w:r>
    </w:p>
  </w:endnote>
  <w:endnote w:id="272">
    <w:p w14:paraId="4F40D7CF" w14:textId="4297CDEE" w:rsidR="00EC6269" w:rsidRDefault="00EC6269">
      <w:pPr>
        <w:pStyle w:val="EndnoteText"/>
      </w:pPr>
      <w:r>
        <w:rPr>
          <w:rStyle w:val="EndnoteReference"/>
        </w:rPr>
        <w:endnoteRef/>
      </w:r>
      <w:r>
        <w:t xml:space="preserve"> </w:t>
      </w:r>
      <w:r w:rsidR="004B1A52" w:rsidRPr="004B1A52">
        <w:t>Humphries, T., Mathur, G., Napoli, D. J., Padden, C., &amp; Rathmann, C. (2022). Deaf children need rich language input from the start: Support in advising parents. </w:t>
      </w:r>
      <w:r w:rsidR="004B1A52" w:rsidRPr="004B1A52">
        <w:rPr>
          <w:i/>
          <w:iCs/>
        </w:rPr>
        <w:t>Children</w:t>
      </w:r>
      <w:r w:rsidR="004B1A52" w:rsidRPr="004B1A52">
        <w:t>, </w:t>
      </w:r>
      <w:r w:rsidR="004B1A52" w:rsidRPr="004B1A52">
        <w:rPr>
          <w:i/>
          <w:iCs/>
        </w:rPr>
        <w:t>9</w:t>
      </w:r>
      <w:r w:rsidR="004B1A52" w:rsidRPr="004B1A52">
        <w:t>(11), 1609.</w:t>
      </w:r>
    </w:p>
  </w:endnote>
  <w:endnote w:id="273">
    <w:p w14:paraId="55D32436" w14:textId="7EC15F6D" w:rsidR="005C70DF" w:rsidRPr="00293C95" w:rsidRDefault="009C5F81" w:rsidP="004C3828">
      <w:pPr>
        <w:pStyle w:val="EndnoteText"/>
        <w:jc w:val="left"/>
        <w:rPr>
          <w:highlight w:val="green"/>
          <w:lang w:val="it-IT"/>
        </w:rPr>
      </w:pPr>
      <w:r>
        <w:rPr>
          <w:rStyle w:val="EndnoteReference"/>
        </w:rPr>
        <w:endnoteRef/>
      </w:r>
      <w:r w:rsidRPr="009C5F81">
        <w:t xml:space="preserve">Tören, Z. and Gökçearslan, E., </w:t>
      </w:r>
      <w:r>
        <w:t>(</w:t>
      </w:r>
      <w:r w:rsidRPr="009C5F81">
        <w:t>2024</w:t>
      </w:r>
      <w:r>
        <w:t>)</w:t>
      </w:r>
      <w:r w:rsidRPr="009C5F81">
        <w:t xml:space="preserve">. Family Life of Parents With Visual Disabilities and Their Sighted Children: How their Families Could Be Empowered From the Social Work Point of View. </w:t>
      </w:r>
      <w:r w:rsidRPr="00293C95">
        <w:rPr>
          <w:i/>
          <w:lang w:val="it-IT"/>
        </w:rPr>
        <w:t>SAGE Open</w:t>
      </w:r>
      <w:r w:rsidRPr="00293C95">
        <w:rPr>
          <w:lang w:val="it-IT"/>
        </w:rPr>
        <w:t>, 14(3), p.21582440241268699.</w:t>
      </w:r>
    </w:p>
  </w:endnote>
  <w:endnote w:id="274">
    <w:p w14:paraId="3F10C87A" w14:textId="5ECCE87D" w:rsidR="00D102EC" w:rsidRDefault="00D102EC">
      <w:pPr>
        <w:pStyle w:val="EndnoteText"/>
      </w:pPr>
      <w:r>
        <w:rPr>
          <w:rStyle w:val="EndnoteReference"/>
        </w:rPr>
        <w:endnoteRef/>
      </w:r>
      <w:r w:rsidRPr="00293C95">
        <w:rPr>
          <w:lang w:val="it-IT"/>
        </w:rPr>
        <w:t xml:space="preserve"> </w:t>
      </w:r>
      <w:r w:rsidR="007C3C76" w:rsidRPr="00293C95">
        <w:rPr>
          <w:lang w:val="it-IT"/>
        </w:rPr>
        <w:t xml:space="preserve">Lanza, M., Incagli, F., Ceccato, C., Reffo, M. E., Mercuriali, E., Parmeggiani, F., ... </w:t>
      </w:r>
      <w:r w:rsidR="007C3C76" w:rsidRPr="007C3C76">
        <w:t>&amp; Guastafierro, E. (2024). Quality of life, functioning and participation of children and adolescents with visual impairment: A scoping review. </w:t>
      </w:r>
      <w:r w:rsidR="007C3C76" w:rsidRPr="007C3C76">
        <w:rPr>
          <w:i/>
          <w:iCs/>
        </w:rPr>
        <w:t>Research in Developmental Disabilities</w:t>
      </w:r>
      <w:r w:rsidR="007C3C76" w:rsidRPr="007C3C76">
        <w:t>, </w:t>
      </w:r>
      <w:r w:rsidR="007C3C76" w:rsidRPr="007C3C76">
        <w:rPr>
          <w:i/>
          <w:iCs/>
        </w:rPr>
        <w:t>151</w:t>
      </w:r>
      <w:r w:rsidR="007C3C76" w:rsidRPr="007C3C76">
        <w:t>, 104772.</w:t>
      </w:r>
    </w:p>
  </w:endnote>
  <w:endnote w:id="275">
    <w:p w14:paraId="20211066" w14:textId="6117FC0C" w:rsidR="005C70DF" w:rsidRPr="00053374" w:rsidRDefault="005C70DF" w:rsidP="004C3828">
      <w:pPr>
        <w:pStyle w:val="EndnoteText"/>
        <w:jc w:val="left"/>
        <w:rPr>
          <w:highlight w:val="green"/>
        </w:rPr>
      </w:pPr>
      <w:r w:rsidRPr="008F3F6D">
        <w:rPr>
          <w:rStyle w:val="EndnoteReference"/>
        </w:rPr>
        <w:endnoteRef/>
      </w:r>
      <w:r w:rsidRPr="00293C95">
        <w:t xml:space="preserve"> </w:t>
      </w:r>
      <w:r w:rsidR="008F3F6D" w:rsidRPr="00293C95">
        <w:t xml:space="preserve">Veldhorst, C., Vervloed, M., Kef, S. and Steenbergen, B., </w:t>
      </w:r>
      <w:r w:rsidR="006C3AC9" w:rsidRPr="00293C95">
        <w:t>(</w:t>
      </w:r>
      <w:r w:rsidR="008F3F6D" w:rsidRPr="00293C95">
        <w:t>2023</w:t>
      </w:r>
      <w:r w:rsidR="006C3AC9" w:rsidRPr="00293C95">
        <w:t>)</w:t>
      </w:r>
      <w:r w:rsidR="008F3F6D" w:rsidRPr="00293C95">
        <w:t xml:space="preserve">. </w:t>
      </w:r>
      <w:r w:rsidR="008F3F6D" w:rsidRPr="008F3F6D">
        <w:t>A scoping review of longitudinal studies of children with vision impairment. </w:t>
      </w:r>
      <w:r w:rsidR="008F3F6D" w:rsidRPr="008F3F6D">
        <w:rPr>
          <w:i/>
          <w:iCs/>
        </w:rPr>
        <w:t>British Journal of Visual Impairment</w:t>
      </w:r>
      <w:r w:rsidR="008F3F6D" w:rsidRPr="008F3F6D">
        <w:t>, </w:t>
      </w:r>
      <w:r w:rsidR="008F3F6D" w:rsidRPr="008F3F6D">
        <w:rPr>
          <w:i/>
          <w:iCs/>
        </w:rPr>
        <w:t>41</w:t>
      </w:r>
      <w:r w:rsidR="008F3F6D" w:rsidRPr="008F3F6D">
        <w:t>(3), pp.587-609.</w:t>
      </w:r>
    </w:p>
  </w:endnote>
  <w:endnote w:id="276">
    <w:p w14:paraId="39BD8538" w14:textId="5DE0CA22" w:rsidR="006964CC" w:rsidRPr="00053374" w:rsidRDefault="006964CC" w:rsidP="004C3828">
      <w:pPr>
        <w:pStyle w:val="EndnoteText"/>
        <w:jc w:val="left"/>
        <w:rPr>
          <w:highlight w:val="green"/>
          <w:lang w:val="en-US"/>
        </w:rPr>
      </w:pPr>
      <w:r w:rsidRPr="006C3AC9">
        <w:rPr>
          <w:rStyle w:val="EndnoteReference"/>
        </w:rPr>
        <w:endnoteRef/>
      </w:r>
      <w:r w:rsidRPr="006C3AC9">
        <w:t xml:space="preserve"> </w:t>
      </w:r>
      <w:r w:rsidRPr="006C3AC9">
        <w:rPr>
          <w:lang w:val="en-US"/>
        </w:rPr>
        <w:t xml:space="preserve">RNIB (2016). </w:t>
      </w:r>
      <w:r w:rsidRPr="006C3AC9">
        <w:rPr>
          <w:i/>
          <w:lang w:val="en-US"/>
        </w:rPr>
        <w:t xml:space="preserve">Information about vision impairment: Guide for parents. </w:t>
      </w:r>
      <w:r w:rsidRPr="006C3AC9">
        <w:rPr>
          <w:lang w:val="en-US"/>
        </w:rPr>
        <w:t xml:space="preserve">Available </w:t>
      </w:r>
      <w:r w:rsidR="006C3AC9" w:rsidRPr="006C3AC9">
        <w:rPr>
          <w:lang w:val="en-US"/>
        </w:rPr>
        <w:t>at</w:t>
      </w:r>
      <w:r w:rsidRPr="006C3AC9">
        <w:rPr>
          <w:lang w:val="en-US"/>
        </w:rPr>
        <w:t xml:space="preserve">: </w:t>
      </w:r>
      <w:hyperlink r:id="rId208" w:history="1">
        <w:r w:rsidRPr="006C3AC9">
          <w:rPr>
            <w:rStyle w:val="Hyperlink"/>
          </w:rPr>
          <w:t>Information about vision impairment Guide for parents</w:t>
        </w:r>
      </w:hyperlink>
    </w:p>
  </w:endnote>
  <w:endnote w:id="277">
    <w:p w14:paraId="2F7ED84C" w14:textId="7F0B2098" w:rsidR="006964CC" w:rsidRPr="00053374" w:rsidRDefault="006964CC" w:rsidP="004C3828">
      <w:pPr>
        <w:pStyle w:val="EndnoteText"/>
        <w:jc w:val="left"/>
        <w:rPr>
          <w:highlight w:val="green"/>
        </w:rPr>
      </w:pPr>
      <w:r w:rsidRPr="00B7515C">
        <w:rPr>
          <w:rStyle w:val="EndnoteReference"/>
        </w:rPr>
        <w:endnoteRef/>
      </w:r>
      <w:r w:rsidRPr="00B7515C">
        <w:t xml:space="preserve"> </w:t>
      </w:r>
      <w:r w:rsidR="00B7515C" w:rsidRPr="00B7515C">
        <w:t xml:space="preserve">Aanondsen, C.M., Jozefiak, T., Lydersen, S., Heiling, K. and Rimehaug, T., </w:t>
      </w:r>
      <w:r w:rsidR="006C3AC9">
        <w:t>(</w:t>
      </w:r>
      <w:r w:rsidR="00B7515C" w:rsidRPr="00B7515C">
        <w:t>2023</w:t>
      </w:r>
      <w:r w:rsidR="006C3AC9">
        <w:t>)</w:t>
      </w:r>
      <w:r w:rsidR="00B7515C" w:rsidRPr="00B7515C">
        <w:t>. Deaf and hard-of-hearing children and adolescents’ mental health, quality of life and communication. </w:t>
      </w:r>
      <w:r w:rsidR="00B7515C" w:rsidRPr="00B7515C">
        <w:rPr>
          <w:i/>
          <w:iCs/>
        </w:rPr>
        <w:t>BMC psychiatry</w:t>
      </w:r>
      <w:r w:rsidR="00B7515C" w:rsidRPr="00B7515C">
        <w:t>, </w:t>
      </w:r>
      <w:r w:rsidR="00B7515C" w:rsidRPr="00B7515C">
        <w:rPr>
          <w:i/>
          <w:iCs/>
        </w:rPr>
        <w:t>23</w:t>
      </w:r>
      <w:r w:rsidR="00B7515C" w:rsidRPr="00B7515C">
        <w:t>(1), p.297.</w:t>
      </w:r>
    </w:p>
  </w:endnote>
  <w:endnote w:id="278">
    <w:p w14:paraId="200A7C7E" w14:textId="1F5BBD02" w:rsidR="006964CC" w:rsidRPr="00053374" w:rsidRDefault="006964CC" w:rsidP="004C3828">
      <w:pPr>
        <w:pStyle w:val="EndnoteText"/>
        <w:jc w:val="left"/>
        <w:rPr>
          <w:highlight w:val="green"/>
        </w:rPr>
      </w:pPr>
      <w:r w:rsidRPr="006C3AC9">
        <w:rPr>
          <w:rStyle w:val="EndnoteReference"/>
        </w:rPr>
        <w:endnoteRef/>
      </w:r>
      <w:r w:rsidRPr="006C3AC9">
        <w:t xml:space="preserve"> Sense for Early Support (2012). </w:t>
      </w:r>
      <w:r w:rsidRPr="006C3AC9">
        <w:rPr>
          <w:i/>
        </w:rPr>
        <w:t>Information About Multi-sensory Impairments</w:t>
      </w:r>
      <w:r w:rsidRPr="006C3AC9">
        <w:t xml:space="preserve"> </w:t>
      </w:r>
      <w:hyperlink r:id="rId209" w:history="1">
        <w:r w:rsidRPr="006C3AC9">
          <w:rPr>
            <w:rStyle w:val="Hyperlink"/>
          </w:rPr>
          <w:t>https://councilfordisabledchildren.org.uk/sites/default/files/uploads/files/earlysupportmulti-sensoryimpairmentsfinal2.pdf</w:t>
        </w:r>
      </w:hyperlink>
      <w:r w:rsidRPr="006C3AC9">
        <w:t xml:space="preserve"> </w:t>
      </w:r>
    </w:p>
  </w:endnote>
  <w:endnote w:id="279">
    <w:p w14:paraId="3FEE4588" w14:textId="5215BF35" w:rsidR="004E04E1" w:rsidRPr="00053374" w:rsidRDefault="004E04E1" w:rsidP="004C3828">
      <w:pPr>
        <w:pStyle w:val="EndnoteText"/>
        <w:jc w:val="left"/>
        <w:rPr>
          <w:highlight w:val="green"/>
          <w:lang w:val="en-US"/>
        </w:rPr>
      </w:pPr>
      <w:r w:rsidRPr="002243B5">
        <w:rPr>
          <w:rStyle w:val="EndnoteReference"/>
        </w:rPr>
        <w:endnoteRef/>
      </w:r>
      <w:r w:rsidRPr="002243B5">
        <w:t xml:space="preserve"> </w:t>
      </w:r>
      <w:r w:rsidRPr="002243B5">
        <w:rPr>
          <w:lang w:val="en-US"/>
        </w:rPr>
        <w:t xml:space="preserve">NHS England (2023) </w:t>
      </w:r>
      <w:r w:rsidRPr="002243B5">
        <w:rPr>
          <w:i/>
          <w:lang w:val="en-US"/>
        </w:rPr>
        <w:t xml:space="preserve">Down Syndrome (trisomy 21). </w:t>
      </w:r>
      <w:r w:rsidRPr="002243B5">
        <w:rPr>
          <w:lang w:val="en-US"/>
        </w:rPr>
        <w:t xml:space="preserve">National Genomics Education Programme. </w:t>
      </w:r>
      <w:r w:rsidR="002243B5" w:rsidRPr="002243B5">
        <w:rPr>
          <w:lang w:val="en-US"/>
        </w:rPr>
        <w:t>Available at</w:t>
      </w:r>
      <w:r w:rsidRPr="002243B5">
        <w:rPr>
          <w:lang w:val="en-US"/>
        </w:rPr>
        <w:t xml:space="preserve">: </w:t>
      </w:r>
      <w:hyperlink r:id="rId210" w:history="1">
        <w:r w:rsidRPr="002243B5">
          <w:rPr>
            <w:rStyle w:val="Hyperlink"/>
          </w:rPr>
          <w:t>Down syndrome (trisomy 21) — Knowledge Hub</w:t>
        </w:r>
      </w:hyperlink>
    </w:p>
  </w:endnote>
  <w:endnote w:id="280">
    <w:p w14:paraId="419A8A6B" w14:textId="4B437084" w:rsidR="004E04E1" w:rsidRPr="00053374" w:rsidRDefault="004E04E1" w:rsidP="004C3828">
      <w:pPr>
        <w:pStyle w:val="EndnoteText"/>
        <w:jc w:val="left"/>
        <w:rPr>
          <w:highlight w:val="green"/>
        </w:rPr>
      </w:pPr>
      <w:r w:rsidRPr="003B587E">
        <w:rPr>
          <w:rStyle w:val="EndnoteReference"/>
        </w:rPr>
        <w:endnoteRef/>
      </w:r>
      <w:r w:rsidRPr="003B587E">
        <w:t xml:space="preserve"> </w:t>
      </w:r>
      <w:r w:rsidR="00AF00E1" w:rsidRPr="003B587E">
        <w:t xml:space="preserve">Ma, Y., Liu, M., Liu, Y., Liu, D. and Hou, M., </w:t>
      </w:r>
      <w:r w:rsidR="003D2431">
        <w:t>(</w:t>
      </w:r>
      <w:r w:rsidR="00AF00E1" w:rsidRPr="003B587E">
        <w:t>2024</w:t>
      </w:r>
      <w:r w:rsidR="003D2431">
        <w:t>)</w:t>
      </w:r>
      <w:r w:rsidR="00AF00E1" w:rsidRPr="003B587E">
        <w:t xml:space="preserve"> Exploring physical activity in children and adolescents with disabilities: A bibliometric review of current status, guidelines, perceived barriers, and facilitators and future directions. In </w:t>
      </w:r>
      <w:r w:rsidR="00AF00E1" w:rsidRPr="003B587E">
        <w:rPr>
          <w:i/>
          <w:iCs/>
        </w:rPr>
        <w:t>Healthcare</w:t>
      </w:r>
      <w:r w:rsidR="00AF00E1" w:rsidRPr="003B587E">
        <w:t> (Vol. 12, No. 9, p. 934). MDPI.</w:t>
      </w:r>
    </w:p>
  </w:endnote>
  <w:endnote w:id="281">
    <w:p w14:paraId="60BD0A1A" w14:textId="65607332" w:rsidR="004E04E1" w:rsidRPr="00053374" w:rsidRDefault="004E04E1" w:rsidP="004C3828">
      <w:pPr>
        <w:pStyle w:val="EndnoteText"/>
        <w:jc w:val="left"/>
        <w:rPr>
          <w:highlight w:val="green"/>
          <w:lang w:val="en-US"/>
        </w:rPr>
      </w:pPr>
      <w:r w:rsidRPr="005169AA">
        <w:rPr>
          <w:rStyle w:val="EndnoteReference"/>
        </w:rPr>
        <w:endnoteRef/>
      </w:r>
      <w:r w:rsidRPr="005169AA">
        <w:t xml:space="preserve"> </w:t>
      </w:r>
      <w:r w:rsidRPr="005169AA">
        <w:rPr>
          <w:lang w:val="en-US"/>
        </w:rPr>
        <w:t xml:space="preserve">SCOPE (2024). </w:t>
      </w:r>
      <w:r w:rsidRPr="005169AA">
        <w:rPr>
          <w:i/>
          <w:lang w:val="en-US"/>
        </w:rPr>
        <w:t xml:space="preserve">Eating difficulties. </w:t>
      </w:r>
      <w:r w:rsidRPr="005169AA">
        <w:rPr>
          <w:lang w:val="en-US"/>
        </w:rPr>
        <w:t xml:space="preserve">Available </w:t>
      </w:r>
      <w:r w:rsidR="005169AA" w:rsidRPr="005169AA">
        <w:rPr>
          <w:lang w:val="en-US"/>
        </w:rPr>
        <w:t>at</w:t>
      </w:r>
      <w:r w:rsidRPr="005169AA">
        <w:rPr>
          <w:lang w:val="en-US"/>
        </w:rPr>
        <w:t xml:space="preserve">: </w:t>
      </w:r>
      <w:hyperlink r:id="rId211" w:anchor=":~:text=Some%20disabled%20children%20have%20difficulties,experienced%20difficulties%20in%20the%20past." w:history="1">
        <w:r w:rsidRPr="005169AA">
          <w:rPr>
            <w:rStyle w:val="Hyperlink"/>
          </w:rPr>
          <w:t>Eating difficulties | Disability charity Scope UK</w:t>
        </w:r>
      </w:hyperlink>
    </w:p>
  </w:endnote>
  <w:endnote w:id="282">
    <w:p w14:paraId="4F39827A" w14:textId="3C25E97D" w:rsidR="004E04E1" w:rsidRPr="00053374" w:rsidRDefault="004E04E1" w:rsidP="004C3828">
      <w:pPr>
        <w:pStyle w:val="EndnoteText"/>
        <w:jc w:val="left"/>
        <w:rPr>
          <w:highlight w:val="green"/>
          <w:lang w:val="en-US"/>
        </w:rPr>
      </w:pPr>
      <w:r w:rsidRPr="005169AA">
        <w:rPr>
          <w:rStyle w:val="EndnoteReference"/>
        </w:rPr>
        <w:endnoteRef/>
      </w:r>
      <w:r w:rsidRPr="005169AA">
        <w:t xml:space="preserve"> </w:t>
      </w:r>
      <w:r w:rsidRPr="005169AA">
        <w:rPr>
          <w:lang w:val="en-US"/>
        </w:rPr>
        <w:t xml:space="preserve">NHS. (2024). </w:t>
      </w:r>
      <w:r w:rsidRPr="005169AA">
        <w:rPr>
          <w:i/>
          <w:lang w:val="en-US"/>
        </w:rPr>
        <w:t xml:space="preserve">How to care for a disabled child. </w:t>
      </w:r>
      <w:r w:rsidRPr="005169AA">
        <w:rPr>
          <w:lang w:val="en-US"/>
        </w:rPr>
        <w:t xml:space="preserve">Available </w:t>
      </w:r>
      <w:r w:rsidR="005169AA" w:rsidRPr="005169AA">
        <w:rPr>
          <w:lang w:val="en-US"/>
        </w:rPr>
        <w:t>at</w:t>
      </w:r>
      <w:r w:rsidRPr="005169AA">
        <w:rPr>
          <w:lang w:val="en-US"/>
        </w:rPr>
        <w:t xml:space="preserve">: </w:t>
      </w:r>
      <w:hyperlink r:id="rId212" w:anchor=":~:text=Sleeping,and%20services%20in%20your%20area." w:history="1">
        <w:r w:rsidRPr="005169AA">
          <w:rPr>
            <w:rStyle w:val="Hyperlink"/>
          </w:rPr>
          <w:t>How to care for a disabled child - Social care and support guide - NHS</w:t>
        </w:r>
      </w:hyperlink>
    </w:p>
  </w:endnote>
  <w:endnote w:id="283">
    <w:p w14:paraId="6C4F65E6" w14:textId="56122EA3" w:rsidR="004E04E1" w:rsidRPr="00053374" w:rsidRDefault="004E04E1" w:rsidP="004C3828">
      <w:pPr>
        <w:pStyle w:val="EndnoteText"/>
        <w:jc w:val="left"/>
        <w:rPr>
          <w:highlight w:val="green"/>
          <w:lang w:val="en-US"/>
        </w:rPr>
      </w:pPr>
      <w:r w:rsidRPr="005169AA">
        <w:rPr>
          <w:rStyle w:val="EndnoteReference"/>
        </w:rPr>
        <w:endnoteRef/>
      </w:r>
      <w:r w:rsidRPr="005169AA">
        <w:t xml:space="preserve"> </w:t>
      </w:r>
      <w:r w:rsidRPr="005169AA">
        <w:rPr>
          <w:lang w:val="en-US"/>
        </w:rPr>
        <w:t xml:space="preserve">RSPCH (2024). </w:t>
      </w:r>
      <w:r w:rsidRPr="005169AA">
        <w:rPr>
          <w:i/>
          <w:lang w:val="en-US"/>
        </w:rPr>
        <w:t xml:space="preserve">The role of pediatricians in children and young people’s mental health – position statement 2024. </w:t>
      </w:r>
      <w:r w:rsidRPr="005169AA">
        <w:rPr>
          <w:lang w:val="en-US"/>
        </w:rPr>
        <w:t xml:space="preserve">Available </w:t>
      </w:r>
      <w:r w:rsidR="005169AA" w:rsidRPr="005169AA">
        <w:rPr>
          <w:lang w:val="en-US"/>
        </w:rPr>
        <w:t>at</w:t>
      </w:r>
      <w:r w:rsidRPr="005169AA">
        <w:rPr>
          <w:lang w:val="en-US"/>
        </w:rPr>
        <w:t xml:space="preserve">: </w:t>
      </w:r>
      <w:hyperlink r:id="rId213" w:history="1">
        <w:r w:rsidRPr="005169AA">
          <w:rPr>
            <w:rStyle w:val="Hyperlink"/>
          </w:rPr>
          <w:t>The role of paediatricians in children and young people's mental health - position statement 2024 | RCPCH</w:t>
        </w:r>
      </w:hyperlink>
    </w:p>
  </w:endnote>
  <w:endnote w:id="284">
    <w:p w14:paraId="35837442" w14:textId="77777777" w:rsidR="00583DF0" w:rsidRPr="00053374" w:rsidRDefault="00583DF0" w:rsidP="00583DF0">
      <w:pPr>
        <w:pStyle w:val="EndnoteText"/>
        <w:jc w:val="left"/>
        <w:rPr>
          <w:highlight w:val="green"/>
          <w:lang w:val="en-US"/>
        </w:rPr>
      </w:pPr>
      <w:r w:rsidRPr="009500D2">
        <w:rPr>
          <w:rStyle w:val="EndnoteReference"/>
        </w:rPr>
        <w:endnoteRef/>
      </w:r>
      <w:r w:rsidRPr="009500D2">
        <w:t xml:space="preserve">Michael, A. and Marder, E., </w:t>
      </w:r>
      <w:r>
        <w:t>(</w:t>
      </w:r>
      <w:r w:rsidRPr="009500D2">
        <w:t>2021</w:t>
      </w:r>
      <w:r>
        <w:t>)</w:t>
      </w:r>
      <w:r w:rsidRPr="009500D2">
        <w:t>. Keeping children and young people with Down syndrome healthy. </w:t>
      </w:r>
      <w:r w:rsidRPr="009500D2">
        <w:rPr>
          <w:i/>
          <w:iCs/>
        </w:rPr>
        <w:t>Paediatrics and Child Health</w:t>
      </w:r>
      <w:r w:rsidRPr="009500D2">
        <w:t>, </w:t>
      </w:r>
      <w:r w:rsidRPr="009500D2">
        <w:rPr>
          <w:i/>
          <w:iCs/>
        </w:rPr>
        <w:t>31</w:t>
      </w:r>
      <w:r w:rsidRPr="009500D2">
        <w:t>(9), pp.340-346.</w:t>
      </w:r>
    </w:p>
  </w:endnote>
  <w:endnote w:id="285">
    <w:p w14:paraId="0262646D" w14:textId="77777777" w:rsidR="00FB10AF" w:rsidRPr="00053374" w:rsidRDefault="00FB10AF" w:rsidP="00FB10AF">
      <w:pPr>
        <w:pStyle w:val="EndnoteText"/>
        <w:jc w:val="left"/>
        <w:rPr>
          <w:highlight w:val="green"/>
          <w:lang w:val="en-US"/>
        </w:rPr>
      </w:pPr>
      <w:r w:rsidRPr="00ED4640">
        <w:rPr>
          <w:rStyle w:val="EndnoteReference"/>
        </w:rPr>
        <w:endnoteRef/>
      </w:r>
      <w:r w:rsidRPr="00ED4640">
        <w:t xml:space="preserve"> </w:t>
      </w:r>
      <w:r w:rsidRPr="00ED4640">
        <w:rPr>
          <w:lang w:val="en-US"/>
        </w:rPr>
        <w:t xml:space="preserve">NHS Inform (2025). </w:t>
      </w:r>
      <w:r w:rsidRPr="00ED4640">
        <w:rPr>
          <w:i/>
          <w:lang w:val="en-US"/>
        </w:rPr>
        <w:t xml:space="preserve">Down Syndrome. </w:t>
      </w:r>
      <w:r w:rsidRPr="00ED4640">
        <w:rPr>
          <w:lang w:val="en-US"/>
        </w:rPr>
        <w:t xml:space="preserve">Illness and conditions. Available at: </w:t>
      </w:r>
      <w:hyperlink r:id="rId214" w:history="1">
        <w:r w:rsidRPr="00ED4640">
          <w:rPr>
            <w:rStyle w:val="Hyperlink"/>
          </w:rPr>
          <w:t>Down's syndrome | NHS inform</w:t>
        </w:r>
      </w:hyperlink>
    </w:p>
  </w:endnote>
  <w:endnote w:id="286">
    <w:p w14:paraId="4C3BF50E" w14:textId="77777777" w:rsidR="001D6BF6" w:rsidRPr="00053374" w:rsidRDefault="001D6BF6" w:rsidP="001D6BF6">
      <w:pPr>
        <w:pStyle w:val="EndnoteText"/>
        <w:jc w:val="left"/>
        <w:rPr>
          <w:highlight w:val="green"/>
          <w:lang w:val="en-US"/>
        </w:rPr>
      </w:pPr>
      <w:r w:rsidRPr="00297556">
        <w:rPr>
          <w:rStyle w:val="EndnoteReference"/>
        </w:rPr>
        <w:endnoteRef/>
      </w:r>
      <w:r w:rsidRPr="00297556">
        <w:t xml:space="preserve"> Caldwell, A.R., Kim, Y., Alshahwan, N., Vellody, K., Bendixen, R.M., Renz, K., Duong, T., Dodd, J., Terhorst, L. and Must, A., </w:t>
      </w:r>
      <w:r>
        <w:t>(</w:t>
      </w:r>
      <w:r w:rsidRPr="00297556">
        <w:t>2023</w:t>
      </w:r>
      <w:r>
        <w:t>)</w:t>
      </w:r>
      <w:r w:rsidRPr="00297556">
        <w:t>. Parental perception of facilitators and barriers to health among young children with down syndrome: a qualitative study. </w:t>
      </w:r>
      <w:r w:rsidRPr="00297556">
        <w:rPr>
          <w:i/>
          <w:iCs/>
        </w:rPr>
        <w:t>Frontiers in Pediatrics</w:t>
      </w:r>
      <w:r w:rsidRPr="00297556">
        <w:t>, </w:t>
      </w:r>
      <w:r w:rsidRPr="00297556">
        <w:rPr>
          <w:i/>
          <w:iCs/>
        </w:rPr>
        <w:t>11</w:t>
      </w:r>
      <w:r w:rsidRPr="00297556">
        <w:t>, p.1155850.</w:t>
      </w:r>
    </w:p>
  </w:endnote>
  <w:endnote w:id="287">
    <w:p w14:paraId="25D6F5E0" w14:textId="7FB37731" w:rsidR="008C7A2B" w:rsidRPr="00293C95" w:rsidRDefault="008C7A2B">
      <w:pPr>
        <w:pStyle w:val="EndnoteText"/>
        <w:rPr>
          <w:lang w:val="it-IT"/>
        </w:rPr>
      </w:pPr>
      <w:r>
        <w:rPr>
          <w:rStyle w:val="EndnoteReference"/>
        </w:rPr>
        <w:endnoteRef/>
      </w:r>
      <w:r>
        <w:t xml:space="preserve"> </w:t>
      </w:r>
      <w:r w:rsidRPr="008C7A2B">
        <w:t xml:space="preserve">Bull, M. J. (2020). </w:t>
      </w:r>
      <w:r w:rsidRPr="008C7A2B">
        <w:rPr>
          <w:i/>
          <w:iCs/>
        </w:rPr>
        <w:t>Down syndrome.</w:t>
      </w:r>
      <w:r w:rsidRPr="008C7A2B">
        <w:t xml:space="preserve"> </w:t>
      </w:r>
      <w:r w:rsidRPr="008C7A2B">
        <w:rPr>
          <w:i/>
          <w:iCs/>
        </w:rPr>
        <w:t>New England Journal of Medicine, 382</w:t>
      </w:r>
      <w:r w:rsidRPr="008C7A2B">
        <w:t xml:space="preserve">(24), 2344–2352. </w:t>
      </w:r>
      <w:hyperlink r:id="rId215" w:history="1">
        <w:r w:rsidRPr="00293C95">
          <w:rPr>
            <w:rStyle w:val="Hyperlink"/>
            <w:lang w:val="it-IT"/>
          </w:rPr>
          <w:t>https://doi.org/10.1056/NEJMra1706537</w:t>
        </w:r>
      </w:hyperlink>
      <w:r w:rsidRPr="00293C95">
        <w:rPr>
          <w:lang w:val="it-IT"/>
        </w:rPr>
        <w:t xml:space="preserve"> </w:t>
      </w:r>
    </w:p>
  </w:endnote>
  <w:endnote w:id="288">
    <w:p w14:paraId="59B409E1" w14:textId="116AE52D" w:rsidR="00611BED" w:rsidRPr="00C11019" w:rsidRDefault="00611BED">
      <w:pPr>
        <w:pStyle w:val="EndnoteText"/>
      </w:pPr>
      <w:r>
        <w:rPr>
          <w:rStyle w:val="EndnoteReference"/>
        </w:rPr>
        <w:endnoteRef/>
      </w:r>
      <w:r w:rsidRPr="00293C95">
        <w:rPr>
          <w:lang w:val="it-IT"/>
        </w:rPr>
        <w:t xml:space="preserve"> </w:t>
      </w:r>
      <w:r w:rsidR="00C11019" w:rsidRPr="00293C95">
        <w:rPr>
          <w:lang w:val="it-IT"/>
        </w:rPr>
        <w:t xml:space="preserve">Bertapelli, F., Pitetti, K., Agiovlasitis, S., &amp; Guerra-Junior, G. (2016). </w:t>
      </w:r>
      <w:r w:rsidR="00C11019" w:rsidRPr="00C11019">
        <w:rPr>
          <w:i/>
          <w:iCs/>
        </w:rPr>
        <w:t>Overweight and obesity in children and adolescents with Down syndrome—Prevalence, determinants, consequences, and interventions: A literature review.</w:t>
      </w:r>
      <w:r w:rsidR="00C11019" w:rsidRPr="00C11019">
        <w:t xml:space="preserve"> </w:t>
      </w:r>
      <w:r w:rsidR="00C11019" w:rsidRPr="00C11019">
        <w:rPr>
          <w:i/>
          <w:iCs/>
        </w:rPr>
        <w:t>Research in Developmental Disabilities, 57</w:t>
      </w:r>
      <w:r w:rsidR="00C11019" w:rsidRPr="00C11019">
        <w:t>, 181–192. https://doi.org/10.1016/j.ridd.2016.07.003</w:t>
      </w:r>
    </w:p>
  </w:endnote>
  <w:endnote w:id="289">
    <w:p w14:paraId="448F7211" w14:textId="63839F33" w:rsidR="00C11019" w:rsidRPr="00293C95" w:rsidRDefault="00C11019">
      <w:pPr>
        <w:pStyle w:val="EndnoteText"/>
        <w:rPr>
          <w:lang w:val="en-US"/>
        </w:rPr>
      </w:pPr>
      <w:r>
        <w:rPr>
          <w:rStyle w:val="EndnoteReference"/>
        </w:rPr>
        <w:endnoteRef/>
      </w:r>
      <w:r>
        <w:t xml:space="preserve"> </w:t>
      </w:r>
      <w:r w:rsidR="00513900" w:rsidRPr="00513900">
        <w:t xml:space="preserve">Foley, K. R., &amp; Lloyd, M. (2018). </w:t>
      </w:r>
      <w:r w:rsidR="00513900" w:rsidRPr="00513900">
        <w:rPr>
          <w:i/>
          <w:iCs/>
        </w:rPr>
        <w:t>Barriers and facilitators of physical activity participation for children and adolescents with Down syndrome: A review.</w:t>
      </w:r>
      <w:r w:rsidR="00513900" w:rsidRPr="00513900">
        <w:t xml:space="preserve"> </w:t>
      </w:r>
      <w:r w:rsidR="00513900" w:rsidRPr="00513900">
        <w:rPr>
          <w:i/>
          <w:iCs/>
        </w:rPr>
        <w:t>Journal of Intellectual Disability Research, 62</w:t>
      </w:r>
      <w:r w:rsidR="00513900" w:rsidRPr="00513900">
        <w:t>(3), 312–322. https://doi.org/10.1111/jir.12467</w:t>
      </w:r>
    </w:p>
  </w:endnote>
  <w:endnote w:id="290">
    <w:p w14:paraId="484B0355" w14:textId="1010EAA0" w:rsidR="004E04E1" w:rsidRPr="00053374" w:rsidRDefault="004E04E1" w:rsidP="004C3828">
      <w:pPr>
        <w:pStyle w:val="EndnoteText"/>
        <w:jc w:val="left"/>
        <w:rPr>
          <w:highlight w:val="green"/>
          <w:lang w:val="en-US"/>
        </w:rPr>
      </w:pPr>
      <w:r w:rsidRPr="00256805">
        <w:rPr>
          <w:rStyle w:val="EndnoteReference"/>
        </w:rPr>
        <w:endnoteRef/>
      </w:r>
      <w:r w:rsidRPr="00476C25">
        <w:t xml:space="preserve"> </w:t>
      </w:r>
      <w:r w:rsidR="00256805" w:rsidRPr="00256805">
        <w:t xml:space="preserve">Hilderley, E. and Rhind, D.J., </w:t>
      </w:r>
      <w:r w:rsidR="00ED4640">
        <w:t>(</w:t>
      </w:r>
      <w:r w:rsidR="00256805" w:rsidRPr="00256805">
        <w:t>2012</w:t>
      </w:r>
      <w:r w:rsidR="00ED4640">
        <w:t>)</w:t>
      </w:r>
      <w:r w:rsidR="00256805" w:rsidRPr="00256805">
        <w:t>. Including children with cerebral palsy in mainstream physical education lessons: a case study of student and teacher experiences. </w:t>
      </w:r>
      <w:r w:rsidR="00256805" w:rsidRPr="00256805">
        <w:rPr>
          <w:i/>
          <w:iCs/>
        </w:rPr>
        <w:t>Graduate Journal of Sport, Exercise &amp; Physical Education Research</w:t>
      </w:r>
      <w:r w:rsidR="00256805" w:rsidRPr="00256805">
        <w:t>, </w:t>
      </w:r>
      <w:r w:rsidR="00256805" w:rsidRPr="00256805">
        <w:rPr>
          <w:i/>
          <w:iCs/>
        </w:rPr>
        <w:t>1</w:t>
      </w:r>
      <w:r w:rsidR="00256805" w:rsidRPr="00256805">
        <w:t>, pp.1-15</w:t>
      </w:r>
      <w:r w:rsidR="00256805" w:rsidRPr="00256805">
        <w:rPr>
          <w:lang w:val="en-US"/>
        </w:rPr>
        <w:t xml:space="preserve"> </w:t>
      </w:r>
    </w:p>
  </w:endnote>
  <w:endnote w:id="291">
    <w:p w14:paraId="00CBAC13" w14:textId="1ADAC55A" w:rsidR="004E04E1" w:rsidRPr="00053374" w:rsidRDefault="004E04E1" w:rsidP="004C3828">
      <w:pPr>
        <w:pStyle w:val="EndnoteText"/>
        <w:jc w:val="left"/>
        <w:rPr>
          <w:highlight w:val="green"/>
          <w:lang w:val="en-US"/>
        </w:rPr>
      </w:pPr>
      <w:r w:rsidRPr="000307A8">
        <w:rPr>
          <w:rStyle w:val="EndnoteReference"/>
        </w:rPr>
        <w:endnoteRef/>
      </w:r>
      <w:r w:rsidRPr="000307A8">
        <w:t xml:space="preserve"> </w:t>
      </w:r>
      <w:r w:rsidR="000307A8" w:rsidRPr="000307A8">
        <w:t xml:space="preserve">Verschuren, O., Peterson, M.D., Balemans, A.C. and Hurvitz, E.A., </w:t>
      </w:r>
      <w:r w:rsidR="00ED4640">
        <w:t>(</w:t>
      </w:r>
      <w:r w:rsidR="000307A8" w:rsidRPr="000307A8">
        <w:t>2016</w:t>
      </w:r>
      <w:r w:rsidR="00ED4640">
        <w:t>)</w:t>
      </w:r>
      <w:r w:rsidR="000307A8" w:rsidRPr="000307A8">
        <w:t>. Exercise and physical activity recommendations for people with cerebral palsy. </w:t>
      </w:r>
      <w:r w:rsidR="000307A8" w:rsidRPr="000307A8">
        <w:rPr>
          <w:i/>
          <w:iCs/>
        </w:rPr>
        <w:t>Developmental Medicine &amp; Child Neurology</w:t>
      </w:r>
      <w:r w:rsidR="000307A8" w:rsidRPr="000307A8">
        <w:t>, </w:t>
      </w:r>
      <w:r w:rsidR="000307A8" w:rsidRPr="000307A8">
        <w:rPr>
          <w:i/>
          <w:iCs/>
        </w:rPr>
        <w:t>58</w:t>
      </w:r>
      <w:r w:rsidR="000307A8" w:rsidRPr="000307A8">
        <w:t>(8), pp.798-808.</w:t>
      </w:r>
    </w:p>
  </w:endnote>
  <w:endnote w:id="292">
    <w:p w14:paraId="2095005D" w14:textId="20181256" w:rsidR="004E04E1" w:rsidRPr="00053374" w:rsidRDefault="004E04E1" w:rsidP="004C3828">
      <w:pPr>
        <w:pStyle w:val="EndnoteText"/>
        <w:jc w:val="left"/>
        <w:rPr>
          <w:highlight w:val="green"/>
          <w:lang w:val="en-US"/>
        </w:rPr>
      </w:pPr>
      <w:r w:rsidRPr="007F5A41">
        <w:rPr>
          <w:rStyle w:val="EndnoteReference"/>
        </w:rPr>
        <w:endnoteRef/>
      </w:r>
      <w:r w:rsidRPr="007F5A41">
        <w:t xml:space="preserve"> </w:t>
      </w:r>
      <w:r w:rsidR="007F5A41" w:rsidRPr="007F5A41">
        <w:t xml:space="preserve">Ferluga, E.D., Archer, K.R., Sathe, N.A., Krishnaswami, S., Klint, A., Lindegren, M.L. and McPheeters, M.L., </w:t>
      </w:r>
      <w:r w:rsidR="00285599">
        <w:t>(</w:t>
      </w:r>
      <w:r w:rsidR="007F5A41" w:rsidRPr="007F5A41">
        <w:t>2013</w:t>
      </w:r>
      <w:r w:rsidR="00285599">
        <w:t>)</w:t>
      </w:r>
      <w:r w:rsidR="007F5A41" w:rsidRPr="007F5A41">
        <w:t>. Interventions for feeding and nutrition in cerebral palsy.</w:t>
      </w:r>
      <w:r w:rsidR="007F5A41" w:rsidRPr="007F5A41">
        <w:rPr>
          <w:lang w:val="en-US"/>
        </w:rPr>
        <w:t xml:space="preserve"> </w:t>
      </w:r>
    </w:p>
  </w:endnote>
  <w:endnote w:id="293">
    <w:p w14:paraId="0F3BB0C1" w14:textId="26D0DA0B" w:rsidR="004E04E1" w:rsidRPr="006B5483" w:rsidRDefault="004E04E1" w:rsidP="004C3828">
      <w:pPr>
        <w:pStyle w:val="EndnoteText"/>
        <w:jc w:val="left"/>
        <w:rPr>
          <w:lang w:val="en-US"/>
        </w:rPr>
      </w:pPr>
      <w:r w:rsidRPr="006B5483">
        <w:rPr>
          <w:rStyle w:val="EndnoteReference"/>
        </w:rPr>
        <w:endnoteRef/>
      </w:r>
      <w:r w:rsidRPr="006B5483">
        <w:t xml:space="preserve"> </w:t>
      </w:r>
      <w:r w:rsidR="006B5483" w:rsidRPr="006B5483">
        <w:t xml:space="preserve">Curtin, M. and Clarke, G., </w:t>
      </w:r>
      <w:r w:rsidR="00285599">
        <w:t>(</w:t>
      </w:r>
      <w:r w:rsidR="006B5483" w:rsidRPr="006B5483">
        <w:t>2005</w:t>
      </w:r>
      <w:r w:rsidR="00285599">
        <w:t>)</w:t>
      </w:r>
      <w:r w:rsidR="006B5483" w:rsidRPr="006B5483">
        <w:t>. Listening to young people with physical disabilities' experiences of education. </w:t>
      </w:r>
      <w:r w:rsidR="006B5483" w:rsidRPr="006B5483">
        <w:rPr>
          <w:i/>
          <w:iCs/>
        </w:rPr>
        <w:t>International Journal of Disability, Development and Education</w:t>
      </w:r>
      <w:r w:rsidR="006B5483" w:rsidRPr="006B5483">
        <w:t>, </w:t>
      </w:r>
      <w:r w:rsidR="006B5483" w:rsidRPr="006B5483">
        <w:rPr>
          <w:i/>
          <w:iCs/>
        </w:rPr>
        <w:t>52</w:t>
      </w:r>
      <w:r w:rsidR="006B5483" w:rsidRPr="006B5483">
        <w:t>(3), pp.195-214.</w:t>
      </w:r>
    </w:p>
  </w:endnote>
  <w:endnote w:id="294">
    <w:p w14:paraId="7FF8873B" w14:textId="4CD55B45" w:rsidR="004E04E1" w:rsidRPr="00053374" w:rsidRDefault="004E04E1" w:rsidP="004C3828">
      <w:pPr>
        <w:pStyle w:val="EndnoteText"/>
        <w:jc w:val="left"/>
        <w:rPr>
          <w:highlight w:val="green"/>
          <w:lang w:val="en-US"/>
        </w:rPr>
      </w:pPr>
      <w:r w:rsidRPr="00285599">
        <w:rPr>
          <w:rStyle w:val="EndnoteReference"/>
        </w:rPr>
        <w:endnoteRef/>
      </w:r>
      <w:r w:rsidRPr="00285599">
        <w:t xml:space="preserve"> </w:t>
      </w:r>
      <w:r w:rsidRPr="00285599">
        <w:rPr>
          <w:lang w:val="en-US"/>
        </w:rPr>
        <w:t xml:space="preserve">Children’s Commissioner (2024). </w:t>
      </w:r>
      <w:r w:rsidRPr="00285599">
        <w:rPr>
          <w:i/>
          <w:lang w:val="en-US"/>
        </w:rPr>
        <w:t xml:space="preserve">The Big Ambition. </w:t>
      </w:r>
      <w:r w:rsidRPr="00285599">
        <w:rPr>
          <w:lang w:val="en-US"/>
        </w:rPr>
        <w:t xml:space="preserve">Available </w:t>
      </w:r>
      <w:r w:rsidR="00285599" w:rsidRPr="00285599">
        <w:rPr>
          <w:lang w:val="en-US"/>
        </w:rPr>
        <w:t>at</w:t>
      </w:r>
      <w:r w:rsidRPr="00285599">
        <w:rPr>
          <w:lang w:val="en-US"/>
        </w:rPr>
        <w:t>:</w:t>
      </w:r>
      <w:r w:rsidRPr="00285599">
        <w:rPr>
          <w:sz w:val="22"/>
          <w:szCs w:val="24"/>
        </w:rPr>
        <w:t xml:space="preserve"> </w:t>
      </w:r>
      <w:hyperlink r:id="rId216" w:anchor="downloads" w:history="1">
        <w:r w:rsidRPr="00285599">
          <w:rPr>
            <w:rStyle w:val="Hyperlink"/>
          </w:rPr>
          <w:t>The Big Ambition | Children's Commissioner for England</w:t>
        </w:r>
      </w:hyperlink>
    </w:p>
  </w:endnote>
  <w:endnote w:id="295">
    <w:p w14:paraId="16ABA429" w14:textId="4C0896B6" w:rsidR="006964CC" w:rsidRPr="00053374" w:rsidRDefault="006964CC" w:rsidP="004C3828">
      <w:pPr>
        <w:pStyle w:val="EndnoteText"/>
        <w:jc w:val="left"/>
        <w:rPr>
          <w:highlight w:val="green"/>
          <w:lang w:val="en-US"/>
        </w:rPr>
      </w:pPr>
      <w:r w:rsidRPr="0093794C">
        <w:rPr>
          <w:rStyle w:val="EndnoteReference"/>
        </w:rPr>
        <w:endnoteRef/>
      </w:r>
      <w:r w:rsidRPr="0093794C">
        <w:t xml:space="preserve"> </w:t>
      </w:r>
      <w:r w:rsidRPr="0093794C">
        <w:rPr>
          <w:lang w:val="en-US"/>
        </w:rPr>
        <w:t xml:space="preserve">Healthwatch Tower Hamlets (2023). </w:t>
      </w:r>
      <w:r w:rsidRPr="0093794C">
        <w:rPr>
          <w:i/>
          <w:lang w:val="en-US"/>
        </w:rPr>
        <w:t>Healthy Neighbourhoods in Tower Hamlets</w:t>
      </w:r>
      <w:r w:rsidRPr="0093794C">
        <w:rPr>
          <w:lang w:val="en-US"/>
        </w:rPr>
        <w:t xml:space="preserve">. Available </w:t>
      </w:r>
      <w:r w:rsidR="0093794C" w:rsidRPr="0093794C">
        <w:rPr>
          <w:lang w:val="en-US"/>
        </w:rPr>
        <w:t>at</w:t>
      </w:r>
      <w:r w:rsidRPr="0093794C">
        <w:rPr>
          <w:lang w:val="en-US"/>
        </w:rPr>
        <w:t xml:space="preserve">: </w:t>
      </w:r>
      <w:hyperlink r:id="rId217" w:history="1">
        <w:r w:rsidRPr="0093794C">
          <w:rPr>
            <w:rStyle w:val="Hyperlink"/>
            <w:lang w:val="en-US"/>
          </w:rPr>
          <w:t>https://www.healthwatchtowerhamlets.co.uk/sites/healthwatchtowerhamlets.co.uk/files/Healthy%20Neighbourhoods%20Report%20-%20Final%20Version_1.pdf</w:t>
        </w:r>
      </w:hyperlink>
    </w:p>
  </w:endnote>
  <w:endnote w:id="296">
    <w:p w14:paraId="5EFDA6BC" w14:textId="647A0950" w:rsidR="006964CC" w:rsidRPr="00053374" w:rsidRDefault="006964CC" w:rsidP="004C3828">
      <w:pPr>
        <w:pStyle w:val="EndnoteText"/>
        <w:jc w:val="left"/>
        <w:rPr>
          <w:highlight w:val="green"/>
          <w:lang w:val="en-US"/>
        </w:rPr>
      </w:pPr>
      <w:r w:rsidRPr="009A0E88">
        <w:rPr>
          <w:rStyle w:val="EndnoteReference"/>
        </w:rPr>
        <w:endnoteRef/>
      </w:r>
      <w:r w:rsidRPr="009A0E88">
        <w:t xml:space="preserve"> </w:t>
      </w:r>
      <w:r w:rsidRPr="009A0E88">
        <w:rPr>
          <w:lang w:val="en-US"/>
        </w:rPr>
        <w:t>NHS Practitioner Health (</w:t>
      </w:r>
      <w:r w:rsidR="00B709D1">
        <w:rPr>
          <w:lang w:val="en-US"/>
        </w:rPr>
        <w:t>n.d</w:t>
      </w:r>
      <w:r w:rsidRPr="009A0E88">
        <w:rPr>
          <w:lang w:val="en-US"/>
        </w:rPr>
        <w:t xml:space="preserve">). </w:t>
      </w:r>
      <w:r w:rsidRPr="009A0E88">
        <w:rPr>
          <w:i/>
          <w:lang w:val="en-US"/>
        </w:rPr>
        <w:t xml:space="preserve">Disability, Health and Wellbeing. </w:t>
      </w:r>
      <w:r w:rsidRPr="009A0E88">
        <w:rPr>
          <w:lang w:val="en-US"/>
        </w:rPr>
        <w:t xml:space="preserve">Available </w:t>
      </w:r>
      <w:r w:rsidR="009A0E88" w:rsidRPr="009A0E88">
        <w:rPr>
          <w:lang w:val="en-US"/>
        </w:rPr>
        <w:t>at</w:t>
      </w:r>
      <w:r w:rsidRPr="009A0E88">
        <w:rPr>
          <w:lang w:val="en-US"/>
        </w:rPr>
        <w:t xml:space="preserve">: </w:t>
      </w:r>
      <w:hyperlink r:id="rId218" w:history="1">
        <w:r w:rsidRPr="009A0E88">
          <w:rPr>
            <w:rStyle w:val="Hyperlink"/>
          </w:rPr>
          <w:t>Disabilities: Health and Wellbeing</w:t>
        </w:r>
      </w:hyperlink>
    </w:p>
  </w:endnote>
  <w:endnote w:id="297">
    <w:p w14:paraId="7A3C85EC" w14:textId="4DA1C138" w:rsidR="006964CC" w:rsidRPr="00053374" w:rsidRDefault="006964CC" w:rsidP="004C3828">
      <w:pPr>
        <w:pStyle w:val="EndnoteText"/>
        <w:jc w:val="left"/>
        <w:rPr>
          <w:highlight w:val="green"/>
          <w:lang w:val="en-US"/>
        </w:rPr>
      </w:pPr>
      <w:r w:rsidRPr="001D349D">
        <w:rPr>
          <w:rStyle w:val="EndnoteReference"/>
        </w:rPr>
        <w:endnoteRef/>
      </w:r>
      <w:r w:rsidRPr="001D349D">
        <w:t xml:space="preserve"> </w:t>
      </w:r>
      <w:r w:rsidRPr="001D349D">
        <w:rPr>
          <w:lang w:val="en-US"/>
        </w:rPr>
        <w:t>NHS Practitioner Health (</w:t>
      </w:r>
      <w:r w:rsidR="00B709D1">
        <w:rPr>
          <w:lang w:val="en-US"/>
        </w:rPr>
        <w:t>n.d</w:t>
      </w:r>
      <w:r w:rsidRPr="001D349D">
        <w:rPr>
          <w:lang w:val="en-US"/>
        </w:rPr>
        <w:t xml:space="preserve">). </w:t>
      </w:r>
      <w:r w:rsidRPr="001D349D">
        <w:rPr>
          <w:i/>
          <w:lang w:val="en-US"/>
        </w:rPr>
        <w:t xml:space="preserve">Disability, Health and Wellbeing. </w:t>
      </w:r>
      <w:r w:rsidRPr="001D349D">
        <w:rPr>
          <w:lang w:val="en-US"/>
        </w:rPr>
        <w:t xml:space="preserve">Available </w:t>
      </w:r>
      <w:r w:rsidR="001D349D" w:rsidRPr="001D349D">
        <w:rPr>
          <w:lang w:val="en-US"/>
        </w:rPr>
        <w:t>at</w:t>
      </w:r>
      <w:r w:rsidRPr="001D349D">
        <w:rPr>
          <w:lang w:val="en-US"/>
        </w:rPr>
        <w:t xml:space="preserve">: </w:t>
      </w:r>
      <w:hyperlink r:id="rId219" w:history="1">
        <w:r w:rsidRPr="001D349D">
          <w:rPr>
            <w:rStyle w:val="Hyperlink"/>
          </w:rPr>
          <w:t>Disabilities: Health and Wellbeing</w:t>
        </w:r>
      </w:hyperlink>
    </w:p>
  </w:endnote>
  <w:endnote w:id="298">
    <w:p w14:paraId="72E966E4" w14:textId="1976351A" w:rsidR="005542A2" w:rsidRPr="005542A2" w:rsidRDefault="005542A2">
      <w:pPr>
        <w:pStyle w:val="EndnoteText"/>
      </w:pPr>
      <w:r>
        <w:rPr>
          <w:rStyle w:val="EndnoteReference"/>
        </w:rPr>
        <w:endnoteRef/>
      </w:r>
      <w:r>
        <w:t xml:space="preserve"> </w:t>
      </w:r>
      <w:r w:rsidRPr="005542A2">
        <w:t xml:space="preserve">National Institute for Health and Care Excellence. (2022). </w:t>
      </w:r>
      <w:r w:rsidRPr="005542A2">
        <w:rPr>
          <w:i/>
          <w:iCs/>
        </w:rPr>
        <w:t>Disabled children and young people up to 25 with severe complex needs (NICE guideline NG213)</w:t>
      </w:r>
      <w:r w:rsidRPr="005542A2">
        <w:t xml:space="preserve">. </w:t>
      </w:r>
      <w:hyperlink r:id="rId220" w:tgtFrame="_new" w:history="1">
        <w:r w:rsidRPr="005542A2">
          <w:rPr>
            <w:rStyle w:val="Hyperlink"/>
          </w:rPr>
          <w:t>https://www.nice.org.uk/guidance/ng213</w:t>
        </w:r>
      </w:hyperlink>
    </w:p>
  </w:endnote>
  <w:endnote w:id="299">
    <w:p w14:paraId="7EEAA006" w14:textId="72718100" w:rsidR="006964CC" w:rsidRPr="00053374" w:rsidRDefault="006964CC" w:rsidP="004C3828">
      <w:pPr>
        <w:pStyle w:val="EndnoteText"/>
        <w:jc w:val="left"/>
        <w:rPr>
          <w:highlight w:val="green"/>
          <w:lang w:val="en-US"/>
        </w:rPr>
      </w:pPr>
      <w:r w:rsidRPr="001D349D">
        <w:rPr>
          <w:rStyle w:val="EndnoteReference"/>
        </w:rPr>
        <w:endnoteRef/>
      </w:r>
      <w:r w:rsidRPr="001D349D">
        <w:t xml:space="preserve"> </w:t>
      </w:r>
      <w:r w:rsidRPr="001D349D">
        <w:rPr>
          <w:lang w:val="en-US"/>
        </w:rPr>
        <w:t xml:space="preserve">Office for Health Improvement &amp; Disparities (2022). </w:t>
      </w:r>
      <w:r w:rsidRPr="001D349D">
        <w:rPr>
          <w:i/>
          <w:lang w:val="en-US"/>
        </w:rPr>
        <w:t xml:space="preserve">Physical activity for general health benefits in disabled children and disabled young people: rapid evidence review. </w:t>
      </w:r>
      <w:r w:rsidRPr="001D349D">
        <w:rPr>
          <w:lang w:val="en-US"/>
        </w:rPr>
        <w:t xml:space="preserve">Available </w:t>
      </w:r>
      <w:r w:rsidR="001D349D" w:rsidRPr="001D349D">
        <w:rPr>
          <w:lang w:val="en-US"/>
        </w:rPr>
        <w:t>at</w:t>
      </w:r>
      <w:r w:rsidRPr="001D349D">
        <w:rPr>
          <w:lang w:val="en-US"/>
        </w:rPr>
        <w:t xml:space="preserve">: </w:t>
      </w:r>
      <w:hyperlink r:id="rId221" w:anchor=":~:text=There%20is%20evidence%20that%20shows,average%203%20times%20per%20week." w:history="1">
        <w:r w:rsidRPr="001D349D">
          <w:rPr>
            <w:rStyle w:val="Hyperlink"/>
          </w:rPr>
          <w:t>Physical activity for general health benefits in disabled children and disabled young people: rapid evidence review - GOV.UK</w:t>
        </w:r>
      </w:hyperlink>
    </w:p>
  </w:endnote>
  <w:endnote w:id="300">
    <w:p w14:paraId="7BDEF71E" w14:textId="4C1C8750" w:rsidR="00A72B9D" w:rsidRPr="00053374" w:rsidRDefault="00A72B9D" w:rsidP="00A72B9D">
      <w:pPr>
        <w:pStyle w:val="EndnoteText"/>
        <w:jc w:val="left"/>
        <w:rPr>
          <w:highlight w:val="green"/>
          <w:lang w:val="en-US"/>
        </w:rPr>
      </w:pPr>
      <w:r w:rsidRPr="001D349D">
        <w:rPr>
          <w:rStyle w:val="EndnoteReference"/>
        </w:rPr>
        <w:endnoteRef/>
      </w:r>
      <w:r w:rsidRPr="001D349D">
        <w:t xml:space="preserve"> </w:t>
      </w:r>
      <w:r w:rsidRPr="001D349D">
        <w:rPr>
          <w:lang w:val="en-US"/>
        </w:rPr>
        <w:t xml:space="preserve">UK Chief Medical Officer (20223. </w:t>
      </w:r>
      <w:r w:rsidRPr="001D349D">
        <w:rPr>
          <w:i/>
          <w:lang w:val="en-US"/>
        </w:rPr>
        <w:t xml:space="preserve">Physical Activity for Disabled Children and Disabled Young People. </w:t>
      </w:r>
      <w:r w:rsidRPr="001D349D">
        <w:rPr>
          <w:lang w:val="en-US"/>
        </w:rPr>
        <w:t xml:space="preserve">Available </w:t>
      </w:r>
      <w:r w:rsidR="001D349D">
        <w:rPr>
          <w:lang w:val="en-US"/>
        </w:rPr>
        <w:t>at</w:t>
      </w:r>
      <w:r w:rsidRPr="001D349D">
        <w:rPr>
          <w:lang w:val="en-US"/>
        </w:rPr>
        <w:t xml:space="preserve">e: </w:t>
      </w:r>
      <w:hyperlink r:id="rId222" w:history="1">
        <w:r w:rsidRPr="001D349D">
          <w:rPr>
            <w:rStyle w:val="Hyperlink"/>
          </w:rPr>
          <w:t>UK Chief Medical Officers’ physical activity guidelines for disabled children and disabled young people: infographic</w:t>
        </w:r>
      </w:hyperlink>
    </w:p>
  </w:endnote>
  <w:endnote w:id="301">
    <w:p w14:paraId="1CD346BC" w14:textId="77777777" w:rsidR="00FF7AF5" w:rsidRPr="00053374" w:rsidRDefault="00FF7AF5" w:rsidP="00FF7AF5">
      <w:pPr>
        <w:pStyle w:val="EndnoteText"/>
        <w:jc w:val="left"/>
        <w:rPr>
          <w:highlight w:val="green"/>
          <w:lang w:val="en-US"/>
        </w:rPr>
      </w:pPr>
      <w:r w:rsidRPr="004F5882">
        <w:rPr>
          <w:rStyle w:val="EndnoteReference"/>
        </w:rPr>
        <w:endnoteRef/>
      </w:r>
      <w:r w:rsidRPr="004F5882">
        <w:t xml:space="preserve"> </w:t>
      </w:r>
      <w:r w:rsidRPr="004F5882">
        <w:rPr>
          <w:lang w:val="en-US"/>
        </w:rPr>
        <w:t xml:space="preserve">Akhtar, F. and Bokhari, R, A., (2023). </w:t>
      </w:r>
      <w:r w:rsidRPr="004F5882">
        <w:rPr>
          <w:i/>
          <w:lang w:val="en-US"/>
        </w:rPr>
        <w:t xml:space="preserve">Down Syndrome. </w:t>
      </w:r>
      <w:r w:rsidRPr="004F5882">
        <w:rPr>
          <w:lang w:val="en-US"/>
        </w:rPr>
        <w:t xml:space="preserve">National Library of Medicine. Available at: </w:t>
      </w:r>
      <w:hyperlink r:id="rId223" w:history="1">
        <w:r w:rsidRPr="004F5882">
          <w:rPr>
            <w:rStyle w:val="Hyperlink"/>
          </w:rPr>
          <w:t>Down Syndrome - StatPearls - NCBI Bookshelf</w:t>
        </w:r>
      </w:hyperlink>
    </w:p>
  </w:endnote>
  <w:endnote w:id="302">
    <w:p w14:paraId="3D0F067A" w14:textId="77777777" w:rsidR="0088216E" w:rsidRPr="00053374" w:rsidRDefault="0088216E" w:rsidP="0088216E">
      <w:pPr>
        <w:pStyle w:val="EndnoteText"/>
        <w:jc w:val="left"/>
        <w:rPr>
          <w:highlight w:val="green"/>
        </w:rPr>
      </w:pPr>
      <w:r w:rsidRPr="00E4768F">
        <w:rPr>
          <w:rStyle w:val="EndnoteReference"/>
        </w:rPr>
        <w:endnoteRef/>
      </w:r>
      <w:r w:rsidRPr="00293C95">
        <w:rPr>
          <w:lang w:val="it-IT"/>
        </w:rPr>
        <w:t xml:space="preserve"> Bertapelli, F., Pitetti, K., Agiovlasitis, S. and Guerra-Junior, G., (2016). </w:t>
      </w:r>
      <w:r w:rsidRPr="00E4768F">
        <w:t>Overweight and obesity in children and adolescents with Down syndrome—prevalence, determinants, consequences, and interventions: A literature review. </w:t>
      </w:r>
      <w:r w:rsidRPr="00E4768F">
        <w:rPr>
          <w:i/>
          <w:iCs/>
        </w:rPr>
        <w:t>Research in developmental disabilities</w:t>
      </w:r>
      <w:r w:rsidRPr="00E4768F">
        <w:t>, </w:t>
      </w:r>
      <w:r w:rsidRPr="00E4768F">
        <w:rPr>
          <w:i/>
          <w:iCs/>
        </w:rPr>
        <w:t>57</w:t>
      </w:r>
      <w:r w:rsidRPr="00E4768F">
        <w:t>, pp.181-192.</w:t>
      </w:r>
    </w:p>
  </w:endnote>
  <w:endnote w:id="303">
    <w:p w14:paraId="1DF5441A" w14:textId="77777777" w:rsidR="0088216E" w:rsidRPr="00053374" w:rsidRDefault="0088216E" w:rsidP="0088216E">
      <w:pPr>
        <w:pStyle w:val="EndnoteText"/>
        <w:jc w:val="left"/>
        <w:rPr>
          <w:highlight w:val="green"/>
          <w:lang w:val="en-US"/>
        </w:rPr>
      </w:pPr>
      <w:r w:rsidRPr="00444B95">
        <w:rPr>
          <w:rStyle w:val="EndnoteReference"/>
        </w:rPr>
        <w:endnoteRef/>
      </w:r>
      <w:r w:rsidRPr="00444B95">
        <w:t xml:space="preserve"> </w:t>
      </w:r>
      <w:r w:rsidRPr="00444B95">
        <w:rPr>
          <w:lang w:val="en-US"/>
        </w:rPr>
        <w:t xml:space="preserve">Down Syndrome (n.d). </w:t>
      </w:r>
      <w:r w:rsidRPr="00444B95">
        <w:rPr>
          <w:i/>
          <w:lang w:val="en-US"/>
        </w:rPr>
        <w:t xml:space="preserve">Healthy Lifestyle and Sports. </w:t>
      </w:r>
      <w:r w:rsidRPr="00444B95">
        <w:rPr>
          <w:lang w:val="en-US"/>
        </w:rPr>
        <w:t xml:space="preserve">Down’s Syndrome Association. Available </w:t>
      </w:r>
      <w:r>
        <w:rPr>
          <w:lang w:val="en-US"/>
        </w:rPr>
        <w:t>at</w:t>
      </w:r>
      <w:r w:rsidRPr="00444B95">
        <w:rPr>
          <w:lang w:val="en-US"/>
        </w:rPr>
        <w:t xml:space="preserve">: </w:t>
      </w:r>
      <w:hyperlink r:id="rId224" w:anchor=":~:text=Ingraining%20positive%20habits%20from%20a,help%20with%20making%20positive%20decisions." w:history="1">
        <w:r w:rsidRPr="00444B95">
          <w:rPr>
            <w:rStyle w:val="Hyperlink"/>
          </w:rPr>
          <w:t>Healthy Lifestyle &amp; Physical Activity - Downs Syndrome Association</w:t>
        </w:r>
      </w:hyperlink>
    </w:p>
  </w:endnote>
  <w:endnote w:id="304">
    <w:p w14:paraId="3CA5E73B" w14:textId="77777777" w:rsidR="005A1016" w:rsidRPr="00053374" w:rsidRDefault="005A1016" w:rsidP="005A1016">
      <w:pPr>
        <w:pStyle w:val="EndnoteText"/>
        <w:jc w:val="left"/>
        <w:rPr>
          <w:highlight w:val="green"/>
          <w:lang w:val="en-US"/>
        </w:rPr>
      </w:pPr>
      <w:r w:rsidRPr="00436306">
        <w:rPr>
          <w:rStyle w:val="EndnoteReference"/>
        </w:rPr>
        <w:endnoteRef/>
      </w:r>
      <w:r w:rsidRPr="00436306">
        <w:t xml:space="preserve"> Buschmann, A., Jooss, B., Rupp, A., Feldhusen, F., Pietz, J. and Philippi, H., </w:t>
      </w:r>
      <w:r>
        <w:t>(</w:t>
      </w:r>
      <w:r w:rsidRPr="00436306">
        <w:t>2009</w:t>
      </w:r>
      <w:r>
        <w:t>)</w:t>
      </w:r>
      <w:r w:rsidRPr="00436306">
        <w:t>. Parent based language intervention for 2-year-old children with specific expressive language delay: a randomised controlled trial. </w:t>
      </w:r>
      <w:r w:rsidRPr="00436306">
        <w:rPr>
          <w:i/>
          <w:iCs/>
        </w:rPr>
        <w:t>Archives of disease in childhood</w:t>
      </w:r>
      <w:r w:rsidRPr="00436306">
        <w:t>, </w:t>
      </w:r>
      <w:r w:rsidRPr="00436306">
        <w:rPr>
          <w:i/>
          <w:iCs/>
        </w:rPr>
        <w:t>94</w:t>
      </w:r>
      <w:r w:rsidRPr="00436306">
        <w:t>(2), pp.110-116.</w:t>
      </w:r>
    </w:p>
  </w:endnote>
  <w:endnote w:id="305">
    <w:p w14:paraId="1A855B4D" w14:textId="77777777" w:rsidR="000A6851" w:rsidRPr="00053374" w:rsidRDefault="000A6851" w:rsidP="000A6851">
      <w:pPr>
        <w:pStyle w:val="EndnoteText"/>
        <w:jc w:val="left"/>
        <w:rPr>
          <w:highlight w:val="green"/>
          <w:lang w:val="en-US"/>
        </w:rPr>
      </w:pPr>
      <w:r w:rsidRPr="00706C3F">
        <w:rPr>
          <w:rStyle w:val="EndnoteReference"/>
        </w:rPr>
        <w:endnoteRef/>
      </w:r>
      <w:r w:rsidRPr="00706C3F">
        <w:t xml:space="preserve"> Daunhauer, L.A., Schworer, E. and Howshar, M., </w:t>
      </w:r>
      <w:r>
        <w:t>(</w:t>
      </w:r>
      <w:r w:rsidRPr="00706C3F">
        <w:t>2017</w:t>
      </w:r>
      <w:r>
        <w:t>)</w:t>
      </w:r>
      <w:r w:rsidRPr="00706C3F">
        <w:t>. Parenting matters: Parent–child interactions in down syndrome and recommendations for future research. </w:t>
      </w:r>
      <w:r w:rsidRPr="00706C3F">
        <w:rPr>
          <w:i/>
          <w:iCs/>
        </w:rPr>
        <w:t>International review of research in developmental disabilities</w:t>
      </w:r>
      <w:r w:rsidRPr="00706C3F">
        <w:t>, </w:t>
      </w:r>
      <w:r w:rsidRPr="00706C3F">
        <w:rPr>
          <w:i/>
          <w:iCs/>
        </w:rPr>
        <w:t>53</w:t>
      </w:r>
      <w:r w:rsidRPr="00706C3F">
        <w:t>, pp.1-43.</w:t>
      </w:r>
    </w:p>
  </w:endnote>
  <w:endnote w:id="306">
    <w:p w14:paraId="1217FA2F" w14:textId="559E92FB" w:rsidR="004E04E1" w:rsidRPr="00053374" w:rsidRDefault="004E04E1" w:rsidP="004C3828">
      <w:pPr>
        <w:pStyle w:val="EndnoteText"/>
        <w:jc w:val="left"/>
        <w:rPr>
          <w:highlight w:val="green"/>
          <w:lang w:val="en-US"/>
        </w:rPr>
      </w:pPr>
      <w:r w:rsidRPr="00444B95">
        <w:rPr>
          <w:rStyle w:val="EndnoteReference"/>
        </w:rPr>
        <w:endnoteRef/>
      </w:r>
      <w:r w:rsidRPr="00444B95">
        <w:t xml:space="preserve"> </w:t>
      </w:r>
      <w:r w:rsidRPr="00444B95">
        <w:rPr>
          <w:lang w:val="en-US"/>
        </w:rPr>
        <w:t xml:space="preserve">NHS England (2025). </w:t>
      </w:r>
      <w:r w:rsidRPr="00444B95">
        <w:rPr>
          <w:i/>
          <w:lang w:val="en-US"/>
        </w:rPr>
        <w:t xml:space="preserve">Commissioning framework for children and young people with cerebral palsy. </w:t>
      </w:r>
      <w:r w:rsidRPr="00444B95">
        <w:rPr>
          <w:lang w:val="en-US"/>
        </w:rPr>
        <w:t xml:space="preserve">Available </w:t>
      </w:r>
      <w:r w:rsidR="00444B95">
        <w:rPr>
          <w:lang w:val="en-US"/>
        </w:rPr>
        <w:t>at</w:t>
      </w:r>
      <w:r w:rsidRPr="00444B95">
        <w:rPr>
          <w:lang w:val="en-US"/>
        </w:rPr>
        <w:t xml:space="preserve">: </w:t>
      </w:r>
      <w:hyperlink r:id="rId225" w:anchor=":~:text=Early%20assessment%20and%20intervention%20can,participation%20and%20quality%20of%20life." w:history="1">
        <w:r w:rsidRPr="00444B95">
          <w:rPr>
            <w:rStyle w:val="Hyperlink"/>
          </w:rPr>
          <w:t>NHS England » Commissioning framework for children and young people with cerebral palsy</w:t>
        </w:r>
      </w:hyperlink>
    </w:p>
  </w:endnote>
  <w:endnote w:id="307">
    <w:p w14:paraId="7517CC24" w14:textId="0CCF89E4" w:rsidR="004E04E1" w:rsidRPr="00053374" w:rsidRDefault="004E04E1" w:rsidP="004C3828">
      <w:pPr>
        <w:pStyle w:val="EndnoteText"/>
        <w:jc w:val="left"/>
        <w:rPr>
          <w:highlight w:val="green"/>
        </w:rPr>
      </w:pPr>
      <w:r w:rsidRPr="00311831">
        <w:rPr>
          <w:rStyle w:val="EndnoteReference"/>
        </w:rPr>
        <w:endnoteRef/>
      </w:r>
      <w:r w:rsidRPr="00311831">
        <w:t xml:space="preserve"> </w:t>
      </w:r>
      <w:r w:rsidRPr="00311831">
        <w:rPr>
          <w:lang w:val="en-US"/>
        </w:rPr>
        <w:t>Down Syndrome International (</w:t>
      </w:r>
      <w:r w:rsidRPr="00311831">
        <w:t xml:space="preserve">2020). </w:t>
      </w:r>
      <w:r w:rsidRPr="00311831">
        <w:rPr>
          <w:i/>
        </w:rPr>
        <w:t xml:space="preserve">International Guidelines for the Education of Learners with Down Syndrome. </w:t>
      </w:r>
      <w:r w:rsidRPr="00311831">
        <w:t xml:space="preserve">Available </w:t>
      </w:r>
      <w:r w:rsidR="00311831" w:rsidRPr="00311831">
        <w:t>at</w:t>
      </w:r>
      <w:r w:rsidRPr="00311831">
        <w:t xml:space="preserve">: </w:t>
      </w:r>
      <w:hyperlink r:id="rId226" w:history="1">
        <w:r w:rsidRPr="00311831">
          <w:rPr>
            <w:rStyle w:val="Hyperlink"/>
          </w:rPr>
          <w:t>International_Guidelines_for_the_Education_of_Learners_with_Down_Syndrome_-_DSi_-_July_2020-1.pdf</w:t>
        </w:r>
      </w:hyperlink>
    </w:p>
  </w:endnote>
  <w:endnote w:id="308">
    <w:p w14:paraId="0B76A2DA" w14:textId="00A0F035" w:rsidR="004E04E1" w:rsidRPr="003F4AEA" w:rsidRDefault="004E04E1" w:rsidP="004C3828">
      <w:pPr>
        <w:pStyle w:val="EndnoteText"/>
        <w:jc w:val="left"/>
        <w:rPr>
          <w:lang w:val="en-US"/>
        </w:rPr>
      </w:pPr>
      <w:r w:rsidRPr="00596261">
        <w:rPr>
          <w:rStyle w:val="EndnoteReference"/>
        </w:rPr>
        <w:endnoteRef/>
      </w:r>
      <w:r w:rsidRPr="00596261">
        <w:t xml:space="preserve"> </w:t>
      </w:r>
      <w:r w:rsidR="00596261" w:rsidRPr="00596261">
        <w:rPr>
          <w:lang w:val="en-US"/>
        </w:rPr>
        <w:t xml:space="preserve">Children’s Commissioner </w:t>
      </w:r>
      <w:r w:rsidRPr="00596261">
        <w:rPr>
          <w:lang w:val="en-US"/>
        </w:rPr>
        <w:t xml:space="preserve">(2024). </w:t>
      </w:r>
      <w:r w:rsidRPr="00596261">
        <w:rPr>
          <w:i/>
          <w:lang w:val="en-US"/>
        </w:rPr>
        <w:t xml:space="preserve">The Big Ambition: Ambitions, findings and solutions. </w:t>
      </w:r>
      <w:r w:rsidRPr="00596261">
        <w:rPr>
          <w:lang w:val="en-US"/>
        </w:rPr>
        <w:t xml:space="preserve">Available </w:t>
      </w:r>
      <w:r w:rsidR="00596261">
        <w:rPr>
          <w:lang w:val="en-US"/>
        </w:rPr>
        <w:t>at</w:t>
      </w:r>
      <w:r w:rsidRPr="00596261">
        <w:rPr>
          <w:lang w:val="en-US"/>
        </w:rPr>
        <w:t xml:space="preserve">: </w:t>
      </w:r>
      <w:hyperlink r:id="rId227" w:anchor="downloads" w:history="1">
        <w:r w:rsidRPr="00596261">
          <w:rPr>
            <w:rStyle w:val="Hyperlink"/>
          </w:rPr>
          <w:t>The Big Ambition | Children's Commissioner for England</w:t>
        </w:r>
      </w:hyperlink>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Trebuchet MS">
    <w:panose1 w:val="020B0603020202020204"/>
    <w:charset w:val="00"/>
    <w:family w:val="swiss"/>
    <w:pitch w:val="variable"/>
    <w:sig w:usb0="00000687" w:usb1="00000000" w:usb2="00000000" w:usb3="00000000" w:csb0="0000009F" w:csb1="00000000"/>
  </w:font>
  <w:font w:name="Bahnschrift">
    <w:panose1 w:val="020B0502040204020203"/>
    <w:charset w:val="00"/>
    <w:family w:val="swiss"/>
    <w:pitch w:val="variable"/>
    <w:sig w:usb0="A00002C7" w:usb1="00000002"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6553579"/>
      <w:docPartObj>
        <w:docPartGallery w:val="Page Numbers (Bottom of Page)"/>
        <w:docPartUnique/>
      </w:docPartObj>
    </w:sdtPr>
    <w:sdtEndPr/>
    <w:sdtContent>
      <w:p w14:paraId="3C8A4064" w14:textId="1F739B1F" w:rsidR="006D5F92" w:rsidRDefault="006D5F92">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7FE7A013" w14:textId="77777777" w:rsidR="006D5F92" w:rsidRDefault="006D5F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27853E" w14:textId="77777777" w:rsidR="0048171B" w:rsidRDefault="0048171B" w:rsidP="004139E3">
      <w:pPr>
        <w:spacing w:after="0" w:line="240" w:lineRule="auto"/>
      </w:pPr>
      <w:r>
        <w:separator/>
      </w:r>
    </w:p>
  </w:footnote>
  <w:footnote w:type="continuationSeparator" w:id="0">
    <w:p w14:paraId="4C2D2237" w14:textId="77777777" w:rsidR="0048171B" w:rsidRDefault="0048171B" w:rsidP="004139E3">
      <w:pPr>
        <w:spacing w:after="0" w:line="240" w:lineRule="auto"/>
      </w:pPr>
      <w:r>
        <w:continuationSeparator/>
      </w:r>
    </w:p>
  </w:footnote>
  <w:footnote w:id="1">
    <w:p w14:paraId="3980807F" w14:textId="0058537C" w:rsidR="002D0A5B" w:rsidRPr="00293C95" w:rsidRDefault="002D0A5B">
      <w:pPr>
        <w:pStyle w:val="FootnoteText"/>
        <w:rPr>
          <w:lang w:val="en-US"/>
        </w:rPr>
      </w:pPr>
      <w:r>
        <w:rPr>
          <w:rStyle w:val="FootnoteReference"/>
        </w:rPr>
        <w:footnoteRef/>
      </w:r>
      <w:r>
        <w:t xml:space="preserve"> </w:t>
      </w:r>
      <w:r>
        <w:rPr>
          <w:lang w:val="en-US"/>
        </w:rPr>
        <w:t xml:space="preserve">NICE, 2019. </w:t>
      </w:r>
      <w:r>
        <w:rPr>
          <w:i/>
          <w:iCs/>
          <w:lang w:val="en-US"/>
        </w:rPr>
        <w:t xml:space="preserve">Attention deficit hyperactivity disorder: diagnosis and management. </w:t>
      </w:r>
      <w:r>
        <w:rPr>
          <w:lang w:val="en-US"/>
        </w:rPr>
        <w:t xml:space="preserve">Available here: </w:t>
      </w:r>
      <w:hyperlink r:id="rId1" w:history="1">
        <w:r w:rsidRPr="002D0A5B">
          <w:rPr>
            <w:rStyle w:val="Hyperlink"/>
          </w:rPr>
          <w:t>Overview | Attention deficit hyperactivity disorder: diagnosis and management | Guidance | NICE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18165" w14:textId="2AD5E57C" w:rsidR="009C0FB9" w:rsidRDefault="00D63B0F">
    <w:pPr>
      <w:pStyle w:val="Header"/>
    </w:pPr>
    <w:r>
      <w:rPr>
        <w:noProof/>
      </w:rPr>
      <w:drawing>
        <wp:anchor distT="0" distB="0" distL="114300" distR="114300" simplePos="0" relativeHeight="251658241" behindDoc="0" locked="0" layoutInCell="1" allowOverlap="1" wp14:anchorId="284C8DED" wp14:editId="1BEF6592">
          <wp:simplePos x="0" y="0"/>
          <wp:positionH relativeFrom="column">
            <wp:posOffset>3909782</wp:posOffset>
          </wp:positionH>
          <wp:positionV relativeFrom="paragraph">
            <wp:posOffset>110271</wp:posOffset>
          </wp:positionV>
          <wp:extent cx="1702435" cy="1198880"/>
          <wp:effectExtent l="0" t="0" r="0" b="1270"/>
          <wp:wrapSquare wrapText="bothSides"/>
          <wp:docPr id="1598008602" name="Picture 32" descr="Tower Hamlets Logo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2435" cy="1198880"/>
                  </a:xfrm>
                  <a:prstGeom prst="rect">
                    <a:avLst/>
                  </a:prstGeom>
                  <a:noFill/>
                </pic:spPr>
              </pic:pic>
            </a:graphicData>
          </a:graphic>
        </wp:anchor>
      </w:drawing>
    </w:r>
    <w:r w:rsidR="00981906" w:rsidRPr="00B92227">
      <w:rPr>
        <w:noProof/>
      </w:rPr>
      <w:drawing>
        <wp:anchor distT="0" distB="0" distL="114300" distR="114300" simplePos="0" relativeHeight="251658240" behindDoc="0" locked="0" layoutInCell="1" allowOverlap="1" wp14:anchorId="59DFD472" wp14:editId="3919CEA5">
          <wp:simplePos x="0" y="0"/>
          <wp:positionH relativeFrom="margin">
            <wp:posOffset>0</wp:posOffset>
          </wp:positionH>
          <wp:positionV relativeFrom="paragraph">
            <wp:posOffset>252095</wp:posOffset>
          </wp:positionV>
          <wp:extent cx="3262630" cy="571500"/>
          <wp:effectExtent l="0" t="0" r="0" b="0"/>
          <wp:wrapSquare wrapText="bothSides"/>
          <wp:docPr id="8" name="Picture 8" descr="Tower Hamlets Logo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with medium confidence"/>
                  <pic:cNvPicPr/>
                </pic:nvPicPr>
                <pic:blipFill>
                  <a:blip r:embed="rId2"/>
                  <a:stretch>
                    <a:fillRect/>
                  </a:stretch>
                </pic:blipFill>
                <pic:spPr>
                  <a:xfrm>
                    <a:off x="0" y="0"/>
                    <a:ext cx="3262630" cy="5715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6ECE4B7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35219A"/>
    <w:multiLevelType w:val="hybridMultilevel"/>
    <w:tmpl w:val="82EAB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064355F"/>
    <w:multiLevelType w:val="hybridMultilevel"/>
    <w:tmpl w:val="865874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1A30B5D"/>
    <w:multiLevelType w:val="hybridMultilevel"/>
    <w:tmpl w:val="28F228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2F3461E"/>
    <w:multiLevelType w:val="hybridMultilevel"/>
    <w:tmpl w:val="7938E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3033F1B"/>
    <w:multiLevelType w:val="multilevel"/>
    <w:tmpl w:val="BBFA1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C182F6D"/>
    <w:multiLevelType w:val="hybridMultilevel"/>
    <w:tmpl w:val="6B868166"/>
    <w:lvl w:ilvl="0" w:tplc="A3F6B1D2">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C9720D8"/>
    <w:multiLevelType w:val="multilevel"/>
    <w:tmpl w:val="67964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CB7FD7"/>
    <w:multiLevelType w:val="hybridMultilevel"/>
    <w:tmpl w:val="7AA4560E"/>
    <w:lvl w:ilvl="0" w:tplc="08090001">
      <w:start w:val="1"/>
      <w:numFmt w:val="bullet"/>
      <w:lvlText w:val=""/>
      <w:lvlJc w:val="left"/>
      <w:pPr>
        <w:ind w:left="371" w:hanging="360"/>
      </w:pPr>
      <w:rPr>
        <w:rFonts w:ascii="Symbol" w:hAnsi="Symbol" w:hint="default"/>
      </w:rPr>
    </w:lvl>
    <w:lvl w:ilvl="1" w:tplc="08090003" w:tentative="1">
      <w:start w:val="1"/>
      <w:numFmt w:val="bullet"/>
      <w:lvlText w:val="o"/>
      <w:lvlJc w:val="left"/>
      <w:pPr>
        <w:ind w:left="1091" w:hanging="360"/>
      </w:pPr>
      <w:rPr>
        <w:rFonts w:ascii="Courier New" w:hAnsi="Courier New" w:cs="Courier New" w:hint="default"/>
      </w:rPr>
    </w:lvl>
    <w:lvl w:ilvl="2" w:tplc="08090005" w:tentative="1">
      <w:start w:val="1"/>
      <w:numFmt w:val="bullet"/>
      <w:lvlText w:val=""/>
      <w:lvlJc w:val="left"/>
      <w:pPr>
        <w:ind w:left="1811" w:hanging="360"/>
      </w:pPr>
      <w:rPr>
        <w:rFonts w:ascii="Wingdings" w:hAnsi="Wingdings" w:hint="default"/>
      </w:rPr>
    </w:lvl>
    <w:lvl w:ilvl="3" w:tplc="08090001" w:tentative="1">
      <w:start w:val="1"/>
      <w:numFmt w:val="bullet"/>
      <w:lvlText w:val=""/>
      <w:lvlJc w:val="left"/>
      <w:pPr>
        <w:ind w:left="2531" w:hanging="360"/>
      </w:pPr>
      <w:rPr>
        <w:rFonts w:ascii="Symbol" w:hAnsi="Symbol" w:hint="default"/>
      </w:rPr>
    </w:lvl>
    <w:lvl w:ilvl="4" w:tplc="08090003" w:tentative="1">
      <w:start w:val="1"/>
      <w:numFmt w:val="bullet"/>
      <w:lvlText w:val="o"/>
      <w:lvlJc w:val="left"/>
      <w:pPr>
        <w:ind w:left="3251" w:hanging="360"/>
      </w:pPr>
      <w:rPr>
        <w:rFonts w:ascii="Courier New" w:hAnsi="Courier New" w:cs="Courier New" w:hint="default"/>
      </w:rPr>
    </w:lvl>
    <w:lvl w:ilvl="5" w:tplc="08090005" w:tentative="1">
      <w:start w:val="1"/>
      <w:numFmt w:val="bullet"/>
      <w:lvlText w:val=""/>
      <w:lvlJc w:val="left"/>
      <w:pPr>
        <w:ind w:left="3971" w:hanging="360"/>
      </w:pPr>
      <w:rPr>
        <w:rFonts w:ascii="Wingdings" w:hAnsi="Wingdings" w:hint="default"/>
      </w:rPr>
    </w:lvl>
    <w:lvl w:ilvl="6" w:tplc="08090001" w:tentative="1">
      <w:start w:val="1"/>
      <w:numFmt w:val="bullet"/>
      <w:lvlText w:val=""/>
      <w:lvlJc w:val="left"/>
      <w:pPr>
        <w:ind w:left="4691" w:hanging="360"/>
      </w:pPr>
      <w:rPr>
        <w:rFonts w:ascii="Symbol" w:hAnsi="Symbol" w:hint="default"/>
      </w:rPr>
    </w:lvl>
    <w:lvl w:ilvl="7" w:tplc="08090003" w:tentative="1">
      <w:start w:val="1"/>
      <w:numFmt w:val="bullet"/>
      <w:lvlText w:val="o"/>
      <w:lvlJc w:val="left"/>
      <w:pPr>
        <w:ind w:left="5411" w:hanging="360"/>
      </w:pPr>
      <w:rPr>
        <w:rFonts w:ascii="Courier New" w:hAnsi="Courier New" w:cs="Courier New" w:hint="default"/>
      </w:rPr>
    </w:lvl>
    <w:lvl w:ilvl="8" w:tplc="08090005" w:tentative="1">
      <w:start w:val="1"/>
      <w:numFmt w:val="bullet"/>
      <w:lvlText w:val=""/>
      <w:lvlJc w:val="left"/>
      <w:pPr>
        <w:ind w:left="6131" w:hanging="360"/>
      </w:pPr>
      <w:rPr>
        <w:rFonts w:ascii="Wingdings" w:hAnsi="Wingdings" w:hint="default"/>
      </w:rPr>
    </w:lvl>
  </w:abstractNum>
  <w:abstractNum w:abstractNumId="9" w15:restartNumberingAfterBreak="0">
    <w:nsid w:val="0EEA4C92"/>
    <w:multiLevelType w:val="multilevel"/>
    <w:tmpl w:val="7A1AC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F2531C4"/>
    <w:multiLevelType w:val="hybridMultilevel"/>
    <w:tmpl w:val="D2EE6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FE212BE"/>
    <w:multiLevelType w:val="multilevel"/>
    <w:tmpl w:val="5B6CA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19D5C99"/>
    <w:multiLevelType w:val="hybridMultilevel"/>
    <w:tmpl w:val="669264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3694692"/>
    <w:multiLevelType w:val="hybridMultilevel"/>
    <w:tmpl w:val="4FD40EDE"/>
    <w:lvl w:ilvl="0" w:tplc="08090001">
      <w:start w:val="1"/>
      <w:numFmt w:val="bullet"/>
      <w:lvlText w:val=""/>
      <w:lvlJc w:val="left"/>
      <w:pPr>
        <w:ind w:left="720" w:hanging="360"/>
      </w:pPr>
      <w:rPr>
        <w:rFonts w:ascii="Symbol" w:hAnsi="Symbol" w:hint="default"/>
      </w:rPr>
    </w:lvl>
    <w:lvl w:ilvl="1" w:tplc="B78CF9C0">
      <w:numFmt w:val="bullet"/>
      <w:lvlText w:val="•"/>
      <w:lvlJc w:val="left"/>
      <w:pPr>
        <w:ind w:left="1440" w:hanging="360"/>
      </w:pPr>
      <w:rPr>
        <w:rFonts w:ascii="Calibri" w:eastAsia="Times New Roman"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3F3136F"/>
    <w:multiLevelType w:val="hybridMultilevel"/>
    <w:tmpl w:val="8FFE6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5E05D74"/>
    <w:multiLevelType w:val="multilevel"/>
    <w:tmpl w:val="FFBEC5E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168D4F3E"/>
    <w:multiLevelType w:val="hybridMultilevel"/>
    <w:tmpl w:val="159457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82158E5"/>
    <w:multiLevelType w:val="hybridMultilevel"/>
    <w:tmpl w:val="2C9E0F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8A93E57"/>
    <w:multiLevelType w:val="hybridMultilevel"/>
    <w:tmpl w:val="AC2CBC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A933EBE"/>
    <w:multiLevelType w:val="hybridMultilevel"/>
    <w:tmpl w:val="7F6028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0616D97"/>
    <w:multiLevelType w:val="hybridMultilevel"/>
    <w:tmpl w:val="0E6C90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23923FE"/>
    <w:multiLevelType w:val="multilevel"/>
    <w:tmpl w:val="FEE8C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29D0EEE"/>
    <w:multiLevelType w:val="hybridMultilevel"/>
    <w:tmpl w:val="DB1E8E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6C87E0C"/>
    <w:multiLevelType w:val="hybridMultilevel"/>
    <w:tmpl w:val="259AD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6EA0F7C"/>
    <w:multiLevelType w:val="multilevel"/>
    <w:tmpl w:val="95FA3EF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w:eastAsia="Times New Roman" w:hAnsi="Calibri" w:cs="Calibri"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7BA52BD"/>
    <w:multiLevelType w:val="hybridMultilevel"/>
    <w:tmpl w:val="AD46EA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C7838C4"/>
    <w:multiLevelType w:val="hybridMultilevel"/>
    <w:tmpl w:val="FF2244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E5368F5"/>
    <w:multiLevelType w:val="hybridMultilevel"/>
    <w:tmpl w:val="84E6FEF2"/>
    <w:lvl w:ilvl="0" w:tplc="0C7AF9B2">
      <w:start w:val="1"/>
      <w:numFmt w:val="bullet"/>
      <w:lvlText w:val="•"/>
      <w:lvlJc w:val="left"/>
      <w:pPr>
        <w:tabs>
          <w:tab w:val="num" w:pos="720"/>
        </w:tabs>
        <w:ind w:left="720" w:hanging="360"/>
      </w:pPr>
      <w:rPr>
        <w:rFonts w:ascii="Arial" w:hAnsi="Arial" w:hint="default"/>
      </w:rPr>
    </w:lvl>
    <w:lvl w:ilvl="1" w:tplc="BED21EAA" w:tentative="1">
      <w:start w:val="1"/>
      <w:numFmt w:val="bullet"/>
      <w:lvlText w:val="•"/>
      <w:lvlJc w:val="left"/>
      <w:pPr>
        <w:tabs>
          <w:tab w:val="num" w:pos="1440"/>
        </w:tabs>
        <w:ind w:left="1440" w:hanging="360"/>
      </w:pPr>
      <w:rPr>
        <w:rFonts w:ascii="Arial" w:hAnsi="Arial" w:hint="default"/>
      </w:rPr>
    </w:lvl>
    <w:lvl w:ilvl="2" w:tplc="BBAC3BFA" w:tentative="1">
      <w:start w:val="1"/>
      <w:numFmt w:val="bullet"/>
      <w:lvlText w:val="•"/>
      <w:lvlJc w:val="left"/>
      <w:pPr>
        <w:tabs>
          <w:tab w:val="num" w:pos="2160"/>
        </w:tabs>
        <w:ind w:left="2160" w:hanging="360"/>
      </w:pPr>
      <w:rPr>
        <w:rFonts w:ascii="Arial" w:hAnsi="Arial" w:hint="default"/>
      </w:rPr>
    </w:lvl>
    <w:lvl w:ilvl="3" w:tplc="4AE0E7FA" w:tentative="1">
      <w:start w:val="1"/>
      <w:numFmt w:val="bullet"/>
      <w:lvlText w:val="•"/>
      <w:lvlJc w:val="left"/>
      <w:pPr>
        <w:tabs>
          <w:tab w:val="num" w:pos="2880"/>
        </w:tabs>
        <w:ind w:left="2880" w:hanging="360"/>
      </w:pPr>
      <w:rPr>
        <w:rFonts w:ascii="Arial" w:hAnsi="Arial" w:hint="default"/>
      </w:rPr>
    </w:lvl>
    <w:lvl w:ilvl="4" w:tplc="FF7AAD18" w:tentative="1">
      <w:start w:val="1"/>
      <w:numFmt w:val="bullet"/>
      <w:lvlText w:val="•"/>
      <w:lvlJc w:val="left"/>
      <w:pPr>
        <w:tabs>
          <w:tab w:val="num" w:pos="3600"/>
        </w:tabs>
        <w:ind w:left="3600" w:hanging="360"/>
      </w:pPr>
      <w:rPr>
        <w:rFonts w:ascii="Arial" w:hAnsi="Arial" w:hint="default"/>
      </w:rPr>
    </w:lvl>
    <w:lvl w:ilvl="5" w:tplc="1D14EEC6" w:tentative="1">
      <w:start w:val="1"/>
      <w:numFmt w:val="bullet"/>
      <w:lvlText w:val="•"/>
      <w:lvlJc w:val="left"/>
      <w:pPr>
        <w:tabs>
          <w:tab w:val="num" w:pos="4320"/>
        </w:tabs>
        <w:ind w:left="4320" w:hanging="360"/>
      </w:pPr>
      <w:rPr>
        <w:rFonts w:ascii="Arial" w:hAnsi="Arial" w:hint="default"/>
      </w:rPr>
    </w:lvl>
    <w:lvl w:ilvl="6" w:tplc="CFB637AA" w:tentative="1">
      <w:start w:val="1"/>
      <w:numFmt w:val="bullet"/>
      <w:lvlText w:val="•"/>
      <w:lvlJc w:val="left"/>
      <w:pPr>
        <w:tabs>
          <w:tab w:val="num" w:pos="5040"/>
        </w:tabs>
        <w:ind w:left="5040" w:hanging="360"/>
      </w:pPr>
      <w:rPr>
        <w:rFonts w:ascii="Arial" w:hAnsi="Arial" w:hint="default"/>
      </w:rPr>
    </w:lvl>
    <w:lvl w:ilvl="7" w:tplc="BFAE16A8" w:tentative="1">
      <w:start w:val="1"/>
      <w:numFmt w:val="bullet"/>
      <w:lvlText w:val="•"/>
      <w:lvlJc w:val="left"/>
      <w:pPr>
        <w:tabs>
          <w:tab w:val="num" w:pos="5760"/>
        </w:tabs>
        <w:ind w:left="5760" w:hanging="360"/>
      </w:pPr>
      <w:rPr>
        <w:rFonts w:ascii="Arial" w:hAnsi="Arial" w:hint="default"/>
      </w:rPr>
    </w:lvl>
    <w:lvl w:ilvl="8" w:tplc="9FE246AA"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2EAA59AF"/>
    <w:multiLevelType w:val="hybridMultilevel"/>
    <w:tmpl w:val="BB7ABE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0197C43"/>
    <w:multiLevelType w:val="multilevel"/>
    <w:tmpl w:val="BBFA1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07C3AE2"/>
    <w:multiLevelType w:val="multilevel"/>
    <w:tmpl w:val="BBFA1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10373AD"/>
    <w:multiLevelType w:val="hybridMultilevel"/>
    <w:tmpl w:val="F8C657F6"/>
    <w:lvl w:ilvl="0" w:tplc="095694D4">
      <w:start w:val="1"/>
      <w:numFmt w:val="decimal"/>
      <w:lvlText w:val="%1)"/>
      <w:lvlJc w:val="left"/>
      <w:pPr>
        <w:ind w:left="371" w:hanging="360"/>
      </w:pPr>
      <w:rPr>
        <w:rFonts w:hint="default"/>
      </w:rPr>
    </w:lvl>
    <w:lvl w:ilvl="1" w:tplc="08090019" w:tentative="1">
      <w:start w:val="1"/>
      <w:numFmt w:val="lowerLetter"/>
      <w:lvlText w:val="%2."/>
      <w:lvlJc w:val="left"/>
      <w:pPr>
        <w:ind w:left="1091" w:hanging="360"/>
      </w:pPr>
    </w:lvl>
    <w:lvl w:ilvl="2" w:tplc="0809001B" w:tentative="1">
      <w:start w:val="1"/>
      <w:numFmt w:val="lowerRoman"/>
      <w:lvlText w:val="%3."/>
      <w:lvlJc w:val="right"/>
      <w:pPr>
        <w:ind w:left="1811" w:hanging="180"/>
      </w:pPr>
    </w:lvl>
    <w:lvl w:ilvl="3" w:tplc="0809000F" w:tentative="1">
      <w:start w:val="1"/>
      <w:numFmt w:val="decimal"/>
      <w:lvlText w:val="%4."/>
      <w:lvlJc w:val="left"/>
      <w:pPr>
        <w:ind w:left="2531" w:hanging="360"/>
      </w:pPr>
    </w:lvl>
    <w:lvl w:ilvl="4" w:tplc="08090019" w:tentative="1">
      <w:start w:val="1"/>
      <w:numFmt w:val="lowerLetter"/>
      <w:lvlText w:val="%5."/>
      <w:lvlJc w:val="left"/>
      <w:pPr>
        <w:ind w:left="3251" w:hanging="360"/>
      </w:pPr>
    </w:lvl>
    <w:lvl w:ilvl="5" w:tplc="0809001B" w:tentative="1">
      <w:start w:val="1"/>
      <w:numFmt w:val="lowerRoman"/>
      <w:lvlText w:val="%6."/>
      <w:lvlJc w:val="right"/>
      <w:pPr>
        <w:ind w:left="3971" w:hanging="180"/>
      </w:pPr>
    </w:lvl>
    <w:lvl w:ilvl="6" w:tplc="0809000F" w:tentative="1">
      <w:start w:val="1"/>
      <w:numFmt w:val="decimal"/>
      <w:lvlText w:val="%7."/>
      <w:lvlJc w:val="left"/>
      <w:pPr>
        <w:ind w:left="4691" w:hanging="360"/>
      </w:pPr>
    </w:lvl>
    <w:lvl w:ilvl="7" w:tplc="08090019" w:tentative="1">
      <w:start w:val="1"/>
      <w:numFmt w:val="lowerLetter"/>
      <w:lvlText w:val="%8."/>
      <w:lvlJc w:val="left"/>
      <w:pPr>
        <w:ind w:left="5411" w:hanging="360"/>
      </w:pPr>
    </w:lvl>
    <w:lvl w:ilvl="8" w:tplc="0809001B" w:tentative="1">
      <w:start w:val="1"/>
      <w:numFmt w:val="lowerRoman"/>
      <w:lvlText w:val="%9."/>
      <w:lvlJc w:val="right"/>
      <w:pPr>
        <w:ind w:left="6131" w:hanging="180"/>
      </w:pPr>
    </w:lvl>
  </w:abstractNum>
  <w:abstractNum w:abstractNumId="32" w15:restartNumberingAfterBreak="0">
    <w:nsid w:val="31247B1D"/>
    <w:multiLevelType w:val="hybridMultilevel"/>
    <w:tmpl w:val="99480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3812588"/>
    <w:multiLevelType w:val="hybridMultilevel"/>
    <w:tmpl w:val="29446E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4363485"/>
    <w:multiLevelType w:val="multilevel"/>
    <w:tmpl w:val="BBFA1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4F2651D"/>
    <w:multiLevelType w:val="hybridMultilevel"/>
    <w:tmpl w:val="C91CCA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6FA522E"/>
    <w:multiLevelType w:val="hybridMultilevel"/>
    <w:tmpl w:val="DCB818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9436CBD"/>
    <w:multiLevelType w:val="hybridMultilevel"/>
    <w:tmpl w:val="AA1203E8"/>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38" w15:restartNumberingAfterBreak="0">
    <w:nsid w:val="3D3D081C"/>
    <w:multiLevelType w:val="multilevel"/>
    <w:tmpl w:val="BBFA1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FC935ED"/>
    <w:multiLevelType w:val="hybridMultilevel"/>
    <w:tmpl w:val="E14A7C16"/>
    <w:lvl w:ilvl="0" w:tplc="08090001">
      <w:start w:val="1"/>
      <w:numFmt w:val="bullet"/>
      <w:lvlText w:val=""/>
      <w:lvlJc w:val="left"/>
      <w:pPr>
        <w:ind w:left="371" w:hanging="360"/>
      </w:pPr>
      <w:rPr>
        <w:rFonts w:ascii="Symbol" w:hAnsi="Symbol" w:hint="default"/>
      </w:rPr>
    </w:lvl>
    <w:lvl w:ilvl="1" w:tplc="08090003">
      <w:start w:val="1"/>
      <w:numFmt w:val="bullet"/>
      <w:lvlText w:val="o"/>
      <w:lvlJc w:val="left"/>
      <w:pPr>
        <w:ind w:left="1091" w:hanging="360"/>
      </w:pPr>
      <w:rPr>
        <w:rFonts w:ascii="Courier New" w:hAnsi="Courier New" w:cs="Courier New" w:hint="default"/>
      </w:rPr>
    </w:lvl>
    <w:lvl w:ilvl="2" w:tplc="08090005" w:tentative="1">
      <w:start w:val="1"/>
      <w:numFmt w:val="bullet"/>
      <w:lvlText w:val=""/>
      <w:lvlJc w:val="left"/>
      <w:pPr>
        <w:ind w:left="1811" w:hanging="360"/>
      </w:pPr>
      <w:rPr>
        <w:rFonts w:ascii="Wingdings" w:hAnsi="Wingdings" w:hint="default"/>
      </w:rPr>
    </w:lvl>
    <w:lvl w:ilvl="3" w:tplc="08090001" w:tentative="1">
      <w:start w:val="1"/>
      <w:numFmt w:val="bullet"/>
      <w:lvlText w:val=""/>
      <w:lvlJc w:val="left"/>
      <w:pPr>
        <w:ind w:left="2531" w:hanging="360"/>
      </w:pPr>
      <w:rPr>
        <w:rFonts w:ascii="Symbol" w:hAnsi="Symbol" w:hint="default"/>
      </w:rPr>
    </w:lvl>
    <w:lvl w:ilvl="4" w:tplc="08090003" w:tentative="1">
      <w:start w:val="1"/>
      <w:numFmt w:val="bullet"/>
      <w:lvlText w:val="o"/>
      <w:lvlJc w:val="left"/>
      <w:pPr>
        <w:ind w:left="3251" w:hanging="360"/>
      </w:pPr>
      <w:rPr>
        <w:rFonts w:ascii="Courier New" w:hAnsi="Courier New" w:cs="Courier New" w:hint="default"/>
      </w:rPr>
    </w:lvl>
    <w:lvl w:ilvl="5" w:tplc="08090005" w:tentative="1">
      <w:start w:val="1"/>
      <w:numFmt w:val="bullet"/>
      <w:lvlText w:val=""/>
      <w:lvlJc w:val="left"/>
      <w:pPr>
        <w:ind w:left="3971" w:hanging="360"/>
      </w:pPr>
      <w:rPr>
        <w:rFonts w:ascii="Wingdings" w:hAnsi="Wingdings" w:hint="default"/>
      </w:rPr>
    </w:lvl>
    <w:lvl w:ilvl="6" w:tplc="08090001" w:tentative="1">
      <w:start w:val="1"/>
      <w:numFmt w:val="bullet"/>
      <w:lvlText w:val=""/>
      <w:lvlJc w:val="left"/>
      <w:pPr>
        <w:ind w:left="4691" w:hanging="360"/>
      </w:pPr>
      <w:rPr>
        <w:rFonts w:ascii="Symbol" w:hAnsi="Symbol" w:hint="default"/>
      </w:rPr>
    </w:lvl>
    <w:lvl w:ilvl="7" w:tplc="08090003" w:tentative="1">
      <w:start w:val="1"/>
      <w:numFmt w:val="bullet"/>
      <w:lvlText w:val="o"/>
      <w:lvlJc w:val="left"/>
      <w:pPr>
        <w:ind w:left="5411" w:hanging="360"/>
      </w:pPr>
      <w:rPr>
        <w:rFonts w:ascii="Courier New" w:hAnsi="Courier New" w:cs="Courier New" w:hint="default"/>
      </w:rPr>
    </w:lvl>
    <w:lvl w:ilvl="8" w:tplc="08090005" w:tentative="1">
      <w:start w:val="1"/>
      <w:numFmt w:val="bullet"/>
      <w:lvlText w:val=""/>
      <w:lvlJc w:val="left"/>
      <w:pPr>
        <w:ind w:left="6131" w:hanging="360"/>
      </w:pPr>
      <w:rPr>
        <w:rFonts w:ascii="Wingdings" w:hAnsi="Wingdings" w:hint="default"/>
      </w:rPr>
    </w:lvl>
  </w:abstractNum>
  <w:abstractNum w:abstractNumId="40" w15:restartNumberingAfterBreak="0">
    <w:nsid w:val="400D67A0"/>
    <w:multiLevelType w:val="hybridMultilevel"/>
    <w:tmpl w:val="60565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25F6FB9"/>
    <w:multiLevelType w:val="multilevel"/>
    <w:tmpl w:val="BBFA1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2ED3133"/>
    <w:multiLevelType w:val="hybridMultilevel"/>
    <w:tmpl w:val="3B6285C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3" w15:restartNumberingAfterBreak="0">
    <w:nsid w:val="439563EE"/>
    <w:multiLevelType w:val="multilevel"/>
    <w:tmpl w:val="BBFA1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456A4839"/>
    <w:multiLevelType w:val="hybridMultilevel"/>
    <w:tmpl w:val="C72688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4767778"/>
    <w:multiLevelType w:val="hybridMultilevel"/>
    <w:tmpl w:val="27E87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7720A58"/>
    <w:multiLevelType w:val="hybridMultilevel"/>
    <w:tmpl w:val="F3C21A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3224A56"/>
    <w:multiLevelType w:val="hybridMultilevel"/>
    <w:tmpl w:val="F9DC07BA"/>
    <w:lvl w:ilvl="0" w:tplc="08090001">
      <w:start w:val="1"/>
      <w:numFmt w:val="bullet"/>
      <w:lvlText w:val=""/>
      <w:lvlJc w:val="left"/>
      <w:pPr>
        <w:ind w:left="1426" w:hanging="360"/>
      </w:pPr>
      <w:rPr>
        <w:rFonts w:ascii="Symbol" w:hAnsi="Symbol" w:hint="default"/>
      </w:rPr>
    </w:lvl>
    <w:lvl w:ilvl="1" w:tplc="08090003" w:tentative="1">
      <w:start w:val="1"/>
      <w:numFmt w:val="bullet"/>
      <w:lvlText w:val="o"/>
      <w:lvlJc w:val="left"/>
      <w:pPr>
        <w:ind w:left="2146" w:hanging="360"/>
      </w:pPr>
      <w:rPr>
        <w:rFonts w:ascii="Courier New" w:hAnsi="Courier New" w:cs="Courier New" w:hint="default"/>
      </w:rPr>
    </w:lvl>
    <w:lvl w:ilvl="2" w:tplc="08090005" w:tentative="1">
      <w:start w:val="1"/>
      <w:numFmt w:val="bullet"/>
      <w:lvlText w:val=""/>
      <w:lvlJc w:val="left"/>
      <w:pPr>
        <w:ind w:left="2866" w:hanging="360"/>
      </w:pPr>
      <w:rPr>
        <w:rFonts w:ascii="Wingdings" w:hAnsi="Wingdings" w:hint="default"/>
      </w:rPr>
    </w:lvl>
    <w:lvl w:ilvl="3" w:tplc="08090001" w:tentative="1">
      <w:start w:val="1"/>
      <w:numFmt w:val="bullet"/>
      <w:lvlText w:val=""/>
      <w:lvlJc w:val="left"/>
      <w:pPr>
        <w:ind w:left="3586" w:hanging="360"/>
      </w:pPr>
      <w:rPr>
        <w:rFonts w:ascii="Symbol" w:hAnsi="Symbol" w:hint="default"/>
      </w:rPr>
    </w:lvl>
    <w:lvl w:ilvl="4" w:tplc="08090003" w:tentative="1">
      <w:start w:val="1"/>
      <w:numFmt w:val="bullet"/>
      <w:lvlText w:val="o"/>
      <w:lvlJc w:val="left"/>
      <w:pPr>
        <w:ind w:left="4306" w:hanging="360"/>
      </w:pPr>
      <w:rPr>
        <w:rFonts w:ascii="Courier New" w:hAnsi="Courier New" w:cs="Courier New" w:hint="default"/>
      </w:rPr>
    </w:lvl>
    <w:lvl w:ilvl="5" w:tplc="08090005" w:tentative="1">
      <w:start w:val="1"/>
      <w:numFmt w:val="bullet"/>
      <w:lvlText w:val=""/>
      <w:lvlJc w:val="left"/>
      <w:pPr>
        <w:ind w:left="5026" w:hanging="360"/>
      </w:pPr>
      <w:rPr>
        <w:rFonts w:ascii="Wingdings" w:hAnsi="Wingdings" w:hint="default"/>
      </w:rPr>
    </w:lvl>
    <w:lvl w:ilvl="6" w:tplc="08090001" w:tentative="1">
      <w:start w:val="1"/>
      <w:numFmt w:val="bullet"/>
      <w:lvlText w:val=""/>
      <w:lvlJc w:val="left"/>
      <w:pPr>
        <w:ind w:left="5746" w:hanging="360"/>
      </w:pPr>
      <w:rPr>
        <w:rFonts w:ascii="Symbol" w:hAnsi="Symbol" w:hint="default"/>
      </w:rPr>
    </w:lvl>
    <w:lvl w:ilvl="7" w:tplc="08090003" w:tentative="1">
      <w:start w:val="1"/>
      <w:numFmt w:val="bullet"/>
      <w:lvlText w:val="o"/>
      <w:lvlJc w:val="left"/>
      <w:pPr>
        <w:ind w:left="6466" w:hanging="360"/>
      </w:pPr>
      <w:rPr>
        <w:rFonts w:ascii="Courier New" w:hAnsi="Courier New" w:cs="Courier New" w:hint="default"/>
      </w:rPr>
    </w:lvl>
    <w:lvl w:ilvl="8" w:tplc="08090005" w:tentative="1">
      <w:start w:val="1"/>
      <w:numFmt w:val="bullet"/>
      <w:lvlText w:val=""/>
      <w:lvlJc w:val="left"/>
      <w:pPr>
        <w:ind w:left="7186" w:hanging="360"/>
      </w:pPr>
      <w:rPr>
        <w:rFonts w:ascii="Wingdings" w:hAnsi="Wingdings" w:hint="default"/>
      </w:rPr>
    </w:lvl>
  </w:abstractNum>
  <w:abstractNum w:abstractNumId="48" w15:restartNumberingAfterBreak="0">
    <w:nsid w:val="6385396B"/>
    <w:multiLevelType w:val="hybridMultilevel"/>
    <w:tmpl w:val="015A2F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54A2550"/>
    <w:multiLevelType w:val="multilevel"/>
    <w:tmpl w:val="E60ABD7A"/>
    <w:lvl w:ilvl="0">
      <w:start w:val="1"/>
      <w:numFmt w:val="decimal"/>
      <w:pStyle w:val="Heading2"/>
      <w:suff w:val="space"/>
      <w:lvlText w:val="%1."/>
      <w:lvlJc w:val="left"/>
      <w:pPr>
        <w:ind w:left="360" w:hanging="360"/>
      </w:pPr>
      <w:rPr>
        <w:rFonts w:hint="default"/>
      </w:rPr>
    </w:lvl>
    <w:lvl w:ilvl="1">
      <w:start w:val="1"/>
      <w:numFmt w:val="decimal"/>
      <w:pStyle w:val="Heading3"/>
      <w:suff w:val="space"/>
      <w:lvlText w:val="%1.%2"/>
      <w:lvlJc w:val="left"/>
      <w:pPr>
        <w:ind w:left="720" w:hanging="360"/>
      </w:pPr>
      <w:rPr>
        <w:rFonts w:hint="default"/>
      </w:rPr>
    </w:lvl>
    <w:lvl w:ilvl="2">
      <w:start w:val="1"/>
      <w:numFmt w:val="decimal"/>
      <w:pStyle w:val="Heading4"/>
      <w:suff w:val="space"/>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6A017A74"/>
    <w:multiLevelType w:val="multilevel"/>
    <w:tmpl w:val="BBFA1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6A8667C7"/>
    <w:multiLevelType w:val="hybridMultilevel"/>
    <w:tmpl w:val="FA1811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E5A3670"/>
    <w:multiLevelType w:val="hybridMultilevel"/>
    <w:tmpl w:val="6A90B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E673728"/>
    <w:multiLevelType w:val="multilevel"/>
    <w:tmpl w:val="728AB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F2A7D35"/>
    <w:multiLevelType w:val="multilevel"/>
    <w:tmpl w:val="BBFA1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707B6707"/>
    <w:multiLevelType w:val="hybridMultilevel"/>
    <w:tmpl w:val="8AAE9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2882538"/>
    <w:multiLevelType w:val="hybridMultilevel"/>
    <w:tmpl w:val="3BCC83DA"/>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57" w15:restartNumberingAfterBreak="0">
    <w:nsid w:val="7584166D"/>
    <w:multiLevelType w:val="multilevel"/>
    <w:tmpl w:val="BBFA1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773B7178"/>
    <w:multiLevelType w:val="hybridMultilevel"/>
    <w:tmpl w:val="B55E79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9521583"/>
    <w:multiLevelType w:val="hybridMultilevel"/>
    <w:tmpl w:val="CF86D2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 w15:restartNumberingAfterBreak="0">
    <w:nsid w:val="7AD877BD"/>
    <w:multiLevelType w:val="hybridMultilevel"/>
    <w:tmpl w:val="C5944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CE77D0E"/>
    <w:multiLevelType w:val="hybridMultilevel"/>
    <w:tmpl w:val="99E8E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07711260">
    <w:abstractNumId w:val="49"/>
  </w:num>
  <w:num w:numId="2" w16cid:durableId="1815682109">
    <w:abstractNumId w:val="29"/>
  </w:num>
  <w:num w:numId="3" w16cid:durableId="489370115">
    <w:abstractNumId w:val="47"/>
  </w:num>
  <w:num w:numId="4" w16cid:durableId="2108848627">
    <w:abstractNumId w:val="41"/>
  </w:num>
  <w:num w:numId="5" w16cid:durableId="972980003">
    <w:abstractNumId w:val="43"/>
  </w:num>
  <w:num w:numId="6" w16cid:durableId="1009599443">
    <w:abstractNumId w:val="38"/>
  </w:num>
  <w:num w:numId="7" w16cid:durableId="131990015">
    <w:abstractNumId w:val="34"/>
  </w:num>
  <w:num w:numId="8" w16cid:durableId="1790977052">
    <w:abstractNumId w:val="5"/>
  </w:num>
  <w:num w:numId="9" w16cid:durableId="610281341">
    <w:abstractNumId w:val="24"/>
  </w:num>
  <w:num w:numId="10" w16cid:durableId="2098742139">
    <w:abstractNumId w:val="57"/>
  </w:num>
  <w:num w:numId="11" w16cid:durableId="1696271801">
    <w:abstractNumId w:val="30"/>
  </w:num>
  <w:num w:numId="12" w16cid:durableId="122357772">
    <w:abstractNumId w:val="54"/>
  </w:num>
  <w:num w:numId="13" w16cid:durableId="1063871790">
    <w:abstractNumId w:val="50"/>
  </w:num>
  <w:num w:numId="14" w16cid:durableId="1593736158">
    <w:abstractNumId w:val="0"/>
  </w:num>
  <w:num w:numId="15" w16cid:durableId="757674026">
    <w:abstractNumId w:val="60"/>
  </w:num>
  <w:num w:numId="16" w16cid:durableId="818308030">
    <w:abstractNumId w:val="40"/>
  </w:num>
  <w:num w:numId="17" w16cid:durableId="678236674">
    <w:abstractNumId w:val="16"/>
  </w:num>
  <w:num w:numId="18" w16cid:durableId="1622953418">
    <w:abstractNumId w:val="9"/>
  </w:num>
  <w:num w:numId="19" w16cid:durableId="1330061590">
    <w:abstractNumId w:val="11"/>
  </w:num>
  <w:num w:numId="20" w16cid:durableId="1088816012">
    <w:abstractNumId w:val="42"/>
  </w:num>
  <w:num w:numId="21" w16cid:durableId="1333944971">
    <w:abstractNumId w:val="37"/>
  </w:num>
  <w:num w:numId="22" w16cid:durableId="763375921">
    <w:abstractNumId w:val="21"/>
  </w:num>
  <w:num w:numId="23" w16cid:durableId="1287732367">
    <w:abstractNumId w:val="55"/>
  </w:num>
  <w:num w:numId="24" w16cid:durableId="772214272">
    <w:abstractNumId w:val="23"/>
  </w:num>
  <w:num w:numId="25" w16cid:durableId="454832319">
    <w:abstractNumId w:val="39"/>
  </w:num>
  <w:num w:numId="26" w16cid:durableId="713115605">
    <w:abstractNumId w:val="8"/>
  </w:num>
  <w:num w:numId="27" w16cid:durableId="1526285703">
    <w:abstractNumId w:val="31"/>
  </w:num>
  <w:num w:numId="28" w16cid:durableId="214128249">
    <w:abstractNumId w:val="18"/>
  </w:num>
  <w:num w:numId="29" w16cid:durableId="1760758740">
    <w:abstractNumId w:val="48"/>
  </w:num>
  <w:num w:numId="30" w16cid:durableId="1004941441">
    <w:abstractNumId w:val="6"/>
  </w:num>
  <w:num w:numId="31" w16cid:durableId="917179143">
    <w:abstractNumId w:val="27"/>
  </w:num>
  <w:num w:numId="32" w16cid:durableId="317618109">
    <w:abstractNumId w:val="7"/>
  </w:num>
  <w:num w:numId="33" w16cid:durableId="881752865">
    <w:abstractNumId w:val="59"/>
  </w:num>
  <w:num w:numId="34" w16cid:durableId="435292650">
    <w:abstractNumId w:val="61"/>
  </w:num>
  <w:num w:numId="35" w16cid:durableId="566182375">
    <w:abstractNumId w:val="56"/>
  </w:num>
  <w:num w:numId="36" w16cid:durableId="1139609447">
    <w:abstractNumId w:val="10"/>
  </w:num>
  <w:num w:numId="37" w16cid:durableId="1954508510">
    <w:abstractNumId w:val="2"/>
  </w:num>
  <w:num w:numId="38" w16cid:durableId="638196278">
    <w:abstractNumId w:val="36"/>
  </w:num>
  <w:num w:numId="39" w16cid:durableId="1924409469">
    <w:abstractNumId w:val="15"/>
  </w:num>
  <w:num w:numId="40" w16cid:durableId="1406414880">
    <w:abstractNumId w:val="3"/>
  </w:num>
  <w:num w:numId="41" w16cid:durableId="238945550">
    <w:abstractNumId w:val="17"/>
  </w:num>
  <w:num w:numId="42" w16cid:durableId="478813382">
    <w:abstractNumId w:val="1"/>
  </w:num>
  <w:num w:numId="43" w16cid:durableId="155458339">
    <w:abstractNumId w:val="44"/>
  </w:num>
  <w:num w:numId="44" w16cid:durableId="1779330496">
    <w:abstractNumId w:val="25"/>
  </w:num>
  <w:num w:numId="45" w16cid:durableId="183911300">
    <w:abstractNumId w:val="52"/>
  </w:num>
  <w:num w:numId="46" w16cid:durableId="80757548">
    <w:abstractNumId w:val="20"/>
  </w:num>
  <w:num w:numId="47" w16cid:durableId="2097482010">
    <w:abstractNumId w:val="46"/>
  </w:num>
  <w:num w:numId="48" w16cid:durableId="2067023712">
    <w:abstractNumId w:val="4"/>
  </w:num>
  <w:num w:numId="49" w16cid:durableId="1217005772">
    <w:abstractNumId w:val="19"/>
  </w:num>
  <w:num w:numId="50" w16cid:durableId="301350364">
    <w:abstractNumId w:val="45"/>
  </w:num>
  <w:num w:numId="51" w16cid:durableId="2130319906">
    <w:abstractNumId w:val="28"/>
  </w:num>
  <w:num w:numId="52" w16cid:durableId="305670374">
    <w:abstractNumId w:val="33"/>
  </w:num>
  <w:num w:numId="53" w16cid:durableId="557209475">
    <w:abstractNumId w:val="12"/>
  </w:num>
  <w:num w:numId="54" w16cid:durableId="839272740">
    <w:abstractNumId w:val="35"/>
  </w:num>
  <w:num w:numId="55" w16cid:durableId="73597966">
    <w:abstractNumId w:val="32"/>
  </w:num>
  <w:num w:numId="56" w16cid:durableId="672416044">
    <w:abstractNumId w:val="51"/>
  </w:num>
  <w:num w:numId="57" w16cid:durableId="37362579">
    <w:abstractNumId w:val="14"/>
  </w:num>
  <w:num w:numId="58" w16cid:durableId="1308776913">
    <w:abstractNumId w:val="58"/>
  </w:num>
  <w:num w:numId="59" w16cid:durableId="547766827">
    <w:abstractNumId w:val="22"/>
  </w:num>
  <w:num w:numId="60" w16cid:durableId="288126770">
    <w:abstractNumId w:val="13"/>
  </w:num>
  <w:num w:numId="61" w16cid:durableId="183791691">
    <w:abstractNumId w:val="26"/>
  </w:num>
  <w:num w:numId="62" w16cid:durableId="259993819">
    <w:abstractNumId w:val="53"/>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4"/>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727F"/>
    <w:rsid w:val="00000323"/>
    <w:rsid w:val="0000044D"/>
    <w:rsid w:val="00000515"/>
    <w:rsid w:val="00000669"/>
    <w:rsid w:val="00000C81"/>
    <w:rsid w:val="000011DE"/>
    <w:rsid w:val="00001203"/>
    <w:rsid w:val="000014C3"/>
    <w:rsid w:val="00001771"/>
    <w:rsid w:val="00001B53"/>
    <w:rsid w:val="000020AF"/>
    <w:rsid w:val="00002250"/>
    <w:rsid w:val="0000283A"/>
    <w:rsid w:val="000029DF"/>
    <w:rsid w:val="00002BBB"/>
    <w:rsid w:val="0000339A"/>
    <w:rsid w:val="0000377D"/>
    <w:rsid w:val="00004687"/>
    <w:rsid w:val="00004A37"/>
    <w:rsid w:val="00004A92"/>
    <w:rsid w:val="00004EE8"/>
    <w:rsid w:val="000051A8"/>
    <w:rsid w:val="000051D7"/>
    <w:rsid w:val="00005FAB"/>
    <w:rsid w:val="0000618E"/>
    <w:rsid w:val="00006251"/>
    <w:rsid w:val="000064F9"/>
    <w:rsid w:val="000065AC"/>
    <w:rsid w:val="0000683F"/>
    <w:rsid w:val="0000687D"/>
    <w:rsid w:val="000069E8"/>
    <w:rsid w:val="000076A6"/>
    <w:rsid w:val="00007951"/>
    <w:rsid w:val="00007D14"/>
    <w:rsid w:val="00007D15"/>
    <w:rsid w:val="00010262"/>
    <w:rsid w:val="00010374"/>
    <w:rsid w:val="000108A9"/>
    <w:rsid w:val="00010AB0"/>
    <w:rsid w:val="00011AF4"/>
    <w:rsid w:val="00011E3D"/>
    <w:rsid w:val="00011EFD"/>
    <w:rsid w:val="0001209F"/>
    <w:rsid w:val="000124BE"/>
    <w:rsid w:val="00012626"/>
    <w:rsid w:val="00012745"/>
    <w:rsid w:val="000127C3"/>
    <w:rsid w:val="00012C8A"/>
    <w:rsid w:val="00012C9B"/>
    <w:rsid w:val="000130A9"/>
    <w:rsid w:val="000137C0"/>
    <w:rsid w:val="000138D5"/>
    <w:rsid w:val="000139F3"/>
    <w:rsid w:val="00013E4C"/>
    <w:rsid w:val="000142F7"/>
    <w:rsid w:val="00014678"/>
    <w:rsid w:val="00014773"/>
    <w:rsid w:val="00014E2C"/>
    <w:rsid w:val="00016097"/>
    <w:rsid w:val="000163D3"/>
    <w:rsid w:val="000163FD"/>
    <w:rsid w:val="000168EE"/>
    <w:rsid w:val="00016D16"/>
    <w:rsid w:val="0001746B"/>
    <w:rsid w:val="000175D4"/>
    <w:rsid w:val="000175DD"/>
    <w:rsid w:val="00017624"/>
    <w:rsid w:val="0001767B"/>
    <w:rsid w:val="00017693"/>
    <w:rsid w:val="00017B27"/>
    <w:rsid w:val="000201AE"/>
    <w:rsid w:val="0002038C"/>
    <w:rsid w:val="00020901"/>
    <w:rsid w:val="00020C43"/>
    <w:rsid w:val="00020CD9"/>
    <w:rsid w:val="00020DB9"/>
    <w:rsid w:val="00020DE9"/>
    <w:rsid w:val="00020EA4"/>
    <w:rsid w:val="00020FC5"/>
    <w:rsid w:val="000210DE"/>
    <w:rsid w:val="00021276"/>
    <w:rsid w:val="00021582"/>
    <w:rsid w:val="00021E6E"/>
    <w:rsid w:val="00022619"/>
    <w:rsid w:val="00022E26"/>
    <w:rsid w:val="0002328A"/>
    <w:rsid w:val="000235AB"/>
    <w:rsid w:val="00023AE3"/>
    <w:rsid w:val="00023AF6"/>
    <w:rsid w:val="00023B88"/>
    <w:rsid w:val="00023BEB"/>
    <w:rsid w:val="00023CF7"/>
    <w:rsid w:val="00024349"/>
    <w:rsid w:val="000245DB"/>
    <w:rsid w:val="00024C79"/>
    <w:rsid w:val="000250E6"/>
    <w:rsid w:val="000256E1"/>
    <w:rsid w:val="0002578F"/>
    <w:rsid w:val="0002596F"/>
    <w:rsid w:val="00025F07"/>
    <w:rsid w:val="00025F46"/>
    <w:rsid w:val="00026AD4"/>
    <w:rsid w:val="00026B3C"/>
    <w:rsid w:val="00026D4B"/>
    <w:rsid w:val="00026DC1"/>
    <w:rsid w:val="00026E1E"/>
    <w:rsid w:val="0002717B"/>
    <w:rsid w:val="0002731B"/>
    <w:rsid w:val="00027573"/>
    <w:rsid w:val="00027759"/>
    <w:rsid w:val="00027777"/>
    <w:rsid w:val="000277A0"/>
    <w:rsid w:val="0002785A"/>
    <w:rsid w:val="00027D82"/>
    <w:rsid w:val="00027F00"/>
    <w:rsid w:val="000302F2"/>
    <w:rsid w:val="000307A8"/>
    <w:rsid w:val="000308E6"/>
    <w:rsid w:val="00030964"/>
    <w:rsid w:val="00030A87"/>
    <w:rsid w:val="00030AB1"/>
    <w:rsid w:val="00030C1B"/>
    <w:rsid w:val="00030CA8"/>
    <w:rsid w:val="00030E2D"/>
    <w:rsid w:val="000316C2"/>
    <w:rsid w:val="0003196B"/>
    <w:rsid w:val="000319F9"/>
    <w:rsid w:val="00031A57"/>
    <w:rsid w:val="00031B66"/>
    <w:rsid w:val="00031D86"/>
    <w:rsid w:val="00031E49"/>
    <w:rsid w:val="00031E95"/>
    <w:rsid w:val="0003204D"/>
    <w:rsid w:val="00032262"/>
    <w:rsid w:val="0003253B"/>
    <w:rsid w:val="00033192"/>
    <w:rsid w:val="000335EE"/>
    <w:rsid w:val="00033C34"/>
    <w:rsid w:val="00034429"/>
    <w:rsid w:val="00034A69"/>
    <w:rsid w:val="00034D01"/>
    <w:rsid w:val="0003542D"/>
    <w:rsid w:val="00035555"/>
    <w:rsid w:val="00035802"/>
    <w:rsid w:val="00035B3B"/>
    <w:rsid w:val="00035FF0"/>
    <w:rsid w:val="0003602B"/>
    <w:rsid w:val="0003666D"/>
    <w:rsid w:val="000368F1"/>
    <w:rsid w:val="00036F8A"/>
    <w:rsid w:val="000371C5"/>
    <w:rsid w:val="000373E4"/>
    <w:rsid w:val="000376DA"/>
    <w:rsid w:val="00037D37"/>
    <w:rsid w:val="000406ED"/>
    <w:rsid w:val="000408D4"/>
    <w:rsid w:val="00040B8E"/>
    <w:rsid w:val="00040CDC"/>
    <w:rsid w:val="00040E54"/>
    <w:rsid w:val="00040F58"/>
    <w:rsid w:val="0004119C"/>
    <w:rsid w:val="00041221"/>
    <w:rsid w:val="0004124B"/>
    <w:rsid w:val="00041731"/>
    <w:rsid w:val="00041CA7"/>
    <w:rsid w:val="00042064"/>
    <w:rsid w:val="00042123"/>
    <w:rsid w:val="000422B6"/>
    <w:rsid w:val="000422C1"/>
    <w:rsid w:val="000423D9"/>
    <w:rsid w:val="00042BB8"/>
    <w:rsid w:val="00042FC2"/>
    <w:rsid w:val="000432A1"/>
    <w:rsid w:val="00043789"/>
    <w:rsid w:val="00043A0A"/>
    <w:rsid w:val="00043B6A"/>
    <w:rsid w:val="00043D23"/>
    <w:rsid w:val="00043E75"/>
    <w:rsid w:val="00043F74"/>
    <w:rsid w:val="00044142"/>
    <w:rsid w:val="00044158"/>
    <w:rsid w:val="000444AE"/>
    <w:rsid w:val="000446D7"/>
    <w:rsid w:val="000449D1"/>
    <w:rsid w:val="00044BB3"/>
    <w:rsid w:val="00044E7F"/>
    <w:rsid w:val="00044EE3"/>
    <w:rsid w:val="00044FBB"/>
    <w:rsid w:val="00045C2C"/>
    <w:rsid w:val="000463BA"/>
    <w:rsid w:val="000463FA"/>
    <w:rsid w:val="00046730"/>
    <w:rsid w:val="000468AB"/>
    <w:rsid w:val="00046C97"/>
    <w:rsid w:val="0004717D"/>
    <w:rsid w:val="000471BA"/>
    <w:rsid w:val="0004740D"/>
    <w:rsid w:val="00047B05"/>
    <w:rsid w:val="00047BE8"/>
    <w:rsid w:val="00050106"/>
    <w:rsid w:val="00050165"/>
    <w:rsid w:val="00050706"/>
    <w:rsid w:val="00050908"/>
    <w:rsid w:val="00050A8E"/>
    <w:rsid w:val="00050AB5"/>
    <w:rsid w:val="00050D08"/>
    <w:rsid w:val="00050D8E"/>
    <w:rsid w:val="00051183"/>
    <w:rsid w:val="00051522"/>
    <w:rsid w:val="00051753"/>
    <w:rsid w:val="000518B1"/>
    <w:rsid w:val="000518C7"/>
    <w:rsid w:val="00051954"/>
    <w:rsid w:val="00051ABB"/>
    <w:rsid w:val="00051C42"/>
    <w:rsid w:val="00051F7E"/>
    <w:rsid w:val="000526D9"/>
    <w:rsid w:val="00052A6C"/>
    <w:rsid w:val="00052C91"/>
    <w:rsid w:val="00052E1A"/>
    <w:rsid w:val="00052EE9"/>
    <w:rsid w:val="0005310D"/>
    <w:rsid w:val="0005325B"/>
    <w:rsid w:val="00053374"/>
    <w:rsid w:val="000534B2"/>
    <w:rsid w:val="0005392D"/>
    <w:rsid w:val="00053CF7"/>
    <w:rsid w:val="00054331"/>
    <w:rsid w:val="0005496B"/>
    <w:rsid w:val="00054D4C"/>
    <w:rsid w:val="0005527F"/>
    <w:rsid w:val="000552A7"/>
    <w:rsid w:val="00055543"/>
    <w:rsid w:val="000555F4"/>
    <w:rsid w:val="00055642"/>
    <w:rsid w:val="00055767"/>
    <w:rsid w:val="00055DF4"/>
    <w:rsid w:val="00055FD8"/>
    <w:rsid w:val="00056271"/>
    <w:rsid w:val="000563C8"/>
    <w:rsid w:val="00056913"/>
    <w:rsid w:val="00056DD1"/>
    <w:rsid w:val="00057537"/>
    <w:rsid w:val="00057A70"/>
    <w:rsid w:val="00057AEF"/>
    <w:rsid w:val="00057E34"/>
    <w:rsid w:val="00057EFF"/>
    <w:rsid w:val="000600FB"/>
    <w:rsid w:val="00060417"/>
    <w:rsid w:val="000604A6"/>
    <w:rsid w:val="000606A1"/>
    <w:rsid w:val="00060B5B"/>
    <w:rsid w:val="00060E75"/>
    <w:rsid w:val="00061243"/>
    <w:rsid w:val="00061375"/>
    <w:rsid w:val="00061425"/>
    <w:rsid w:val="000616B3"/>
    <w:rsid w:val="00061793"/>
    <w:rsid w:val="00061B37"/>
    <w:rsid w:val="0006207A"/>
    <w:rsid w:val="000621B9"/>
    <w:rsid w:val="000621FF"/>
    <w:rsid w:val="000626C8"/>
    <w:rsid w:val="00062937"/>
    <w:rsid w:val="00062F57"/>
    <w:rsid w:val="000635E8"/>
    <w:rsid w:val="00063B17"/>
    <w:rsid w:val="00063DE4"/>
    <w:rsid w:val="00063FD5"/>
    <w:rsid w:val="0006456B"/>
    <w:rsid w:val="000647D6"/>
    <w:rsid w:val="00064C7B"/>
    <w:rsid w:val="0006526F"/>
    <w:rsid w:val="0006596D"/>
    <w:rsid w:val="00065EBD"/>
    <w:rsid w:val="0006612C"/>
    <w:rsid w:val="000664FC"/>
    <w:rsid w:val="000669CF"/>
    <w:rsid w:val="00066B2E"/>
    <w:rsid w:val="00066B4D"/>
    <w:rsid w:val="00066F02"/>
    <w:rsid w:val="0006775D"/>
    <w:rsid w:val="0006794E"/>
    <w:rsid w:val="00067D28"/>
    <w:rsid w:val="000703FF"/>
    <w:rsid w:val="00070517"/>
    <w:rsid w:val="00070CAF"/>
    <w:rsid w:val="00070DE1"/>
    <w:rsid w:val="00070E72"/>
    <w:rsid w:val="00071415"/>
    <w:rsid w:val="00071576"/>
    <w:rsid w:val="0007164D"/>
    <w:rsid w:val="000717D4"/>
    <w:rsid w:val="000717E2"/>
    <w:rsid w:val="00071EE3"/>
    <w:rsid w:val="00072374"/>
    <w:rsid w:val="000725FE"/>
    <w:rsid w:val="0007265A"/>
    <w:rsid w:val="00072856"/>
    <w:rsid w:val="000728C5"/>
    <w:rsid w:val="0007295C"/>
    <w:rsid w:val="00072A66"/>
    <w:rsid w:val="000735D6"/>
    <w:rsid w:val="00073CFD"/>
    <w:rsid w:val="00073EBB"/>
    <w:rsid w:val="000746B1"/>
    <w:rsid w:val="0007471C"/>
    <w:rsid w:val="000749C1"/>
    <w:rsid w:val="00074A71"/>
    <w:rsid w:val="00074AB4"/>
    <w:rsid w:val="000755C6"/>
    <w:rsid w:val="0007565F"/>
    <w:rsid w:val="00075EC6"/>
    <w:rsid w:val="0007651B"/>
    <w:rsid w:val="0007656A"/>
    <w:rsid w:val="0007672B"/>
    <w:rsid w:val="00076DC7"/>
    <w:rsid w:val="00077299"/>
    <w:rsid w:val="00077731"/>
    <w:rsid w:val="00077B9D"/>
    <w:rsid w:val="00077DEF"/>
    <w:rsid w:val="0008038B"/>
    <w:rsid w:val="000804DA"/>
    <w:rsid w:val="0008050C"/>
    <w:rsid w:val="000805CC"/>
    <w:rsid w:val="000807D5"/>
    <w:rsid w:val="00080DF0"/>
    <w:rsid w:val="00081EDF"/>
    <w:rsid w:val="000821AC"/>
    <w:rsid w:val="0008235F"/>
    <w:rsid w:val="00082653"/>
    <w:rsid w:val="00082A96"/>
    <w:rsid w:val="00082BA1"/>
    <w:rsid w:val="00082D40"/>
    <w:rsid w:val="00082FB7"/>
    <w:rsid w:val="00083207"/>
    <w:rsid w:val="000838A4"/>
    <w:rsid w:val="00083ADE"/>
    <w:rsid w:val="00083C2B"/>
    <w:rsid w:val="00083F56"/>
    <w:rsid w:val="00083FB9"/>
    <w:rsid w:val="00084507"/>
    <w:rsid w:val="00084B10"/>
    <w:rsid w:val="000850AE"/>
    <w:rsid w:val="00085318"/>
    <w:rsid w:val="000857D8"/>
    <w:rsid w:val="00085800"/>
    <w:rsid w:val="00085A92"/>
    <w:rsid w:val="00085AD2"/>
    <w:rsid w:val="000860E0"/>
    <w:rsid w:val="000868B2"/>
    <w:rsid w:val="00086C0F"/>
    <w:rsid w:val="00087337"/>
    <w:rsid w:val="0008747C"/>
    <w:rsid w:val="00087D50"/>
    <w:rsid w:val="0009049C"/>
    <w:rsid w:val="00090515"/>
    <w:rsid w:val="000905B0"/>
    <w:rsid w:val="00090687"/>
    <w:rsid w:val="000908E4"/>
    <w:rsid w:val="00090906"/>
    <w:rsid w:val="00090992"/>
    <w:rsid w:val="00090CFB"/>
    <w:rsid w:val="000912F3"/>
    <w:rsid w:val="0009158C"/>
    <w:rsid w:val="00091769"/>
    <w:rsid w:val="00091A29"/>
    <w:rsid w:val="00091B42"/>
    <w:rsid w:val="00091BF4"/>
    <w:rsid w:val="00091CD4"/>
    <w:rsid w:val="000921CD"/>
    <w:rsid w:val="00092348"/>
    <w:rsid w:val="0009236E"/>
    <w:rsid w:val="0009242C"/>
    <w:rsid w:val="00092CEE"/>
    <w:rsid w:val="00092EBE"/>
    <w:rsid w:val="00093044"/>
    <w:rsid w:val="0009310C"/>
    <w:rsid w:val="00093220"/>
    <w:rsid w:val="000932A4"/>
    <w:rsid w:val="00093685"/>
    <w:rsid w:val="00093B61"/>
    <w:rsid w:val="00093B72"/>
    <w:rsid w:val="00093C8A"/>
    <w:rsid w:val="000940CD"/>
    <w:rsid w:val="000949D4"/>
    <w:rsid w:val="0009503E"/>
    <w:rsid w:val="00095093"/>
    <w:rsid w:val="000956B4"/>
    <w:rsid w:val="0009584F"/>
    <w:rsid w:val="0009599E"/>
    <w:rsid w:val="00095C65"/>
    <w:rsid w:val="00095FA5"/>
    <w:rsid w:val="000963D8"/>
    <w:rsid w:val="00096B6D"/>
    <w:rsid w:val="000972EC"/>
    <w:rsid w:val="00097450"/>
    <w:rsid w:val="00097478"/>
    <w:rsid w:val="00097811"/>
    <w:rsid w:val="0009790E"/>
    <w:rsid w:val="00097C67"/>
    <w:rsid w:val="00097DEE"/>
    <w:rsid w:val="00097E61"/>
    <w:rsid w:val="00097F07"/>
    <w:rsid w:val="00097F4E"/>
    <w:rsid w:val="000A021E"/>
    <w:rsid w:val="000A02AE"/>
    <w:rsid w:val="000A0567"/>
    <w:rsid w:val="000A0582"/>
    <w:rsid w:val="000A070B"/>
    <w:rsid w:val="000A0B2C"/>
    <w:rsid w:val="000A1562"/>
    <w:rsid w:val="000A1F63"/>
    <w:rsid w:val="000A21FF"/>
    <w:rsid w:val="000A226F"/>
    <w:rsid w:val="000A24B4"/>
    <w:rsid w:val="000A2711"/>
    <w:rsid w:val="000A2AC9"/>
    <w:rsid w:val="000A2B96"/>
    <w:rsid w:val="000A2BC7"/>
    <w:rsid w:val="000A2D37"/>
    <w:rsid w:val="000A2E8B"/>
    <w:rsid w:val="000A327A"/>
    <w:rsid w:val="000A336E"/>
    <w:rsid w:val="000A3486"/>
    <w:rsid w:val="000A3544"/>
    <w:rsid w:val="000A3DA1"/>
    <w:rsid w:val="000A3EDA"/>
    <w:rsid w:val="000A4262"/>
    <w:rsid w:val="000A429D"/>
    <w:rsid w:val="000A4576"/>
    <w:rsid w:val="000A47C2"/>
    <w:rsid w:val="000A4863"/>
    <w:rsid w:val="000A4A7E"/>
    <w:rsid w:val="000A4B88"/>
    <w:rsid w:val="000A55F3"/>
    <w:rsid w:val="000A572E"/>
    <w:rsid w:val="000A577A"/>
    <w:rsid w:val="000A589D"/>
    <w:rsid w:val="000A59E0"/>
    <w:rsid w:val="000A5ABF"/>
    <w:rsid w:val="000A5D8F"/>
    <w:rsid w:val="000A67F9"/>
    <w:rsid w:val="000A6849"/>
    <w:rsid w:val="000A6851"/>
    <w:rsid w:val="000A6A37"/>
    <w:rsid w:val="000A705D"/>
    <w:rsid w:val="000A7227"/>
    <w:rsid w:val="000A72BB"/>
    <w:rsid w:val="000A72BE"/>
    <w:rsid w:val="000A7335"/>
    <w:rsid w:val="000A738C"/>
    <w:rsid w:val="000A74B2"/>
    <w:rsid w:val="000A77D6"/>
    <w:rsid w:val="000A7860"/>
    <w:rsid w:val="000A79B7"/>
    <w:rsid w:val="000A7DBB"/>
    <w:rsid w:val="000A7F9D"/>
    <w:rsid w:val="000A7FB0"/>
    <w:rsid w:val="000B0182"/>
    <w:rsid w:val="000B04B3"/>
    <w:rsid w:val="000B0AE9"/>
    <w:rsid w:val="000B1509"/>
    <w:rsid w:val="000B150F"/>
    <w:rsid w:val="000B1B0D"/>
    <w:rsid w:val="000B1C65"/>
    <w:rsid w:val="000B240E"/>
    <w:rsid w:val="000B291E"/>
    <w:rsid w:val="000B2A86"/>
    <w:rsid w:val="000B2E44"/>
    <w:rsid w:val="000B329D"/>
    <w:rsid w:val="000B3315"/>
    <w:rsid w:val="000B3320"/>
    <w:rsid w:val="000B33FF"/>
    <w:rsid w:val="000B361D"/>
    <w:rsid w:val="000B39C9"/>
    <w:rsid w:val="000B3B0E"/>
    <w:rsid w:val="000B40D7"/>
    <w:rsid w:val="000B484B"/>
    <w:rsid w:val="000B4A4C"/>
    <w:rsid w:val="000B59CF"/>
    <w:rsid w:val="000B5E41"/>
    <w:rsid w:val="000B5E9E"/>
    <w:rsid w:val="000B6078"/>
    <w:rsid w:val="000B618D"/>
    <w:rsid w:val="000B6CA2"/>
    <w:rsid w:val="000B6D31"/>
    <w:rsid w:val="000B70F9"/>
    <w:rsid w:val="000B7B29"/>
    <w:rsid w:val="000B7BA1"/>
    <w:rsid w:val="000B7FB1"/>
    <w:rsid w:val="000C03EB"/>
    <w:rsid w:val="000C05DC"/>
    <w:rsid w:val="000C0ADB"/>
    <w:rsid w:val="000C1306"/>
    <w:rsid w:val="000C160D"/>
    <w:rsid w:val="000C16B4"/>
    <w:rsid w:val="000C16DB"/>
    <w:rsid w:val="000C172D"/>
    <w:rsid w:val="000C177E"/>
    <w:rsid w:val="000C17CB"/>
    <w:rsid w:val="000C1D64"/>
    <w:rsid w:val="000C24D1"/>
    <w:rsid w:val="000C25B8"/>
    <w:rsid w:val="000C29AA"/>
    <w:rsid w:val="000C2AC5"/>
    <w:rsid w:val="000C2C69"/>
    <w:rsid w:val="000C3045"/>
    <w:rsid w:val="000C363E"/>
    <w:rsid w:val="000C3643"/>
    <w:rsid w:val="000C403C"/>
    <w:rsid w:val="000C40C6"/>
    <w:rsid w:val="000C4773"/>
    <w:rsid w:val="000C479A"/>
    <w:rsid w:val="000C4CA1"/>
    <w:rsid w:val="000C4D94"/>
    <w:rsid w:val="000C4EC6"/>
    <w:rsid w:val="000C4FB4"/>
    <w:rsid w:val="000C5061"/>
    <w:rsid w:val="000C5357"/>
    <w:rsid w:val="000C5BDE"/>
    <w:rsid w:val="000C5D53"/>
    <w:rsid w:val="000C5E55"/>
    <w:rsid w:val="000C5F01"/>
    <w:rsid w:val="000C636F"/>
    <w:rsid w:val="000C64E2"/>
    <w:rsid w:val="000C734C"/>
    <w:rsid w:val="000C73F1"/>
    <w:rsid w:val="000C7496"/>
    <w:rsid w:val="000C755F"/>
    <w:rsid w:val="000C75AB"/>
    <w:rsid w:val="000C7746"/>
    <w:rsid w:val="000C7ACA"/>
    <w:rsid w:val="000C7BFD"/>
    <w:rsid w:val="000C7DDE"/>
    <w:rsid w:val="000C7F0E"/>
    <w:rsid w:val="000D0115"/>
    <w:rsid w:val="000D03B6"/>
    <w:rsid w:val="000D0580"/>
    <w:rsid w:val="000D0609"/>
    <w:rsid w:val="000D0808"/>
    <w:rsid w:val="000D0C96"/>
    <w:rsid w:val="000D0D3F"/>
    <w:rsid w:val="000D1113"/>
    <w:rsid w:val="000D1535"/>
    <w:rsid w:val="000D1CF2"/>
    <w:rsid w:val="000D26BF"/>
    <w:rsid w:val="000D2C10"/>
    <w:rsid w:val="000D2E6A"/>
    <w:rsid w:val="000D336E"/>
    <w:rsid w:val="000D36F2"/>
    <w:rsid w:val="000D3A0E"/>
    <w:rsid w:val="000D428F"/>
    <w:rsid w:val="000D42A6"/>
    <w:rsid w:val="000D437D"/>
    <w:rsid w:val="000D4845"/>
    <w:rsid w:val="000D49C8"/>
    <w:rsid w:val="000D4C1B"/>
    <w:rsid w:val="000D4CA0"/>
    <w:rsid w:val="000D4DA1"/>
    <w:rsid w:val="000D4FCD"/>
    <w:rsid w:val="000D50F4"/>
    <w:rsid w:val="000D513B"/>
    <w:rsid w:val="000D5177"/>
    <w:rsid w:val="000D53D9"/>
    <w:rsid w:val="000D5429"/>
    <w:rsid w:val="000D5540"/>
    <w:rsid w:val="000D55A3"/>
    <w:rsid w:val="000D5F98"/>
    <w:rsid w:val="000D6587"/>
    <w:rsid w:val="000D6648"/>
    <w:rsid w:val="000D665C"/>
    <w:rsid w:val="000D69F0"/>
    <w:rsid w:val="000D6A33"/>
    <w:rsid w:val="000D6DCB"/>
    <w:rsid w:val="000D7162"/>
    <w:rsid w:val="000D74AF"/>
    <w:rsid w:val="000D77D0"/>
    <w:rsid w:val="000D7824"/>
    <w:rsid w:val="000D7A6A"/>
    <w:rsid w:val="000E045E"/>
    <w:rsid w:val="000E0481"/>
    <w:rsid w:val="000E0BE0"/>
    <w:rsid w:val="000E1126"/>
    <w:rsid w:val="000E1454"/>
    <w:rsid w:val="000E1A7B"/>
    <w:rsid w:val="000E1D79"/>
    <w:rsid w:val="000E1E60"/>
    <w:rsid w:val="000E1E76"/>
    <w:rsid w:val="000E24E6"/>
    <w:rsid w:val="000E2546"/>
    <w:rsid w:val="000E299D"/>
    <w:rsid w:val="000E2A24"/>
    <w:rsid w:val="000E2B54"/>
    <w:rsid w:val="000E2BE6"/>
    <w:rsid w:val="000E301C"/>
    <w:rsid w:val="000E30F0"/>
    <w:rsid w:val="000E349C"/>
    <w:rsid w:val="000E35CD"/>
    <w:rsid w:val="000E36DD"/>
    <w:rsid w:val="000E3954"/>
    <w:rsid w:val="000E3B4B"/>
    <w:rsid w:val="000E3DEC"/>
    <w:rsid w:val="000E3F45"/>
    <w:rsid w:val="000E40FA"/>
    <w:rsid w:val="000E4681"/>
    <w:rsid w:val="000E4816"/>
    <w:rsid w:val="000E492D"/>
    <w:rsid w:val="000E4BA3"/>
    <w:rsid w:val="000E4D9F"/>
    <w:rsid w:val="000E52DD"/>
    <w:rsid w:val="000E5A7A"/>
    <w:rsid w:val="000E5CCF"/>
    <w:rsid w:val="000E5FAD"/>
    <w:rsid w:val="000E619F"/>
    <w:rsid w:val="000E6233"/>
    <w:rsid w:val="000E62D5"/>
    <w:rsid w:val="000E634C"/>
    <w:rsid w:val="000E6484"/>
    <w:rsid w:val="000E6862"/>
    <w:rsid w:val="000E6C15"/>
    <w:rsid w:val="000E6CF0"/>
    <w:rsid w:val="000E71E5"/>
    <w:rsid w:val="000E75B9"/>
    <w:rsid w:val="000E78CA"/>
    <w:rsid w:val="000E7986"/>
    <w:rsid w:val="000F00CA"/>
    <w:rsid w:val="000F0252"/>
    <w:rsid w:val="000F053B"/>
    <w:rsid w:val="000F0549"/>
    <w:rsid w:val="000F058C"/>
    <w:rsid w:val="000F05FD"/>
    <w:rsid w:val="000F087A"/>
    <w:rsid w:val="000F08BA"/>
    <w:rsid w:val="000F0DAF"/>
    <w:rsid w:val="000F0FEF"/>
    <w:rsid w:val="000F1073"/>
    <w:rsid w:val="000F1369"/>
    <w:rsid w:val="000F15C6"/>
    <w:rsid w:val="000F1E96"/>
    <w:rsid w:val="000F1F29"/>
    <w:rsid w:val="000F2008"/>
    <w:rsid w:val="000F221D"/>
    <w:rsid w:val="000F277B"/>
    <w:rsid w:val="000F2B08"/>
    <w:rsid w:val="000F304D"/>
    <w:rsid w:val="000F32E0"/>
    <w:rsid w:val="000F38A4"/>
    <w:rsid w:val="000F39B0"/>
    <w:rsid w:val="000F3DA2"/>
    <w:rsid w:val="000F3E37"/>
    <w:rsid w:val="000F4414"/>
    <w:rsid w:val="000F480B"/>
    <w:rsid w:val="000F494D"/>
    <w:rsid w:val="000F4A4D"/>
    <w:rsid w:val="000F4F61"/>
    <w:rsid w:val="000F4FEB"/>
    <w:rsid w:val="000F518E"/>
    <w:rsid w:val="000F56AD"/>
    <w:rsid w:val="000F5D79"/>
    <w:rsid w:val="000F5E77"/>
    <w:rsid w:val="000F5EE5"/>
    <w:rsid w:val="000F62D5"/>
    <w:rsid w:val="000F6875"/>
    <w:rsid w:val="000F68B2"/>
    <w:rsid w:val="000F6E89"/>
    <w:rsid w:val="000F6F7B"/>
    <w:rsid w:val="000F6F9F"/>
    <w:rsid w:val="000F7553"/>
    <w:rsid w:val="000F755D"/>
    <w:rsid w:val="000F7DE7"/>
    <w:rsid w:val="000F7E40"/>
    <w:rsid w:val="000F7EA8"/>
    <w:rsid w:val="0010027A"/>
    <w:rsid w:val="00100432"/>
    <w:rsid w:val="0010073B"/>
    <w:rsid w:val="001013D1"/>
    <w:rsid w:val="0010166F"/>
    <w:rsid w:val="00101A75"/>
    <w:rsid w:val="00101B0D"/>
    <w:rsid w:val="00102314"/>
    <w:rsid w:val="001024AA"/>
    <w:rsid w:val="00102CC0"/>
    <w:rsid w:val="00102DEB"/>
    <w:rsid w:val="001030E1"/>
    <w:rsid w:val="001032BC"/>
    <w:rsid w:val="001035A0"/>
    <w:rsid w:val="00104405"/>
    <w:rsid w:val="00104C49"/>
    <w:rsid w:val="00104FA4"/>
    <w:rsid w:val="00105205"/>
    <w:rsid w:val="00105243"/>
    <w:rsid w:val="00105383"/>
    <w:rsid w:val="001054F1"/>
    <w:rsid w:val="00105D27"/>
    <w:rsid w:val="001062D3"/>
    <w:rsid w:val="00106646"/>
    <w:rsid w:val="00106703"/>
    <w:rsid w:val="00106816"/>
    <w:rsid w:val="00106A43"/>
    <w:rsid w:val="0010739D"/>
    <w:rsid w:val="001073A9"/>
    <w:rsid w:val="001078C7"/>
    <w:rsid w:val="0010793F"/>
    <w:rsid w:val="001101DA"/>
    <w:rsid w:val="00110209"/>
    <w:rsid w:val="0011033B"/>
    <w:rsid w:val="0011051C"/>
    <w:rsid w:val="00110A29"/>
    <w:rsid w:val="00110C8D"/>
    <w:rsid w:val="00111657"/>
    <w:rsid w:val="00111B4A"/>
    <w:rsid w:val="001122F0"/>
    <w:rsid w:val="0011255B"/>
    <w:rsid w:val="001126B6"/>
    <w:rsid w:val="00112994"/>
    <w:rsid w:val="00112A33"/>
    <w:rsid w:val="00112AFC"/>
    <w:rsid w:val="001130E1"/>
    <w:rsid w:val="001133BF"/>
    <w:rsid w:val="00113599"/>
    <w:rsid w:val="0011364A"/>
    <w:rsid w:val="00113729"/>
    <w:rsid w:val="0011377A"/>
    <w:rsid w:val="00113835"/>
    <w:rsid w:val="00113BB5"/>
    <w:rsid w:val="00113BC2"/>
    <w:rsid w:val="00113EBA"/>
    <w:rsid w:val="0011483E"/>
    <w:rsid w:val="00114B6F"/>
    <w:rsid w:val="00115264"/>
    <w:rsid w:val="00115336"/>
    <w:rsid w:val="00115551"/>
    <w:rsid w:val="00115A30"/>
    <w:rsid w:val="00115D42"/>
    <w:rsid w:val="00115F60"/>
    <w:rsid w:val="00116410"/>
    <w:rsid w:val="0011649B"/>
    <w:rsid w:val="00116835"/>
    <w:rsid w:val="00116857"/>
    <w:rsid w:val="00116BD6"/>
    <w:rsid w:val="001172F1"/>
    <w:rsid w:val="001172F4"/>
    <w:rsid w:val="00120302"/>
    <w:rsid w:val="0012067F"/>
    <w:rsid w:val="00120855"/>
    <w:rsid w:val="00120865"/>
    <w:rsid w:val="00120BD4"/>
    <w:rsid w:val="00120FE9"/>
    <w:rsid w:val="001215AA"/>
    <w:rsid w:val="00121824"/>
    <w:rsid w:val="00121A42"/>
    <w:rsid w:val="001221DA"/>
    <w:rsid w:val="001221E3"/>
    <w:rsid w:val="00122455"/>
    <w:rsid w:val="0012271D"/>
    <w:rsid w:val="0012293B"/>
    <w:rsid w:val="0012297F"/>
    <w:rsid w:val="00122A37"/>
    <w:rsid w:val="00122B79"/>
    <w:rsid w:val="00122E3F"/>
    <w:rsid w:val="00122ED2"/>
    <w:rsid w:val="001232C0"/>
    <w:rsid w:val="00123591"/>
    <w:rsid w:val="001239E5"/>
    <w:rsid w:val="00123BA8"/>
    <w:rsid w:val="00123DCF"/>
    <w:rsid w:val="00124003"/>
    <w:rsid w:val="001241E8"/>
    <w:rsid w:val="00124544"/>
    <w:rsid w:val="001245F9"/>
    <w:rsid w:val="0012478F"/>
    <w:rsid w:val="001247C5"/>
    <w:rsid w:val="0012493C"/>
    <w:rsid w:val="00124B63"/>
    <w:rsid w:val="00124C39"/>
    <w:rsid w:val="00125390"/>
    <w:rsid w:val="00125BFC"/>
    <w:rsid w:val="00125E70"/>
    <w:rsid w:val="001264F0"/>
    <w:rsid w:val="00126688"/>
    <w:rsid w:val="00126B41"/>
    <w:rsid w:val="00126F95"/>
    <w:rsid w:val="00127007"/>
    <w:rsid w:val="00127115"/>
    <w:rsid w:val="001276A3"/>
    <w:rsid w:val="00127C29"/>
    <w:rsid w:val="00127E2A"/>
    <w:rsid w:val="0013031A"/>
    <w:rsid w:val="00130387"/>
    <w:rsid w:val="00130490"/>
    <w:rsid w:val="00130A3B"/>
    <w:rsid w:val="00130B66"/>
    <w:rsid w:val="00130D99"/>
    <w:rsid w:val="0013163C"/>
    <w:rsid w:val="00131C07"/>
    <w:rsid w:val="00131CB1"/>
    <w:rsid w:val="00131EDC"/>
    <w:rsid w:val="00132148"/>
    <w:rsid w:val="0013270B"/>
    <w:rsid w:val="0013272C"/>
    <w:rsid w:val="001327F7"/>
    <w:rsid w:val="00132879"/>
    <w:rsid w:val="001328A3"/>
    <w:rsid w:val="001329A6"/>
    <w:rsid w:val="00132E4C"/>
    <w:rsid w:val="00132E89"/>
    <w:rsid w:val="00133291"/>
    <w:rsid w:val="0013332F"/>
    <w:rsid w:val="00133342"/>
    <w:rsid w:val="001338A7"/>
    <w:rsid w:val="00133B5E"/>
    <w:rsid w:val="00133FB7"/>
    <w:rsid w:val="001341BD"/>
    <w:rsid w:val="001347FD"/>
    <w:rsid w:val="00134C64"/>
    <w:rsid w:val="00134C7F"/>
    <w:rsid w:val="00134D26"/>
    <w:rsid w:val="00134D9A"/>
    <w:rsid w:val="001351E7"/>
    <w:rsid w:val="00135540"/>
    <w:rsid w:val="00135746"/>
    <w:rsid w:val="00135FA6"/>
    <w:rsid w:val="0013602D"/>
    <w:rsid w:val="0013627E"/>
    <w:rsid w:val="001367DC"/>
    <w:rsid w:val="00136E42"/>
    <w:rsid w:val="00137453"/>
    <w:rsid w:val="00137477"/>
    <w:rsid w:val="0013751C"/>
    <w:rsid w:val="00137BA3"/>
    <w:rsid w:val="0014008B"/>
    <w:rsid w:val="0014016E"/>
    <w:rsid w:val="001402FE"/>
    <w:rsid w:val="001403F1"/>
    <w:rsid w:val="00140AB5"/>
    <w:rsid w:val="00140DF3"/>
    <w:rsid w:val="001411F6"/>
    <w:rsid w:val="00141587"/>
    <w:rsid w:val="00141AC2"/>
    <w:rsid w:val="0014206B"/>
    <w:rsid w:val="001420A4"/>
    <w:rsid w:val="0014215C"/>
    <w:rsid w:val="001421F8"/>
    <w:rsid w:val="00142756"/>
    <w:rsid w:val="00142954"/>
    <w:rsid w:val="00142C36"/>
    <w:rsid w:val="00142F3F"/>
    <w:rsid w:val="001431FE"/>
    <w:rsid w:val="001434AE"/>
    <w:rsid w:val="00143B8F"/>
    <w:rsid w:val="00143DB1"/>
    <w:rsid w:val="00143F57"/>
    <w:rsid w:val="00143FB4"/>
    <w:rsid w:val="0014414A"/>
    <w:rsid w:val="0014476E"/>
    <w:rsid w:val="00144B65"/>
    <w:rsid w:val="00144B95"/>
    <w:rsid w:val="001450E0"/>
    <w:rsid w:val="00145153"/>
    <w:rsid w:val="00145450"/>
    <w:rsid w:val="0014591B"/>
    <w:rsid w:val="00145932"/>
    <w:rsid w:val="001466FE"/>
    <w:rsid w:val="00146DDB"/>
    <w:rsid w:val="001476D5"/>
    <w:rsid w:val="001477E5"/>
    <w:rsid w:val="001478A7"/>
    <w:rsid w:val="00147EB7"/>
    <w:rsid w:val="00150648"/>
    <w:rsid w:val="0015080C"/>
    <w:rsid w:val="00150EC2"/>
    <w:rsid w:val="001510A3"/>
    <w:rsid w:val="00151CFA"/>
    <w:rsid w:val="00152087"/>
    <w:rsid w:val="0015232F"/>
    <w:rsid w:val="00152400"/>
    <w:rsid w:val="0015259F"/>
    <w:rsid w:val="00153032"/>
    <w:rsid w:val="00153390"/>
    <w:rsid w:val="001533B4"/>
    <w:rsid w:val="001533B8"/>
    <w:rsid w:val="001537F7"/>
    <w:rsid w:val="00153BC5"/>
    <w:rsid w:val="00153EC6"/>
    <w:rsid w:val="00154137"/>
    <w:rsid w:val="00154168"/>
    <w:rsid w:val="00154420"/>
    <w:rsid w:val="001545AD"/>
    <w:rsid w:val="00155395"/>
    <w:rsid w:val="0015548F"/>
    <w:rsid w:val="00155619"/>
    <w:rsid w:val="00155646"/>
    <w:rsid w:val="001558EF"/>
    <w:rsid w:val="00156072"/>
    <w:rsid w:val="001568C3"/>
    <w:rsid w:val="00156C20"/>
    <w:rsid w:val="0015706A"/>
    <w:rsid w:val="00157089"/>
    <w:rsid w:val="00157327"/>
    <w:rsid w:val="001573CC"/>
    <w:rsid w:val="00157AA6"/>
    <w:rsid w:val="00157D3D"/>
    <w:rsid w:val="00160508"/>
    <w:rsid w:val="00160AA7"/>
    <w:rsid w:val="00160C91"/>
    <w:rsid w:val="00160DC3"/>
    <w:rsid w:val="00160DD1"/>
    <w:rsid w:val="0016165E"/>
    <w:rsid w:val="001617C2"/>
    <w:rsid w:val="001618AE"/>
    <w:rsid w:val="00161ABA"/>
    <w:rsid w:val="00161B13"/>
    <w:rsid w:val="00161D9A"/>
    <w:rsid w:val="00161DF8"/>
    <w:rsid w:val="00162363"/>
    <w:rsid w:val="00162B05"/>
    <w:rsid w:val="00162FE5"/>
    <w:rsid w:val="00163068"/>
    <w:rsid w:val="00163B59"/>
    <w:rsid w:val="001642A4"/>
    <w:rsid w:val="00164728"/>
    <w:rsid w:val="00164D4B"/>
    <w:rsid w:val="00164D9E"/>
    <w:rsid w:val="00164DD3"/>
    <w:rsid w:val="00165847"/>
    <w:rsid w:val="00165C7A"/>
    <w:rsid w:val="00165F12"/>
    <w:rsid w:val="0016668D"/>
    <w:rsid w:val="00166B9F"/>
    <w:rsid w:val="001670BD"/>
    <w:rsid w:val="001672E2"/>
    <w:rsid w:val="00167354"/>
    <w:rsid w:val="00167A6A"/>
    <w:rsid w:val="0017015A"/>
    <w:rsid w:val="00170282"/>
    <w:rsid w:val="001704BB"/>
    <w:rsid w:val="0017070B"/>
    <w:rsid w:val="00170840"/>
    <w:rsid w:val="00170BA9"/>
    <w:rsid w:val="00170C06"/>
    <w:rsid w:val="00170CDE"/>
    <w:rsid w:val="00170DE0"/>
    <w:rsid w:val="00170DE8"/>
    <w:rsid w:val="0017127C"/>
    <w:rsid w:val="00171960"/>
    <w:rsid w:val="00171B4E"/>
    <w:rsid w:val="00171F24"/>
    <w:rsid w:val="00172B3F"/>
    <w:rsid w:val="00172C66"/>
    <w:rsid w:val="00172C8D"/>
    <w:rsid w:val="00172D50"/>
    <w:rsid w:val="00173151"/>
    <w:rsid w:val="0017357F"/>
    <w:rsid w:val="00173F54"/>
    <w:rsid w:val="0017406C"/>
    <w:rsid w:val="00174186"/>
    <w:rsid w:val="00174309"/>
    <w:rsid w:val="00174830"/>
    <w:rsid w:val="00174D7A"/>
    <w:rsid w:val="00174F78"/>
    <w:rsid w:val="001751D8"/>
    <w:rsid w:val="0017567F"/>
    <w:rsid w:val="001763B0"/>
    <w:rsid w:val="0017655F"/>
    <w:rsid w:val="00176912"/>
    <w:rsid w:val="001774B2"/>
    <w:rsid w:val="00177A39"/>
    <w:rsid w:val="00180348"/>
    <w:rsid w:val="00180390"/>
    <w:rsid w:val="00180490"/>
    <w:rsid w:val="001807CF"/>
    <w:rsid w:val="00180B63"/>
    <w:rsid w:val="0018128E"/>
    <w:rsid w:val="001813EB"/>
    <w:rsid w:val="0018189E"/>
    <w:rsid w:val="00181E95"/>
    <w:rsid w:val="00182AD8"/>
    <w:rsid w:val="00182B55"/>
    <w:rsid w:val="00182D6E"/>
    <w:rsid w:val="00182E02"/>
    <w:rsid w:val="00182F6D"/>
    <w:rsid w:val="001835D6"/>
    <w:rsid w:val="001836D7"/>
    <w:rsid w:val="001839C4"/>
    <w:rsid w:val="00183C40"/>
    <w:rsid w:val="00183DE7"/>
    <w:rsid w:val="00183F18"/>
    <w:rsid w:val="001840E3"/>
    <w:rsid w:val="001841DC"/>
    <w:rsid w:val="00184DB0"/>
    <w:rsid w:val="00184E87"/>
    <w:rsid w:val="00184F0C"/>
    <w:rsid w:val="00185436"/>
    <w:rsid w:val="001858FA"/>
    <w:rsid w:val="00186006"/>
    <w:rsid w:val="00186521"/>
    <w:rsid w:val="00186BCC"/>
    <w:rsid w:val="00186D54"/>
    <w:rsid w:val="00187023"/>
    <w:rsid w:val="001871B4"/>
    <w:rsid w:val="00187616"/>
    <w:rsid w:val="0018798B"/>
    <w:rsid w:val="00187AF1"/>
    <w:rsid w:val="00187E9F"/>
    <w:rsid w:val="00187F5D"/>
    <w:rsid w:val="00187FB6"/>
    <w:rsid w:val="0019001E"/>
    <w:rsid w:val="001901B6"/>
    <w:rsid w:val="001907EB"/>
    <w:rsid w:val="00190D3B"/>
    <w:rsid w:val="00191067"/>
    <w:rsid w:val="00191396"/>
    <w:rsid w:val="00191615"/>
    <w:rsid w:val="00191BA9"/>
    <w:rsid w:val="00191E13"/>
    <w:rsid w:val="00191F89"/>
    <w:rsid w:val="00192013"/>
    <w:rsid w:val="0019228C"/>
    <w:rsid w:val="00192416"/>
    <w:rsid w:val="001924D5"/>
    <w:rsid w:val="001927AD"/>
    <w:rsid w:val="00192AEB"/>
    <w:rsid w:val="001933D4"/>
    <w:rsid w:val="00193D31"/>
    <w:rsid w:val="00193EA4"/>
    <w:rsid w:val="00193EC0"/>
    <w:rsid w:val="00193F58"/>
    <w:rsid w:val="0019435F"/>
    <w:rsid w:val="001948E0"/>
    <w:rsid w:val="001951CB"/>
    <w:rsid w:val="00195438"/>
    <w:rsid w:val="001957F4"/>
    <w:rsid w:val="001958C0"/>
    <w:rsid w:val="00195E83"/>
    <w:rsid w:val="0019623E"/>
    <w:rsid w:val="001967A0"/>
    <w:rsid w:val="00196970"/>
    <w:rsid w:val="00196AEF"/>
    <w:rsid w:val="00196C7F"/>
    <w:rsid w:val="00197370"/>
    <w:rsid w:val="00197390"/>
    <w:rsid w:val="00197465"/>
    <w:rsid w:val="001976DD"/>
    <w:rsid w:val="001977D3"/>
    <w:rsid w:val="00197857"/>
    <w:rsid w:val="001979C3"/>
    <w:rsid w:val="001A02E1"/>
    <w:rsid w:val="001A0BB0"/>
    <w:rsid w:val="001A0D25"/>
    <w:rsid w:val="001A10D8"/>
    <w:rsid w:val="001A1E5A"/>
    <w:rsid w:val="001A2168"/>
    <w:rsid w:val="001A260C"/>
    <w:rsid w:val="001A2965"/>
    <w:rsid w:val="001A2BC7"/>
    <w:rsid w:val="001A2DC6"/>
    <w:rsid w:val="001A301E"/>
    <w:rsid w:val="001A3943"/>
    <w:rsid w:val="001A4150"/>
    <w:rsid w:val="001A4218"/>
    <w:rsid w:val="001A4388"/>
    <w:rsid w:val="001A4713"/>
    <w:rsid w:val="001A4A41"/>
    <w:rsid w:val="001A4D90"/>
    <w:rsid w:val="001A4EFE"/>
    <w:rsid w:val="001A5044"/>
    <w:rsid w:val="001A50F0"/>
    <w:rsid w:val="001A5535"/>
    <w:rsid w:val="001A5546"/>
    <w:rsid w:val="001A5656"/>
    <w:rsid w:val="001A5798"/>
    <w:rsid w:val="001A5A29"/>
    <w:rsid w:val="001A5ADF"/>
    <w:rsid w:val="001A5EBC"/>
    <w:rsid w:val="001A5F1C"/>
    <w:rsid w:val="001A602C"/>
    <w:rsid w:val="001A6915"/>
    <w:rsid w:val="001A6AC3"/>
    <w:rsid w:val="001A6CCF"/>
    <w:rsid w:val="001A6D3A"/>
    <w:rsid w:val="001A6F90"/>
    <w:rsid w:val="001A6FE3"/>
    <w:rsid w:val="001A7154"/>
    <w:rsid w:val="001A75AD"/>
    <w:rsid w:val="001A7664"/>
    <w:rsid w:val="001A7868"/>
    <w:rsid w:val="001A7C1C"/>
    <w:rsid w:val="001B00CF"/>
    <w:rsid w:val="001B0285"/>
    <w:rsid w:val="001B05F0"/>
    <w:rsid w:val="001B0A35"/>
    <w:rsid w:val="001B0A4A"/>
    <w:rsid w:val="001B0B26"/>
    <w:rsid w:val="001B0ED7"/>
    <w:rsid w:val="001B1474"/>
    <w:rsid w:val="001B177F"/>
    <w:rsid w:val="001B1AC1"/>
    <w:rsid w:val="001B1E25"/>
    <w:rsid w:val="001B2296"/>
    <w:rsid w:val="001B230B"/>
    <w:rsid w:val="001B2C14"/>
    <w:rsid w:val="001B2C39"/>
    <w:rsid w:val="001B3346"/>
    <w:rsid w:val="001B34A3"/>
    <w:rsid w:val="001B3C36"/>
    <w:rsid w:val="001B3CD7"/>
    <w:rsid w:val="001B3D3C"/>
    <w:rsid w:val="001B3F6B"/>
    <w:rsid w:val="001B4106"/>
    <w:rsid w:val="001B4697"/>
    <w:rsid w:val="001B49FF"/>
    <w:rsid w:val="001B4EA2"/>
    <w:rsid w:val="001B5AAF"/>
    <w:rsid w:val="001B6576"/>
    <w:rsid w:val="001B68F1"/>
    <w:rsid w:val="001B6EBE"/>
    <w:rsid w:val="001B7066"/>
    <w:rsid w:val="001B7476"/>
    <w:rsid w:val="001B75C7"/>
    <w:rsid w:val="001B7A3E"/>
    <w:rsid w:val="001B7C6F"/>
    <w:rsid w:val="001B7D70"/>
    <w:rsid w:val="001B7F35"/>
    <w:rsid w:val="001C0338"/>
    <w:rsid w:val="001C07F6"/>
    <w:rsid w:val="001C0CCD"/>
    <w:rsid w:val="001C11EF"/>
    <w:rsid w:val="001C1200"/>
    <w:rsid w:val="001C1FF6"/>
    <w:rsid w:val="001C22F1"/>
    <w:rsid w:val="001C265B"/>
    <w:rsid w:val="001C2A4A"/>
    <w:rsid w:val="001C2E29"/>
    <w:rsid w:val="001C2FED"/>
    <w:rsid w:val="001C3761"/>
    <w:rsid w:val="001C395F"/>
    <w:rsid w:val="001C3E0F"/>
    <w:rsid w:val="001C436B"/>
    <w:rsid w:val="001C4619"/>
    <w:rsid w:val="001C4BFE"/>
    <w:rsid w:val="001C4E6F"/>
    <w:rsid w:val="001C4FB5"/>
    <w:rsid w:val="001C510D"/>
    <w:rsid w:val="001C54D3"/>
    <w:rsid w:val="001C5638"/>
    <w:rsid w:val="001C57DC"/>
    <w:rsid w:val="001C5AEB"/>
    <w:rsid w:val="001C5D5F"/>
    <w:rsid w:val="001C62D1"/>
    <w:rsid w:val="001C6459"/>
    <w:rsid w:val="001C6732"/>
    <w:rsid w:val="001C67DD"/>
    <w:rsid w:val="001C684B"/>
    <w:rsid w:val="001C6F19"/>
    <w:rsid w:val="001C7313"/>
    <w:rsid w:val="001C75F0"/>
    <w:rsid w:val="001C770C"/>
    <w:rsid w:val="001C7748"/>
    <w:rsid w:val="001C7C63"/>
    <w:rsid w:val="001C7D27"/>
    <w:rsid w:val="001D0018"/>
    <w:rsid w:val="001D00BA"/>
    <w:rsid w:val="001D0224"/>
    <w:rsid w:val="001D02B3"/>
    <w:rsid w:val="001D02C4"/>
    <w:rsid w:val="001D0302"/>
    <w:rsid w:val="001D04B0"/>
    <w:rsid w:val="001D07F3"/>
    <w:rsid w:val="001D0A18"/>
    <w:rsid w:val="001D105A"/>
    <w:rsid w:val="001D1105"/>
    <w:rsid w:val="001D1297"/>
    <w:rsid w:val="001D1448"/>
    <w:rsid w:val="001D25A2"/>
    <w:rsid w:val="001D270F"/>
    <w:rsid w:val="001D27C3"/>
    <w:rsid w:val="001D2A09"/>
    <w:rsid w:val="001D2A67"/>
    <w:rsid w:val="001D2B5D"/>
    <w:rsid w:val="001D2FC7"/>
    <w:rsid w:val="001D30C7"/>
    <w:rsid w:val="001D33D8"/>
    <w:rsid w:val="001D349D"/>
    <w:rsid w:val="001D36C1"/>
    <w:rsid w:val="001D382C"/>
    <w:rsid w:val="001D3937"/>
    <w:rsid w:val="001D3977"/>
    <w:rsid w:val="001D3E59"/>
    <w:rsid w:val="001D45B8"/>
    <w:rsid w:val="001D45D0"/>
    <w:rsid w:val="001D4848"/>
    <w:rsid w:val="001D49B8"/>
    <w:rsid w:val="001D4B41"/>
    <w:rsid w:val="001D4F1E"/>
    <w:rsid w:val="001D57DA"/>
    <w:rsid w:val="001D5A95"/>
    <w:rsid w:val="001D5CD4"/>
    <w:rsid w:val="001D6268"/>
    <w:rsid w:val="001D643F"/>
    <w:rsid w:val="001D692D"/>
    <w:rsid w:val="001D6B1C"/>
    <w:rsid w:val="001D6BF6"/>
    <w:rsid w:val="001D6CA1"/>
    <w:rsid w:val="001D6DCD"/>
    <w:rsid w:val="001D6FCA"/>
    <w:rsid w:val="001D72BC"/>
    <w:rsid w:val="001D73EE"/>
    <w:rsid w:val="001D7AC7"/>
    <w:rsid w:val="001D7E42"/>
    <w:rsid w:val="001E09A8"/>
    <w:rsid w:val="001E0B36"/>
    <w:rsid w:val="001E1039"/>
    <w:rsid w:val="001E1918"/>
    <w:rsid w:val="001E1A5F"/>
    <w:rsid w:val="001E1DF0"/>
    <w:rsid w:val="001E22CA"/>
    <w:rsid w:val="001E247D"/>
    <w:rsid w:val="001E25CA"/>
    <w:rsid w:val="001E2BBD"/>
    <w:rsid w:val="001E3223"/>
    <w:rsid w:val="001E3753"/>
    <w:rsid w:val="001E42EA"/>
    <w:rsid w:val="001E4A0D"/>
    <w:rsid w:val="001E4E5C"/>
    <w:rsid w:val="001E4E67"/>
    <w:rsid w:val="001E55CF"/>
    <w:rsid w:val="001E57C2"/>
    <w:rsid w:val="001E5881"/>
    <w:rsid w:val="001E598E"/>
    <w:rsid w:val="001E5C92"/>
    <w:rsid w:val="001E5DFB"/>
    <w:rsid w:val="001E5E31"/>
    <w:rsid w:val="001E5F6E"/>
    <w:rsid w:val="001E6063"/>
    <w:rsid w:val="001E60F1"/>
    <w:rsid w:val="001E6308"/>
    <w:rsid w:val="001E6423"/>
    <w:rsid w:val="001E6881"/>
    <w:rsid w:val="001E689A"/>
    <w:rsid w:val="001E6F80"/>
    <w:rsid w:val="001E7331"/>
    <w:rsid w:val="001E7E12"/>
    <w:rsid w:val="001F05D8"/>
    <w:rsid w:val="001F0A4F"/>
    <w:rsid w:val="001F0EC2"/>
    <w:rsid w:val="001F1336"/>
    <w:rsid w:val="001F1630"/>
    <w:rsid w:val="001F171D"/>
    <w:rsid w:val="001F1759"/>
    <w:rsid w:val="001F1897"/>
    <w:rsid w:val="001F1E62"/>
    <w:rsid w:val="001F1EBE"/>
    <w:rsid w:val="001F1FFF"/>
    <w:rsid w:val="001F23E0"/>
    <w:rsid w:val="001F25EA"/>
    <w:rsid w:val="001F27CA"/>
    <w:rsid w:val="001F2877"/>
    <w:rsid w:val="001F2D30"/>
    <w:rsid w:val="001F2E4A"/>
    <w:rsid w:val="001F3049"/>
    <w:rsid w:val="001F3121"/>
    <w:rsid w:val="001F320C"/>
    <w:rsid w:val="001F34E7"/>
    <w:rsid w:val="001F3739"/>
    <w:rsid w:val="001F3D60"/>
    <w:rsid w:val="001F403C"/>
    <w:rsid w:val="001F46E7"/>
    <w:rsid w:val="001F46F8"/>
    <w:rsid w:val="001F47D0"/>
    <w:rsid w:val="001F4F9A"/>
    <w:rsid w:val="001F50E1"/>
    <w:rsid w:val="001F515E"/>
    <w:rsid w:val="001F554F"/>
    <w:rsid w:val="001F59A4"/>
    <w:rsid w:val="001F5BE0"/>
    <w:rsid w:val="001F5EE3"/>
    <w:rsid w:val="001F5FB7"/>
    <w:rsid w:val="001F696B"/>
    <w:rsid w:val="001F6C61"/>
    <w:rsid w:val="001F6F35"/>
    <w:rsid w:val="001F701A"/>
    <w:rsid w:val="001F72A8"/>
    <w:rsid w:val="001F7856"/>
    <w:rsid w:val="001F7A7E"/>
    <w:rsid w:val="001F7F40"/>
    <w:rsid w:val="002001D0"/>
    <w:rsid w:val="0020034B"/>
    <w:rsid w:val="00200B50"/>
    <w:rsid w:val="00200DEF"/>
    <w:rsid w:val="00201134"/>
    <w:rsid w:val="00201279"/>
    <w:rsid w:val="00201555"/>
    <w:rsid w:val="002019A0"/>
    <w:rsid w:val="0020221A"/>
    <w:rsid w:val="00202587"/>
    <w:rsid w:val="00202A3D"/>
    <w:rsid w:val="00202E7C"/>
    <w:rsid w:val="002033F0"/>
    <w:rsid w:val="002035D4"/>
    <w:rsid w:val="00203F61"/>
    <w:rsid w:val="00204069"/>
    <w:rsid w:val="00204116"/>
    <w:rsid w:val="00205129"/>
    <w:rsid w:val="00205267"/>
    <w:rsid w:val="002054D4"/>
    <w:rsid w:val="002054DB"/>
    <w:rsid w:val="002058BF"/>
    <w:rsid w:val="00205931"/>
    <w:rsid w:val="00205E6A"/>
    <w:rsid w:val="002062DD"/>
    <w:rsid w:val="00206620"/>
    <w:rsid w:val="002067FE"/>
    <w:rsid w:val="002068BE"/>
    <w:rsid w:val="002073AF"/>
    <w:rsid w:val="00207667"/>
    <w:rsid w:val="002076A9"/>
    <w:rsid w:val="002079F6"/>
    <w:rsid w:val="00207CB4"/>
    <w:rsid w:val="00207DAC"/>
    <w:rsid w:val="00207DB9"/>
    <w:rsid w:val="0021012A"/>
    <w:rsid w:val="00210343"/>
    <w:rsid w:val="00210775"/>
    <w:rsid w:val="002107DC"/>
    <w:rsid w:val="0021087F"/>
    <w:rsid w:val="00210EE3"/>
    <w:rsid w:val="00210F29"/>
    <w:rsid w:val="00211044"/>
    <w:rsid w:val="002117DB"/>
    <w:rsid w:val="00211D55"/>
    <w:rsid w:val="002123DE"/>
    <w:rsid w:val="00212B6B"/>
    <w:rsid w:val="00212B94"/>
    <w:rsid w:val="002133F2"/>
    <w:rsid w:val="00213F5D"/>
    <w:rsid w:val="00214003"/>
    <w:rsid w:val="002140AB"/>
    <w:rsid w:val="00214593"/>
    <w:rsid w:val="002145F8"/>
    <w:rsid w:val="0021462D"/>
    <w:rsid w:val="002147BB"/>
    <w:rsid w:val="002148D8"/>
    <w:rsid w:val="00214914"/>
    <w:rsid w:val="00214981"/>
    <w:rsid w:val="00214A7A"/>
    <w:rsid w:val="00214AE3"/>
    <w:rsid w:val="002151DC"/>
    <w:rsid w:val="00215296"/>
    <w:rsid w:val="00216206"/>
    <w:rsid w:val="00216310"/>
    <w:rsid w:val="00216791"/>
    <w:rsid w:val="00216AD4"/>
    <w:rsid w:val="00217F85"/>
    <w:rsid w:val="00220247"/>
    <w:rsid w:val="00220386"/>
    <w:rsid w:val="002204BB"/>
    <w:rsid w:val="00220991"/>
    <w:rsid w:val="0022134D"/>
    <w:rsid w:val="00221837"/>
    <w:rsid w:val="0022191D"/>
    <w:rsid w:val="00221AD1"/>
    <w:rsid w:val="00221CC2"/>
    <w:rsid w:val="00221CD9"/>
    <w:rsid w:val="00221EB9"/>
    <w:rsid w:val="00222382"/>
    <w:rsid w:val="002224AC"/>
    <w:rsid w:val="002227A0"/>
    <w:rsid w:val="00222921"/>
    <w:rsid w:val="00222981"/>
    <w:rsid w:val="00223160"/>
    <w:rsid w:val="0022368C"/>
    <w:rsid w:val="00223C4D"/>
    <w:rsid w:val="002243B5"/>
    <w:rsid w:val="0022467C"/>
    <w:rsid w:val="0022483A"/>
    <w:rsid w:val="00224D04"/>
    <w:rsid w:val="0022517C"/>
    <w:rsid w:val="002252A2"/>
    <w:rsid w:val="00225339"/>
    <w:rsid w:val="00225A59"/>
    <w:rsid w:val="0022668B"/>
    <w:rsid w:val="00226EBC"/>
    <w:rsid w:val="00226F62"/>
    <w:rsid w:val="00226FEA"/>
    <w:rsid w:val="0022728B"/>
    <w:rsid w:val="00227430"/>
    <w:rsid w:val="00227695"/>
    <w:rsid w:val="00227901"/>
    <w:rsid w:val="00227E4B"/>
    <w:rsid w:val="00227F4E"/>
    <w:rsid w:val="002300F6"/>
    <w:rsid w:val="0023026C"/>
    <w:rsid w:val="00230286"/>
    <w:rsid w:val="002305DC"/>
    <w:rsid w:val="00230B41"/>
    <w:rsid w:val="00230C4A"/>
    <w:rsid w:val="0023106F"/>
    <w:rsid w:val="002312C2"/>
    <w:rsid w:val="002312D9"/>
    <w:rsid w:val="002315BB"/>
    <w:rsid w:val="002316BA"/>
    <w:rsid w:val="002316BB"/>
    <w:rsid w:val="002317D1"/>
    <w:rsid w:val="00232303"/>
    <w:rsid w:val="00232636"/>
    <w:rsid w:val="00232C96"/>
    <w:rsid w:val="00232DB5"/>
    <w:rsid w:val="00232EED"/>
    <w:rsid w:val="00233ED4"/>
    <w:rsid w:val="00234751"/>
    <w:rsid w:val="0023493B"/>
    <w:rsid w:val="00234C5A"/>
    <w:rsid w:val="00234CC4"/>
    <w:rsid w:val="00234D0A"/>
    <w:rsid w:val="0023549E"/>
    <w:rsid w:val="0023559C"/>
    <w:rsid w:val="00235A5A"/>
    <w:rsid w:val="00235BAF"/>
    <w:rsid w:val="002360E5"/>
    <w:rsid w:val="00236646"/>
    <w:rsid w:val="00236A63"/>
    <w:rsid w:val="00236D15"/>
    <w:rsid w:val="00236FF6"/>
    <w:rsid w:val="002370BA"/>
    <w:rsid w:val="002370C2"/>
    <w:rsid w:val="00237B19"/>
    <w:rsid w:val="00237BAC"/>
    <w:rsid w:val="00237DE5"/>
    <w:rsid w:val="00240408"/>
    <w:rsid w:val="0024073F"/>
    <w:rsid w:val="00240BDD"/>
    <w:rsid w:val="00240F1D"/>
    <w:rsid w:val="002415AB"/>
    <w:rsid w:val="002415E2"/>
    <w:rsid w:val="00241BAD"/>
    <w:rsid w:val="00241D68"/>
    <w:rsid w:val="00242283"/>
    <w:rsid w:val="0024232F"/>
    <w:rsid w:val="002423B0"/>
    <w:rsid w:val="002427C7"/>
    <w:rsid w:val="00242840"/>
    <w:rsid w:val="0024296A"/>
    <w:rsid w:val="002435BB"/>
    <w:rsid w:val="002436A8"/>
    <w:rsid w:val="0024375A"/>
    <w:rsid w:val="002438D9"/>
    <w:rsid w:val="002438E2"/>
    <w:rsid w:val="002439EC"/>
    <w:rsid w:val="00243B54"/>
    <w:rsid w:val="00243CD2"/>
    <w:rsid w:val="00243EF4"/>
    <w:rsid w:val="002440B9"/>
    <w:rsid w:val="002442D9"/>
    <w:rsid w:val="0024430B"/>
    <w:rsid w:val="00244CB3"/>
    <w:rsid w:val="002459B9"/>
    <w:rsid w:val="00245BD7"/>
    <w:rsid w:val="00245F32"/>
    <w:rsid w:val="002467A1"/>
    <w:rsid w:val="00246BB8"/>
    <w:rsid w:val="00246EDA"/>
    <w:rsid w:val="00246EF5"/>
    <w:rsid w:val="002474EB"/>
    <w:rsid w:val="00247925"/>
    <w:rsid w:val="00247CD4"/>
    <w:rsid w:val="00247E2C"/>
    <w:rsid w:val="00247EA5"/>
    <w:rsid w:val="00250740"/>
    <w:rsid w:val="00250823"/>
    <w:rsid w:val="00250945"/>
    <w:rsid w:val="00250CC5"/>
    <w:rsid w:val="00250D2B"/>
    <w:rsid w:val="0025119B"/>
    <w:rsid w:val="002511E0"/>
    <w:rsid w:val="00251241"/>
    <w:rsid w:val="00251599"/>
    <w:rsid w:val="00251F29"/>
    <w:rsid w:val="002523AA"/>
    <w:rsid w:val="0025254F"/>
    <w:rsid w:val="002526CF"/>
    <w:rsid w:val="00252BEE"/>
    <w:rsid w:val="00253932"/>
    <w:rsid w:val="00253981"/>
    <w:rsid w:val="00253DD3"/>
    <w:rsid w:val="00253FBE"/>
    <w:rsid w:val="002542D2"/>
    <w:rsid w:val="00254423"/>
    <w:rsid w:val="002547F1"/>
    <w:rsid w:val="00254AC4"/>
    <w:rsid w:val="002552B8"/>
    <w:rsid w:val="00255D02"/>
    <w:rsid w:val="00255E2F"/>
    <w:rsid w:val="002562F2"/>
    <w:rsid w:val="002563A8"/>
    <w:rsid w:val="00256605"/>
    <w:rsid w:val="00256805"/>
    <w:rsid w:val="00256ABE"/>
    <w:rsid w:val="00256DF7"/>
    <w:rsid w:val="002571A2"/>
    <w:rsid w:val="002574C7"/>
    <w:rsid w:val="002574FF"/>
    <w:rsid w:val="00257665"/>
    <w:rsid w:val="00257809"/>
    <w:rsid w:val="00257DDC"/>
    <w:rsid w:val="0026012D"/>
    <w:rsid w:val="0026016D"/>
    <w:rsid w:val="00260AC2"/>
    <w:rsid w:val="00260BF0"/>
    <w:rsid w:val="00260D15"/>
    <w:rsid w:val="00260D70"/>
    <w:rsid w:val="00260EFA"/>
    <w:rsid w:val="00261AFE"/>
    <w:rsid w:val="00261D16"/>
    <w:rsid w:val="00262093"/>
    <w:rsid w:val="00262396"/>
    <w:rsid w:val="00262786"/>
    <w:rsid w:val="002627B4"/>
    <w:rsid w:val="002628D7"/>
    <w:rsid w:val="00262B76"/>
    <w:rsid w:val="0026300A"/>
    <w:rsid w:val="002631D1"/>
    <w:rsid w:val="00263273"/>
    <w:rsid w:val="0026336D"/>
    <w:rsid w:val="002638B5"/>
    <w:rsid w:val="00264113"/>
    <w:rsid w:val="002647F8"/>
    <w:rsid w:val="002648F4"/>
    <w:rsid w:val="00265047"/>
    <w:rsid w:val="002651AC"/>
    <w:rsid w:val="00265C2F"/>
    <w:rsid w:val="00265FE7"/>
    <w:rsid w:val="00266161"/>
    <w:rsid w:val="002662CD"/>
    <w:rsid w:val="00266416"/>
    <w:rsid w:val="00266772"/>
    <w:rsid w:val="00266779"/>
    <w:rsid w:val="00267129"/>
    <w:rsid w:val="00267238"/>
    <w:rsid w:val="002673D7"/>
    <w:rsid w:val="002673E1"/>
    <w:rsid w:val="002677E4"/>
    <w:rsid w:val="00267831"/>
    <w:rsid w:val="00267DD1"/>
    <w:rsid w:val="002700DE"/>
    <w:rsid w:val="00270697"/>
    <w:rsid w:val="0027082C"/>
    <w:rsid w:val="0027135D"/>
    <w:rsid w:val="002713AE"/>
    <w:rsid w:val="00271438"/>
    <w:rsid w:val="002718EB"/>
    <w:rsid w:val="00271B45"/>
    <w:rsid w:val="00272421"/>
    <w:rsid w:val="00272473"/>
    <w:rsid w:val="00272DF1"/>
    <w:rsid w:val="0027305F"/>
    <w:rsid w:val="00273067"/>
    <w:rsid w:val="002730C8"/>
    <w:rsid w:val="002733FA"/>
    <w:rsid w:val="00273AD0"/>
    <w:rsid w:val="00273C50"/>
    <w:rsid w:val="00273DA7"/>
    <w:rsid w:val="00273F10"/>
    <w:rsid w:val="002743F6"/>
    <w:rsid w:val="0027465E"/>
    <w:rsid w:val="0027481F"/>
    <w:rsid w:val="00274FAA"/>
    <w:rsid w:val="00274FF9"/>
    <w:rsid w:val="002751EC"/>
    <w:rsid w:val="00275713"/>
    <w:rsid w:val="00275793"/>
    <w:rsid w:val="00275E35"/>
    <w:rsid w:val="002760CF"/>
    <w:rsid w:val="002760F1"/>
    <w:rsid w:val="0027621A"/>
    <w:rsid w:val="0027634E"/>
    <w:rsid w:val="002767A6"/>
    <w:rsid w:val="00276873"/>
    <w:rsid w:val="00276874"/>
    <w:rsid w:val="00276DCC"/>
    <w:rsid w:val="00277456"/>
    <w:rsid w:val="00277471"/>
    <w:rsid w:val="00280241"/>
    <w:rsid w:val="00280375"/>
    <w:rsid w:val="00280427"/>
    <w:rsid w:val="00280811"/>
    <w:rsid w:val="00280C54"/>
    <w:rsid w:val="00280FE4"/>
    <w:rsid w:val="00281795"/>
    <w:rsid w:val="00281891"/>
    <w:rsid w:val="00281ACA"/>
    <w:rsid w:val="00281EAB"/>
    <w:rsid w:val="00281F8B"/>
    <w:rsid w:val="002826B4"/>
    <w:rsid w:val="002826ED"/>
    <w:rsid w:val="002827E6"/>
    <w:rsid w:val="00282996"/>
    <w:rsid w:val="00282C9E"/>
    <w:rsid w:val="0028300B"/>
    <w:rsid w:val="002837AF"/>
    <w:rsid w:val="00283A90"/>
    <w:rsid w:val="00283F27"/>
    <w:rsid w:val="0028415C"/>
    <w:rsid w:val="002845F8"/>
    <w:rsid w:val="00285304"/>
    <w:rsid w:val="002853CC"/>
    <w:rsid w:val="002854A9"/>
    <w:rsid w:val="00285599"/>
    <w:rsid w:val="0028559A"/>
    <w:rsid w:val="00285763"/>
    <w:rsid w:val="002857A6"/>
    <w:rsid w:val="002857CD"/>
    <w:rsid w:val="00285878"/>
    <w:rsid w:val="00285B61"/>
    <w:rsid w:val="00286709"/>
    <w:rsid w:val="00286B5E"/>
    <w:rsid w:val="00286D9F"/>
    <w:rsid w:val="0028782F"/>
    <w:rsid w:val="00287E13"/>
    <w:rsid w:val="00287E79"/>
    <w:rsid w:val="00287FE9"/>
    <w:rsid w:val="00287FEA"/>
    <w:rsid w:val="00290A82"/>
    <w:rsid w:val="00290B8F"/>
    <w:rsid w:val="0029102B"/>
    <w:rsid w:val="00291264"/>
    <w:rsid w:val="002915E1"/>
    <w:rsid w:val="0029188A"/>
    <w:rsid w:val="00291966"/>
    <w:rsid w:val="0029198E"/>
    <w:rsid w:val="002919A2"/>
    <w:rsid w:val="00291BBC"/>
    <w:rsid w:val="00292124"/>
    <w:rsid w:val="00292BD0"/>
    <w:rsid w:val="00292D79"/>
    <w:rsid w:val="002933BE"/>
    <w:rsid w:val="002933CA"/>
    <w:rsid w:val="00293AEB"/>
    <w:rsid w:val="00293BC7"/>
    <w:rsid w:val="00293C95"/>
    <w:rsid w:val="002942D9"/>
    <w:rsid w:val="002945B5"/>
    <w:rsid w:val="002948E0"/>
    <w:rsid w:val="0029497E"/>
    <w:rsid w:val="00294B62"/>
    <w:rsid w:val="00294DC8"/>
    <w:rsid w:val="00294EFA"/>
    <w:rsid w:val="00295004"/>
    <w:rsid w:val="00295578"/>
    <w:rsid w:val="00295A72"/>
    <w:rsid w:val="002968AB"/>
    <w:rsid w:val="00296B1F"/>
    <w:rsid w:val="00296C6D"/>
    <w:rsid w:val="00296D9F"/>
    <w:rsid w:val="002971A9"/>
    <w:rsid w:val="002972E7"/>
    <w:rsid w:val="00297556"/>
    <w:rsid w:val="00297B63"/>
    <w:rsid w:val="00297D28"/>
    <w:rsid w:val="002A0272"/>
    <w:rsid w:val="002A036F"/>
    <w:rsid w:val="002A0840"/>
    <w:rsid w:val="002A0928"/>
    <w:rsid w:val="002A0DBF"/>
    <w:rsid w:val="002A100F"/>
    <w:rsid w:val="002A1926"/>
    <w:rsid w:val="002A2037"/>
    <w:rsid w:val="002A2062"/>
    <w:rsid w:val="002A28DD"/>
    <w:rsid w:val="002A2D2C"/>
    <w:rsid w:val="002A2F22"/>
    <w:rsid w:val="002A2F32"/>
    <w:rsid w:val="002A2F67"/>
    <w:rsid w:val="002A326C"/>
    <w:rsid w:val="002A3479"/>
    <w:rsid w:val="002A37AD"/>
    <w:rsid w:val="002A3CA5"/>
    <w:rsid w:val="002A3D37"/>
    <w:rsid w:val="002A3DD4"/>
    <w:rsid w:val="002A4244"/>
    <w:rsid w:val="002A438E"/>
    <w:rsid w:val="002A4981"/>
    <w:rsid w:val="002A4BBA"/>
    <w:rsid w:val="002A4E32"/>
    <w:rsid w:val="002A55AB"/>
    <w:rsid w:val="002A587C"/>
    <w:rsid w:val="002A5A10"/>
    <w:rsid w:val="002A64A7"/>
    <w:rsid w:val="002A6B4F"/>
    <w:rsid w:val="002A6B7B"/>
    <w:rsid w:val="002A6CFF"/>
    <w:rsid w:val="002A6F2C"/>
    <w:rsid w:val="002A7216"/>
    <w:rsid w:val="002A7231"/>
    <w:rsid w:val="002A7C06"/>
    <w:rsid w:val="002A7E13"/>
    <w:rsid w:val="002B0058"/>
    <w:rsid w:val="002B0A98"/>
    <w:rsid w:val="002B0C3E"/>
    <w:rsid w:val="002B0E33"/>
    <w:rsid w:val="002B1057"/>
    <w:rsid w:val="002B11A5"/>
    <w:rsid w:val="002B160A"/>
    <w:rsid w:val="002B172E"/>
    <w:rsid w:val="002B1C34"/>
    <w:rsid w:val="002B1D3E"/>
    <w:rsid w:val="002B1F39"/>
    <w:rsid w:val="002B2024"/>
    <w:rsid w:val="002B2155"/>
    <w:rsid w:val="002B21D5"/>
    <w:rsid w:val="002B22D3"/>
    <w:rsid w:val="002B2312"/>
    <w:rsid w:val="002B2346"/>
    <w:rsid w:val="002B2420"/>
    <w:rsid w:val="002B28A8"/>
    <w:rsid w:val="002B2C20"/>
    <w:rsid w:val="002B2C7F"/>
    <w:rsid w:val="002B2E61"/>
    <w:rsid w:val="002B30C4"/>
    <w:rsid w:val="002B3111"/>
    <w:rsid w:val="002B3243"/>
    <w:rsid w:val="002B348D"/>
    <w:rsid w:val="002B3630"/>
    <w:rsid w:val="002B3926"/>
    <w:rsid w:val="002B394E"/>
    <w:rsid w:val="002B49BF"/>
    <w:rsid w:val="002B4D4A"/>
    <w:rsid w:val="002B4DA3"/>
    <w:rsid w:val="002B52BA"/>
    <w:rsid w:val="002B5376"/>
    <w:rsid w:val="002B5538"/>
    <w:rsid w:val="002B5B18"/>
    <w:rsid w:val="002B5DCF"/>
    <w:rsid w:val="002B5EA2"/>
    <w:rsid w:val="002B5EAE"/>
    <w:rsid w:val="002B6164"/>
    <w:rsid w:val="002B6410"/>
    <w:rsid w:val="002B64A0"/>
    <w:rsid w:val="002B6841"/>
    <w:rsid w:val="002B6D81"/>
    <w:rsid w:val="002B6EFD"/>
    <w:rsid w:val="002B6F05"/>
    <w:rsid w:val="002B70EC"/>
    <w:rsid w:val="002B726E"/>
    <w:rsid w:val="002B7364"/>
    <w:rsid w:val="002B7625"/>
    <w:rsid w:val="002B7812"/>
    <w:rsid w:val="002B7B7C"/>
    <w:rsid w:val="002B7B7D"/>
    <w:rsid w:val="002B7BB5"/>
    <w:rsid w:val="002B7D0D"/>
    <w:rsid w:val="002C01A4"/>
    <w:rsid w:val="002C0446"/>
    <w:rsid w:val="002C05AD"/>
    <w:rsid w:val="002C0A3E"/>
    <w:rsid w:val="002C0D00"/>
    <w:rsid w:val="002C0F95"/>
    <w:rsid w:val="002C1216"/>
    <w:rsid w:val="002C223B"/>
    <w:rsid w:val="002C2320"/>
    <w:rsid w:val="002C28BD"/>
    <w:rsid w:val="002C3035"/>
    <w:rsid w:val="002C309A"/>
    <w:rsid w:val="002C331A"/>
    <w:rsid w:val="002C3510"/>
    <w:rsid w:val="002C3888"/>
    <w:rsid w:val="002C3895"/>
    <w:rsid w:val="002C3C94"/>
    <w:rsid w:val="002C42B6"/>
    <w:rsid w:val="002C44C0"/>
    <w:rsid w:val="002C4623"/>
    <w:rsid w:val="002C46DB"/>
    <w:rsid w:val="002C49E5"/>
    <w:rsid w:val="002C4A0C"/>
    <w:rsid w:val="002C4EFF"/>
    <w:rsid w:val="002C509C"/>
    <w:rsid w:val="002C57CC"/>
    <w:rsid w:val="002C57DD"/>
    <w:rsid w:val="002C59FF"/>
    <w:rsid w:val="002C5A3D"/>
    <w:rsid w:val="002C6886"/>
    <w:rsid w:val="002C69EA"/>
    <w:rsid w:val="002C6C34"/>
    <w:rsid w:val="002C6D8D"/>
    <w:rsid w:val="002C74EA"/>
    <w:rsid w:val="002C78D0"/>
    <w:rsid w:val="002C7C32"/>
    <w:rsid w:val="002C7CB7"/>
    <w:rsid w:val="002D005E"/>
    <w:rsid w:val="002D05FF"/>
    <w:rsid w:val="002D066A"/>
    <w:rsid w:val="002D0978"/>
    <w:rsid w:val="002D09F6"/>
    <w:rsid w:val="002D0A5B"/>
    <w:rsid w:val="002D0C8F"/>
    <w:rsid w:val="002D0E75"/>
    <w:rsid w:val="002D10DF"/>
    <w:rsid w:val="002D10FD"/>
    <w:rsid w:val="002D1543"/>
    <w:rsid w:val="002D1A43"/>
    <w:rsid w:val="002D1C5A"/>
    <w:rsid w:val="002D1E14"/>
    <w:rsid w:val="002D2322"/>
    <w:rsid w:val="002D2D03"/>
    <w:rsid w:val="002D2E28"/>
    <w:rsid w:val="002D346F"/>
    <w:rsid w:val="002D3708"/>
    <w:rsid w:val="002D3A14"/>
    <w:rsid w:val="002D3BF8"/>
    <w:rsid w:val="002D3D9A"/>
    <w:rsid w:val="002D3DF0"/>
    <w:rsid w:val="002D3E5A"/>
    <w:rsid w:val="002D3F40"/>
    <w:rsid w:val="002D4281"/>
    <w:rsid w:val="002D440D"/>
    <w:rsid w:val="002D4783"/>
    <w:rsid w:val="002D4A37"/>
    <w:rsid w:val="002D4D82"/>
    <w:rsid w:val="002D525A"/>
    <w:rsid w:val="002D5695"/>
    <w:rsid w:val="002D57E0"/>
    <w:rsid w:val="002D5BB4"/>
    <w:rsid w:val="002D62BE"/>
    <w:rsid w:val="002D6773"/>
    <w:rsid w:val="002D6CA1"/>
    <w:rsid w:val="002D734C"/>
    <w:rsid w:val="002D74E0"/>
    <w:rsid w:val="002D75F0"/>
    <w:rsid w:val="002D7665"/>
    <w:rsid w:val="002D7873"/>
    <w:rsid w:val="002D7AEF"/>
    <w:rsid w:val="002E000D"/>
    <w:rsid w:val="002E0135"/>
    <w:rsid w:val="002E01E3"/>
    <w:rsid w:val="002E030E"/>
    <w:rsid w:val="002E0375"/>
    <w:rsid w:val="002E0625"/>
    <w:rsid w:val="002E0812"/>
    <w:rsid w:val="002E08FB"/>
    <w:rsid w:val="002E0DA6"/>
    <w:rsid w:val="002E0F4E"/>
    <w:rsid w:val="002E1083"/>
    <w:rsid w:val="002E1E76"/>
    <w:rsid w:val="002E2471"/>
    <w:rsid w:val="002E2768"/>
    <w:rsid w:val="002E28C3"/>
    <w:rsid w:val="002E3035"/>
    <w:rsid w:val="002E33C0"/>
    <w:rsid w:val="002E3DDA"/>
    <w:rsid w:val="002E3EB3"/>
    <w:rsid w:val="002E41BA"/>
    <w:rsid w:val="002E4529"/>
    <w:rsid w:val="002E45ED"/>
    <w:rsid w:val="002E47A2"/>
    <w:rsid w:val="002E497B"/>
    <w:rsid w:val="002E50A3"/>
    <w:rsid w:val="002E50C8"/>
    <w:rsid w:val="002E5702"/>
    <w:rsid w:val="002E5A85"/>
    <w:rsid w:val="002E5CCD"/>
    <w:rsid w:val="002E5FC9"/>
    <w:rsid w:val="002E6466"/>
    <w:rsid w:val="002E6DBF"/>
    <w:rsid w:val="002E7361"/>
    <w:rsid w:val="002E774C"/>
    <w:rsid w:val="002E7E49"/>
    <w:rsid w:val="002F02A0"/>
    <w:rsid w:val="002F0396"/>
    <w:rsid w:val="002F061E"/>
    <w:rsid w:val="002F0A70"/>
    <w:rsid w:val="002F0AD0"/>
    <w:rsid w:val="002F0CBB"/>
    <w:rsid w:val="002F14D9"/>
    <w:rsid w:val="002F1704"/>
    <w:rsid w:val="002F1960"/>
    <w:rsid w:val="002F1B11"/>
    <w:rsid w:val="002F2247"/>
    <w:rsid w:val="002F2EEE"/>
    <w:rsid w:val="002F2F20"/>
    <w:rsid w:val="002F2FFD"/>
    <w:rsid w:val="002F32CF"/>
    <w:rsid w:val="002F3B45"/>
    <w:rsid w:val="002F3BC6"/>
    <w:rsid w:val="002F3C8C"/>
    <w:rsid w:val="002F40D7"/>
    <w:rsid w:val="002F42CC"/>
    <w:rsid w:val="002F43DB"/>
    <w:rsid w:val="002F44AA"/>
    <w:rsid w:val="002F45E3"/>
    <w:rsid w:val="002F46F8"/>
    <w:rsid w:val="002F49FE"/>
    <w:rsid w:val="002F50E9"/>
    <w:rsid w:val="002F5E24"/>
    <w:rsid w:val="002F6A16"/>
    <w:rsid w:val="002F6B32"/>
    <w:rsid w:val="002F6CDB"/>
    <w:rsid w:val="002F705A"/>
    <w:rsid w:val="002F74C5"/>
    <w:rsid w:val="002F7510"/>
    <w:rsid w:val="002F7643"/>
    <w:rsid w:val="002F76CD"/>
    <w:rsid w:val="002F7A3C"/>
    <w:rsid w:val="002F7ABF"/>
    <w:rsid w:val="0030031D"/>
    <w:rsid w:val="00300507"/>
    <w:rsid w:val="00300A86"/>
    <w:rsid w:val="00300CCC"/>
    <w:rsid w:val="00300D64"/>
    <w:rsid w:val="00300DE9"/>
    <w:rsid w:val="00300F51"/>
    <w:rsid w:val="00300FF0"/>
    <w:rsid w:val="003011B9"/>
    <w:rsid w:val="003018D0"/>
    <w:rsid w:val="00301C96"/>
    <w:rsid w:val="00301CFE"/>
    <w:rsid w:val="00301D89"/>
    <w:rsid w:val="00301E27"/>
    <w:rsid w:val="00301EBD"/>
    <w:rsid w:val="00302377"/>
    <w:rsid w:val="003035DB"/>
    <w:rsid w:val="00303876"/>
    <w:rsid w:val="0030391A"/>
    <w:rsid w:val="00303A21"/>
    <w:rsid w:val="00303CE0"/>
    <w:rsid w:val="00303F63"/>
    <w:rsid w:val="00304043"/>
    <w:rsid w:val="003040E4"/>
    <w:rsid w:val="00304701"/>
    <w:rsid w:val="00304C5D"/>
    <w:rsid w:val="00304FCB"/>
    <w:rsid w:val="0030508F"/>
    <w:rsid w:val="00305143"/>
    <w:rsid w:val="00305155"/>
    <w:rsid w:val="00305159"/>
    <w:rsid w:val="003052D1"/>
    <w:rsid w:val="0030542C"/>
    <w:rsid w:val="003056B1"/>
    <w:rsid w:val="003058EC"/>
    <w:rsid w:val="00305DBC"/>
    <w:rsid w:val="00305E0A"/>
    <w:rsid w:val="00306286"/>
    <w:rsid w:val="0030660E"/>
    <w:rsid w:val="00306B1E"/>
    <w:rsid w:val="00306D09"/>
    <w:rsid w:val="00306F48"/>
    <w:rsid w:val="00307258"/>
    <w:rsid w:val="003073B9"/>
    <w:rsid w:val="00307482"/>
    <w:rsid w:val="003075D8"/>
    <w:rsid w:val="00307849"/>
    <w:rsid w:val="00307925"/>
    <w:rsid w:val="003079E8"/>
    <w:rsid w:val="00307D6C"/>
    <w:rsid w:val="0031034F"/>
    <w:rsid w:val="0031036C"/>
    <w:rsid w:val="003109F0"/>
    <w:rsid w:val="00310C97"/>
    <w:rsid w:val="00310DB7"/>
    <w:rsid w:val="00310E73"/>
    <w:rsid w:val="0031100F"/>
    <w:rsid w:val="0031112B"/>
    <w:rsid w:val="003112F2"/>
    <w:rsid w:val="0031134A"/>
    <w:rsid w:val="00311364"/>
    <w:rsid w:val="0031155A"/>
    <w:rsid w:val="00311831"/>
    <w:rsid w:val="003119D8"/>
    <w:rsid w:val="003119EB"/>
    <w:rsid w:val="00311DDF"/>
    <w:rsid w:val="00311EC4"/>
    <w:rsid w:val="0031245C"/>
    <w:rsid w:val="00312589"/>
    <w:rsid w:val="00312787"/>
    <w:rsid w:val="00312BD9"/>
    <w:rsid w:val="00312CFE"/>
    <w:rsid w:val="00312DE9"/>
    <w:rsid w:val="00313431"/>
    <w:rsid w:val="003139D0"/>
    <w:rsid w:val="00313E2E"/>
    <w:rsid w:val="0031406A"/>
    <w:rsid w:val="003146B3"/>
    <w:rsid w:val="00314751"/>
    <w:rsid w:val="00314928"/>
    <w:rsid w:val="0031497D"/>
    <w:rsid w:val="00314AF2"/>
    <w:rsid w:val="0031500A"/>
    <w:rsid w:val="00315ACC"/>
    <w:rsid w:val="00315C06"/>
    <w:rsid w:val="00316593"/>
    <w:rsid w:val="00316675"/>
    <w:rsid w:val="00316824"/>
    <w:rsid w:val="00316A8B"/>
    <w:rsid w:val="00316E68"/>
    <w:rsid w:val="003178E4"/>
    <w:rsid w:val="00317E01"/>
    <w:rsid w:val="003203C8"/>
    <w:rsid w:val="00320DC3"/>
    <w:rsid w:val="00321BDB"/>
    <w:rsid w:val="00321FAD"/>
    <w:rsid w:val="00322482"/>
    <w:rsid w:val="003227E9"/>
    <w:rsid w:val="00322BDB"/>
    <w:rsid w:val="00322DB3"/>
    <w:rsid w:val="0032323C"/>
    <w:rsid w:val="003234E6"/>
    <w:rsid w:val="00323979"/>
    <w:rsid w:val="00323AC7"/>
    <w:rsid w:val="00323C57"/>
    <w:rsid w:val="0032428A"/>
    <w:rsid w:val="003247F2"/>
    <w:rsid w:val="003249D2"/>
    <w:rsid w:val="00324B28"/>
    <w:rsid w:val="00324BDB"/>
    <w:rsid w:val="00324C1F"/>
    <w:rsid w:val="00324C71"/>
    <w:rsid w:val="00324EB4"/>
    <w:rsid w:val="00325008"/>
    <w:rsid w:val="0032535E"/>
    <w:rsid w:val="00326101"/>
    <w:rsid w:val="00326187"/>
    <w:rsid w:val="0032626C"/>
    <w:rsid w:val="00326678"/>
    <w:rsid w:val="003269C0"/>
    <w:rsid w:val="00326BC9"/>
    <w:rsid w:val="00326BEA"/>
    <w:rsid w:val="00326E88"/>
    <w:rsid w:val="00326F7B"/>
    <w:rsid w:val="00327495"/>
    <w:rsid w:val="00327549"/>
    <w:rsid w:val="003277C2"/>
    <w:rsid w:val="003278B2"/>
    <w:rsid w:val="00330501"/>
    <w:rsid w:val="00330534"/>
    <w:rsid w:val="003310A7"/>
    <w:rsid w:val="00331254"/>
    <w:rsid w:val="0033150B"/>
    <w:rsid w:val="00331850"/>
    <w:rsid w:val="0033192D"/>
    <w:rsid w:val="00331A79"/>
    <w:rsid w:val="0033223B"/>
    <w:rsid w:val="00332483"/>
    <w:rsid w:val="00332783"/>
    <w:rsid w:val="003329A8"/>
    <w:rsid w:val="00332AA5"/>
    <w:rsid w:val="00332C03"/>
    <w:rsid w:val="00332E4E"/>
    <w:rsid w:val="00333014"/>
    <w:rsid w:val="0033337A"/>
    <w:rsid w:val="003334AC"/>
    <w:rsid w:val="00333544"/>
    <w:rsid w:val="0033366E"/>
    <w:rsid w:val="00333C04"/>
    <w:rsid w:val="00333C37"/>
    <w:rsid w:val="00333C70"/>
    <w:rsid w:val="00333D1A"/>
    <w:rsid w:val="0033400C"/>
    <w:rsid w:val="0033414B"/>
    <w:rsid w:val="00334205"/>
    <w:rsid w:val="00334BCB"/>
    <w:rsid w:val="00334DD1"/>
    <w:rsid w:val="00334F44"/>
    <w:rsid w:val="00335206"/>
    <w:rsid w:val="003352FD"/>
    <w:rsid w:val="0033574F"/>
    <w:rsid w:val="00335936"/>
    <w:rsid w:val="0033607A"/>
    <w:rsid w:val="003361DF"/>
    <w:rsid w:val="00336481"/>
    <w:rsid w:val="003368C9"/>
    <w:rsid w:val="00336A59"/>
    <w:rsid w:val="00336C01"/>
    <w:rsid w:val="00336CE0"/>
    <w:rsid w:val="0033764B"/>
    <w:rsid w:val="003377D1"/>
    <w:rsid w:val="00337997"/>
    <w:rsid w:val="00337EAF"/>
    <w:rsid w:val="00337ECF"/>
    <w:rsid w:val="003400BB"/>
    <w:rsid w:val="0034030A"/>
    <w:rsid w:val="0034035F"/>
    <w:rsid w:val="00341015"/>
    <w:rsid w:val="003413EC"/>
    <w:rsid w:val="003415E9"/>
    <w:rsid w:val="003416F7"/>
    <w:rsid w:val="0034173F"/>
    <w:rsid w:val="003417DD"/>
    <w:rsid w:val="0034180F"/>
    <w:rsid w:val="0034181F"/>
    <w:rsid w:val="00341A1D"/>
    <w:rsid w:val="00341C7C"/>
    <w:rsid w:val="00341DE8"/>
    <w:rsid w:val="00341F10"/>
    <w:rsid w:val="0034230F"/>
    <w:rsid w:val="003423C0"/>
    <w:rsid w:val="00342776"/>
    <w:rsid w:val="00342A94"/>
    <w:rsid w:val="00343350"/>
    <w:rsid w:val="00343B01"/>
    <w:rsid w:val="00343C9F"/>
    <w:rsid w:val="0034412A"/>
    <w:rsid w:val="0034432B"/>
    <w:rsid w:val="00344B45"/>
    <w:rsid w:val="00344BBE"/>
    <w:rsid w:val="00344DC5"/>
    <w:rsid w:val="0034556A"/>
    <w:rsid w:val="00345988"/>
    <w:rsid w:val="00345AA1"/>
    <w:rsid w:val="00345B8A"/>
    <w:rsid w:val="00345D3B"/>
    <w:rsid w:val="00346135"/>
    <w:rsid w:val="0034667F"/>
    <w:rsid w:val="0034671F"/>
    <w:rsid w:val="00346857"/>
    <w:rsid w:val="00346DB3"/>
    <w:rsid w:val="00347003"/>
    <w:rsid w:val="00347506"/>
    <w:rsid w:val="003475B6"/>
    <w:rsid w:val="003476DA"/>
    <w:rsid w:val="00347E04"/>
    <w:rsid w:val="00347EF8"/>
    <w:rsid w:val="00351108"/>
    <w:rsid w:val="0035152D"/>
    <w:rsid w:val="00351831"/>
    <w:rsid w:val="00351DB3"/>
    <w:rsid w:val="00351EC1"/>
    <w:rsid w:val="00351ED6"/>
    <w:rsid w:val="00351F04"/>
    <w:rsid w:val="00351F0C"/>
    <w:rsid w:val="00352033"/>
    <w:rsid w:val="0035215C"/>
    <w:rsid w:val="003525AE"/>
    <w:rsid w:val="00352E76"/>
    <w:rsid w:val="00352EC0"/>
    <w:rsid w:val="00353048"/>
    <w:rsid w:val="003532F3"/>
    <w:rsid w:val="003535EA"/>
    <w:rsid w:val="00353B70"/>
    <w:rsid w:val="00353E27"/>
    <w:rsid w:val="00354314"/>
    <w:rsid w:val="003544FD"/>
    <w:rsid w:val="00354920"/>
    <w:rsid w:val="00354C34"/>
    <w:rsid w:val="003550AE"/>
    <w:rsid w:val="0035589E"/>
    <w:rsid w:val="00355B70"/>
    <w:rsid w:val="00355D18"/>
    <w:rsid w:val="00356182"/>
    <w:rsid w:val="00356858"/>
    <w:rsid w:val="00356A5F"/>
    <w:rsid w:val="00356AC5"/>
    <w:rsid w:val="00356AD1"/>
    <w:rsid w:val="00356D8E"/>
    <w:rsid w:val="00356DB0"/>
    <w:rsid w:val="00356ED9"/>
    <w:rsid w:val="00357454"/>
    <w:rsid w:val="00357821"/>
    <w:rsid w:val="00357E96"/>
    <w:rsid w:val="00360242"/>
    <w:rsid w:val="003609A0"/>
    <w:rsid w:val="00360F23"/>
    <w:rsid w:val="00361077"/>
    <w:rsid w:val="00361142"/>
    <w:rsid w:val="00361D07"/>
    <w:rsid w:val="00361DD2"/>
    <w:rsid w:val="003620CC"/>
    <w:rsid w:val="0036230D"/>
    <w:rsid w:val="003624A9"/>
    <w:rsid w:val="003625F1"/>
    <w:rsid w:val="00362963"/>
    <w:rsid w:val="00362B5C"/>
    <w:rsid w:val="00362EF2"/>
    <w:rsid w:val="0036341C"/>
    <w:rsid w:val="00363426"/>
    <w:rsid w:val="00363631"/>
    <w:rsid w:val="00363665"/>
    <w:rsid w:val="00363CF0"/>
    <w:rsid w:val="00363E10"/>
    <w:rsid w:val="0036408B"/>
    <w:rsid w:val="003640F2"/>
    <w:rsid w:val="00364185"/>
    <w:rsid w:val="0036471E"/>
    <w:rsid w:val="00364B5B"/>
    <w:rsid w:val="00364C3B"/>
    <w:rsid w:val="00364EA8"/>
    <w:rsid w:val="00364FD2"/>
    <w:rsid w:val="003657D7"/>
    <w:rsid w:val="00365898"/>
    <w:rsid w:val="00365F9B"/>
    <w:rsid w:val="00365FFB"/>
    <w:rsid w:val="00366324"/>
    <w:rsid w:val="0036634A"/>
    <w:rsid w:val="003663C7"/>
    <w:rsid w:val="003665A1"/>
    <w:rsid w:val="00366A9F"/>
    <w:rsid w:val="00366EAD"/>
    <w:rsid w:val="00366EF3"/>
    <w:rsid w:val="0036712C"/>
    <w:rsid w:val="0036725A"/>
    <w:rsid w:val="00367720"/>
    <w:rsid w:val="00367B0F"/>
    <w:rsid w:val="00367B9D"/>
    <w:rsid w:val="0037009D"/>
    <w:rsid w:val="003701D3"/>
    <w:rsid w:val="003708CE"/>
    <w:rsid w:val="00370A73"/>
    <w:rsid w:val="003713D2"/>
    <w:rsid w:val="003714FA"/>
    <w:rsid w:val="00371679"/>
    <w:rsid w:val="00371B03"/>
    <w:rsid w:val="00371B3F"/>
    <w:rsid w:val="00371CDE"/>
    <w:rsid w:val="00371E2E"/>
    <w:rsid w:val="00371FD9"/>
    <w:rsid w:val="0037211A"/>
    <w:rsid w:val="0037236C"/>
    <w:rsid w:val="003727F8"/>
    <w:rsid w:val="003728B9"/>
    <w:rsid w:val="003729B5"/>
    <w:rsid w:val="00372B00"/>
    <w:rsid w:val="00372D83"/>
    <w:rsid w:val="00373020"/>
    <w:rsid w:val="003738C8"/>
    <w:rsid w:val="00373A63"/>
    <w:rsid w:val="00373B15"/>
    <w:rsid w:val="00373D22"/>
    <w:rsid w:val="00373FE4"/>
    <w:rsid w:val="003741A5"/>
    <w:rsid w:val="00374343"/>
    <w:rsid w:val="003744FB"/>
    <w:rsid w:val="00374791"/>
    <w:rsid w:val="00374D3A"/>
    <w:rsid w:val="00375C10"/>
    <w:rsid w:val="0037652F"/>
    <w:rsid w:val="00376C57"/>
    <w:rsid w:val="003778A4"/>
    <w:rsid w:val="00377C66"/>
    <w:rsid w:val="00377EF9"/>
    <w:rsid w:val="00380350"/>
    <w:rsid w:val="00380812"/>
    <w:rsid w:val="00380926"/>
    <w:rsid w:val="00380AD2"/>
    <w:rsid w:val="00380D9A"/>
    <w:rsid w:val="00380E8B"/>
    <w:rsid w:val="00381198"/>
    <w:rsid w:val="0038131E"/>
    <w:rsid w:val="003813B6"/>
    <w:rsid w:val="00381463"/>
    <w:rsid w:val="003816EB"/>
    <w:rsid w:val="00381883"/>
    <w:rsid w:val="00381D00"/>
    <w:rsid w:val="00381F21"/>
    <w:rsid w:val="00382374"/>
    <w:rsid w:val="003823C6"/>
    <w:rsid w:val="0038262A"/>
    <w:rsid w:val="00382A8E"/>
    <w:rsid w:val="00382B8A"/>
    <w:rsid w:val="00382DCC"/>
    <w:rsid w:val="0038324F"/>
    <w:rsid w:val="00383443"/>
    <w:rsid w:val="0038359C"/>
    <w:rsid w:val="003839C2"/>
    <w:rsid w:val="00383AA2"/>
    <w:rsid w:val="0038426D"/>
    <w:rsid w:val="003843B3"/>
    <w:rsid w:val="003843F7"/>
    <w:rsid w:val="003846A3"/>
    <w:rsid w:val="00384794"/>
    <w:rsid w:val="00384B3C"/>
    <w:rsid w:val="00384C00"/>
    <w:rsid w:val="00384CF7"/>
    <w:rsid w:val="00385374"/>
    <w:rsid w:val="003856D5"/>
    <w:rsid w:val="003859D9"/>
    <w:rsid w:val="00385B6B"/>
    <w:rsid w:val="00386451"/>
    <w:rsid w:val="003868EB"/>
    <w:rsid w:val="00386C65"/>
    <w:rsid w:val="00387273"/>
    <w:rsid w:val="0038732E"/>
    <w:rsid w:val="00387E4B"/>
    <w:rsid w:val="003900C3"/>
    <w:rsid w:val="003905D4"/>
    <w:rsid w:val="00390D92"/>
    <w:rsid w:val="00390F65"/>
    <w:rsid w:val="003912CC"/>
    <w:rsid w:val="00391981"/>
    <w:rsid w:val="00391DAF"/>
    <w:rsid w:val="003921DD"/>
    <w:rsid w:val="00392674"/>
    <w:rsid w:val="00392C41"/>
    <w:rsid w:val="00392C96"/>
    <w:rsid w:val="00392E5F"/>
    <w:rsid w:val="00392FBD"/>
    <w:rsid w:val="00393595"/>
    <w:rsid w:val="0039364E"/>
    <w:rsid w:val="00393FE0"/>
    <w:rsid w:val="00394045"/>
    <w:rsid w:val="0039488B"/>
    <w:rsid w:val="00395033"/>
    <w:rsid w:val="00395174"/>
    <w:rsid w:val="003956BD"/>
    <w:rsid w:val="003962FD"/>
    <w:rsid w:val="00396455"/>
    <w:rsid w:val="00396A54"/>
    <w:rsid w:val="00396A5D"/>
    <w:rsid w:val="00396B4F"/>
    <w:rsid w:val="00396B8A"/>
    <w:rsid w:val="00396C5A"/>
    <w:rsid w:val="00396DA9"/>
    <w:rsid w:val="00396F3A"/>
    <w:rsid w:val="003970D2"/>
    <w:rsid w:val="00397139"/>
    <w:rsid w:val="00397567"/>
    <w:rsid w:val="0039796B"/>
    <w:rsid w:val="00397B2A"/>
    <w:rsid w:val="00397B82"/>
    <w:rsid w:val="00397CE2"/>
    <w:rsid w:val="003A0124"/>
    <w:rsid w:val="003A01A5"/>
    <w:rsid w:val="003A0738"/>
    <w:rsid w:val="003A0C24"/>
    <w:rsid w:val="003A0DDD"/>
    <w:rsid w:val="003A0FE0"/>
    <w:rsid w:val="003A11E1"/>
    <w:rsid w:val="003A1560"/>
    <w:rsid w:val="003A1644"/>
    <w:rsid w:val="003A2022"/>
    <w:rsid w:val="003A23F0"/>
    <w:rsid w:val="003A2615"/>
    <w:rsid w:val="003A26C9"/>
    <w:rsid w:val="003A27FF"/>
    <w:rsid w:val="003A2EE2"/>
    <w:rsid w:val="003A31DC"/>
    <w:rsid w:val="003A34D6"/>
    <w:rsid w:val="003A3689"/>
    <w:rsid w:val="003A36A2"/>
    <w:rsid w:val="003A3A76"/>
    <w:rsid w:val="003A4294"/>
    <w:rsid w:val="003A4458"/>
    <w:rsid w:val="003A45F5"/>
    <w:rsid w:val="003A46C6"/>
    <w:rsid w:val="003A4F6C"/>
    <w:rsid w:val="003A5141"/>
    <w:rsid w:val="003A5E6F"/>
    <w:rsid w:val="003A664F"/>
    <w:rsid w:val="003A6792"/>
    <w:rsid w:val="003A6871"/>
    <w:rsid w:val="003A6BDA"/>
    <w:rsid w:val="003A76BB"/>
    <w:rsid w:val="003A7786"/>
    <w:rsid w:val="003A7E14"/>
    <w:rsid w:val="003B0433"/>
    <w:rsid w:val="003B04E4"/>
    <w:rsid w:val="003B05AA"/>
    <w:rsid w:val="003B095D"/>
    <w:rsid w:val="003B0A80"/>
    <w:rsid w:val="003B0BBF"/>
    <w:rsid w:val="003B0DE8"/>
    <w:rsid w:val="003B0E3B"/>
    <w:rsid w:val="003B14D6"/>
    <w:rsid w:val="003B19F7"/>
    <w:rsid w:val="003B1BB7"/>
    <w:rsid w:val="003B1C82"/>
    <w:rsid w:val="003B29CF"/>
    <w:rsid w:val="003B2C20"/>
    <w:rsid w:val="003B3055"/>
    <w:rsid w:val="003B30B9"/>
    <w:rsid w:val="003B378B"/>
    <w:rsid w:val="003B3FF8"/>
    <w:rsid w:val="003B4084"/>
    <w:rsid w:val="003B42F1"/>
    <w:rsid w:val="003B48C1"/>
    <w:rsid w:val="003B4920"/>
    <w:rsid w:val="003B4A24"/>
    <w:rsid w:val="003B4B53"/>
    <w:rsid w:val="003B4D88"/>
    <w:rsid w:val="003B5478"/>
    <w:rsid w:val="003B5664"/>
    <w:rsid w:val="003B587E"/>
    <w:rsid w:val="003B5C94"/>
    <w:rsid w:val="003B5FEF"/>
    <w:rsid w:val="003B6004"/>
    <w:rsid w:val="003B67E7"/>
    <w:rsid w:val="003B69C7"/>
    <w:rsid w:val="003B6C28"/>
    <w:rsid w:val="003B6D3F"/>
    <w:rsid w:val="003B6ED4"/>
    <w:rsid w:val="003B7012"/>
    <w:rsid w:val="003B716E"/>
    <w:rsid w:val="003B7429"/>
    <w:rsid w:val="003B74A0"/>
    <w:rsid w:val="003B75A9"/>
    <w:rsid w:val="003B79F7"/>
    <w:rsid w:val="003B7CDB"/>
    <w:rsid w:val="003C05F7"/>
    <w:rsid w:val="003C09D9"/>
    <w:rsid w:val="003C0B47"/>
    <w:rsid w:val="003C0EA8"/>
    <w:rsid w:val="003C10BD"/>
    <w:rsid w:val="003C10D8"/>
    <w:rsid w:val="003C115B"/>
    <w:rsid w:val="003C138A"/>
    <w:rsid w:val="003C1850"/>
    <w:rsid w:val="003C19F9"/>
    <w:rsid w:val="003C1BA7"/>
    <w:rsid w:val="003C1DE7"/>
    <w:rsid w:val="003C226A"/>
    <w:rsid w:val="003C25A2"/>
    <w:rsid w:val="003C27B1"/>
    <w:rsid w:val="003C283A"/>
    <w:rsid w:val="003C2985"/>
    <w:rsid w:val="003C3049"/>
    <w:rsid w:val="003C3349"/>
    <w:rsid w:val="003C398D"/>
    <w:rsid w:val="003C3A26"/>
    <w:rsid w:val="003C3E4A"/>
    <w:rsid w:val="003C3EBB"/>
    <w:rsid w:val="003C4023"/>
    <w:rsid w:val="003C4B8B"/>
    <w:rsid w:val="003C4D8E"/>
    <w:rsid w:val="003C5315"/>
    <w:rsid w:val="003C58B9"/>
    <w:rsid w:val="003C5A78"/>
    <w:rsid w:val="003C5B03"/>
    <w:rsid w:val="003C5F05"/>
    <w:rsid w:val="003C5F20"/>
    <w:rsid w:val="003C6A8B"/>
    <w:rsid w:val="003C7151"/>
    <w:rsid w:val="003C71DD"/>
    <w:rsid w:val="003C74AD"/>
    <w:rsid w:val="003C7559"/>
    <w:rsid w:val="003C761D"/>
    <w:rsid w:val="003C781C"/>
    <w:rsid w:val="003C78F0"/>
    <w:rsid w:val="003C7C6F"/>
    <w:rsid w:val="003C7F7C"/>
    <w:rsid w:val="003D008C"/>
    <w:rsid w:val="003D0330"/>
    <w:rsid w:val="003D03F3"/>
    <w:rsid w:val="003D040A"/>
    <w:rsid w:val="003D0959"/>
    <w:rsid w:val="003D0FA9"/>
    <w:rsid w:val="003D13BF"/>
    <w:rsid w:val="003D19C5"/>
    <w:rsid w:val="003D206D"/>
    <w:rsid w:val="003D2316"/>
    <w:rsid w:val="003D2431"/>
    <w:rsid w:val="003D2562"/>
    <w:rsid w:val="003D25BD"/>
    <w:rsid w:val="003D2690"/>
    <w:rsid w:val="003D26CE"/>
    <w:rsid w:val="003D279B"/>
    <w:rsid w:val="003D2824"/>
    <w:rsid w:val="003D2A17"/>
    <w:rsid w:val="003D3179"/>
    <w:rsid w:val="003D35E7"/>
    <w:rsid w:val="003D361E"/>
    <w:rsid w:val="003D3F35"/>
    <w:rsid w:val="003D408A"/>
    <w:rsid w:val="003D42E5"/>
    <w:rsid w:val="003D4707"/>
    <w:rsid w:val="003D47DF"/>
    <w:rsid w:val="003D4A1B"/>
    <w:rsid w:val="003D4A69"/>
    <w:rsid w:val="003D4AEE"/>
    <w:rsid w:val="003D501F"/>
    <w:rsid w:val="003D5319"/>
    <w:rsid w:val="003D5501"/>
    <w:rsid w:val="003D570A"/>
    <w:rsid w:val="003D583A"/>
    <w:rsid w:val="003D5901"/>
    <w:rsid w:val="003D5A0E"/>
    <w:rsid w:val="003D5DCE"/>
    <w:rsid w:val="003D5E55"/>
    <w:rsid w:val="003D645A"/>
    <w:rsid w:val="003D6538"/>
    <w:rsid w:val="003D67B6"/>
    <w:rsid w:val="003D68BE"/>
    <w:rsid w:val="003D6AFC"/>
    <w:rsid w:val="003D6D20"/>
    <w:rsid w:val="003D6F3F"/>
    <w:rsid w:val="003D727E"/>
    <w:rsid w:val="003D747A"/>
    <w:rsid w:val="003D74FA"/>
    <w:rsid w:val="003D7B2A"/>
    <w:rsid w:val="003D7BFC"/>
    <w:rsid w:val="003D7E55"/>
    <w:rsid w:val="003D7F54"/>
    <w:rsid w:val="003E0043"/>
    <w:rsid w:val="003E025F"/>
    <w:rsid w:val="003E02C6"/>
    <w:rsid w:val="003E0DB9"/>
    <w:rsid w:val="003E0E5A"/>
    <w:rsid w:val="003E1238"/>
    <w:rsid w:val="003E1A65"/>
    <w:rsid w:val="003E1DE0"/>
    <w:rsid w:val="003E1E0E"/>
    <w:rsid w:val="003E2319"/>
    <w:rsid w:val="003E23AD"/>
    <w:rsid w:val="003E2DEF"/>
    <w:rsid w:val="003E2F16"/>
    <w:rsid w:val="003E3E94"/>
    <w:rsid w:val="003E407D"/>
    <w:rsid w:val="003E412C"/>
    <w:rsid w:val="003E41C0"/>
    <w:rsid w:val="003E41F4"/>
    <w:rsid w:val="003E446D"/>
    <w:rsid w:val="003E4544"/>
    <w:rsid w:val="003E46C0"/>
    <w:rsid w:val="003E4834"/>
    <w:rsid w:val="003E48A8"/>
    <w:rsid w:val="003E4B93"/>
    <w:rsid w:val="003E4EF8"/>
    <w:rsid w:val="003E5047"/>
    <w:rsid w:val="003E522A"/>
    <w:rsid w:val="003E5EEA"/>
    <w:rsid w:val="003E6021"/>
    <w:rsid w:val="003E6255"/>
    <w:rsid w:val="003E6529"/>
    <w:rsid w:val="003E6566"/>
    <w:rsid w:val="003E6D98"/>
    <w:rsid w:val="003E71A9"/>
    <w:rsid w:val="003E732D"/>
    <w:rsid w:val="003E75B2"/>
    <w:rsid w:val="003E77FD"/>
    <w:rsid w:val="003E79AD"/>
    <w:rsid w:val="003E7ADB"/>
    <w:rsid w:val="003E7BB4"/>
    <w:rsid w:val="003E7C0E"/>
    <w:rsid w:val="003F04B8"/>
    <w:rsid w:val="003F0C93"/>
    <w:rsid w:val="003F0EB6"/>
    <w:rsid w:val="003F1639"/>
    <w:rsid w:val="003F18EC"/>
    <w:rsid w:val="003F1922"/>
    <w:rsid w:val="003F2194"/>
    <w:rsid w:val="003F2591"/>
    <w:rsid w:val="003F2E26"/>
    <w:rsid w:val="003F3096"/>
    <w:rsid w:val="003F30D3"/>
    <w:rsid w:val="003F3918"/>
    <w:rsid w:val="003F3A2E"/>
    <w:rsid w:val="003F40E1"/>
    <w:rsid w:val="003F435F"/>
    <w:rsid w:val="003F4A39"/>
    <w:rsid w:val="003F4BAE"/>
    <w:rsid w:val="003F4CF0"/>
    <w:rsid w:val="003F50EF"/>
    <w:rsid w:val="003F51A2"/>
    <w:rsid w:val="003F51E1"/>
    <w:rsid w:val="003F53AF"/>
    <w:rsid w:val="003F5416"/>
    <w:rsid w:val="003F57C1"/>
    <w:rsid w:val="003F5D0E"/>
    <w:rsid w:val="003F6001"/>
    <w:rsid w:val="003F6328"/>
    <w:rsid w:val="003F6538"/>
    <w:rsid w:val="003F66D4"/>
    <w:rsid w:val="003F6D40"/>
    <w:rsid w:val="003F72F1"/>
    <w:rsid w:val="003F7322"/>
    <w:rsid w:val="003F7B56"/>
    <w:rsid w:val="003F7BD1"/>
    <w:rsid w:val="004000CA"/>
    <w:rsid w:val="004004CF"/>
    <w:rsid w:val="00400900"/>
    <w:rsid w:val="00400E44"/>
    <w:rsid w:val="00401774"/>
    <w:rsid w:val="00401E68"/>
    <w:rsid w:val="00402913"/>
    <w:rsid w:val="0040303C"/>
    <w:rsid w:val="004032FB"/>
    <w:rsid w:val="00403698"/>
    <w:rsid w:val="004038BA"/>
    <w:rsid w:val="00403C20"/>
    <w:rsid w:val="00403CA8"/>
    <w:rsid w:val="00403D26"/>
    <w:rsid w:val="00403EEE"/>
    <w:rsid w:val="004043F1"/>
    <w:rsid w:val="00405388"/>
    <w:rsid w:val="004053A5"/>
    <w:rsid w:val="004055A9"/>
    <w:rsid w:val="004058BA"/>
    <w:rsid w:val="00405A5A"/>
    <w:rsid w:val="00405BC8"/>
    <w:rsid w:val="00405CC2"/>
    <w:rsid w:val="00405FD5"/>
    <w:rsid w:val="00406587"/>
    <w:rsid w:val="0040677C"/>
    <w:rsid w:val="00406A89"/>
    <w:rsid w:val="00406CD9"/>
    <w:rsid w:val="00406F0C"/>
    <w:rsid w:val="0040717B"/>
    <w:rsid w:val="00407243"/>
    <w:rsid w:val="0040733C"/>
    <w:rsid w:val="00407379"/>
    <w:rsid w:val="004073CA"/>
    <w:rsid w:val="00407411"/>
    <w:rsid w:val="0040746E"/>
    <w:rsid w:val="00407BAF"/>
    <w:rsid w:val="004101EB"/>
    <w:rsid w:val="00410249"/>
    <w:rsid w:val="00410772"/>
    <w:rsid w:val="00410D70"/>
    <w:rsid w:val="00410F00"/>
    <w:rsid w:val="004110A4"/>
    <w:rsid w:val="00411126"/>
    <w:rsid w:val="0041135C"/>
    <w:rsid w:val="00411B76"/>
    <w:rsid w:val="004129FC"/>
    <w:rsid w:val="00412BDF"/>
    <w:rsid w:val="0041328D"/>
    <w:rsid w:val="0041330B"/>
    <w:rsid w:val="00413525"/>
    <w:rsid w:val="00413795"/>
    <w:rsid w:val="00413965"/>
    <w:rsid w:val="0041398A"/>
    <w:rsid w:val="004139E3"/>
    <w:rsid w:val="0041415D"/>
    <w:rsid w:val="00415520"/>
    <w:rsid w:val="00415841"/>
    <w:rsid w:val="00415BB1"/>
    <w:rsid w:val="004166EC"/>
    <w:rsid w:val="004166F1"/>
    <w:rsid w:val="004167FD"/>
    <w:rsid w:val="004169DE"/>
    <w:rsid w:val="00416E61"/>
    <w:rsid w:val="00416F11"/>
    <w:rsid w:val="004171E6"/>
    <w:rsid w:val="004173E5"/>
    <w:rsid w:val="00417406"/>
    <w:rsid w:val="004175C5"/>
    <w:rsid w:val="0041773C"/>
    <w:rsid w:val="00417A82"/>
    <w:rsid w:val="00417B0D"/>
    <w:rsid w:val="00417E9E"/>
    <w:rsid w:val="00420254"/>
    <w:rsid w:val="0042053E"/>
    <w:rsid w:val="004205DD"/>
    <w:rsid w:val="00420B1B"/>
    <w:rsid w:val="00420B20"/>
    <w:rsid w:val="00420BD9"/>
    <w:rsid w:val="00420F30"/>
    <w:rsid w:val="0042102B"/>
    <w:rsid w:val="0042109D"/>
    <w:rsid w:val="00421203"/>
    <w:rsid w:val="004213B4"/>
    <w:rsid w:val="00421726"/>
    <w:rsid w:val="0042227B"/>
    <w:rsid w:val="004223DA"/>
    <w:rsid w:val="00422490"/>
    <w:rsid w:val="00422A51"/>
    <w:rsid w:val="00422E2A"/>
    <w:rsid w:val="00423553"/>
    <w:rsid w:val="004237E6"/>
    <w:rsid w:val="00423A9F"/>
    <w:rsid w:val="00423BE8"/>
    <w:rsid w:val="00423ED1"/>
    <w:rsid w:val="00423FF1"/>
    <w:rsid w:val="00424264"/>
    <w:rsid w:val="004246C0"/>
    <w:rsid w:val="00424FB5"/>
    <w:rsid w:val="004251CE"/>
    <w:rsid w:val="00425837"/>
    <w:rsid w:val="00425A10"/>
    <w:rsid w:val="00425AC3"/>
    <w:rsid w:val="00425D76"/>
    <w:rsid w:val="004261A0"/>
    <w:rsid w:val="00426EDD"/>
    <w:rsid w:val="00426F8D"/>
    <w:rsid w:val="004271EF"/>
    <w:rsid w:val="00427689"/>
    <w:rsid w:val="0042773D"/>
    <w:rsid w:val="00427AA3"/>
    <w:rsid w:val="00427D21"/>
    <w:rsid w:val="00430323"/>
    <w:rsid w:val="00430496"/>
    <w:rsid w:val="00430C76"/>
    <w:rsid w:val="004310B2"/>
    <w:rsid w:val="00431118"/>
    <w:rsid w:val="004311AA"/>
    <w:rsid w:val="004312D1"/>
    <w:rsid w:val="004312FF"/>
    <w:rsid w:val="004317CF"/>
    <w:rsid w:val="0043189E"/>
    <w:rsid w:val="00431D5B"/>
    <w:rsid w:val="00431E53"/>
    <w:rsid w:val="00432449"/>
    <w:rsid w:val="004328A7"/>
    <w:rsid w:val="00432CA6"/>
    <w:rsid w:val="00433318"/>
    <w:rsid w:val="004333AA"/>
    <w:rsid w:val="0043363B"/>
    <w:rsid w:val="004337F4"/>
    <w:rsid w:val="004338FC"/>
    <w:rsid w:val="004349AE"/>
    <w:rsid w:val="00434E71"/>
    <w:rsid w:val="0043517D"/>
    <w:rsid w:val="004352C8"/>
    <w:rsid w:val="00435825"/>
    <w:rsid w:val="004359B3"/>
    <w:rsid w:val="00435BEF"/>
    <w:rsid w:val="00435E86"/>
    <w:rsid w:val="00435E88"/>
    <w:rsid w:val="004360EB"/>
    <w:rsid w:val="0043611B"/>
    <w:rsid w:val="004362C8"/>
    <w:rsid w:val="00436306"/>
    <w:rsid w:val="00436CFC"/>
    <w:rsid w:val="004370A8"/>
    <w:rsid w:val="0043710D"/>
    <w:rsid w:val="004373A0"/>
    <w:rsid w:val="00437D20"/>
    <w:rsid w:val="00440011"/>
    <w:rsid w:val="0044048D"/>
    <w:rsid w:val="004404CE"/>
    <w:rsid w:val="004405AF"/>
    <w:rsid w:val="00440F41"/>
    <w:rsid w:val="004410AD"/>
    <w:rsid w:val="00441178"/>
    <w:rsid w:val="004411FC"/>
    <w:rsid w:val="00441335"/>
    <w:rsid w:val="004414EA"/>
    <w:rsid w:val="004416CC"/>
    <w:rsid w:val="00441BC2"/>
    <w:rsid w:val="00441C91"/>
    <w:rsid w:val="00442C86"/>
    <w:rsid w:val="0044303F"/>
    <w:rsid w:val="004430D5"/>
    <w:rsid w:val="00443911"/>
    <w:rsid w:val="00443E32"/>
    <w:rsid w:val="00443F30"/>
    <w:rsid w:val="00444133"/>
    <w:rsid w:val="00444B3D"/>
    <w:rsid w:val="00444B95"/>
    <w:rsid w:val="00445593"/>
    <w:rsid w:val="0044581D"/>
    <w:rsid w:val="00445B60"/>
    <w:rsid w:val="00445D34"/>
    <w:rsid w:val="004460F0"/>
    <w:rsid w:val="0044658C"/>
    <w:rsid w:val="004466CB"/>
    <w:rsid w:val="00446A28"/>
    <w:rsid w:val="00446CCE"/>
    <w:rsid w:val="00447014"/>
    <w:rsid w:val="00447015"/>
    <w:rsid w:val="004474D7"/>
    <w:rsid w:val="00447A2E"/>
    <w:rsid w:val="00450224"/>
    <w:rsid w:val="00450DAA"/>
    <w:rsid w:val="00451089"/>
    <w:rsid w:val="00451563"/>
    <w:rsid w:val="00451AF5"/>
    <w:rsid w:val="00451BBC"/>
    <w:rsid w:val="00452506"/>
    <w:rsid w:val="004525BA"/>
    <w:rsid w:val="00452AAB"/>
    <w:rsid w:val="00453233"/>
    <w:rsid w:val="004533B2"/>
    <w:rsid w:val="00453D40"/>
    <w:rsid w:val="00454530"/>
    <w:rsid w:val="00454782"/>
    <w:rsid w:val="0045498B"/>
    <w:rsid w:val="00454F04"/>
    <w:rsid w:val="004551DB"/>
    <w:rsid w:val="0045566D"/>
    <w:rsid w:val="004556A7"/>
    <w:rsid w:val="004556DB"/>
    <w:rsid w:val="00455710"/>
    <w:rsid w:val="004558FB"/>
    <w:rsid w:val="004562F9"/>
    <w:rsid w:val="0045658C"/>
    <w:rsid w:val="00456603"/>
    <w:rsid w:val="0045675F"/>
    <w:rsid w:val="00456C45"/>
    <w:rsid w:val="0045717F"/>
    <w:rsid w:val="0045768C"/>
    <w:rsid w:val="00457A16"/>
    <w:rsid w:val="00457C59"/>
    <w:rsid w:val="00457C6A"/>
    <w:rsid w:val="00460438"/>
    <w:rsid w:val="004605A0"/>
    <w:rsid w:val="00460849"/>
    <w:rsid w:val="0046097D"/>
    <w:rsid w:val="00460F90"/>
    <w:rsid w:val="00461388"/>
    <w:rsid w:val="004613EA"/>
    <w:rsid w:val="00461482"/>
    <w:rsid w:val="004616DE"/>
    <w:rsid w:val="00461763"/>
    <w:rsid w:val="00461AF4"/>
    <w:rsid w:val="0046210F"/>
    <w:rsid w:val="00462208"/>
    <w:rsid w:val="00462593"/>
    <w:rsid w:val="0046265F"/>
    <w:rsid w:val="00462801"/>
    <w:rsid w:val="004629C6"/>
    <w:rsid w:val="00462A0A"/>
    <w:rsid w:val="004635D9"/>
    <w:rsid w:val="00463616"/>
    <w:rsid w:val="00463856"/>
    <w:rsid w:val="00463A79"/>
    <w:rsid w:val="00463BDF"/>
    <w:rsid w:val="00464074"/>
    <w:rsid w:val="00464120"/>
    <w:rsid w:val="004645F4"/>
    <w:rsid w:val="00464747"/>
    <w:rsid w:val="00464961"/>
    <w:rsid w:val="00464F2A"/>
    <w:rsid w:val="004656D6"/>
    <w:rsid w:val="00465715"/>
    <w:rsid w:val="004657A1"/>
    <w:rsid w:val="004658D0"/>
    <w:rsid w:val="004659C7"/>
    <w:rsid w:val="004659DF"/>
    <w:rsid w:val="00465BD4"/>
    <w:rsid w:val="00465CB4"/>
    <w:rsid w:val="00465EFE"/>
    <w:rsid w:val="00466185"/>
    <w:rsid w:val="004662BF"/>
    <w:rsid w:val="00466A26"/>
    <w:rsid w:val="00466EB9"/>
    <w:rsid w:val="00466F04"/>
    <w:rsid w:val="00467573"/>
    <w:rsid w:val="004679CA"/>
    <w:rsid w:val="00467C5A"/>
    <w:rsid w:val="00467D0F"/>
    <w:rsid w:val="004701C3"/>
    <w:rsid w:val="0047022A"/>
    <w:rsid w:val="00470497"/>
    <w:rsid w:val="00470499"/>
    <w:rsid w:val="004704FC"/>
    <w:rsid w:val="004707EE"/>
    <w:rsid w:val="0047082B"/>
    <w:rsid w:val="00470B14"/>
    <w:rsid w:val="004714B5"/>
    <w:rsid w:val="004714BA"/>
    <w:rsid w:val="00471548"/>
    <w:rsid w:val="00471A1A"/>
    <w:rsid w:val="00471C8F"/>
    <w:rsid w:val="004727A7"/>
    <w:rsid w:val="004729F3"/>
    <w:rsid w:val="00472C3B"/>
    <w:rsid w:val="00472C90"/>
    <w:rsid w:val="00472CA3"/>
    <w:rsid w:val="004733A2"/>
    <w:rsid w:val="00473E69"/>
    <w:rsid w:val="004740D6"/>
    <w:rsid w:val="004740E8"/>
    <w:rsid w:val="00474616"/>
    <w:rsid w:val="00474676"/>
    <w:rsid w:val="004747B9"/>
    <w:rsid w:val="00475FA7"/>
    <w:rsid w:val="00475FEB"/>
    <w:rsid w:val="00476503"/>
    <w:rsid w:val="004769D1"/>
    <w:rsid w:val="00476C25"/>
    <w:rsid w:val="00476C3B"/>
    <w:rsid w:val="00476F3E"/>
    <w:rsid w:val="004776E5"/>
    <w:rsid w:val="00477AA7"/>
    <w:rsid w:val="00477C7E"/>
    <w:rsid w:val="00477DDE"/>
    <w:rsid w:val="00477EF8"/>
    <w:rsid w:val="00480BBD"/>
    <w:rsid w:val="004815AC"/>
    <w:rsid w:val="0048165D"/>
    <w:rsid w:val="0048171B"/>
    <w:rsid w:val="00481DBE"/>
    <w:rsid w:val="00482A73"/>
    <w:rsid w:val="0048346C"/>
    <w:rsid w:val="00483499"/>
    <w:rsid w:val="00483720"/>
    <w:rsid w:val="004837A6"/>
    <w:rsid w:val="004837DD"/>
    <w:rsid w:val="00483C89"/>
    <w:rsid w:val="00483EFA"/>
    <w:rsid w:val="004840FE"/>
    <w:rsid w:val="0048421E"/>
    <w:rsid w:val="004844C8"/>
    <w:rsid w:val="00484611"/>
    <w:rsid w:val="0048462D"/>
    <w:rsid w:val="004846E5"/>
    <w:rsid w:val="00484AAF"/>
    <w:rsid w:val="00484CB4"/>
    <w:rsid w:val="00484D60"/>
    <w:rsid w:val="00484D8D"/>
    <w:rsid w:val="00485216"/>
    <w:rsid w:val="004853BA"/>
    <w:rsid w:val="004853E8"/>
    <w:rsid w:val="00485428"/>
    <w:rsid w:val="00485A00"/>
    <w:rsid w:val="00485C66"/>
    <w:rsid w:val="00486606"/>
    <w:rsid w:val="004866E0"/>
    <w:rsid w:val="00486863"/>
    <w:rsid w:val="00486928"/>
    <w:rsid w:val="00487210"/>
    <w:rsid w:val="004872AE"/>
    <w:rsid w:val="004876AE"/>
    <w:rsid w:val="00487B07"/>
    <w:rsid w:val="00487BD2"/>
    <w:rsid w:val="00487BE2"/>
    <w:rsid w:val="00490176"/>
    <w:rsid w:val="00490431"/>
    <w:rsid w:val="00490A0C"/>
    <w:rsid w:val="004914C6"/>
    <w:rsid w:val="0049151D"/>
    <w:rsid w:val="004915A0"/>
    <w:rsid w:val="004918CC"/>
    <w:rsid w:val="00491D0E"/>
    <w:rsid w:val="00491DD5"/>
    <w:rsid w:val="004921CD"/>
    <w:rsid w:val="00492392"/>
    <w:rsid w:val="00492B77"/>
    <w:rsid w:val="00492E46"/>
    <w:rsid w:val="004938D0"/>
    <w:rsid w:val="004939C0"/>
    <w:rsid w:val="00493A71"/>
    <w:rsid w:val="00494092"/>
    <w:rsid w:val="004949D1"/>
    <w:rsid w:val="00494A45"/>
    <w:rsid w:val="00494CEF"/>
    <w:rsid w:val="0049534B"/>
    <w:rsid w:val="0049559C"/>
    <w:rsid w:val="00495B5E"/>
    <w:rsid w:val="00495F09"/>
    <w:rsid w:val="00495F61"/>
    <w:rsid w:val="0049673A"/>
    <w:rsid w:val="00496825"/>
    <w:rsid w:val="004969C9"/>
    <w:rsid w:val="00496D5A"/>
    <w:rsid w:val="00497710"/>
    <w:rsid w:val="004977B7"/>
    <w:rsid w:val="004A009C"/>
    <w:rsid w:val="004A068F"/>
    <w:rsid w:val="004A0B08"/>
    <w:rsid w:val="004A0B6A"/>
    <w:rsid w:val="004A106F"/>
    <w:rsid w:val="004A177D"/>
    <w:rsid w:val="004A1A22"/>
    <w:rsid w:val="004A1B63"/>
    <w:rsid w:val="004A1F77"/>
    <w:rsid w:val="004A2022"/>
    <w:rsid w:val="004A216B"/>
    <w:rsid w:val="004A23A7"/>
    <w:rsid w:val="004A26A7"/>
    <w:rsid w:val="004A26FC"/>
    <w:rsid w:val="004A29B7"/>
    <w:rsid w:val="004A2CBE"/>
    <w:rsid w:val="004A34EA"/>
    <w:rsid w:val="004A38C8"/>
    <w:rsid w:val="004A3DDA"/>
    <w:rsid w:val="004A3FA2"/>
    <w:rsid w:val="004A44AE"/>
    <w:rsid w:val="004A4663"/>
    <w:rsid w:val="004A4706"/>
    <w:rsid w:val="004A4866"/>
    <w:rsid w:val="004A4D66"/>
    <w:rsid w:val="004A4E47"/>
    <w:rsid w:val="004A5121"/>
    <w:rsid w:val="004A5691"/>
    <w:rsid w:val="004A56B9"/>
    <w:rsid w:val="004A587C"/>
    <w:rsid w:val="004A5C6F"/>
    <w:rsid w:val="004A5E43"/>
    <w:rsid w:val="004A61C7"/>
    <w:rsid w:val="004A6235"/>
    <w:rsid w:val="004A63EA"/>
    <w:rsid w:val="004A65E7"/>
    <w:rsid w:val="004A6674"/>
    <w:rsid w:val="004A6677"/>
    <w:rsid w:val="004A6A26"/>
    <w:rsid w:val="004A6B94"/>
    <w:rsid w:val="004A6CB2"/>
    <w:rsid w:val="004A6EA5"/>
    <w:rsid w:val="004A70E8"/>
    <w:rsid w:val="004A730C"/>
    <w:rsid w:val="004A73AE"/>
    <w:rsid w:val="004A772E"/>
    <w:rsid w:val="004B00E3"/>
    <w:rsid w:val="004B0242"/>
    <w:rsid w:val="004B029C"/>
    <w:rsid w:val="004B02FF"/>
    <w:rsid w:val="004B0406"/>
    <w:rsid w:val="004B0745"/>
    <w:rsid w:val="004B0BED"/>
    <w:rsid w:val="004B100E"/>
    <w:rsid w:val="004B1402"/>
    <w:rsid w:val="004B14FC"/>
    <w:rsid w:val="004B1565"/>
    <w:rsid w:val="004B176A"/>
    <w:rsid w:val="004B1A52"/>
    <w:rsid w:val="004B21A3"/>
    <w:rsid w:val="004B288B"/>
    <w:rsid w:val="004B28F9"/>
    <w:rsid w:val="004B3070"/>
    <w:rsid w:val="004B3129"/>
    <w:rsid w:val="004B334D"/>
    <w:rsid w:val="004B33AC"/>
    <w:rsid w:val="004B3692"/>
    <w:rsid w:val="004B38E0"/>
    <w:rsid w:val="004B38F5"/>
    <w:rsid w:val="004B3928"/>
    <w:rsid w:val="004B39FC"/>
    <w:rsid w:val="004B3DB6"/>
    <w:rsid w:val="004B42BA"/>
    <w:rsid w:val="004B42F6"/>
    <w:rsid w:val="004B4D1B"/>
    <w:rsid w:val="004B4D7F"/>
    <w:rsid w:val="004B4F1F"/>
    <w:rsid w:val="004B4F37"/>
    <w:rsid w:val="004B56D2"/>
    <w:rsid w:val="004B57F7"/>
    <w:rsid w:val="004B5823"/>
    <w:rsid w:val="004B58E8"/>
    <w:rsid w:val="004B5D54"/>
    <w:rsid w:val="004B61DA"/>
    <w:rsid w:val="004B6266"/>
    <w:rsid w:val="004B6639"/>
    <w:rsid w:val="004B6A4A"/>
    <w:rsid w:val="004B6F75"/>
    <w:rsid w:val="004B76A3"/>
    <w:rsid w:val="004B778C"/>
    <w:rsid w:val="004B77E8"/>
    <w:rsid w:val="004B786E"/>
    <w:rsid w:val="004B78FA"/>
    <w:rsid w:val="004B7932"/>
    <w:rsid w:val="004B7C32"/>
    <w:rsid w:val="004B7C3C"/>
    <w:rsid w:val="004B7EAB"/>
    <w:rsid w:val="004B7F01"/>
    <w:rsid w:val="004C00B6"/>
    <w:rsid w:val="004C01F9"/>
    <w:rsid w:val="004C021D"/>
    <w:rsid w:val="004C0744"/>
    <w:rsid w:val="004C0913"/>
    <w:rsid w:val="004C0B64"/>
    <w:rsid w:val="004C0BE0"/>
    <w:rsid w:val="004C0CD2"/>
    <w:rsid w:val="004C0D6C"/>
    <w:rsid w:val="004C0F37"/>
    <w:rsid w:val="004C1125"/>
    <w:rsid w:val="004C12BB"/>
    <w:rsid w:val="004C15BC"/>
    <w:rsid w:val="004C15D6"/>
    <w:rsid w:val="004C1997"/>
    <w:rsid w:val="004C19AB"/>
    <w:rsid w:val="004C1A52"/>
    <w:rsid w:val="004C1C66"/>
    <w:rsid w:val="004C22AD"/>
    <w:rsid w:val="004C2321"/>
    <w:rsid w:val="004C26E8"/>
    <w:rsid w:val="004C2AFC"/>
    <w:rsid w:val="004C2B74"/>
    <w:rsid w:val="004C2D3D"/>
    <w:rsid w:val="004C2DB0"/>
    <w:rsid w:val="004C375C"/>
    <w:rsid w:val="004C3828"/>
    <w:rsid w:val="004C39A0"/>
    <w:rsid w:val="004C3BDE"/>
    <w:rsid w:val="004C3C30"/>
    <w:rsid w:val="004C3E81"/>
    <w:rsid w:val="004C4285"/>
    <w:rsid w:val="004C46BB"/>
    <w:rsid w:val="004C4953"/>
    <w:rsid w:val="004C4A82"/>
    <w:rsid w:val="004C4BB9"/>
    <w:rsid w:val="004C4EB4"/>
    <w:rsid w:val="004C51A0"/>
    <w:rsid w:val="004C6226"/>
    <w:rsid w:val="004C64C7"/>
    <w:rsid w:val="004C6DCD"/>
    <w:rsid w:val="004C6DF3"/>
    <w:rsid w:val="004C7231"/>
    <w:rsid w:val="004C72D6"/>
    <w:rsid w:val="004C732C"/>
    <w:rsid w:val="004C73E7"/>
    <w:rsid w:val="004C79CB"/>
    <w:rsid w:val="004C7C96"/>
    <w:rsid w:val="004C7CF6"/>
    <w:rsid w:val="004C7EC7"/>
    <w:rsid w:val="004C7F94"/>
    <w:rsid w:val="004D08EE"/>
    <w:rsid w:val="004D10BF"/>
    <w:rsid w:val="004D14CF"/>
    <w:rsid w:val="004D1C48"/>
    <w:rsid w:val="004D1E6D"/>
    <w:rsid w:val="004D2153"/>
    <w:rsid w:val="004D2674"/>
    <w:rsid w:val="004D2D83"/>
    <w:rsid w:val="004D311A"/>
    <w:rsid w:val="004D3700"/>
    <w:rsid w:val="004D3938"/>
    <w:rsid w:val="004D3AA4"/>
    <w:rsid w:val="004D3B16"/>
    <w:rsid w:val="004D3C3B"/>
    <w:rsid w:val="004D4186"/>
    <w:rsid w:val="004D444D"/>
    <w:rsid w:val="004D4AD9"/>
    <w:rsid w:val="004D4B4B"/>
    <w:rsid w:val="004D4C4D"/>
    <w:rsid w:val="004D4CD0"/>
    <w:rsid w:val="004D4EA5"/>
    <w:rsid w:val="004D4FC2"/>
    <w:rsid w:val="004D504B"/>
    <w:rsid w:val="004D602D"/>
    <w:rsid w:val="004D62D9"/>
    <w:rsid w:val="004D664B"/>
    <w:rsid w:val="004D6876"/>
    <w:rsid w:val="004D69D3"/>
    <w:rsid w:val="004D6AC1"/>
    <w:rsid w:val="004D70CB"/>
    <w:rsid w:val="004D7796"/>
    <w:rsid w:val="004D7A50"/>
    <w:rsid w:val="004E0256"/>
    <w:rsid w:val="004E0360"/>
    <w:rsid w:val="004E03AD"/>
    <w:rsid w:val="004E04B1"/>
    <w:rsid w:val="004E04E1"/>
    <w:rsid w:val="004E04ED"/>
    <w:rsid w:val="004E06CD"/>
    <w:rsid w:val="004E0D0B"/>
    <w:rsid w:val="004E0DE8"/>
    <w:rsid w:val="004E17E3"/>
    <w:rsid w:val="004E183E"/>
    <w:rsid w:val="004E1A3D"/>
    <w:rsid w:val="004E1B39"/>
    <w:rsid w:val="004E1B72"/>
    <w:rsid w:val="004E1C37"/>
    <w:rsid w:val="004E201B"/>
    <w:rsid w:val="004E24A3"/>
    <w:rsid w:val="004E2D98"/>
    <w:rsid w:val="004E2E5E"/>
    <w:rsid w:val="004E2F5F"/>
    <w:rsid w:val="004E2FED"/>
    <w:rsid w:val="004E313E"/>
    <w:rsid w:val="004E3228"/>
    <w:rsid w:val="004E343B"/>
    <w:rsid w:val="004E378A"/>
    <w:rsid w:val="004E3E9E"/>
    <w:rsid w:val="004E47E7"/>
    <w:rsid w:val="004E518D"/>
    <w:rsid w:val="004E5288"/>
    <w:rsid w:val="004E57C3"/>
    <w:rsid w:val="004E5D1E"/>
    <w:rsid w:val="004E5E14"/>
    <w:rsid w:val="004E5F77"/>
    <w:rsid w:val="004E606C"/>
    <w:rsid w:val="004E6083"/>
    <w:rsid w:val="004E629F"/>
    <w:rsid w:val="004E6402"/>
    <w:rsid w:val="004E64D4"/>
    <w:rsid w:val="004E689C"/>
    <w:rsid w:val="004E7038"/>
    <w:rsid w:val="004E72D3"/>
    <w:rsid w:val="004E750D"/>
    <w:rsid w:val="004E765D"/>
    <w:rsid w:val="004E78FC"/>
    <w:rsid w:val="004E7A01"/>
    <w:rsid w:val="004E7A5B"/>
    <w:rsid w:val="004F0093"/>
    <w:rsid w:val="004F04E8"/>
    <w:rsid w:val="004F056E"/>
    <w:rsid w:val="004F0778"/>
    <w:rsid w:val="004F0ADC"/>
    <w:rsid w:val="004F1211"/>
    <w:rsid w:val="004F142E"/>
    <w:rsid w:val="004F173F"/>
    <w:rsid w:val="004F1A7A"/>
    <w:rsid w:val="004F1BCF"/>
    <w:rsid w:val="004F1C21"/>
    <w:rsid w:val="004F1E96"/>
    <w:rsid w:val="004F253C"/>
    <w:rsid w:val="004F2770"/>
    <w:rsid w:val="004F291B"/>
    <w:rsid w:val="004F2E1D"/>
    <w:rsid w:val="004F2E53"/>
    <w:rsid w:val="004F3002"/>
    <w:rsid w:val="004F3341"/>
    <w:rsid w:val="004F3689"/>
    <w:rsid w:val="004F37B6"/>
    <w:rsid w:val="004F3D04"/>
    <w:rsid w:val="004F4072"/>
    <w:rsid w:val="004F42F8"/>
    <w:rsid w:val="004F483C"/>
    <w:rsid w:val="004F4B15"/>
    <w:rsid w:val="004F4CC1"/>
    <w:rsid w:val="004F4FBD"/>
    <w:rsid w:val="004F54AD"/>
    <w:rsid w:val="004F5882"/>
    <w:rsid w:val="004F5949"/>
    <w:rsid w:val="004F5D82"/>
    <w:rsid w:val="004F5E7B"/>
    <w:rsid w:val="004F625C"/>
    <w:rsid w:val="004F6412"/>
    <w:rsid w:val="004F653F"/>
    <w:rsid w:val="004F6559"/>
    <w:rsid w:val="004F68D4"/>
    <w:rsid w:val="004F699B"/>
    <w:rsid w:val="004F72AF"/>
    <w:rsid w:val="004F72D1"/>
    <w:rsid w:val="004F7E82"/>
    <w:rsid w:val="005001DB"/>
    <w:rsid w:val="0050030D"/>
    <w:rsid w:val="00500448"/>
    <w:rsid w:val="0050082C"/>
    <w:rsid w:val="00500A33"/>
    <w:rsid w:val="00500AA8"/>
    <w:rsid w:val="005011CD"/>
    <w:rsid w:val="00501494"/>
    <w:rsid w:val="00501660"/>
    <w:rsid w:val="00501E1B"/>
    <w:rsid w:val="0050220C"/>
    <w:rsid w:val="005022DD"/>
    <w:rsid w:val="0050286E"/>
    <w:rsid w:val="00502D77"/>
    <w:rsid w:val="005033C0"/>
    <w:rsid w:val="005033FD"/>
    <w:rsid w:val="0050399B"/>
    <w:rsid w:val="00503DE8"/>
    <w:rsid w:val="00503E65"/>
    <w:rsid w:val="005041E3"/>
    <w:rsid w:val="005049A7"/>
    <w:rsid w:val="00504AC3"/>
    <w:rsid w:val="00504AEF"/>
    <w:rsid w:val="00504B46"/>
    <w:rsid w:val="00504C4F"/>
    <w:rsid w:val="00504DEC"/>
    <w:rsid w:val="00505057"/>
    <w:rsid w:val="0050555C"/>
    <w:rsid w:val="00505A6E"/>
    <w:rsid w:val="00505BC1"/>
    <w:rsid w:val="00505C63"/>
    <w:rsid w:val="00505F18"/>
    <w:rsid w:val="005060F3"/>
    <w:rsid w:val="0050646B"/>
    <w:rsid w:val="005070DA"/>
    <w:rsid w:val="005070EA"/>
    <w:rsid w:val="0050718F"/>
    <w:rsid w:val="00507E5D"/>
    <w:rsid w:val="00507F8C"/>
    <w:rsid w:val="00510906"/>
    <w:rsid w:val="005109BF"/>
    <w:rsid w:val="00510B22"/>
    <w:rsid w:val="00510D88"/>
    <w:rsid w:val="00510E01"/>
    <w:rsid w:val="005116CF"/>
    <w:rsid w:val="00511C75"/>
    <w:rsid w:val="00512509"/>
    <w:rsid w:val="005127D8"/>
    <w:rsid w:val="00512AA0"/>
    <w:rsid w:val="00512B30"/>
    <w:rsid w:val="00512C6B"/>
    <w:rsid w:val="00512E1C"/>
    <w:rsid w:val="00512E97"/>
    <w:rsid w:val="00513009"/>
    <w:rsid w:val="0051337C"/>
    <w:rsid w:val="00513900"/>
    <w:rsid w:val="00513B6C"/>
    <w:rsid w:val="0051401F"/>
    <w:rsid w:val="00514063"/>
    <w:rsid w:val="0051432A"/>
    <w:rsid w:val="00514BAA"/>
    <w:rsid w:val="00514DC7"/>
    <w:rsid w:val="00514ED8"/>
    <w:rsid w:val="00514F65"/>
    <w:rsid w:val="005154DE"/>
    <w:rsid w:val="00515811"/>
    <w:rsid w:val="00515853"/>
    <w:rsid w:val="00515A12"/>
    <w:rsid w:val="00515C0A"/>
    <w:rsid w:val="00515D61"/>
    <w:rsid w:val="0051600D"/>
    <w:rsid w:val="005163DC"/>
    <w:rsid w:val="005169AA"/>
    <w:rsid w:val="0051742F"/>
    <w:rsid w:val="0051785C"/>
    <w:rsid w:val="00520067"/>
    <w:rsid w:val="0052011A"/>
    <w:rsid w:val="00520894"/>
    <w:rsid w:val="00521242"/>
    <w:rsid w:val="005215D7"/>
    <w:rsid w:val="005219C4"/>
    <w:rsid w:val="00521A80"/>
    <w:rsid w:val="00521DF5"/>
    <w:rsid w:val="00521DF9"/>
    <w:rsid w:val="00522C15"/>
    <w:rsid w:val="00523716"/>
    <w:rsid w:val="00523764"/>
    <w:rsid w:val="00523B68"/>
    <w:rsid w:val="00523FE0"/>
    <w:rsid w:val="0052427C"/>
    <w:rsid w:val="0052459F"/>
    <w:rsid w:val="00524C78"/>
    <w:rsid w:val="0052540E"/>
    <w:rsid w:val="00525552"/>
    <w:rsid w:val="00525D2C"/>
    <w:rsid w:val="00525E29"/>
    <w:rsid w:val="0052619D"/>
    <w:rsid w:val="00526283"/>
    <w:rsid w:val="00526F51"/>
    <w:rsid w:val="00527365"/>
    <w:rsid w:val="005276F9"/>
    <w:rsid w:val="0052781B"/>
    <w:rsid w:val="00527A89"/>
    <w:rsid w:val="00527AF7"/>
    <w:rsid w:val="005307B4"/>
    <w:rsid w:val="005308BC"/>
    <w:rsid w:val="00530CFD"/>
    <w:rsid w:val="00530D59"/>
    <w:rsid w:val="00530E90"/>
    <w:rsid w:val="00530EBD"/>
    <w:rsid w:val="00530F4E"/>
    <w:rsid w:val="0053101D"/>
    <w:rsid w:val="00531139"/>
    <w:rsid w:val="005317F7"/>
    <w:rsid w:val="005318E5"/>
    <w:rsid w:val="00531907"/>
    <w:rsid w:val="00531A03"/>
    <w:rsid w:val="00531C44"/>
    <w:rsid w:val="00531D71"/>
    <w:rsid w:val="0053291D"/>
    <w:rsid w:val="00532A4C"/>
    <w:rsid w:val="00532F01"/>
    <w:rsid w:val="00532F9F"/>
    <w:rsid w:val="00532FAC"/>
    <w:rsid w:val="005330FF"/>
    <w:rsid w:val="00533101"/>
    <w:rsid w:val="00533342"/>
    <w:rsid w:val="0053334F"/>
    <w:rsid w:val="0053411D"/>
    <w:rsid w:val="00534259"/>
    <w:rsid w:val="00534338"/>
    <w:rsid w:val="00534485"/>
    <w:rsid w:val="005346F4"/>
    <w:rsid w:val="005347A9"/>
    <w:rsid w:val="00534FCE"/>
    <w:rsid w:val="0053569C"/>
    <w:rsid w:val="005356D9"/>
    <w:rsid w:val="00535A47"/>
    <w:rsid w:val="00535B55"/>
    <w:rsid w:val="00535BC6"/>
    <w:rsid w:val="00535DB9"/>
    <w:rsid w:val="00536D9B"/>
    <w:rsid w:val="00536DC2"/>
    <w:rsid w:val="005371B6"/>
    <w:rsid w:val="00537ABD"/>
    <w:rsid w:val="0054054A"/>
    <w:rsid w:val="0054068E"/>
    <w:rsid w:val="0054098B"/>
    <w:rsid w:val="00540C2F"/>
    <w:rsid w:val="0054105D"/>
    <w:rsid w:val="00541099"/>
    <w:rsid w:val="005410E9"/>
    <w:rsid w:val="00541DC2"/>
    <w:rsid w:val="00541F8A"/>
    <w:rsid w:val="00542642"/>
    <w:rsid w:val="00542AB1"/>
    <w:rsid w:val="00542BF6"/>
    <w:rsid w:val="00542E20"/>
    <w:rsid w:val="00542ED9"/>
    <w:rsid w:val="00543E63"/>
    <w:rsid w:val="0054424A"/>
    <w:rsid w:val="0054454A"/>
    <w:rsid w:val="00544C5E"/>
    <w:rsid w:val="00544D06"/>
    <w:rsid w:val="00545045"/>
    <w:rsid w:val="00545077"/>
    <w:rsid w:val="0054527D"/>
    <w:rsid w:val="0054544B"/>
    <w:rsid w:val="0054555B"/>
    <w:rsid w:val="00545900"/>
    <w:rsid w:val="00545D88"/>
    <w:rsid w:val="00546765"/>
    <w:rsid w:val="00547036"/>
    <w:rsid w:val="005475AF"/>
    <w:rsid w:val="005477C4"/>
    <w:rsid w:val="00547CF2"/>
    <w:rsid w:val="00547DF6"/>
    <w:rsid w:val="005500D3"/>
    <w:rsid w:val="00550631"/>
    <w:rsid w:val="00550959"/>
    <w:rsid w:val="00550A41"/>
    <w:rsid w:val="00550E05"/>
    <w:rsid w:val="005514CC"/>
    <w:rsid w:val="0055212F"/>
    <w:rsid w:val="00552CC2"/>
    <w:rsid w:val="00552D11"/>
    <w:rsid w:val="00553ABC"/>
    <w:rsid w:val="00553E6A"/>
    <w:rsid w:val="00554053"/>
    <w:rsid w:val="005542A2"/>
    <w:rsid w:val="00554343"/>
    <w:rsid w:val="005544DD"/>
    <w:rsid w:val="00554861"/>
    <w:rsid w:val="005557EE"/>
    <w:rsid w:val="00555A61"/>
    <w:rsid w:val="00555CCD"/>
    <w:rsid w:val="005560CB"/>
    <w:rsid w:val="0055641A"/>
    <w:rsid w:val="00556473"/>
    <w:rsid w:val="005565B6"/>
    <w:rsid w:val="00556CCC"/>
    <w:rsid w:val="005570F8"/>
    <w:rsid w:val="0055751D"/>
    <w:rsid w:val="0055772B"/>
    <w:rsid w:val="005577A1"/>
    <w:rsid w:val="00557A1D"/>
    <w:rsid w:val="00557D30"/>
    <w:rsid w:val="00557F90"/>
    <w:rsid w:val="005602B5"/>
    <w:rsid w:val="00560678"/>
    <w:rsid w:val="00560B0C"/>
    <w:rsid w:val="00560B68"/>
    <w:rsid w:val="00560BA7"/>
    <w:rsid w:val="00560C6F"/>
    <w:rsid w:val="00560FD6"/>
    <w:rsid w:val="00561297"/>
    <w:rsid w:val="0056144D"/>
    <w:rsid w:val="00561E73"/>
    <w:rsid w:val="0056200F"/>
    <w:rsid w:val="005621E8"/>
    <w:rsid w:val="0056224B"/>
    <w:rsid w:val="005623D3"/>
    <w:rsid w:val="005625FB"/>
    <w:rsid w:val="005627C2"/>
    <w:rsid w:val="00562930"/>
    <w:rsid w:val="00562C49"/>
    <w:rsid w:val="005630DA"/>
    <w:rsid w:val="00563151"/>
    <w:rsid w:val="005633EC"/>
    <w:rsid w:val="0056348C"/>
    <w:rsid w:val="0056365F"/>
    <w:rsid w:val="00563855"/>
    <w:rsid w:val="00563CB8"/>
    <w:rsid w:val="00563FC4"/>
    <w:rsid w:val="0056407C"/>
    <w:rsid w:val="0056491B"/>
    <w:rsid w:val="00564A4C"/>
    <w:rsid w:val="00564D9A"/>
    <w:rsid w:val="00564DBD"/>
    <w:rsid w:val="0056519A"/>
    <w:rsid w:val="005653E7"/>
    <w:rsid w:val="00565A22"/>
    <w:rsid w:val="00565C97"/>
    <w:rsid w:val="00566093"/>
    <w:rsid w:val="0056638C"/>
    <w:rsid w:val="005663A6"/>
    <w:rsid w:val="005663D8"/>
    <w:rsid w:val="0056682D"/>
    <w:rsid w:val="00566B99"/>
    <w:rsid w:val="00566C0C"/>
    <w:rsid w:val="00566FF7"/>
    <w:rsid w:val="005670C9"/>
    <w:rsid w:val="00567285"/>
    <w:rsid w:val="005672CF"/>
    <w:rsid w:val="00567385"/>
    <w:rsid w:val="00567421"/>
    <w:rsid w:val="00567470"/>
    <w:rsid w:val="0056751B"/>
    <w:rsid w:val="005679C6"/>
    <w:rsid w:val="0057005B"/>
    <w:rsid w:val="00570A3E"/>
    <w:rsid w:val="0057167D"/>
    <w:rsid w:val="00571934"/>
    <w:rsid w:val="00571A59"/>
    <w:rsid w:val="00571D26"/>
    <w:rsid w:val="00571D4C"/>
    <w:rsid w:val="00571E6C"/>
    <w:rsid w:val="005721AF"/>
    <w:rsid w:val="00572504"/>
    <w:rsid w:val="00572513"/>
    <w:rsid w:val="00572692"/>
    <w:rsid w:val="0057280B"/>
    <w:rsid w:val="00572AC9"/>
    <w:rsid w:val="00572E52"/>
    <w:rsid w:val="00572FBA"/>
    <w:rsid w:val="005730CD"/>
    <w:rsid w:val="0057335F"/>
    <w:rsid w:val="005734D4"/>
    <w:rsid w:val="00573E77"/>
    <w:rsid w:val="005746F4"/>
    <w:rsid w:val="00574852"/>
    <w:rsid w:val="00574B23"/>
    <w:rsid w:val="00574E54"/>
    <w:rsid w:val="00574E7A"/>
    <w:rsid w:val="00574EE5"/>
    <w:rsid w:val="00574F43"/>
    <w:rsid w:val="00575227"/>
    <w:rsid w:val="005752BD"/>
    <w:rsid w:val="0057535E"/>
    <w:rsid w:val="005757F4"/>
    <w:rsid w:val="00575B9F"/>
    <w:rsid w:val="00575E5D"/>
    <w:rsid w:val="00575E6B"/>
    <w:rsid w:val="00575EC8"/>
    <w:rsid w:val="0057609E"/>
    <w:rsid w:val="00576640"/>
    <w:rsid w:val="0057666A"/>
    <w:rsid w:val="0057688D"/>
    <w:rsid w:val="005769EE"/>
    <w:rsid w:val="00576A4B"/>
    <w:rsid w:val="00576C54"/>
    <w:rsid w:val="00576D28"/>
    <w:rsid w:val="00576FDD"/>
    <w:rsid w:val="00577C03"/>
    <w:rsid w:val="00577D89"/>
    <w:rsid w:val="0058017A"/>
    <w:rsid w:val="005805E5"/>
    <w:rsid w:val="00580750"/>
    <w:rsid w:val="00580B28"/>
    <w:rsid w:val="00580C28"/>
    <w:rsid w:val="00581668"/>
    <w:rsid w:val="005818E7"/>
    <w:rsid w:val="00581C47"/>
    <w:rsid w:val="00581C7E"/>
    <w:rsid w:val="00581F96"/>
    <w:rsid w:val="00582484"/>
    <w:rsid w:val="00582A91"/>
    <w:rsid w:val="00583096"/>
    <w:rsid w:val="005832A9"/>
    <w:rsid w:val="005837D1"/>
    <w:rsid w:val="00583D1B"/>
    <w:rsid w:val="00583DF0"/>
    <w:rsid w:val="00583E8F"/>
    <w:rsid w:val="00583F3D"/>
    <w:rsid w:val="00583FFC"/>
    <w:rsid w:val="00584504"/>
    <w:rsid w:val="005846CD"/>
    <w:rsid w:val="005848AA"/>
    <w:rsid w:val="00584FE1"/>
    <w:rsid w:val="005851E9"/>
    <w:rsid w:val="005853C5"/>
    <w:rsid w:val="005855E0"/>
    <w:rsid w:val="00585A8F"/>
    <w:rsid w:val="00585BD6"/>
    <w:rsid w:val="00586150"/>
    <w:rsid w:val="0058624C"/>
    <w:rsid w:val="00586364"/>
    <w:rsid w:val="005863E1"/>
    <w:rsid w:val="005868C0"/>
    <w:rsid w:val="00586BF8"/>
    <w:rsid w:val="00586DBA"/>
    <w:rsid w:val="005870E7"/>
    <w:rsid w:val="005870E9"/>
    <w:rsid w:val="00587261"/>
    <w:rsid w:val="0058786F"/>
    <w:rsid w:val="00587B88"/>
    <w:rsid w:val="00587E62"/>
    <w:rsid w:val="005902E0"/>
    <w:rsid w:val="0059058C"/>
    <w:rsid w:val="00590947"/>
    <w:rsid w:val="00590A60"/>
    <w:rsid w:val="00590A9B"/>
    <w:rsid w:val="00590BB9"/>
    <w:rsid w:val="00590FA7"/>
    <w:rsid w:val="0059107F"/>
    <w:rsid w:val="0059131A"/>
    <w:rsid w:val="0059142C"/>
    <w:rsid w:val="00591526"/>
    <w:rsid w:val="0059158F"/>
    <w:rsid w:val="00591A45"/>
    <w:rsid w:val="00591CD7"/>
    <w:rsid w:val="005924EF"/>
    <w:rsid w:val="00592672"/>
    <w:rsid w:val="00592828"/>
    <w:rsid w:val="00592967"/>
    <w:rsid w:val="00592F42"/>
    <w:rsid w:val="0059301A"/>
    <w:rsid w:val="00593679"/>
    <w:rsid w:val="00593908"/>
    <w:rsid w:val="0059391D"/>
    <w:rsid w:val="00593B5A"/>
    <w:rsid w:val="00593CF8"/>
    <w:rsid w:val="00594298"/>
    <w:rsid w:val="0059456F"/>
    <w:rsid w:val="0059477B"/>
    <w:rsid w:val="00594AC4"/>
    <w:rsid w:val="005951CA"/>
    <w:rsid w:val="005954A8"/>
    <w:rsid w:val="005957A9"/>
    <w:rsid w:val="005957B6"/>
    <w:rsid w:val="0059603F"/>
    <w:rsid w:val="00596232"/>
    <w:rsid w:val="00596261"/>
    <w:rsid w:val="00596553"/>
    <w:rsid w:val="005974A0"/>
    <w:rsid w:val="00597510"/>
    <w:rsid w:val="00597B00"/>
    <w:rsid w:val="00597CEA"/>
    <w:rsid w:val="005A009B"/>
    <w:rsid w:val="005A055A"/>
    <w:rsid w:val="005A0CBA"/>
    <w:rsid w:val="005A0D7D"/>
    <w:rsid w:val="005A0F9B"/>
    <w:rsid w:val="005A1016"/>
    <w:rsid w:val="005A12A4"/>
    <w:rsid w:val="005A1696"/>
    <w:rsid w:val="005A1A48"/>
    <w:rsid w:val="005A1C72"/>
    <w:rsid w:val="005A1E58"/>
    <w:rsid w:val="005A2269"/>
    <w:rsid w:val="005A2CD8"/>
    <w:rsid w:val="005A2FFD"/>
    <w:rsid w:val="005A3715"/>
    <w:rsid w:val="005A3E69"/>
    <w:rsid w:val="005A4115"/>
    <w:rsid w:val="005A4470"/>
    <w:rsid w:val="005A44DD"/>
    <w:rsid w:val="005A459D"/>
    <w:rsid w:val="005A4794"/>
    <w:rsid w:val="005A4A17"/>
    <w:rsid w:val="005A4BEB"/>
    <w:rsid w:val="005A4D2B"/>
    <w:rsid w:val="005A4EBB"/>
    <w:rsid w:val="005A4F82"/>
    <w:rsid w:val="005A5242"/>
    <w:rsid w:val="005A5259"/>
    <w:rsid w:val="005A54E0"/>
    <w:rsid w:val="005A588E"/>
    <w:rsid w:val="005A5979"/>
    <w:rsid w:val="005A5B73"/>
    <w:rsid w:val="005A60FE"/>
    <w:rsid w:val="005A6612"/>
    <w:rsid w:val="005A66F3"/>
    <w:rsid w:val="005A6776"/>
    <w:rsid w:val="005A67BB"/>
    <w:rsid w:val="005A69AC"/>
    <w:rsid w:val="005A6AA5"/>
    <w:rsid w:val="005A6AE5"/>
    <w:rsid w:val="005A6CEF"/>
    <w:rsid w:val="005A714C"/>
    <w:rsid w:val="005A745A"/>
    <w:rsid w:val="005A7792"/>
    <w:rsid w:val="005A7A1D"/>
    <w:rsid w:val="005B0045"/>
    <w:rsid w:val="005B00AB"/>
    <w:rsid w:val="005B01FF"/>
    <w:rsid w:val="005B03F0"/>
    <w:rsid w:val="005B0586"/>
    <w:rsid w:val="005B0595"/>
    <w:rsid w:val="005B0714"/>
    <w:rsid w:val="005B0D4A"/>
    <w:rsid w:val="005B0F8E"/>
    <w:rsid w:val="005B1B2F"/>
    <w:rsid w:val="005B1DC5"/>
    <w:rsid w:val="005B226E"/>
    <w:rsid w:val="005B26CF"/>
    <w:rsid w:val="005B28C9"/>
    <w:rsid w:val="005B330F"/>
    <w:rsid w:val="005B35D3"/>
    <w:rsid w:val="005B3707"/>
    <w:rsid w:val="005B3741"/>
    <w:rsid w:val="005B39BB"/>
    <w:rsid w:val="005B3B46"/>
    <w:rsid w:val="005B3E21"/>
    <w:rsid w:val="005B450D"/>
    <w:rsid w:val="005B4815"/>
    <w:rsid w:val="005B49E3"/>
    <w:rsid w:val="005B4D71"/>
    <w:rsid w:val="005B4E0F"/>
    <w:rsid w:val="005B4EA7"/>
    <w:rsid w:val="005B534B"/>
    <w:rsid w:val="005B5B94"/>
    <w:rsid w:val="005B5CE8"/>
    <w:rsid w:val="005B6BC2"/>
    <w:rsid w:val="005B7097"/>
    <w:rsid w:val="005B7343"/>
    <w:rsid w:val="005B7463"/>
    <w:rsid w:val="005B74A2"/>
    <w:rsid w:val="005B7B24"/>
    <w:rsid w:val="005B7FCB"/>
    <w:rsid w:val="005C0299"/>
    <w:rsid w:val="005C057D"/>
    <w:rsid w:val="005C0754"/>
    <w:rsid w:val="005C0837"/>
    <w:rsid w:val="005C09E9"/>
    <w:rsid w:val="005C0FE5"/>
    <w:rsid w:val="005C1D95"/>
    <w:rsid w:val="005C1EE5"/>
    <w:rsid w:val="005C260E"/>
    <w:rsid w:val="005C276E"/>
    <w:rsid w:val="005C3031"/>
    <w:rsid w:val="005C31BC"/>
    <w:rsid w:val="005C3548"/>
    <w:rsid w:val="005C3D59"/>
    <w:rsid w:val="005C46C8"/>
    <w:rsid w:val="005C477B"/>
    <w:rsid w:val="005C48EE"/>
    <w:rsid w:val="005C4993"/>
    <w:rsid w:val="005C49FE"/>
    <w:rsid w:val="005C4C46"/>
    <w:rsid w:val="005C5280"/>
    <w:rsid w:val="005C5AE6"/>
    <w:rsid w:val="005C5B56"/>
    <w:rsid w:val="005C5B70"/>
    <w:rsid w:val="005C5CD7"/>
    <w:rsid w:val="005C60B6"/>
    <w:rsid w:val="005C64E8"/>
    <w:rsid w:val="005C65FF"/>
    <w:rsid w:val="005C6822"/>
    <w:rsid w:val="005C6C7D"/>
    <w:rsid w:val="005C70DF"/>
    <w:rsid w:val="005C789C"/>
    <w:rsid w:val="005C7966"/>
    <w:rsid w:val="005C7A50"/>
    <w:rsid w:val="005C7D87"/>
    <w:rsid w:val="005D0420"/>
    <w:rsid w:val="005D05BE"/>
    <w:rsid w:val="005D073C"/>
    <w:rsid w:val="005D0E69"/>
    <w:rsid w:val="005D1412"/>
    <w:rsid w:val="005D1940"/>
    <w:rsid w:val="005D1C48"/>
    <w:rsid w:val="005D2718"/>
    <w:rsid w:val="005D2810"/>
    <w:rsid w:val="005D2B08"/>
    <w:rsid w:val="005D2C6C"/>
    <w:rsid w:val="005D302C"/>
    <w:rsid w:val="005D314B"/>
    <w:rsid w:val="005D32EC"/>
    <w:rsid w:val="005D3715"/>
    <w:rsid w:val="005D3A6C"/>
    <w:rsid w:val="005D3A87"/>
    <w:rsid w:val="005D3B8B"/>
    <w:rsid w:val="005D4563"/>
    <w:rsid w:val="005D46EF"/>
    <w:rsid w:val="005D47EA"/>
    <w:rsid w:val="005D47F1"/>
    <w:rsid w:val="005D4961"/>
    <w:rsid w:val="005D4BB9"/>
    <w:rsid w:val="005D4F79"/>
    <w:rsid w:val="005D508B"/>
    <w:rsid w:val="005D5132"/>
    <w:rsid w:val="005D5216"/>
    <w:rsid w:val="005D601E"/>
    <w:rsid w:val="005D609A"/>
    <w:rsid w:val="005D642F"/>
    <w:rsid w:val="005D674E"/>
    <w:rsid w:val="005D67CB"/>
    <w:rsid w:val="005D68E4"/>
    <w:rsid w:val="005D69CC"/>
    <w:rsid w:val="005D6C04"/>
    <w:rsid w:val="005D6C39"/>
    <w:rsid w:val="005D6CED"/>
    <w:rsid w:val="005D73C4"/>
    <w:rsid w:val="005D7BA0"/>
    <w:rsid w:val="005D7C5E"/>
    <w:rsid w:val="005E02AB"/>
    <w:rsid w:val="005E0D8F"/>
    <w:rsid w:val="005E1205"/>
    <w:rsid w:val="005E1425"/>
    <w:rsid w:val="005E143C"/>
    <w:rsid w:val="005E1546"/>
    <w:rsid w:val="005E1581"/>
    <w:rsid w:val="005E19C1"/>
    <w:rsid w:val="005E211A"/>
    <w:rsid w:val="005E22D7"/>
    <w:rsid w:val="005E267D"/>
    <w:rsid w:val="005E26A9"/>
    <w:rsid w:val="005E37AB"/>
    <w:rsid w:val="005E3CEE"/>
    <w:rsid w:val="005E3E79"/>
    <w:rsid w:val="005E3F2F"/>
    <w:rsid w:val="005E40BB"/>
    <w:rsid w:val="005E42B5"/>
    <w:rsid w:val="005E4A91"/>
    <w:rsid w:val="005E4CFD"/>
    <w:rsid w:val="005E4D8C"/>
    <w:rsid w:val="005E4DC0"/>
    <w:rsid w:val="005E50E8"/>
    <w:rsid w:val="005E559B"/>
    <w:rsid w:val="005E55E9"/>
    <w:rsid w:val="005E5DCA"/>
    <w:rsid w:val="005E6286"/>
    <w:rsid w:val="005E6B63"/>
    <w:rsid w:val="005E718D"/>
    <w:rsid w:val="005E7357"/>
    <w:rsid w:val="005E7A82"/>
    <w:rsid w:val="005F014E"/>
    <w:rsid w:val="005F038A"/>
    <w:rsid w:val="005F0760"/>
    <w:rsid w:val="005F0A2B"/>
    <w:rsid w:val="005F0F01"/>
    <w:rsid w:val="005F1161"/>
    <w:rsid w:val="005F1354"/>
    <w:rsid w:val="005F1684"/>
    <w:rsid w:val="005F1773"/>
    <w:rsid w:val="005F1914"/>
    <w:rsid w:val="005F1AA0"/>
    <w:rsid w:val="005F1BAD"/>
    <w:rsid w:val="005F1CB9"/>
    <w:rsid w:val="005F1E2B"/>
    <w:rsid w:val="005F2D9A"/>
    <w:rsid w:val="005F2EE0"/>
    <w:rsid w:val="005F3068"/>
    <w:rsid w:val="005F34AB"/>
    <w:rsid w:val="005F3B47"/>
    <w:rsid w:val="005F3C27"/>
    <w:rsid w:val="005F3CDB"/>
    <w:rsid w:val="005F4123"/>
    <w:rsid w:val="005F4417"/>
    <w:rsid w:val="005F4B49"/>
    <w:rsid w:val="005F4F0D"/>
    <w:rsid w:val="005F54AD"/>
    <w:rsid w:val="005F57B0"/>
    <w:rsid w:val="005F57E2"/>
    <w:rsid w:val="005F59DF"/>
    <w:rsid w:val="005F65F1"/>
    <w:rsid w:val="005F68D0"/>
    <w:rsid w:val="005F6DEC"/>
    <w:rsid w:val="005F708F"/>
    <w:rsid w:val="005F7235"/>
    <w:rsid w:val="005F727D"/>
    <w:rsid w:val="005F7513"/>
    <w:rsid w:val="005F7A67"/>
    <w:rsid w:val="005F7AF2"/>
    <w:rsid w:val="005F7B28"/>
    <w:rsid w:val="005F7B89"/>
    <w:rsid w:val="005F7BD6"/>
    <w:rsid w:val="005F7BE6"/>
    <w:rsid w:val="005F7C35"/>
    <w:rsid w:val="0060006C"/>
    <w:rsid w:val="006007D0"/>
    <w:rsid w:val="00600BA2"/>
    <w:rsid w:val="00600CBA"/>
    <w:rsid w:val="006012C0"/>
    <w:rsid w:val="00601833"/>
    <w:rsid w:val="00601BAD"/>
    <w:rsid w:val="00601D58"/>
    <w:rsid w:val="006022E9"/>
    <w:rsid w:val="00602C60"/>
    <w:rsid w:val="00602EA3"/>
    <w:rsid w:val="006030D4"/>
    <w:rsid w:val="0060318A"/>
    <w:rsid w:val="0060338E"/>
    <w:rsid w:val="00603C5C"/>
    <w:rsid w:val="00603C80"/>
    <w:rsid w:val="00603F5D"/>
    <w:rsid w:val="0060409A"/>
    <w:rsid w:val="006046C5"/>
    <w:rsid w:val="00604E20"/>
    <w:rsid w:val="006050DB"/>
    <w:rsid w:val="0060537A"/>
    <w:rsid w:val="00605A8B"/>
    <w:rsid w:val="006061B3"/>
    <w:rsid w:val="0060621E"/>
    <w:rsid w:val="00606254"/>
    <w:rsid w:val="00606262"/>
    <w:rsid w:val="00606A1F"/>
    <w:rsid w:val="00606CBF"/>
    <w:rsid w:val="0060755C"/>
    <w:rsid w:val="0060786D"/>
    <w:rsid w:val="00607915"/>
    <w:rsid w:val="00607940"/>
    <w:rsid w:val="006079D3"/>
    <w:rsid w:val="00607A77"/>
    <w:rsid w:val="00607ADA"/>
    <w:rsid w:val="00607BE0"/>
    <w:rsid w:val="0061014A"/>
    <w:rsid w:val="0061074D"/>
    <w:rsid w:val="006109D4"/>
    <w:rsid w:val="006109FC"/>
    <w:rsid w:val="00610A78"/>
    <w:rsid w:val="0061113B"/>
    <w:rsid w:val="00611513"/>
    <w:rsid w:val="0061158D"/>
    <w:rsid w:val="00611BED"/>
    <w:rsid w:val="00611FC7"/>
    <w:rsid w:val="00612794"/>
    <w:rsid w:val="006128C3"/>
    <w:rsid w:val="00612F29"/>
    <w:rsid w:val="0061386C"/>
    <w:rsid w:val="00613B52"/>
    <w:rsid w:val="00613B77"/>
    <w:rsid w:val="00613E0B"/>
    <w:rsid w:val="00613EEC"/>
    <w:rsid w:val="0061425E"/>
    <w:rsid w:val="006142E4"/>
    <w:rsid w:val="00614584"/>
    <w:rsid w:val="00615187"/>
    <w:rsid w:val="006158BA"/>
    <w:rsid w:val="0061596E"/>
    <w:rsid w:val="00615A72"/>
    <w:rsid w:val="00615AC6"/>
    <w:rsid w:val="00615E28"/>
    <w:rsid w:val="00615E3E"/>
    <w:rsid w:val="00616011"/>
    <w:rsid w:val="00616052"/>
    <w:rsid w:val="00616071"/>
    <w:rsid w:val="00616074"/>
    <w:rsid w:val="00616195"/>
    <w:rsid w:val="0061626D"/>
    <w:rsid w:val="006163A0"/>
    <w:rsid w:val="00616457"/>
    <w:rsid w:val="00616646"/>
    <w:rsid w:val="006167E8"/>
    <w:rsid w:val="00616A3D"/>
    <w:rsid w:val="00616ADA"/>
    <w:rsid w:val="00616D5B"/>
    <w:rsid w:val="00617111"/>
    <w:rsid w:val="0061714C"/>
    <w:rsid w:val="0061763D"/>
    <w:rsid w:val="00617A25"/>
    <w:rsid w:val="006200D9"/>
    <w:rsid w:val="006203D0"/>
    <w:rsid w:val="006205C7"/>
    <w:rsid w:val="006207FA"/>
    <w:rsid w:val="00620A7D"/>
    <w:rsid w:val="00621095"/>
    <w:rsid w:val="006212B7"/>
    <w:rsid w:val="006212C5"/>
    <w:rsid w:val="00621666"/>
    <w:rsid w:val="006218C4"/>
    <w:rsid w:val="00621B0A"/>
    <w:rsid w:val="00621E68"/>
    <w:rsid w:val="00621F0E"/>
    <w:rsid w:val="00622098"/>
    <w:rsid w:val="006226AD"/>
    <w:rsid w:val="0062273B"/>
    <w:rsid w:val="00622DE8"/>
    <w:rsid w:val="00622EDF"/>
    <w:rsid w:val="00623346"/>
    <w:rsid w:val="00623BD5"/>
    <w:rsid w:val="00623CED"/>
    <w:rsid w:val="00623DA4"/>
    <w:rsid w:val="00623F6F"/>
    <w:rsid w:val="0062473F"/>
    <w:rsid w:val="006254C8"/>
    <w:rsid w:val="00625897"/>
    <w:rsid w:val="00625BC0"/>
    <w:rsid w:val="00626228"/>
    <w:rsid w:val="00626264"/>
    <w:rsid w:val="006263A6"/>
    <w:rsid w:val="0062648F"/>
    <w:rsid w:val="00626667"/>
    <w:rsid w:val="0062685F"/>
    <w:rsid w:val="00626B47"/>
    <w:rsid w:val="006272C6"/>
    <w:rsid w:val="00627300"/>
    <w:rsid w:val="006274CC"/>
    <w:rsid w:val="006279A0"/>
    <w:rsid w:val="00627C3B"/>
    <w:rsid w:val="00630624"/>
    <w:rsid w:val="006307F2"/>
    <w:rsid w:val="006308D5"/>
    <w:rsid w:val="00630A3D"/>
    <w:rsid w:val="00631179"/>
    <w:rsid w:val="006312AD"/>
    <w:rsid w:val="006318C3"/>
    <w:rsid w:val="00632C66"/>
    <w:rsid w:val="0063324A"/>
    <w:rsid w:val="0063349E"/>
    <w:rsid w:val="006338BB"/>
    <w:rsid w:val="006338E7"/>
    <w:rsid w:val="00633911"/>
    <w:rsid w:val="00633B5D"/>
    <w:rsid w:val="0063401F"/>
    <w:rsid w:val="00634110"/>
    <w:rsid w:val="006345E7"/>
    <w:rsid w:val="00634617"/>
    <w:rsid w:val="006346C4"/>
    <w:rsid w:val="0063483A"/>
    <w:rsid w:val="00634CAD"/>
    <w:rsid w:val="00634F11"/>
    <w:rsid w:val="0063504A"/>
    <w:rsid w:val="00635151"/>
    <w:rsid w:val="006353AE"/>
    <w:rsid w:val="006356DE"/>
    <w:rsid w:val="006358C7"/>
    <w:rsid w:val="00635D6D"/>
    <w:rsid w:val="006368DB"/>
    <w:rsid w:val="00636BBD"/>
    <w:rsid w:val="00636EC9"/>
    <w:rsid w:val="00636F75"/>
    <w:rsid w:val="0063759A"/>
    <w:rsid w:val="006376F2"/>
    <w:rsid w:val="006400B6"/>
    <w:rsid w:val="006400D7"/>
    <w:rsid w:val="0064038E"/>
    <w:rsid w:val="00640495"/>
    <w:rsid w:val="0064099D"/>
    <w:rsid w:val="00640EFC"/>
    <w:rsid w:val="00640FC8"/>
    <w:rsid w:val="006411A9"/>
    <w:rsid w:val="006417EC"/>
    <w:rsid w:val="00641824"/>
    <w:rsid w:val="0064185F"/>
    <w:rsid w:val="0064198F"/>
    <w:rsid w:val="00641DA1"/>
    <w:rsid w:val="00641EB8"/>
    <w:rsid w:val="00641F25"/>
    <w:rsid w:val="00642705"/>
    <w:rsid w:val="00643287"/>
    <w:rsid w:val="00643452"/>
    <w:rsid w:val="006434ED"/>
    <w:rsid w:val="00643EE8"/>
    <w:rsid w:val="0064428E"/>
    <w:rsid w:val="0064455E"/>
    <w:rsid w:val="00644686"/>
    <w:rsid w:val="00645BB3"/>
    <w:rsid w:val="00645F06"/>
    <w:rsid w:val="006460B3"/>
    <w:rsid w:val="006460E8"/>
    <w:rsid w:val="0064669B"/>
    <w:rsid w:val="00646822"/>
    <w:rsid w:val="006468AE"/>
    <w:rsid w:val="00646C93"/>
    <w:rsid w:val="0064708B"/>
    <w:rsid w:val="006471A9"/>
    <w:rsid w:val="006472F8"/>
    <w:rsid w:val="006473A8"/>
    <w:rsid w:val="00647444"/>
    <w:rsid w:val="006475FF"/>
    <w:rsid w:val="0064782A"/>
    <w:rsid w:val="00647A60"/>
    <w:rsid w:val="00647D2E"/>
    <w:rsid w:val="00647EE6"/>
    <w:rsid w:val="00647FBF"/>
    <w:rsid w:val="006506D1"/>
    <w:rsid w:val="006508CB"/>
    <w:rsid w:val="00650A56"/>
    <w:rsid w:val="00651384"/>
    <w:rsid w:val="0065182E"/>
    <w:rsid w:val="00651993"/>
    <w:rsid w:val="00651B49"/>
    <w:rsid w:val="0065219C"/>
    <w:rsid w:val="00652649"/>
    <w:rsid w:val="00652A5B"/>
    <w:rsid w:val="00653603"/>
    <w:rsid w:val="006537DD"/>
    <w:rsid w:val="00653ACC"/>
    <w:rsid w:val="00653B8A"/>
    <w:rsid w:val="00653EAA"/>
    <w:rsid w:val="00654201"/>
    <w:rsid w:val="006542B3"/>
    <w:rsid w:val="0065484B"/>
    <w:rsid w:val="00654C91"/>
    <w:rsid w:val="00655296"/>
    <w:rsid w:val="00655AA7"/>
    <w:rsid w:val="00655B25"/>
    <w:rsid w:val="0065601A"/>
    <w:rsid w:val="0065640C"/>
    <w:rsid w:val="00656721"/>
    <w:rsid w:val="00656CC8"/>
    <w:rsid w:val="00656D27"/>
    <w:rsid w:val="00656D85"/>
    <w:rsid w:val="00656F88"/>
    <w:rsid w:val="006574F0"/>
    <w:rsid w:val="00657513"/>
    <w:rsid w:val="006575A1"/>
    <w:rsid w:val="00657A37"/>
    <w:rsid w:val="00657FD9"/>
    <w:rsid w:val="00660637"/>
    <w:rsid w:val="0066069F"/>
    <w:rsid w:val="00660705"/>
    <w:rsid w:val="00661506"/>
    <w:rsid w:val="00661948"/>
    <w:rsid w:val="006620F8"/>
    <w:rsid w:val="00662287"/>
    <w:rsid w:val="006623C2"/>
    <w:rsid w:val="006626CB"/>
    <w:rsid w:val="006626D4"/>
    <w:rsid w:val="006627BC"/>
    <w:rsid w:val="00662A03"/>
    <w:rsid w:val="00662D1E"/>
    <w:rsid w:val="00662E61"/>
    <w:rsid w:val="0066343C"/>
    <w:rsid w:val="0066350D"/>
    <w:rsid w:val="0066386E"/>
    <w:rsid w:val="00663C60"/>
    <w:rsid w:val="00663DA2"/>
    <w:rsid w:val="006642AC"/>
    <w:rsid w:val="006648BC"/>
    <w:rsid w:val="00664C8A"/>
    <w:rsid w:val="00664E45"/>
    <w:rsid w:val="00665085"/>
    <w:rsid w:val="006651AC"/>
    <w:rsid w:val="0066528B"/>
    <w:rsid w:val="006652BE"/>
    <w:rsid w:val="00665883"/>
    <w:rsid w:val="00665B1D"/>
    <w:rsid w:val="00665CB3"/>
    <w:rsid w:val="006660D7"/>
    <w:rsid w:val="00666A39"/>
    <w:rsid w:val="00666A60"/>
    <w:rsid w:val="00666DA6"/>
    <w:rsid w:val="00667212"/>
    <w:rsid w:val="006674BE"/>
    <w:rsid w:val="006677A1"/>
    <w:rsid w:val="006677F5"/>
    <w:rsid w:val="00667DB1"/>
    <w:rsid w:val="00667DE4"/>
    <w:rsid w:val="006703B9"/>
    <w:rsid w:val="006705FB"/>
    <w:rsid w:val="006706A6"/>
    <w:rsid w:val="00670A35"/>
    <w:rsid w:val="00670CCB"/>
    <w:rsid w:val="00671588"/>
    <w:rsid w:val="00671689"/>
    <w:rsid w:val="00671803"/>
    <w:rsid w:val="0067190F"/>
    <w:rsid w:val="00671D68"/>
    <w:rsid w:val="00672653"/>
    <w:rsid w:val="00672DB8"/>
    <w:rsid w:val="00672EC7"/>
    <w:rsid w:val="0067363D"/>
    <w:rsid w:val="006737B7"/>
    <w:rsid w:val="00673A0B"/>
    <w:rsid w:val="00673D52"/>
    <w:rsid w:val="00674088"/>
    <w:rsid w:val="0067415A"/>
    <w:rsid w:val="00674A64"/>
    <w:rsid w:val="00675091"/>
    <w:rsid w:val="006751DD"/>
    <w:rsid w:val="006754E9"/>
    <w:rsid w:val="006757FD"/>
    <w:rsid w:val="006759FC"/>
    <w:rsid w:val="00675AAC"/>
    <w:rsid w:val="00675FF4"/>
    <w:rsid w:val="00676103"/>
    <w:rsid w:val="00676131"/>
    <w:rsid w:val="0067643D"/>
    <w:rsid w:val="00676537"/>
    <w:rsid w:val="00676BD6"/>
    <w:rsid w:val="00676C7F"/>
    <w:rsid w:val="00676D1A"/>
    <w:rsid w:val="006770F6"/>
    <w:rsid w:val="006778E6"/>
    <w:rsid w:val="00677D21"/>
    <w:rsid w:val="006805DB"/>
    <w:rsid w:val="00680999"/>
    <w:rsid w:val="006809D4"/>
    <w:rsid w:val="00681048"/>
    <w:rsid w:val="00681532"/>
    <w:rsid w:val="00681592"/>
    <w:rsid w:val="00681925"/>
    <w:rsid w:val="00681C9C"/>
    <w:rsid w:val="006822E7"/>
    <w:rsid w:val="006828E7"/>
    <w:rsid w:val="00683A66"/>
    <w:rsid w:val="00684C41"/>
    <w:rsid w:val="00685366"/>
    <w:rsid w:val="00685385"/>
    <w:rsid w:val="006853E3"/>
    <w:rsid w:val="00685BF5"/>
    <w:rsid w:val="00685CAA"/>
    <w:rsid w:val="00686517"/>
    <w:rsid w:val="00686FB0"/>
    <w:rsid w:val="006873B9"/>
    <w:rsid w:val="00687788"/>
    <w:rsid w:val="006879D4"/>
    <w:rsid w:val="00687A93"/>
    <w:rsid w:val="00687BD9"/>
    <w:rsid w:val="00687F22"/>
    <w:rsid w:val="00690622"/>
    <w:rsid w:val="006907A8"/>
    <w:rsid w:val="006909AD"/>
    <w:rsid w:val="00690ADD"/>
    <w:rsid w:val="00690B51"/>
    <w:rsid w:val="00691272"/>
    <w:rsid w:val="00691F09"/>
    <w:rsid w:val="006925AC"/>
    <w:rsid w:val="00692657"/>
    <w:rsid w:val="00692744"/>
    <w:rsid w:val="006927E3"/>
    <w:rsid w:val="006927F2"/>
    <w:rsid w:val="00692EFE"/>
    <w:rsid w:val="00693937"/>
    <w:rsid w:val="00693D61"/>
    <w:rsid w:val="006942B9"/>
    <w:rsid w:val="00694534"/>
    <w:rsid w:val="0069474E"/>
    <w:rsid w:val="00694AA2"/>
    <w:rsid w:val="00694E01"/>
    <w:rsid w:val="00694E14"/>
    <w:rsid w:val="00694F73"/>
    <w:rsid w:val="0069548F"/>
    <w:rsid w:val="00695A8F"/>
    <w:rsid w:val="00695B99"/>
    <w:rsid w:val="00695C80"/>
    <w:rsid w:val="006961BD"/>
    <w:rsid w:val="006964CC"/>
    <w:rsid w:val="00696BFC"/>
    <w:rsid w:val="00696CC5"/>
    <w:rsid w:val="00696EB8"/>
    <w:rsid w:val="00696FD6"/>
    <w:rsid w:val="006974CF"/>
    <w:rsid w:val="00697688"/>
    <w:rsid w:val="00697BCB"/>
    <w:rsid w:val="006A0337"/>
    <w:rsid w:val="006A04A2"/>
    <w:rsid w:val="006A0542"/>
    <w:rsid w:val="006A0684"/>
    <w:rsid w:val="006A076F"/>
    <w:rsid w:val="006A0E45"/>
    <w:rsid w:val="006A126A"/>
    <w:rsid w:val="006A12B9"/>
    <w:rsid w:val="006A1631"/>
    <w:rsid w:val="006A1726"/>
    <w:rsid w:val="006A1906"/>
    <w:rsid w:val="006A1B25"/>
    <w:rsid w:val="006A20C5"/>
    <w:rsid w:val="006A258F"/>
    <w:rsid w:val="006A2B29"/>
    <w:rsid w:val="006A2F4E"/>
    <w:rsid w:val="006A3060"/>
    <w:rsid w:val="006A3897"/>
    <w:rsid w:val="006A39B9"/>
    <w:rsid w:val="006A3DBB"/>
    <w:rsid w:val="006A3E84"/>
    <w:rsid w:val="006A3FA1"/>
    <w:rsid w:val="006A4140"/>
    <w:rsid w:val="006A422B"/>
    <w:rsid w:val="006A43C8"/>
    <w:rsid w:val="006A455B"/>
    <w:rsid w:val="006A45CC"/>
    <w:rsid w:val="006A46D6"/>
    <w:rsid w:val="006A474E"/>
    <w:rsid w:val="006A4F10"/>
    <w:rsid w:val="006A5068"/>
    <w:rsid w:val="006A50DB"/>
    <w:rsid w:val="006A539B"/>
    <w:rsid w:val="006A5567"/>
    <w:rsid w:val="006A5E66"/>
    <w:rsid w:val="006A5E98"/>
    <w:rsid w:val="006A5EE0"/>
    <w:rsid w:val="006A6269"/>
    <w:rsid w:val="006A6D22"/>
    <w:rsid w:val="006A749D"/>
    <w:rsid w:val="006A7664"/>
    <w:rsid w:val="006A782E"/>
    <w:rsid w:val="006A78ED"/>
    <w:rsid w:val="006A7DAD"/>
    <w:rsid w:val="006A7FB4"/>
    <w:rsid w:val="006B08F4"/>
    <w:rsid w:val="006B0E04"/>
    <w:rsid w:val="006B12CB"/>
    <w:rsid w:val="006B1893"/>
    <w:rsid w:val="006B1A96"/>
    <w:rsid w:val="006B2607"/>
    <w:rsid w:val="006B26CB"/>
    <w:rsid w:val="006B28D9"/>
    <w:rsid w:val="006B2EC0"/>
    <w:rsid w:val="006B2EC3"/>
    <w:rsid w:val="006B3196"/>
    <w:rsid w:val="006B3336"/>
    <w:rsid w:val="006B3591"/>
    <w:rsid w:val="006B3A3A"/>
    <w:rsid w:val="006B3BE2"/>
    <w:rsid w:val="006B4276"/>
    <w:rsid w:val="006B48DE"/>
    <w:rsid w:val="006B4C0F"/>
    <w:rsid w:val="006B4C4F"/>
    <w:rsid w:val="006B4CC3"/>
    <w:rsid w:val="006B4F0F"/>
    <w:rsid w:val="006B5357"/>
    <w:rsid w:val="006B5483"/>
    <w:rsid w:val="006B57E9"/>
    <w:rsid w:val="006B597D"/>
    <w:rsid w:val="006B5AC3"/>
    <w:rsid w:val="006B5CB7"/>
    <w:rsid w:val="006B6565"/>
    <w:rsid w:val="006B798F"/>
    <w:rsid w:val="006B7E22"/>
    <w:rsid w:val="006B7E59"/>
    <w:rsid w:val="006B7F43"/>
    <w:rsid w:val="006C002F"/>
    <w:rsid w:val="006C0081"/>
    <w:rsid w:val="006C06AA"/>
    <w:rsid w:val="006C105F"/>
    <w:rsid w:val="006C113D"/>
    <w:rsid w:val="006C153D"/>
    <w:rsid w:val="006C1BFC"/>
    <w:rsid w:val="006C1ED1"/>
    <w:rsid w:val="006C201E"/>
    <w:rsid w:val="006C24ED"/>
    <w:rsid w:val="006C2B82"/>
    <w:rsid w:val="006C2FA5"/>
    <w:rsid w:val="006C3003"/>
    <w:rsid w:val="006C354D"/>
    <w:rsid w:val="006C36E3"/>
    <w:rsid w:val="006C36FF"/>
    <w:rsid w:val="006C3989"/>
    <w:rsid w:val="006C39C9"/>
    <w:rsid w:val="006C39DD"/>
    <w:rsid w:val="006C39E0"/>
    <w:rsid w:val="006C3AC9"/>
    <w:rsid w:val="006C3D5E"/>
    <w:rsid w:val="006C4344"/>
    <w:rsid w:val="006C4477"/>
    <w:rsid w:val="006C4E22"/>
    <w:rsid w:val="006C524F"/>
    <w:rsid w:val="006C5C45"/>
    <w:rsid w:val="006C5EB1"/>
    <w:rsid w:val="006C5FCE"/>
    <w:rsid w:val="006C60A1"/>
    <w:rsid w:val="006C60B2"/>
    <w:rsid w:val="006C60F3"/>
    <w:rsid w:val="006C631F"/>
    <w:rsid w:val="006C65AC"/>
    <w:rsid w:val="006C727D"/>
    <w:rsid w:val="006C7A28"/>
    <w:rsid w:val="006C7DF3"/>
    <w:rsid w:val="006C7F8B"/>
    <w:rsid w:val="006D00A0"/>
    <w:rsid w:val="006D01FA"/>
    <w:rsid w:val="006D060D"/>
    <w:rsid w:val="006D076E"/>
    <w:rsid w:val="006D07E5"/>
    <w:rsid w:val="006D0CB9"/>
    <w:rsid w:val="006D0E3C"/>
    <w:rsid w:val="006D101A"/>
    <w:rsid w:val="006D1549"/>
    <w:rsid w:val="006D15A9"/>
    <w:rsid w:val="006D18C2"/>
    <w:rsid w:val="006D1F11"/>
    <w:rsid w:val="006D227A"/>
    <w:rsid w:val="006D2447"/>
    <w:rsid w:val="006D2609"/>
    <w:rsid w:val="006D270D"/>
    <w:rsid w:val="006D2A2C"/>
    <w:rsid w:val="006D2D3E"/>
    <w:rsid w:val="006D2E29"/>
    <w:rsid w:val="006D3A88"/>
    <w:rsid w:val="006D40D0"/>
    <w:rsid w:val="006D4174"/>
    <w:rsid w:val="006D4236"/>
    <w:rsid w:val="006D42D4"/>
    <w:rsid w:val="006D4301"/>
    <w:rsid w:val="006D4365"/>
    <w:rsid w:val="006D440B"/>
    <w:rsid w:val="006D466A"/>
    <w:rsid w:val="006D4A63"/>
    <w:rsid w:val="006D4C49"/>
    <w:rsid w:val="006D4FCF"/>
    <w:rsid w:val="006D54A5"/>
    <w:rsid w:val="006D5963"/>
    <w:rsid w:val="006D5A62"/>
    <w:rsid w:val="006D5F8A"/>
    <w:rsid w:val="006D5F92"/>
    <w:rsid w:val="006D65E8"/>
    <w:rsid w:val="006D6890"/>
    <w:rsid w:val="006D6CDB"/>
    <w:rsid w:val="006D6FC3"/>
    <w:rsid w:val="006D710F"/>
    <w:rsid w:val="006D714E"/>
    <w:rsid w:val="006D7449"/>
    <w:rsid w:val="006D7606"/>
    <w:rsid w:val="006D7777"/>
    <w:rsid w:val="006D7A50"/>
    <w:rsid w:val="006E03BC"/>
    <w:rsid w:val="006E0555"/>
    <w:rsid w:val="006E0866"/>
    <w:rsid w:val="006E09FD"/>
    <w:rsid w:val="006E0D60"/>
    <w:rsid w:val="006E0DFF"/>
    <w:rsid w:val="006E0F35"/>
    <w:rsid w:val="006E0FF4"/>
    <w:rsid w:val="006E136C"/>
    <w:rsid w:val="006E1647"/>
    <w:rsid w:val="006E187F"/>
    <w:rsid w:val="006E1B0B"/>
    <w:rsid w:val="006E1C02"/>
    <w:rsid w:val="006E1C38"/>
    <w:rsid w:val="006E217B"/>
    <w:rsid w:val="006E24FA"/>
    <w:rsid w:val="006E260B"/>
    <w:rsid w:val="006E2832"/>
    <w:rsid w:val="006E29C7"/>
    <w:rsid w:val="006E29C8"/>
    <w:rsid w:val="006E2AD0"/>
    <w:rsid w:val="006E3499"/>
    <w:rsid w:val="006E3D49"/>
    <w:rsid w:val="006E3F25"/>
    <w:rsid w:val="006E4085"/>
    <w:rsid w:val="006E41A9"/>
    <w:rsid w:val="006E4649"/>
    <w:rsid w:val="006E47A1"/>
    <w:rsid w:val="006E4B9E"/>
    <w:rsid w:val="006E50DE"/>
    <w:rsid w:val="006E524E"/>
    <w:rsid w:val="006E536C"/>
    <w:rsid w:val="006E5F3A"/>
    <w:rsid w:val="006E66C3"/>
    <w:rsid w:val="006E6976"/>
    <w:rsid w:val="006E6C2C"/>
    <w:rsid w:val="006E6C5D"/>
    <w:rsid w:val="006E6CD9"/>
    <w:rsid w:val="006E7026"/>
    <w:rsid w:val="006E7277"/>
    <w:rsid w:val="006E75C3"/>
    <w:rsid w:val="006E75E1"/>
    <w:rsid w:val="006E7C91"/>
    <w:rsid w:val="006E7D7E"/>
    <w:rsid w:val="006E7EC5"/>
    <w:rsid w:val="006F02CE"/>
    <w:rsid w:val="006F043D"/>
    <w:rsid w:val="006F050A"/>
    <w:rsid w:val="006F05EB"/>
    <w:rsid w:val="006F0932"/>
    <w:rsid w:val="006F0CF1"/>
    <w:rsid w:val="006F151B"/>
    <w:rsid w:val="006F19EA"/>
    <w:rsid w:val="006F1C27"/>
    <w:rsid w:val="006F1EC6"/>
    <w:rsid w:val="006F1FAC"/>
    <w:rsid w:val="006F2300"/>
    <w:rsid w:val="006F2349"/>
    <w:rsid w:val="006F2BDD"/>
    <w:rsid w:val="006F2C89"/>
    <w:rsid w:val="006F3127"/>
    <w:rsid w:val="006F32E8"/>
    <w:rsid w:val="006F3422"/>
    <w:rsid w:val="006F3A80"/>
    <w:rsid w:val="006F3D31"/>
    <w:rsid w:val="006F3E35"/>
    <w:rsid w:val="006F4420"/>
    <w:rsid w:val="006F45EE"/>
    <w:rsid w:val="006F4723"/>
    <w:rsid w:val="006F488E"/>
    <w:rsid w:val="006F5509"/>
    <w:rsid w:val="006F5FCE"/>
    <w:rsid w:val="006F645B"/>
    <w:rsid w:val="006F6588"/>
    <w:rsid w:val="006F69AB"/>
    <w:rsid w:val="006F778E"/>
    <w:rsid w:val="006F7F88"/>
    <w:rsid w:val="00700316"/>
    <w:rsid w:val="00700DE2"/>
    <w:rsid w:val="00700EFF"/>
    <w:rsid w:val="0070120B"/>
    <w:rsid w:val="00701370"/>
    <w:rsid w:val="0070155E"/>
    <w:rsid w:val="0070194A"/>
    <w:rsid w:val="00701A0F"/>
    <w:rsid w:val="00701B04"/>
    <w:rsid w:val="0070208B"/>
    <w:rsid w:val="00702160"/>
    <w:rsid w:val="00702671"/>
    <w:rsid w:val="007029F7"/>
    <w:rsid w:val="00702B3B"/>
    <w:rsid w:val="00702C6B"/>
    <w:rsid w:val="00702D16"/>
    <w:rsid w:val="0070356A"/>
    <w:rsid w:val="007035F9"/>
    <w:rsid w:val="007036A1"/>
    <w:rsid w:val="007036BD"/>
    <w:rsid w:val="0070370C"/>
    <w:rsid w:val="00703A33"/>
    <w:rsid w:val="00703C78"/>
    <w:rsid w:val="007041B0"/>
    <w:rsid w:val="007044E2"/>
    <w:rsid w:val="0070456E"/>
    <w:rsid w:val="00704818"/>
    <w:rsid w:val="007048E7"/>
    <w:rsid w:val="007054E3"/>
    <w:rsid w:val="00705647"/>
    <w:rsid w:val="007057CB"/>
    <w:rsid w:val="00705AC4"/>
    <w:rsid w:val="00705DFD"/>
    <w:rsid w:val="00705EB6"/>
    <w:rsid w:val="007066F5"/>
    <w:rsid w:val="00706C3F"/>
    <w:rsid w:val="0070730D"/>
    <w:rsid w:val="00707518"/>
    <w:rsid w:val="0070752A"/>
    <w:rsid w:val="007079DA"/>
    <w:rsid w:val="00707BC9"/>
    <w:rsid w:val="00710199"/>
    <w:rsid w:val="007101A0"/>
    <w:rsid w:val="0071030C"/>
    <w:rsid w:val="00710502"/>
    <w:rsid w:val="007106C7"/>
    <w:rsid w:val="00710DD2"/>
    <w:rsid w:val="00710E43"/>
    <w:rsid w:val="00710EEC"/>
    <w:rsid w:val="007110FB"/>
    <w:rsid w:val="00711941"/>
    <w:rsid w:val="007125EB"/>
    <w:rsid w:val="00712729"/>
    <w:rsid w:val="007128DF"/>
    <w:rsid w:val="0071294B"/>
    <w:rsid w:val="00712993"/>
    <w:rsid w:val="00712A43"/>
    <w:rsid w:val="00712C31"/>
    <w:rsid w:val="0071304A"/>
    <w:rsid w:val="007131A8"/>
    <w:rsid w:val="00713316"/>
    <w:rsid w:val="0071345F"/>
    <w:rsid w:val="007137B8"/>
    <w:rsid w:val="00713B3D"/>
    <w:rsid w:val="00713C64"/>
    <w:rsid w:val="00713C8A"/>
    <w:rsid w:val="00713E18"/>
    <w:rsid w:val="00713F0E"/>
    <w:rsid w:val="0071413B"/>
    <w:rsid w:val="007142B6"/>
    <w:rsid w:val="0071436B"/>
    <w:rsid w:val="0071535B"/>
    <w:rsid w:val="00715469"/>
    <w:rsid w:val="0071558C"/>
    <w:rsid w:val="00715D98"/>
    <w:rsid w:val="00715E74"/>
    <w:rsid w:val="00715FB0"/>
    <w:rsid w:val="007164FA"/>
    <w:rsid w:val="00716543"/>
    <w:rsid w:val="00716D91"/>
    <w:rsid w:val="0071729F"/>
    <w:rsid w:val="007202FF"/>
    <w:rsid w:val="0072054F"/>
    <w:rsid w:val="00720596"/>
    <w:rsid w:val="00720ADD"/>
    <w:rsid w:val="00720EC3"/>
    <w:rsid w:val="0072106F"/>
    <w:rsid w:val="0072149E"/>
    <w:rsid w:val="00721D27"/>
    <w:rsid w:val="007221BE"/>
    <w:rsid w:val="00722322"/>
    <w:rsid w:val="007223ED"/>
    <w:rsid w:val="007225C2"/>
    <w:rsid w:val="007228F4"/>
    <w:rsid w:val="007229C4"/>
    <w:rsid w:val="00722A48"/>
    <w:rsid w:val="00722AF9"/>
    <w:rsid w:val="00722B58"/>
    <w:rsid w:val="00723047"/>
    <w:rsid w:val="007231B0"/>
    <w:rsid w:val="00723468"/>
    <w:rsid w:val="00723482"/>
    <w:rsid w:val="00723695"/>
    <w:rsid w:val="00723EF5"/>
    <w:rsid w:val="007245B1"/>
    <w:rsid w:val="007249FA"/>
    <w:rsid w:val="007251D8"/>
    <w:rsid w:val="007253CB"/>
    <w:rsid w:val="0072548E"/>
    <w:rsid w:val="007260FD"/>
    <w:rsid w:val="00726135"/>
    <w:rsid w:val="007264D0"/>
    <w:rsid w:val="007266D7"/>
    <w:rsid w:val="007269A0"/>
    <w:rsid w:val="00726BCF"/>
    <w:rsid w:val="00726D8C"/>
    <w:rsid w:val="00726E99"/>
    <w:rsid w:val="00726F70"/>
    <w:rsid w:val="0072700A"/>
    <w:rsid w:val="0072701F"/>
    <w:rsid w:val="0072732F"/>
    <w:rsid w:val="00727353"/>
    <w:rsid w:val="007273C9"/>
    <w:rsid w:val="007273E1"/>
    <w:rsid w:val="007279A0"/>
    <w:rsid w:val="00727DB2"/>
    <w:rsid w:val="00727EAB"/>
    <w:rsid w:val="00730128"/>
    <w:rsid w:val="00730ACA"/>
    <w:rsid w:val="00730D9D"/>
    <w:rsid w:val="0073116C"/>
    <w:rsid w:val="00731461"/>
    <w:rsid w:val="007315D8"/>
    <w:rsid w:val="007316FC"/>
    <w:rsid w:val="0073170D"/>
    <w:rsid w:val="00731C5C"/>
    <w:rsid w:val="00731CF1"/>
    <w:rsid w:val="00731DD6"/>
    <w:rsid w:val="00732BF3"/>
    <w:rsid w:val="00732DD3"/>
    <w:rsid w:val="0073335A"/>
    <w:rsid w:val="00733537"/>
    <w:rsid w:val="0073361D"/>
    <w:rsid w:val="00733AAB"/>
    <w:rsid w:val="00733EBB"/>
    <w:rsid w:val="00733F45"/>
    <w:rsid w:val="00734C12"/>
    <w:rsid w:val="00735244"/>
    <w:rsid w:val="007358D9"/>
    <w:rsid w:val="007363B5"/>
    <w:rsid w:val="00736535"/>
    <w:rsid w:val="0073671A"/>
    <w:rsid w:val="00736A52"/>
    <w:rsid w:val="00736AEB"/>
    <w:rsid w:val="00736D33"/>
    <w:rsid w:val="00736EA3"/>
    <w:rsid w:val="00736EC9"/>
    <w:rsid w:val="00737267"/>
    <w:rsid w:val="00737671"/>
    <w:rsid w:val="00737985"/>
    <w:rsid w:val="00737BA7"/>
    <w:rsid w:val="00740278"/>
    <w:rsid w:val="007402FA"/>
    <w:rsid w:val="00740757"/>
    <w:rsid w:val="00740889"/>
    <w:rsid w:val="00740DFD"/>
    <w:rsid w:val="00741116"/>
    <w:rsid w:val="007414EA"/>
    <w:rsid w:val="007415A8"/>
    <w:rsid w:val="00741BA2"/>
    <w:rsid w:val="00741E0B"/>
    <w:rsid w:val="00741E12"/>
    <w:rsid w:val="00741E73"/>
    <w:rsid w:val="00741F79"/>
    <w:rsid w:val="00742019"/>
    <w:rsid w:val="00742039"/>
    <w:rsid w:val="00742C3D"/>
    <w:rsid w:val="00742C3E"/>
    <w:rsid w:val="00742E04"/>
    <w:rsid w:val="00742E81"/>
    <w:rsid w:val="00742F87"/>
    <w:rsid w:val="00743547"/>
    <w:rsid w:val="007435EB"/>
    <w:rsid w:val="007437F6"/>
    <w:rsid w:val="0074383A"/>
    <w:rsid w:val="00743AA3"/>
    <w:rsid w:val="00743E1B"/>
    <w:rsid w:val="00744159"/>
    <w:rsid w:val="00744811"/>
    <w:rsid w:val="00744ABC"/>
    <w:rsid w:val="00744D8F"/>
    <w:rsid w:val="00744FA6"/>
    <w:rsid w:val="00745093"/>
    <w:rsid w:val="00745508"/>
    <w:rsid w:val="00745633"/>
    <w:rsid w:val="007457EB"/>
    <w:rsid w:val="00745E3D"/>
    <w:rsid w:val="00745F83"/>
    <w:rsid w:val="00746191"/>
    <w:rsid w:val="007465BF"/>
    <w:rsid w:val="00746721"/>
    <w:rsid w:val="00747042"/>
    <w:rsid w:val="007474D7"/>
    <w:rsid w:val="00747656"/>
    <w:rsid w:val="00747737"/>
    <w:rsid w:val="00747A48"/>
    <w:rsid w:val="00747ADC"/>
    <w:rsid w:val="00747DB4"/>
    <w:rsid w:val="00750013"/>
    <w:rsid w:val="007500AA"/>
    <w:rsid w:val="00750281"/>
    <w:rsid w:val="00750510"/>
    <w:rsid w:val="007505C9"/>
    <w:rsid w:val="00750784"/>
    <w:rsid w:val="007507D8"/>
    <w:rsid w:val="00750E98"/>
    <w:rsid w:val="0075105A"/>
    <w:rsid w:val="00751091"/>
    <w:rsid w:val="00751332"/>
    <w:rsid w:val="00751715"/>
    <w:rsid w:val="00751846"/>
    <w:rsid w:val="00751BA5"/>
    <w:rsid w:val="007521A6"/>
    <w:rsid w:val="00752629"/>
    <w:rsid w:val="00752A6C"/>
    <w:rsid w:val="00752F4C"/>
    <w:rsid w:val="00753147"/>
    <w:rsid w:val="0075336B"/>
    <w:rsid w:val="007533D3"/>
    <w:rsid w:val="00753C08"/>
    <w:rsid w:val="0075414C"/>
    <w:rsid w:val="0075416D"/>
    <w:rsid w:val="007546FD"/>
    <w:rsid w:val="007547DD"/>
    <w:rsid w:val="007549F6"/>
    <w:rsid w:val="007552A4"/>
    <w:rsid w:val="007552E3"/>
    <w:rsid w:val="00755383"/>
    <w:rsid w:val="0075548F"/>
    <w:rsid w:val="00755AE5"/>
    <w:rsid w:val="00755B37"/>
    <w:rsid w:val="00755D06"/>
    <w:rsid w:val="007560B5"/>
    <w:rsid w:val="007563FE"/>
    <w:rsid w:val="0075652A"/>
    <w:rsid w:val="007565C8"/>
    <w:rsid w:val="007567BC"/>
    <w:rsid w:val="00756A96"/>
    <w:rsid w:val="00756C1E"/>
    <w:rsid w:val="00757467"/>
    <w:rsid w:val="007574C3"/>
    <w:rsid w:val="00757581"/>
    <w:rsid w:val="00757BE5"/>
    <w:rsid w:val="00757C6D"/>
    <w:rsid w:val="00757D32"/>
    <w:rsid w:val="00757E46"/>
    <w:rsid w:val="00760DE6"/>
    <w:rsid w:val="00760E99"/>
    <w:rsid w:val="00760F77"/>
    <w:rsid w:val="00761368"/>
    <w:rsid w:val="007614E9"/>
    <w:rsid w:val="0076183F"/>
    <w:rsid w:val="00761AEE"/>
    <w:rsid w:val="007622E7"/>
    <w:rsid w:val="0076294F"/>
    <w:rsid w:val="00762B6B"/>
    <w:rsid w:val="00762E50"/>
    <w:rsid w:val="00762F36"/>
    <w:rsid w:val="007630F1"/>
    <w:rsid w:val="00763290"/>
    <w:rsid w:val="00763344"/>
    <w:rsid w:val="007633A7"/>
    <w:rsid w:val="007634C9"/>
    <w:rsid w:val="00763568"/>
    <w:rsid w:val="0076387F"/>
    <w:rsid w:val="00763C52"/>
    <w:rsid w:val="00764079"/>
    <w:rsid w:val="00764345"/>
    <w:rsid w:val="007645F1"/>
    <w:rsid w:val="00764F3B"/>
    <w:rsid w:val="00764F89"/>
    <w:rsid w:val="0076526D"/>
    <w:rsid w:val="00765393"/>
    <w:rsid w:val="0076548F"/>
    <w:rsid w:val="007657D5"/>
    <w:rsid w:val="00765E60"/>
    <w:rsid w:val="007663C7"/>
    <w:rsid w:val="00766873"/>
    <w:rsid w:val="0076699C"/>
    <w:rsid w:val="00766B79"/>
    <w:rsid w:val="00766CFD"/>
    <w:rsid w:val="00766D8C"/>
    <w:rsid w:val="00766F52"/>
    <w:rsid w:val="007670F0"/>
    <w:rsid w:val="007671B0"/>
    <w:rsid w:val="00767ABD"/>
    <w:rsid w:val="00767B7B"/>
    <w:rsid w:val="00767CBC"/>
    <w:rsid w:val="007700A4"/>
    <w:rsid w:val="007702FB"/>
    <w:rsid w:val="00770B01"/>
    <w:rsid w:val="00770C30"/>
    <w:rsid w:val="00770DFA"/>
    <w:rsid w:val="00770E0D"/>
    <w:rsid w:val="0077106F"/>
    <w:rsid w:val="00771091"/>
    <w:rsid w:val="00772482"/>
    <w:rsid w:val="00772505"/>
    <w:rsid w:val="00772A06"/>
    <w:rsid w:val="00772A88"/>
    <w:rsid w:val="00772B78"/>
    <w:rsid w:val="00772CB9"/>
    <w:rsid w:val="00772EFB"/>
    <w:rsid w:val="00773632"/>
    <w:rsid w:val="007736AD"/>
    <w:rsid w:val="00773F08"/>
    <w:rsid w:val="0077404F"/>
    <w:rsid w:val="00774323"/>
    <w:rsid w:val="0077463C"/>
    <w:rsid w:val="00774FD0"/>
    <w:rsid w:val="007753E3"/>
    <w:rsid w:val="007756E0"/>
    <w:rsid w:val="00775726"/>
    <w:rsid w:val="00775EB9"/>
    <w:rsid w:val="00776016"/>
    <w:rsid w:val="007762B3"/>
    <w:rsid w:val="007765EF"/>
    <w:rsid w:val="00776762"/>
    <w:rsid w:val="00776CC0"/>
    <w:rsid w:val="00776D93"/>
    <w:rsid w:val="00776E7A"/>
    <w:rsid w:val="00777152"/>
    <w:rsid w:val="007772F6"/>
    <w:rsid w:val="00777EB1"/>
    <w:rsid w:val="00777F94"/>
    <w:rsid w:val="00780AD6"/>
    <w:rsid w:val="00780CB7"/>
    <w:rsid w:val="00781056"/>
    <w:rsid w:val="00781195"/>
    <w:rsid w:val="0078128A"/>
    <w:rsid w:val="007813F8"/>
    <w:rsid w:val="00781486"/>
    <w:rsid w:val="00781B3D"/>
    <w:rsid w:val="00781F7D"/>
    <w:rsid w:val="0078208D"/>
    <w:rsid w:val="00782B96"/>
    <w:rsid w:val="00782E69"/>
    <w:rsid w:val="00783204"/>
    <w:rsid w:val="00783255"/>
    <w:rsid w:val="0078375B"/>
    <w:rsid w:val="00783D36"/>
    <w:rsid w:val="0078446E"/>
    <w:rsid w:val="007845CD"/>
    <w:rsid w:val="00784B30"/>
    <w:rsid w:val="00785023"/>
    <w:rsid w:val="0078534C"/>
    <w:rsid w:val="0078554D"/>
    <w:rsid w:val="007856F2"/>
    <w:rsid w:val="00785952"/>
    <w:rsid w:val="007863EF"/>
    <w:rsid w:val="00786854"/>
    <w:rsid w:val="00786922"/>
    <w:rsid w:val="00786D53"/>
    <w:rsid w:val="00787978"/>
    <w:rsid w:val="00787CE6"/>
    <w:rsid w:val="0079028A"/>
    <w:rsid w:val="007904EC"/>
    <w:rsid w:val="007904F6"/>
    <w:rsid w:val="0079052B"/>
    <w:rsid w:val="0079090F"/>
    <w:rsid w:val="00790CED"/>
    <w:rsid w:val="007919B5"/>
    <w:rsid w:val="00792367"/>
    <w:rsid w:val="00792ADB"/>
    <w:rsid w:val="00792CDD"/>
    <w:rsid w:val="0079311F"/>
    <w:rsid w:val="007932B9"/>
    <w:rsid w:val="007933F0"/>
    <w:rsid w:val="007934EF"/>
    <w:rsid w:val="00793AFF"/>
    <w:rsid w:val="00793B2D"/>
    <w:rsid w:val="00794546"/>
    <w:rsid w:val="007945B8"/>
    <w:rsid w:val="007945BC"/>
    <w:rsid w:val="007945D3"/>
    <w:rsid w:val="00794718"/>
    <w:rsid w:val="007948C9"/>
    <w:rsid w:val="00794EBE"/>
    <w:rsid w:val="007950DC"/>
    <w:rsid w:val="007952CD"/>
    <w:rsid w:val="00795530"/>
    <w:rsid w:val="00795605"/>
    <w:rsid w:val="00795949"/>
    <w:rsid w:val="00795952"/>
    <w:rsid w:val="00796433"/>
    <w:rsid w:val="00796716"/>
    <w:rsid w:val="007969A6"/>
    <w:rsid w:val="00796DBF"/>
    <w:rsid w:val="00796F35"/>
    <w:rsid w:val="0079716D"/>
    <w:rsid w:val="007973CD"/>
    <w:rsid w:val="00797755"/>
    <w:rsid w:val="00797EDA"/>
    <w:rsid w:val="007A034C"/>
    <w:rsid w:val="007A046B"/>
    <w:rsid w:val="007A05A0"/>
    <w:rsid w:val="007A061B"/>
    <w:rsid w:val="007A0859"/>
    <w:rsid w:val="007A0EBB"/>
    <w:rsid w:val="007A116A"/>
    <w:rsid w:val="007A1548"/>
    <w:rsid w:val="007A1639"/>
    <w:rsid w:val="007A18CF"/>
    <w:rsid w:val="007A1C6B"/>
    <w:rsid w:val="007A1DDA"/>
    <w:rsid w:val="007A1E98"/>
    <w:rsid w:val="007A2209"/>
    <w:rsid w:val="007A2231"/>
    <w:rsid w:val="007A2233"/>
    <w:rsid w:val="007A2610"/>
    <w:rsid w:val="007A28FE"/>
    <w:rsid w:val="007A3585"/>
    <w:rsid w:val="007A3D39"/>
    <w:rsid w:val="007A3D60"/>
    <w:rsid w:val="007A3E31"/>
    <w:rsid w:val="007A402F"/>
    <w:rsid w:val="007A4148"/>
    <w:rsid w:val="007A421C"/>
    <w:rsid w:val="007A4874"/>
    <w:rsid w:val="007A4896"/>
    <w:rsid w:val="007A4CCE"/>
    <w:rsid w:val="007A52CC"/>
    <w:rsid w:val="007A5BF4"/>
    <w:rsid w:val="007A5E7E"/>
    <w:rsid w:val="007A5EF8"/>
    <w:rsid w:val="007A624D"/>
    <w:rsid w:val="007A6409"/>
    <w:rsid w:val="007A64E1"/>
    <w:rsid w:val="007A68E2"/>
    <w:rsid w:val="007A6B0A"/>
    <w:rsid w:val="007A6BBB"/>
    <w:rsid w:val="007A6D57"/>
    <w:rsid w:val="007A6E18"/>
    <w:rsid w:val="007A6E85"/>
    <w:rsid w:val="007A70C4"/>
    <w:rsid w:val="007A71E8"/>
    <w:rsid w:val="007A73BF"/>
    <w:rsid w:val="007A7656"/>
    <w:rsid w:val="007A7B18"/>
    <w:rsid w:val="007B0164"/>
    <w:rsid w:val="007B05EE"/>
    <w:rsid w:val="007B0A65"/>
    <w:rsid w:val="007B0ED6"/>
    <w:rsid w:val="007B1173"/>
    <w:rsid w:val="007B11CA"/>
    <w:rsid w:val="007B158A"/>
    <w:rsid w:val="007B1802"/>
    <w:rsid w:val="007B19EA"/>
    <w:rsid w:val="007B1D7F"/>
    <w:rsid w:val="007B20B9"/>
    <w:rsid w:val="007B2184"/>
    <w:rsid w:val="007B232A"/>
    <w:rsid w:val="007B238D"/>
    <w:rsid w:val="007B2A75"/>
    <w:rsid w:val="007B2C62"/>
    <w:rsid w:val="007B2D04"/>
    <w:rsid w:val="007B2FB8"/>
    <w:rsid w:val="007B31D3"/>
    <w:rsid w:val="007B3EC4"/>
    <w:rsid w:val="007B3F73"/>
    <w:rsid w:val="007B4277"/>
    <w:rsid w:val="007B4329"/>
    <w:rsid w:val="007B43FE"/>
    <w:rsid w:val="007B44B4"/>
    <w:rsid w:val="007B4E73"/>
    <w:rsid w:val="007B5220"/>
    <w:rsid w:val="007B5449"/>
    <w:rsid w:val="007B5516"/>
    <w:rsid w:val="007B5617"/>
    <w:rsid w:val="007B571E"/>
    <w:rsid w:val="007B5736"/>
    <w:rsid w:val="007B5A0C"/>
    <w:rsid w:val="007B5EC3"/>
    <w:rsid w:val="007B654E"/>
    <w:rsid w:val="007B6778"/>
    <w:rsid w:val="007B6911"/>
    <w:rsid w:val="007B6CFE"/>
    <w:rsid w:val="007B6DD3"/>
    <w:rsid w:val="007B6F49"/>
    <w:rsid w:val="007B6FE5"/>
    <w:rsid w:val="007B7151"/>
    <w:rsid w:val="007B755B"/>
    <w:rsid w:val="007B75F1"/>
    <w:rsid w:val="007B768D"/>
    <w:rsid w:val="007B7710"/>
    <w:rsid w:val="007B7775"/>
    <w:rsid w:val="007B7A12"/>
    <w:rsid w:val="007B7AF8"/>
    <w:rsid w:val="007B7CEE"/>
    <w:rsid w:val="007C04FC"/>
    <w:rsid w:val="007C0793"/>
    <w:rsid w:val="007C0DE9"/>
    <w:rsid w:val="007C1688"/>
    <w:rsid w:val="007C1798"/>
    <w:rsid w:val="007C19AF"/>
    <w:rsid w:val="007C1DD7"/>
    <w:rsid w:val="007C2032"/>
    <w:rsid w:val="007C2745"/>
    <w:rsid w:val="007C2C3D"/>
    <w:rsid w:val="007C359A"/>
    <w:rsid w:val="007C3C67"/>
    <w:rsid w:val="007C3C76"/>
    <w:rsid w:val="007C3F26"/>
    <w:rsid w:val="007C4100"/>
    <w:rsid w:val="007C41B9"/>
    <w:rsid w:val="007C41BA"/>
    <w:rsid w:val="007C4320"/>
    <w:rsid w:val="007C4472"/>
    <w:rsid w:val="007C469E"/>
    <w:rsid w:val="007C4D90"/>
    <w:rsid w:val="007C4FA6"/>
    <w:rsid w:val="007C500A"/>
    <w:rsid w:val="007C500B"/>
    <w:rsid w:val="007C60F5"/>
    <w:rsid w:val="007C6337"/>
    <w:rsid w:val="007C656E"/>
    <w:rsid w:val="007C6951"/>
    <w:rsid w:val="007C69EE"/>
    <w:rsid w:val="007C6BB1"/>
    <w:rsid w:val="007C717D"/>
    <w:rsid w:val="007C72F3"/>
    <w:rsid w:val="007C73CE"/>
    <w:rsid w:val="007C7552"/>
    <w:rsid w:val="007C7781"/>
    <w:rsid w:val="007C7BB9"/>
    <w:rsid w:val="007C7E22"/>
    <w:rsid w:val="007D0060"/>
    <w:rsid w:val="007D0336"/>
    <w:rsid w:val="007D05A2"/>
    <w:rsid w:val="007D05A4"/>
    <w:rsid w:val="007D0E09"/>
    <w:rsid w:val="007D1236"/>
    <w:rsid w:val="007D205D"/>
    <w:rsid w:val="007D2088"/>
    <w:rsid w:val="007D2B84"/>
    <w:rsid w:val="007D3074"/>
    <w:rsid w:val="007D3227"/>
    <w:rsid w:val="007D326E"/>
    <w:rsid w:val="007D3C61"/>
    <w:rsid w:val="007D3D4E"/>
    <w:rsid w:val="007D3DDA"/>
    <w:rsid w:val="007D3E2E"/>
    <w:rsid w:val="007D3FB8"/>
    <w:rsid w:val="007D42EA"/>
    <w:rsid w:val="007D461F"/>
    <w:rsid w:val="007D4B86"/>
    <w:rsid w:val="007D4D7C"/>
    <w:rsid w:val="007D4F26"/>
    <w:rsid w:val="007D5152"/>
    <w:rsid w:val="007D58AD"/>
    <w:rsid w:val="007D5D00"/>
    <w:rsid w:val="007D67E5"/>
    <w:rsid w:val="007D6DF3"/>
    <w:rsid w:val="007D7439"/>
    <w:rsid w:val="007D7685"/>
    <w:rsid w:val="007D796B"/>
    <w:rsid w:val="007D7A55"/>
    <w:rsid w:val="007D7EA0"/>
    <w:rsid w:val="007D7FC1"/>
    <w:rsid w:val="007E019A"/>
    <w:rsid w:val="007E0323"/>
    <w:rsid w:val="007E077B"/>
    <w:rsid w:val="007E0976"/>
    <w:rsid w:val="007E20E0"/>
    <w:rsid w:val="007E21AD"/>
    <w:rsid w:val="007E2237"/>
    <w:rsid w:val="007E2662"/>
    <w:rsid w:val="007E27AB"/>
    <w:rsid w:val="007E2A6A"/>
    <w:rsid w:val="007E2CEF"/>
    <w:rsid w:val="007E3090"/>
    <w:rsid w:val="007E3106"/>
    <w:rsid w:val="007E34F7"/>
    <w:rsid w:val="007E363E"/>
    <w:rsid w:val="007E3CA9"/>
    <w:rsid w:val="007E41EC"/>
    <w:rsid w:val="007E4207"/>
    <w:rsid w:val="007E4281"/>
    <w:rsid w:val="007E47C2"/>
    <w:rsid w:val="007E49B7"/>
    <w:rsid w:val="007E5042"/>
    <w:rsid w:val="007E50E0"/>
    <w:rsid w:val="007E5190"/>
    <w:rsid w:val="007E5509"/>
    <w:rsid w:val="007E5A73"/>
    <w:rsid w:val="007E5AED"/>
    <w:rsid w:val="007E6170"/>
    <w:rsid w:val="007E622C"/>
    <w:rsid w:val="007E6556"/>
    <w:rsid w:val="007E6AA1"/>
    <w:rsid w:val="007E6AC6"/>
    <w:rsid w:val="007E6BF3"/>
    <w:rsid w:val="007E6D39"/>
    <w:rsid w:val="007E6F95"/>
    <w:rsid w:val="007E71D2"/>
    <w:rsid w:val="007E74F9"/>
    <w:rsid w:val="007E7945"/>
    <w:rsid w:val="007E7B91"/>
    <w:rsid w:val="007E7C16"/>
    <w:rsid w:val="007E7D06"/>
    <w:rsid w:val="007E7DB6"/>
    <w:rsid w:val="007E7EEA"/>
    <w:rsid w:val="007E7F44"/>
    <w:rsid w:val="007E7FC7"/>
    <w:rsid w:val="007F018E"/>
    <w:rsid w:val="007F05A4"/>
    <w:rsid w:val="007F0635"/>
    <w:rsid w:val="007F0F6A"/>
    <w:rsid w:val="007F10AB"/>
    <w:rsid w:val="007F1192"/>
    <w:rsid w:val="007F11DC"/>
    <w:rsid w:val="007F1417"/>
    <w:rsid w:val="007F169C"/>
    <w:rsid w:val="007F1724"/>
    <w:rsid w:val="007F1E61"/>
    <w:rsid w:val="007F1ED0"/>
    <w:rsid w:val="007F2183"/>
    <w:rsid w:val="007F25FD"/>
    <w:rsid w:val="007F2689"/>
    <w:rsid w:val="007F27AE"/>
    <w:rsid w:val="007F3001"/>
    <w:rsid w:val="007F320E"/>
    <w:rsid w:val="007F3788"/>
    <w:rsid w:val="007F3EFC"/>
    <w:rsid w:val="007F425C"/>
    <w:rsid w:val="007F4619"/>
    <w:rsid w:val="007F463D"/>
    <w:rsid w:val="007F4E8B"/>
    <w:rsid w:val="007F5230"/>
    <w:rsid w:val="007F5461"/>
    <w:rsid w:val="007F565C"/>
    <w:rsid w:val="007F57F7"/>
    <w:rsid w:val="007F5A41"/>
    <w:rsid w:val="007F67B6"/>
    <w:rsid w:val="007F6984"/>
    <w:rsid w:val="007F6ACF"/>
    <w:rsid w:val="007F6AF0"/>
    <w:rsid w:val="007F6D64"/>
    <w:rsid w:val="007F775A"/>
    <w:rsid w:val="00800186"/>
    <w:rsid w:val="00800192"/>
    <w:rsid w:val="008001D5"/>
    <w:rsid w:val="00800472"/>
    <w:rsid w:val="00800F7E"/>
    <w:rsid w:val="00801266"/>
    <w:rsid w:val="00801871"/>
    <w:rsid w:val="00801B97"/>
    <w:rsid w:val="00801DE5"/>
    <w:rsid w:val="00801FB3"/>
    <w:rsid w:val="00801FC2"/>
    <w:rsid w:val="00802034"/>
    <w:rsid w:val="00802192"/>
    <w:rsid w:val="008029AD"/>
    <w:rsid w:val="00802C30"/>
    <w:rsid w:val="00803CCC"/>
    <w:rsid w:val="008041C1"/>
    <w:rsid w:val="008041D7"/>
    <w:rsid w:val="00805499"/>
    <w:rsid w:val="008054A2"/>
    <w:rsid w:val="00805550"/>
    <w:rsid w:val="00805691"/>
    <w:rsid w:val="0080592E"/>
    <w:rsid w:val="00805EEB"/>
    <w:rsid w:val="00805F1B"/>
    <w:rsid w:val="00805F93"/>
    <w:rsid w:val="0080671C"/>
    <w:rsid w:val="00806D58"/>
    <w:rsid w:val="0080705E"/>
    <w:rsid w:val="0080716E"/>
    <w:rsid w:val="008071AB"/>
    <w:rsid w:val="00807429"/>
    <w:rsid w:val="0080767F"/>
    <w:rsid w:val="00807830"/>
    <w:rsid w:val="008079DD"/>
    <w:rsid w:val="008079FB"/>
    <w:rsid w:val="00807C1A"/>
    <w:rsid w:val="00807F25"/>
    <w:rsid w:val="008100BD"/>
    <w:rsid w:val="00810268"/>
    <w:rsid w:val="00810286"/>
    <w:rsid w:val="008104B7"/>
    <w:rsid w:val="00810A45"/>
    <w:rsid w:val="00810C02"/>
    <w:rsid w:val="00810E84"/>
    <w:rsid w:val="00810EAD"/>
    <w:rsid w:val="008110A3"/>
    <w:rsid w:val="00811178"/>
    <w:rsid w:val="00811254"/>
    <w:rsid w:val="0081127D"/>
    <w:rsid w:val="008116F1"/>
    <w:rsid w:val="00811881"/>
    <w:rsid w:val="0081197B"/>
    <w:rsid w:val="00811A08"/>
    <w:rsid w:val="00811AFE"/>
    <w:rsid w:val="00811B7D"/>
    <w:rsid w:val="00811F68"/>
    <w:rsid w:val="008127CD"/>
    <w:rsid w:val="00812921"/>
    <w:rsid w:val="00812D8F"/>
    <w:rsid w:val="008131EB"/>
    <w:rsid w:val="0081336B"/>
    <w:rsid w:val="00813BDD"/>
    <w:rsid w:val="00814081"/>
    <w:rsid w:val="00814931"/>
    <w:rsid w:val="00814958"/>
    <w:rsid w:val="00814C65"/>
    <w:rsid w:val="00814D8E"/>
    <w:rsid w:val="00814F6D"/>
    <w:rsid w:val="00814F84"/>
    <w:rsid w:val="00815250"/>
    <w:rsid w:val="0081525E"/>
    <w:rsid w:val="00815487"/>
    <w:rsid w:val="008158F9"/>
    <w:rsid w:val="00815B26"/>
    <w:rsid w:val="00815D44"/>
    <w:rsid w:val="00815D71"/>
    <w:rsid w:val="00816022"/>
    <w:rsid w:val="008160F1"/>
    <w:rsid w:val="0081645E"/>
    <w:rsid w:val="008164FA"/>
    <w:rsid w:val="00816C76"/>
    <w:rsid w:val="00816CC7"/>
    <w:rsid w:val="00816CFC"/>
    <w:rsid w:val="00816F47"/>
    <w:rsid w:val="00817760"/>
    <w:rsid w:val="00817A74"/>
    <w:rsid w:val="00817AFC"/>
    <w:rsid w:val="00817BC0"/>
    <w:rsid w:val="00817C55"/>
    <w:rsid w:val="008203C7"/>
    <w:rsid w:val="0082095A"/>
    <w:rsid w:val="008210A8"/>
    <w:rsid w:val="0082124B"/>
    <w:rsid w:val="00821360"/>
    <w:rsid w:val="008214BE"/>
    <w:rsid w:val="00821677"/>
    <w:rsid w:val="008216D9"/>
    <w:rsid w:val="00821BE8"/>
    <w:rsid w:val="00822724"/>
    <w:rsid w:val="008227ED"/>
    <w:rsid w:val="00822B9A"/>
    <w:rsid w:val="00822E30"/>
    <w:rsid w:val="00822F33"/>
    <w:rsid w:val="00823135"/>
    <w:rsid w:val="008231DE"/>
    <w:rsid w:val="0082336E"/>
    <w:rsid w:val="008236F5"/>
    <w:rsid w:val="00823965"/>
    <w:rsid w:val="00823C43"/>
    <w:rsid w:val="00824064"/>
    <w:rsid w:val="0082420C"/>
    <w:rsid w:val="0082432F"/>
    <w:rsid w:val="008246CF"/>
    <w:rsid w:val="00824A39"/>
    <w:rsid w:val="00824B56"/>
    <w:rsid w:val="00824D1A"/>
    <w:rsid w:val="00824EF9"/>
    <w:rsid w:val="00824FAB"/>
    <w:rsid w:val="008253AA"/>
    <w:rsid w:val="00825524"/>
    <w:rsid w:val="008256B4"/>
    <w:rsid w:val="0082578C"/>
    <w:rsid w:val="00825803"/>
    <w:rsid w:val="00825B88"/>
    <w:rsid w:val="00825D45"/>
    <w:rsid w:val="00825DD7"/>
    <w:rsid w:val="00825F01"/>
    <w:rsid w:val="00826569"/>
    <w:rsid w:val="008265DC"/>
    <w:rsid w:val="00826616"/>
    <w:rsid w:val="00826C30"/>
    <w:rsid w:val="00827664"/>
    <w:rsid w:val="0082782A"/>
    <w:rsid w:val="00827DAA"/>
    <w:rsid w:val="00830034"/>
    <w:rsid w:val="0083020B"/>
    <w:rsid w:val="0083040C"/>
    <w:rsid w:val="008305B4"/>
    <w:rsid w:val="00830889"/>
    <w:rsid w:val="008311A2"/>
    <w:rsid w:val="0083167E"/>
    <w:rsid w:val="00831CDE"/>
    <w:rsid w:val="00831D07"/>
    <w:rsid w:val="00831EC0"/>
    <w:rsid w:val="00832198"/>
    <w:rsid w:val="00832368"/>
    <w:rsid w:val="00832595"/>
    <w:rsid w:val="00832806"/>
    <w:rsid w:val="00832B6E"/>
    <w:rsid w:val="00832B9C"/>
    <w:rsid w:val="00832CB5"/>
    <w:rsid w:val="00832EA2"/>
    <w:rsid w:val="00833277"/>
    <w:rsid w:val="008337AC"/>
    <w:rsid w:val="008338A0"/>
    <w:rsid w:val="00834137"/>
    <w:rsid w:val="008346FA"/>
    <w:rsid w:val="00834795"/>
    <w:rsid w:val="00834AD9"/>
    <w:rsid w:val="00834C42"/>
    <w:rsid w:val="00834EF2"/>
    <w:rsid w:val="00834F26"/>
    <w:rsid w:val="0083542C"/>
    <w:rsid w:val="00835AB2"/>
    <w:rsid w:val="00835BE4"/>
    <w:rsid w:val="00835E0F"/>
    <w:rsid w:val="008363DD"/>
    <w:rsid w:val="0083653C"/>
    <w:rsid w:val="00836872"/>
    <w:rsid w:val="00836990"/>
    <w:rsid w:val="00836E08"/>
    <w:rsid w:val="00836E31"/>
    <w:rsid w:val="008372B5"/>
    <w:rsid w:val="0083782F"/>
    <w:rsid w:val="0084002F"/>
    <w:rsid w:val="00840651"/>
    <w:rsid w:val="00840673"/>
    <w:rsid w:val="00840FBB"/>
    <w:rsid w:val="00841439"/>
    <w:rsid w:val="0084144F"/>
    <w:rsid w:val="008414FC"/>
    <w:rsid w:val="0084150A"/>
    <w:rsid w:val="008416D5"/>
    <w:rsid w:val="00841B03"/>
    <w:rsid w:val="00841F48"/>
    <w:rsid w:val="008422DA"/>
    <w:rsid w:val="00842395"/>
    <w:rsid w:val="00842799"/>
    <w:rsid w:val="00842F1F"/>
    <w:rsid w:val="00842F6F"/>
    <w:rsid w:val="00843171"/>
    <w:rsid w:val="00843454"/>
    <w:rsid w:val="0084366A"/>
    <w:rsid w:val="00843ED4"/>
    <w:rsid w:val="00843F47"/>
    <w:rsid w:val="0084408F"/>
    <w:rsid w:val="008441BC"/>
    <w:rsid w:val="0084458B"/>
    <w:rsid w:val="0084471F"/>
    <w:rsid w:val="00844914"/>
    <w:rsid w:val="00845195"/>
    <w:rsid w:val="008457D5"/>
    <w:rsid w:val="00845A28"/>
    <w:rsid w:val="00845B2C"/>
    <w:rsid w:val="00845C34"/>
    <w:rsid w:val="00845D83"/>
    <w:rsid w:val="00846040"/>
    <w:rsid w:val="008461DF"/>
    <w:rsid w:val="008468CF"/>
    <w:rsid w:val="00846C9A"/>
    <w:rsid w:val="0084700B"/>
    <w:rsid w:val="008471F9"/>
    <w:rsid w:val="00847794"/>
    <w:rsid w:val="00847967"/>
    <w:rsid w:val="008479AE"/>
    <w:rsid w:val="00847C59"/>
    <w:rsid w:val="00847DD4"/>
    <w:rsid w:val="00850070"/>
    <w:rsid w:val="00850114"/>
    <w:rsid w:val="00850279"/>
    <w:rsid w:val="00850EF2"/>
    <w:rsid w:val="00851140"/>
    <w:rsid w:val="0085122D"/>
    <w:rsid w:val="008512FB"/>
    <w:rsid w:val="00851BF6"/>
    <w:rsid w:val="00851FF4"/>
    <w:rsid w:val="008520DB"/>
    <w:rsid w:val="00852337"/>
    <w:rsid w:val="0085271F"/>
    <w:rsid w:val="00852CDE"/>
    <w:rsid w:val="00852F9E"/>
    <w:rsid w:val="008532E3"/>
    <w:rsid w:val="008532E8"/>
    <w:rsid w:val="0085374A"/>
    <w:rsid w:val="008537AA"/>
    <w:rsid w:val="00853D7D"/>
    <w:rsid w:val="0085407F"/>
    <w:rsid w:val="008548AC"/>
    <w:rsid w:val="00854B50"/>
    <w:rsid w:val="00854DF8"/>
    <w:rsid w:val="00854F9D"/>
    <w:rsid w:val="008556AB"/>
    <w:rsid w:val="00855A8B"/>
    <w:rsid w:val="00856004"/>
    <w:rsid w:val="00856081"/>
    <w:rsid w:val="0085608E"/>
    <w:rsid w:val="00856202"/>
    <w:rsid w:val="00856A47"/>
    <w:rsid w:val="00856A9C"/>
    <w:rsid w:val="00856E16"/>
    <w:rsid w:val="008571A5"/>
    <w:rsid w:val="008577A8"/>
    <w:rsid w:val="0086036F"/>
    <w:rsid w:val="0086094A"/>
    <w:rsid w:val="00860B7C"/>
    <w:rsid w:val="008611B7"/>
    <w:rsid w:val="00861306"/>
    <w:rsid w:val="0086155C"/>
    <w:rsid w:val="008616F1"/>
    <w:rsid w:val="008619C9"/>
    <w:rsid w:val="00861B0E"/>
    <w:rsid w:val="00861B2F"/>
    <w:rsid w:val="00861C17"/>
    <w:rsid w:val="00861C6D"/>
    <w:rsid w:val="00861E2B"/>
    <w:rsid w:val="008626E9"/>
    <w:rsid w:val="00862864"/>
    <w:rsid w:val="00862CC1"/>
    <w:rsid w:val="00863B05"/>
    <w:rsid w:val="00864742"/>
    <w:rsid w:val="008647C2"/>
    <w:rsid w:val="00865164"/>
    <w:rsid w:val="0086533A"/>
    <w:rsid w:val="00865C1C"/>
    <w:rsid w:val="00865E14"/>
    <w:rsid w:val="00865F9D"/>
    <w:rsid w:val="00865FB5"/>
    <w:rsid w:val="008660B3"/>
    <w:rsid w:val="008661D6"/>
    <w:rsid w:val="00866348"/>
    <w:rsid w:val="0086659D"/>
    <w:rsid w:val="00866B03"/>
    <w:rsid w:val="008671DF"/>
    <w:rsid w:val="008673CA"/>
    <w:rsid w:val="00867B16"/>
    <w:rsid w:val="00867B9A"/>
    <w:rsid w:val="0087016C"/>
    <w:rsid w:val="00870244"/>
    <w:rsid w:val="008704B7"/>
    <w:rsid w:val="008704F2"/>
    <w:rsid w:val="008706C3"/>
    <w:rsid w:val="00870821"/>
    <w:rsid w:val="00870AF2"/>
    <w:rsid w:val="00870E55"/>
    <w:rsid w:val="00871184"/>
    <w:rsid w:val="008712EC"/>
    <w:rsid w:val="0087151B"/>
    <w:rsid w:val="0087158A"/>
    <w:rsid w:val="0087190E"/>
    <w:rsid w:val="008722C4"/>
    <w:rsid w:val="0087288E"/>
    <w:rsid w:val="00872976"/>
    <w:rsid w:val="0087297B"/>
    <w:rsid w:val="00872B05"/>
    <w:rsid w:val="00872CEA"/>
    <w:rsid w:val="00872E12"/>
    <w:rsid w:val="00873070"/>
    <w:rsid w:val="0087332D"/>
    <w:rsid w:val="008737D7"/>
    <w:rsid w:val="008739D9"/>
    <w:rsid w:val="00873CE9"/>
    <w:rsid w:val="00873D37"/>
    <w:rsid w:val="00873F45"/>
    <w:rsid w:val="00873FAE"/>
    <w:rsid w:val="00874276"/>
    <w:rsid w:val="0087436A"/>
    <w:rsid w:val="008744EB"/>
    <w:rsid w:val="008747F4"/>
    <w:rsid w:val="00874A69"/>
    <w:rsid w:val="00874D08"/>
    <w:rsid w:val="00874DF5"/>
    <w:rsid w:val="00874F97"/>
    <w:rsid w:val="0087520A"/>
    <w:rsid w:val="00875898"/>
    <w:rsid w:val="00875B0F"/>
    <w:rsid w:val="008762FB"/>
    <w:rsid w:val="00876B02"/>
    <w:rsid w:val="00876BC2"/>
    <w:rsid w:val="0087750F"/>
    <w:rsid w:val="00877804"/>
    <w:rsid w:val="008778BE"/>
    <w:rsid w:val="00877DEB"/>
    <w:rsid w:val="00877E8B"/>
    <w:rsid w:val="008800F8"/>
    <w:rsid w:val="0088050E"/>
    <w:rsid w:val="008807AC"/>
    <w:rsid w:val="00880925"/>
    <w:rsid w:val="00880BB2"/>
    <w:rsid w:val="00880C17"/>
    <w:rsid w:val="00880DBF"/>
    <w:rsid w:val="00880F76"/>
    <w:rsid w:val="00880FEC"/>
    <w:rsid w:val="00881746"/>
    <w:rsid w:val="00881836"/>
    <w:rsid w:val="00881C79"/>
    <w:rsid w:val="00881F4D"/>
    <w:rsid w:val="0088216E"/>
    <w:rsid w:val="00882364"/>
    <w:rsid w:val="00882520"/>
    <w:rsid w:val="00882599"/>
    <w:rsid w:val="00882855"/>
    <w:rsid w:val="00882AA4"/>
    <w:rsid w:val="00882C6A"/>
    <w:rsid w:val="00882DFF"/>
    <w:rsid w:val="00882E50"/>
    <w:rsid w:val="00882EF6"/>
    <w:rsid w:val="008833ED"/>
    <w:rsid w:val="0088357F"/>
    <w:rsid w:val="008835A6"/>
    <w:rsid w:val="008835BF"/>
    <w:rsid w:val="00883D48"/>
    <w:rsid w:val="00883F12"/>
    <w:rsid w:val="00883F6C"/>
    <w:rsid w:val="00884150"/>
    <w:rsid w:val="00884805"/>
    <w:rsid w:val="00884809"/>
    <w:rsid w:val="00884BE1"/>
    <w:rsid w:val="00884FFF"/>
    <w:rsid w:val="00885350"/>
    <w:rsid w:val="008854F9"/>
    <w:rsid w:val="00885950"/>
    <w:rsid w:val="00886139"/>
    <w:rsid w:val="008861F0"/>
    <w:rsid w:val="00886754"/>
    <w:rsid w:val="00886D03"/>
    <w:rsid w:val="00886EBA"/>
    <w:rsid w:val="00886F3D"/>
    <w:rsid w:val="00887604"/>
    <w:rsid w:val="00887636"/>
    <w:rsid w:val="008901B5"/>
    <w:rsid w:val="008901D5"/>
    <w:rsid w:val="0089062D"/>
    <w:rsid w:val="008906D8"/>
    <w:rsid w:val="0089078B"/>
    <w:rsid w:val="00890C83"/>
    <w:rsid w:val="008910FB"/>
    <w:rsid w:val="00891343"/>
    <w:rsid w:val="00891BDA"/>
    <w:rsid w:val="00891E07"/>
    <w:rsid w:val="00891F41"/>
    <w:rsid w:val="00892474"/>
    <w:rsid w:val="00892C4E"/>
    <w:rsid w:val="00892CD0"/>
    <w:rsid w:val="00892D81"/>
    <w:rsid w:val="00892ED4"/>
    <w:rsid w:val="0089322D"/>
    <w:rsid w:val="008932A5"/>
    <w:rsid w:val="008933EB"/>
    <w:rsid w:val="00893410"/>
    <w:rsid w:val="0089372D"/>
    <w:rsid w:val="008940FB"/>
    <w:rsid w:val="0089469D"/>
    <w:rsid w:val="008946AE"/>
    <w:rsid w:val="00894C4F"/>
    <w:rsid w:val="008950C3"/>
    <w:rsid w:val="00895308"/>
    <w:rsid w:val="008953EE"/>
    <w:rsid w:val="00895533"/>
    <w:rsid w:val="00895542"/>
    <w:rsid w:val="00895A99"/>
    <w:rsid w:val="00895BB7"/>
    <w:rsid w:val="00896215"/>
    <w:rsid w:val="00896659"/>
    <w:rsid w:val="00896964"/>
    <w:rsid w:val="00896B31"/>
    <w:rsid w:val="008976A1"/>
    <w:rsid w:val="00897E48"/>
    <w:rsid w:val="008A06E3"/>
    <w:rsid w:val="008A08BC"/>
    <w:rsid w:val="008A0CAF"/>
    <w:rsid w:val="008A0EBA"/>
    <w:rsid w:val="008A0F82"/>
    <w:rsid w:val="008A0FD6"/>
    <w:rsid w:val="008A116A"/>
    <w:rsid w:val="008A15BE"/>
    <w:rsid w:val="008A1622"/>
    <w:rsid w:val="008A16DA"/>
    <w:rsid w:val="008A16F3"/>
    <w:rsid w:val="008A204A"/>
    <w:rsid w:val="008A20FC"/>
    <w:rsid w:val="008A21F5"/>
    <w:rsid w:val="008A2253"/>
    <w:rsid w:val="008A22A5"/>
    <w:rsid w:val="008A237D"/>
    <w:rsid w:val="008A2A36"/>
    <w:rsid w:val="008A38B1"/>
    <w:rsid w:val="008A40B6"/>
    <w:rsid w:val="008A4624"/>
    <w:rsid w:val="008A4795"/>
    <w:rsid w:val="008A4B0D"/>
    <w:rsid w:val="008A4B52"/>
    <w:rsid w:val="008A4DD5"/>
    <w:rsid w:val="008A4E86"/>
    <w:rsid w:val="008A50C3"/>
    <w:rsid w:val="008A5B52"/>
    <w:rsid w:val="008A60D8"/>
    <w:rsid w:val="008A6488"/>
    <w:rsid w:val="008A6A1D"/>
    <w:rsid w:val="008A6AB2"/>
    <w:rsid w:val="008A6B5B"/>
    <w:rsid w:val="008A6C26"/>
    <w:rsid w:val="008A6C28"/>
    <w:rsid w:val="008A6DF0"/>
    <w:rsid w:val="008A7094"/>
    <w:rsid w:val="008A7397"/>
    <w:rsid w:val="008A73B7"/>
    <w:rsid w:val="008A73FB"/>
    <w:rsid w:val="008A7F20"/>
    <w:rsid w:val="008B0101"/>
    <w:rsid w:val="008B0758"/>
    <w:rsid w:val="008B07F7"/>
    <w:rsid w:val="008B0D2E"/>
    <w:rsid w:val="008B0E8F"/>
    <w:rsid w:val="008B0F9D"/>
    <w:rsid w:val="008B0FAE"/>
    <w:rsid w:val="008B1DF2"/>
    <w:rsid w:val="008B2E5C"/>
    <w:rsid w:val="008B3263"/>
    <w:rsid w:val="008B3A10"/>
    <w:rsid w:val="008B3CD5"/>
    <w:rsid w:val="008B43E2"/>
    <w:rsid w:val="008B4634"/>
    <w:rsid w:val="008B4802"/>
    <w:rsid w:val="008B4879"/>
    <w:rsid w:val="008B4B77"/>
    <w:rsid w:val="008B4E5A"/>
    <w:rsid w:val="008B50F2"/>
    <w:rsid w:val="008B511D"/>
    <w:rsid w:val="008B5AAF"/>
    <w:rsid w:val="008B5E65"/>
    <w:rsid w:val="008B5FF3"/>
    <w:rsid w:val="008B653E"/>
    <w:rsid w:val="008B6818"/>
    <w:rsid w:val="008B6A01"/>
    <w:rsid w:val="008B6A09"/>
    <w:rsid w:val="008B6AA8"/>
    <w:rsid w:val="008B6B0F"/>
    <w:rsid w:val="008B6B6C"/>
    <w:rsid w:val="008B6D00"/>
    <w:rsid w:val="008B6E38"/>
    <w:rsid w:val="008B6FDC"/>
    <w:rsid w:val="008B70D1"/>
    <w:rsid w:val="008B752F"/>
    <w:rsid w:val="008B773B"/>
    <w:rsid w:val="008B7B5E"/>
    <w:rsid w:val="008B7E14"/>
    <w:rsid w:val="008B7F31"/>
    <w:rsid w:val="008B7FE8"/>
    <w:rsid w:val="008C0141"/>
    <w:rsid w:val="008C01FC"/>
    <w:rsid w:val="008C054E"/>
    <w:rsid w:val="008C0BA6"/>
    <w:rsid w:val="008C0DC2"/>
    <w:rsid w:val="008C1148"/>
    <w:rsid w:val="008C1558"/>
    <w:rsid w:val="008C17D5"/>
    <w:rsid w:val="008C1A55"/>
    <w:rsid w:val="008C1B82"/>
    <w:rsid w:val="008C2338"/>
    <w:rsid w:val="008C2357"/>
    <w:rsid w:val="008C2C2B"/>
    <w:rsid w:val="008C2F18"/>
    <w:rsid w:val="008C2F8C"/>
    <w:rsid w:val="008C330E"/>
    <w:rsid w:val="008C36C0"/>
    <w:rsid w:val="008C37D6"/>
    <w:rsid w:val="008C38A0"/>
    <w:rsid w:val="008C39AF"/>
    <w:rsid w:val="008C3D23"/>
    <w:rsid w:val="008C3E89"/>
    <w:rsid w:val="008C416A"/>
    <w:rsid w:val="008C42C0"/>
    <w:rsid w:val="008C4503"/>
    <w:rsid w:val="008C47B5"/>
    <w:rsid w:val="008C48FA"/>
    <w:rsid w:val="008C4E24"/>
    <w:rsid w:val="008C5049"/>
    <w:rsid w:val="008C5063"/>
    <w:rsid w:val="008C52E4"/>
    <w:rsid w:val="008C572E"/>
    <w:rsid w:val="008C5AC8"/>
    <w:rsid w:val="008C60C4"/>
    <w:rsid w:val="008C618F"/>
    <w:rsid w:val="008C6239"/>
    <w:rsid w:val="008C6545"/>
    <w:rsid w:val="008C688E"/>
    <w:rsid w:val="008C6C97"/>
    <w:rsid w:val="008C6E6C"/>
    <w:rsid w:val="008C70D7"/>
    <w:rsid w:val="008C7530"/>
    <w:rsid w:val="008C7882"/>
    <w:rsid w:val="008C7A2B"/>
    <w:rsid w:val="008C7D19"/>
    <w:rsid w:val="008D00AE"/>
    <w:rsid w:val="008D0186"/>
    <w:rsid w:val="008D0213"/>
    <w:rsid w:val="008D0535"/>
    <w:rsid w:val="008D0541"/>
    <w:rsid w:val="008D0866"/>
    <w:rsid w:val="008D0E07"/>
    <w:rsid w:val="008D0EE2"/>
    <w:rsid w:val="008D12F8"/>
    <w:rsid w:val="008D130F"/>
    <w:rsid w:val="008D1AA2"/>
    <w:rsid w:val="008D1B3E"/>
    <w:rsid w:val="008D1B79"/>
    <w:rsid w:val="008D1E81"/>
    <w:rsid w:val="008D1FF9"/>
    <w:rsid w:val="008D206E"/>
    <w:rsid w:val="008D21B6"/>
    <w:rsid w:val="008D2611"/>
    <w:rsid w:val="008D2C7A"/>
    <w:rsid w:val="008D2EB9"/>
    <w:rsid w:val="008D2F54"/>
    <w:rsid w:val="008D3262"/>
    <w:rsid w:val="008D34B1"/>
    <w:rsid w:val="008D3A42"/>
    <w:rsid w:val="008D3BC6"/>
    <w:rsid w:val="008D3ECE"/>
    <w:rsid w:val="008D414F"/>
    <w:rsid w:val="008D422A"/>
    <w:rsid w:val="008D442B"/>
    <w:rsid w:val="008D4754"/>
    <w:rsid w:val="008D4AAA"/>
    <w:rsid w:val="008D4E0B"/>
    <w:rsid w:val="008D5314"/>
    <w:rsid w:val="008D53B6"/>
    <w:rsid w:val="008D5618"/>
    <w:rsid w:val="008D57BC"/>
    <w:rsid w:val="008D5972"/>
    <w:rsid w:val="008D5C3B"/>
    <w:rsid w:val="008D5D7A"/>
    <w:rsid w:val="008D6909"/>
    <w:rsid w:val="008D6CF4"/>
    <w:rsid w:val="008D6E3D"/>
    <w:rsid w:val="008D6E8D"/>
    <w:rsid w:val="008D7081"/>
    <w:rsid w:val="008D70B7"/>
    <w:rsid w:val="008D7288"/>
    <w:rsid w:val="008E0303"/>
    <w:rsid w:val="008E0490"/>
    <w:rsid w:val="008E0601"/>
    <w:rsid w:val="008E0E76"/>
    <w:rsid w:val="008E1279"/>
    <w:rsid w:val="008E13F2"/>
    <w:rsid w:val="008E1F46"/>
    <w:rsid w:val="008E20D6"/>
    <w:rsid w:val="008E218D"/>
    <w:rsid w:val="008E239A"/>
    <w:rsid w:val="008E24D1"/>
    <w:rsid w:val="008E280E"/>
    <w:rsid w:val="008E2974"/>
    <w:rsid w:val="008E391A"/>
    <w:rsid w:val="008E395E"/>
    <w:rsid w:val="008E3B88"/>
    <w:rsid w:val="008E3F51"/>
    <w:rsid w:val="008E4013"/>
    <w:rsid w:val="008E4190"/>
    <w:rsid w:val="008E46AD"/>
    <w:rsid w:val="008E4E15"/>
    <w:rsid w:val="008E513E"/>
    <w:rsid w:val="008E525F"/>
    <w:rsid w:val="008E5381"/>
    <w:rsid w:val="008E5522"/>
    <w:rsid w:val="008E56AB"/>
    <w:rsid w:val="008E5ACE"/>
    <w:rsid w:val="008E5CBB"/>
    <w:rsid w:val="008E5EC1"/>
    <w:rsid w:val="008E6148"/>
    <w:rsid w:val="008E61C7"/>
    <w:rsid w:val="008E65D6"/>
    <w:rsid w:val="008E6A10"/>
    <w:rsid w:val="008E6C9D"/>
    <w:rsid w:val="008E6EFE"/>
    <w:rsid w:val="008E7118"/>
    <w:rsid w:val="008E7199"/>
    <w:rsid w:val="008E71FA"/>
    <w:rsid w:val="008E73EB"/>
    <w:rsid w:val="008E7721"/>
    <w:rsid w:val="008E77F4"/>
    <w:rsid w:val="008E7851"/>
    <w:rsid w:val="008E7A2C"/>
    <w:rsid w:val="008E7A40"/>
    <w:rsid w:val="008E7B60"/>
    <w:rsid w:val="008F0F82"/>
    <w:rsid w:val="008F0FA1"/>
    <w:rsid w:val="008F1035"/>
    <w:rsid w:val="008F1137"/>
    <w:rsid w:val="008F11E1"/>
    <w:rsid w:val="008F12BE"/>
    <w:rsid w:val="008F2239"/>
    <w:rsid w:val="008F24DC"/>
    <w:rsid w:val="008F276F"/>
    <w:rsid w:val="008F317C"/>
    <w:rsid w:val="008F33E2"/>
    <w:rsid w:val="008F355C"/>
    <w:rsid w:val="008F388A"/>
    <w:rsid w:val="008F3BAA"/>
    <w:rsid w:val="008F3F6D"/>
    <w:rsid w:val="008F45EF"/>
    <w:rsid w:val="008F473A"/>
    <w:rsid w:val="008F4950"/>
    <w:rsid w:val="008F49F7"/>
    <w:rsid w:val="008F4ACD"/>
    <w:rsid w:val="008F4C2D"/>
    <w:rsid w:val="008F4C31"/>
    <w:rsid w:val="008F4D1D"/>
    <w:rsid w:val="008F4EED"/>
    <w:rsid w:val="008F4F16"/>
    <w:rsid w:val="008F51F7"/>
    <w:rsid w:val="008F538D"/>
    <w:rsid w:val="008F55AF"/>
    <w:rsid w:val="008F5675"/>
    <w:rsid w:val="008F587F"/>
    <w:rsid w:val="008F6190"/>
    <w:rsid w:val="008F6227"/>
    <w:rsid w:val="008F6306"/>
    <w:rsid w:val="008F66C8"/>
    <w:rsid w:val="008F6838"/>
    <w:rsid w:val="008F6A14"/>
    <w:rsid w:val="008F6C09"/>
    <w:rsid w:val="008F6ED6"/>
    <w:rsid w:val="008F6F82"/>
    <w:rsid w:val="008F708A"/>
    <w:rsid w:val="008F7329"/>
    <w:rsid w:val="008F73EF"/>
    <w:rsid w:val="008F7A9F"/>
    <w:rsid w:val="008F7E90"/>
    <w:rsid w:val="008F7F56"/>
    <w:rsid w:val="00900437"/>
    <w:rsid w:val="009004F1"/>
    <w:rsid w:val="00900988"/>
    <w:rsid w:val="009009F2"/>
    <w:rsid w:val="00900B24"/>
    <w:rsid w:val="00900C93"/>
    <w:rsid w:val="00900F1C"/>
    <w:rsid w:val="0090186F"/>
    <w:rsid w:val="00901BC6"/>
    <w:rsid w:val="0090216A"/>
    <w:rsid w:val="009026DA"/>
    <w:rsid w:val="0090277D"/>
    <w:rsid w:val="00902CA0"/>
    <w:rsid w:val="00902EBC"/>
    <w:rsid w:val="00902FC0"/>
    <w:rsid w:val="00902FFF"/>
    <w:rsid w:val="009030DF"/>
    <w:rsid w:val="0090322B"/>
    <w:rsid w:val="009033DE"/>
    <w:rsid w:val="00903680"/>
    <w:rsid w:val="009036CC"/>
    <w:rsid w:val="00903875"/>
    <w:rsid w:val="009039E3"/>
    <w:rsid w:val="00903B1F"/>
    <w:rsid w:val="009048E2"/>
    <w:rsid w:val="00904C85"/>
    <w:rsid w:val="00904D71"/>
    <w:rsid w:val="00904ED4"/>
    <w:rsid w:val="009053D8"/>
    <w:rsid w:val="0090548D"/>
    <w:rsid w:val="009054A5"/>
    <w:rsid w:val="009054E8"/>
    <w:rsid w:val="009057B9"/>
    <w:rsid w:val="00905D50"/>
    <w:rsid w:val="00905E9B"/>
    <w:rsid w:val="00905FF3"/>
    <w:rsid w:val="00906636"/>
    <w:rsid w:val="00906658"/>
    <w:rsid w:val="009066B2"/>
    <w:rsid w:val="00906837"/>
    <w:rsid w:val="00906BFC"/>
    <w:rsid w:val="0090728F"/>
    <w:rsid w:val="00907592"/>
    <w:rsid w:val="009077FE"/>
    <w:rsid w:val="0090788C"/>
    <w:rsid w:val="00907B2A"/>
    <w:rsid w:val="00910C2D"/>
    <w:rsid w:val="009110E3"/>
    <w:rsid w:val="00911420"/>
    <w:rsid w:val="00911C5A"/>
    <w:rsid w:val="00911CE2"/>
    <w:rsid w:val="00911E07"/>
    <w:rsid w:val="0091203D"/>
    <w:rsid w:val="00912654"/>
    <w:rsid w:val="00912A4D"/>
    <w:rsid w:val="00912C04"/>
    <w:rsid w:val="00912C80"/>
    <w:rsid w:val="00912E83"/>
    <w:rsid w:val="009132FD"/>
    <w:rsid w:val="00914062"/>
    <w:rsid w:val="0091413B"/>
    <w:rsid w:val="009145F8"/>
    <w:rsid w:val="00914A3E"/>
    <w:rsid w:val="00914BC5"/>
    <w:rsid w:val="00915114"/>
    <w:rsid w:val="00915136"/>
    <w:rsid w:val="00915231"/>
    <w:rsid w:val="00915370"/>
    <w:rsid w:val="00915656"/>
    <w:rsid w:val="0091574A"/>
    <w:rsid w:val="009159F5"/>
    <w:rsid w:val="00915A9F"/>
    <w:rsid w:val="00915CE6"/>
    <w:rsid w:val="00916B7F"/>
    <w:rsid w:val="00916F34"/>
    <w:rsid w:val="0091732F"/>
    <w:rsid w:val="009173D3"/>
    <w:rsid w:val="00917B25"/>
    <w:rsid w:val="00917B44"/>
    <w:rsid w:val="00917D96"/>
    <w:rsid w:val="009201B7"/>
    <w:rsid w:val="00920494"/>
    <w:rsid w:val="0092052B"/>
    <w:rsid w:val="00920559"/>
    <w:rsid w:val="0092085D"/>
    <w:rsid w:val="00920A46"/>
    <w:rsid w:val="00920BB3"/>
    <w:rsid w:val="00920F70"/>
    <w:rsid w:val="00921083"/>
    <w:rsid w:val="009214AC"/>
    <w:rsid w:val="0092165F"/>
    <w:rsid w:val="00921A0B"/>
    <w:rsid w:val="00921A2C"/>
    <w:rsid w:val="00921BCF"/>
    <w:rsid w:val="00921CC7"/>
    <w:rsid w:val="00922098"/>
    <w:rsid w:val="00922342"/>
    <w:rsid w:val="00922910"/>
    <w:rsid w:val="00923360"/>
    <w:rsid w:val="0092358E"/>
    <w:rsid w:val="00923681"/>
    <w:rsid w:val="00923BE2"/>
    <w:rsid w:val="009247FC"/>
    <w:rsid w:val="00924B37"/>
    <w:rsid w:val="00924CEA"/>
    <w:rsid w:val="00924FCB"/>
    <w:rsid w:val="00925085"/>
    <w:rsid w:val="009254F1"/>
    <w:rsid w:val="00925773"/>
    <w:rsid w:val="0092594B"/>
    <w:rsid w:val="00925A03"/>
    <w:rsid w:val="00925BBB"/>
    <w:rsid w:val="00925CB6"/>
    <w:rsid w:val="0092616B"/>
    <w:rsid w:val="00926295"/>
    <w:rsid w:val="00926449"/>
    <w:rsid w:val="009264E5"/>
    <w:rsid w:val="009266D2"/>
    <w:rsid w:val="009266D4"/>
    <w:rsid w:val="00926BA7"/>
    <w:rsid w:val="009276C3"/>
    <w:rsid w:val="00927D36"/>
    <w:rsid w:val="00927DA5"/>
    <w:rsid w:val="00927E99"/>
    <w:rsid w:val="00930261"/>
    <w:rsid w:val="00930328"/>
    <w:rsid w:val="009303B0"/>
    <w:rsid w:val="0093085A"/>
    <w:rsid w:val="00930A6F"/>
    <w:rsid w:val="00930C68"/>
    <w:rsid w:val="00930FEF"/>
    <w:rsid w:val="0093102C"/>
    <w:rsid w:val="009312F9"/>
    <w:rsid w:val="0093144F"/>
    <w:rsid w:val="009314E6"/>
    <w:rsid w:val="00931A97"/>
    <w:rsid w:val="00931B7E"/>
    <w:rsid w:val="00931EEB"/>
    <w:rsid w:val="00932318"/>
    <w:rsid w:val="009323AF"/>
    <w:rsid w:val="009323C5"/>
    <w:rsid w:val="00932505"/>
    <w:rsid w:val="00932836"/>
    <w:rsid w:val="009328B8"/>
    <w:rsid w:val="009328C1"/>
    <w:rsid w:val="00932EB6"/>
    <w:rsid w:val="00933091"/>
    <w:rsid w:val="009338AA"/>
    <w:rsid w:val="00933925"/>
    <w:rsid w:val="00933B26"/>
    <w:rsid w:val="009341DC"/>
    <w:rsid w:val="00934266"/>
    <w:rsid w:val="00934391"/>
    <w:rsid w:val="009343A6"/>
    <w:rsid w:val="00934483"/>
    <w:rsid w:val="009348CC"/>
    <w:rsid w:val="00934AF4"/>
    <w:rsid w:val="00934D97"/>
    <w:rsid w:val="0093500E"/>
    <w:rsid w:val="009350B8"/>
    <w:rsid w:val="0093576D"/>
    <w:rsid w:val="009359C4"/>
    <w:rsid w:val="009361DC"/>
    <w:rsid w:val="009365D9"/>
    <w:rsid w:val="00936825"/>
    <w:rsid w:val="0093709A"/>
    <w:rsid w:val="00937220"/>
    <w:rsid w:val="009374C1"/>
    <w:rsid w:val="00937796"/>
    <w:rsid w:val="0093794C"/>
    <w:rsid w:val="00937CCC"/>
    <w:rsid w:val="00940044"/>
    <w:rsid w:val="009402DB"/>
    <w:rsid w:val="0094038D"/>
    <w:rsid w:val="009410CC"/>
    <w:rsid w:val="0094116E"/>
    <w:rsid w:val="00941261"/>
    <w:rsid w:val="009412A2"/>
    <w:rsid w:val="00941865"/>
    <w:rsid w:val="00941AD1"/>
    <w:rsid w:val="00941EE3"/>
    <w:rsid w:val="0094265F"/>
    <w:rsid w:val="00942EFB"/>
    <w:rsid w:val="00942FF6"/>
    <w:rsid w:val="00943674"/>
    <w:rsid w:val="009438FA"/>
    <w:rsid w:val="0094396C"/>
    <w:rsid w:val="009439DC"/>
    <w:rsid w:val="009439DF"/>
    <w:rsid w:val="00943B74"/>
    <w:rsid w:val="0094485C"/>
    <w:rsid w:val="00944D7C"/>
    <w:rsid w:val="00944F6D"/>
    <w:rsid w:val="009456D7"/>
    <w:rsid w:val="009458E0"/>
    <w:rsid w:val="00945B5B"/>
    <w:rsid w:val="0094606B"/>
    <w:rsid w:val="009462E8"/>
    <w:rsid w:val="0094692C"/>
    <w:rsid w:val="00946B97"/>
    <w:rsid w:val="00947004"/>
    <w:rsid w:val="00947127"/>
    <w:rsid w:val="00947523"/>
    <w:rsid w:val="009477F7"/>
    <w:rsid w:val="00947CA2"/>
    <w:rsid w:val="00947CC5"/>
    <w:rsid w:val="00947FC1"/>
    <w:rsid w:val="009500D2"/>
    <w:rsid w:val="0095011D"/>
    <w:rsid w:val="0095012B"/>
    <w:rsid w:val="00950577"/>
    <w:rsid w:val="00950A6A"/>
    <w:rsid w:val="009510E4"/>
    <w:rsid w:val="009512CF"/>
    <w:rsid w:val="009513B5"/>
    <w:rsid w:val="009513FB"/>
    <w:rsid w:val="00951558"/>
    <w:rsid w:val="009516CA"/>
    <w:rsid w:val="00951806"/>
    <w:rsid w:val="009519A7"/>
    <w:rsid w:val="00952321"/>
    <w:rsid w:val="00952425"/>
    <w:rsid w:val="009527A7"/>
    <w:rsid w:val="00952E66"/>
    <w:rsid w:val="00952FE9"/>
    <w:rsid w:val="009530EB"/>
    <w:rsid w:val="00953751"/>
    <w:rsid w:val="00953854"/>
    <w:rsid w:val="00953856"/>
    <w:rsid w:val="00953C84"/>
    <w:rsid w:val="00953D1C"/>
    <w:rsid w:val="00953FC2"/>
    <w:rsid w:val="009540F6"/>
    <w:rsid w:val="00954271"/>
    <w:rsid w:val="00954417"/>
    <w:rsid w:val="0095453C"/>
    <w:rsid w:val="00954DA6"/>
    <w:rsid w:val="009550EA"/>
    <w:rsid w:val="0095515F"/>
    <w:rsid w:val="009552C4"/>
    <w:rsid w:val="00955BEE"/>
    <w:rsid w:val="00955E0A"/>
    <w:rsid w:val="00955E56"/>
    <w:rsid w:val="009561D5"/>
    <w:rsid w:val="0095630A"/>
    <w:rsid w:val="009569E2"/>
    <w:rsid w:val="0095785A"/>
    <w:rsid w:val="00957F83"/>
    <w:rsid w:val="0096015E"/>
    <w:rsid w:val="009601BB"/>
    <w:rsid w:val="00960BFC"/>
    <w:rsid w:val="00960DC4"/>
    <w:rsid w:val="00960F28"/>
    <w:rsid w:val="009611FD"/>
    <w:rsid w:val="00961350"/>
    <w:rsid w:val="009613BC"/>
    <w:rsid w:val="0096190C"/>
    <w:rsid w:val="00962021"/>
    <w:rsid w:val="009623A6"/>
    <w:rsid w:val="009629A4"/>
    <w:rsid w:val="00962A64"/>
    <w:rsid w:val="00962D19"/>
    <w:rsid w:val="00962E9A"/>
    <w:rsid w:val="009631CB"/>
    <w:rsid w:val="00963267"/>
    <w:rsid w:val="00963337"/>
    <w:rsid w:val="009635CA"/>
    <w:rsid w:val="009637A8"/>
    <w:rsid w:val="00963853"/>
    <w:rsid w:val="00963BBC"/>
    <w:rsid w:val="009640A0"/>
    <w:rsid w:val="009645B1"/>
    <w:rsid w:val="00964621"/>
    <w:rsid w:val="00964B5B"/>
    <w:rsid w:val="00964D53"/>
    <w:rsid w:val="00964E92"/>
    <w:rsid w:val="00964F12"/>
    <w:rsid w:val="009650DB"/>
    <w:rsid w:val="009653C8"/>
    <w:rsid w:val="009654D3"/>
    <w:rsid w:val="009659F2"/>
    <w:rsid w:val="00965DD6"/>
    <w:rsid w:val="009662F3"/>
    <w:rsid w:val="0096661B"/>
    <w:rsid w:val="009667CC"/>
    <w:rsid w:val="00966ABB"/>
    <w:rsid w:val="00966EAE"/>
    <w:rsid w:val="0096702F"/>
    <w:rsid w:val="009670BF"/>
    <w:rsid w:val="0096719C"/>
    <w:rsid w:val="009671BC"/>
    <w:rsid w:val="0096764B"/>
    <w:rsid w:val="0096779F"/>
    <w:rsid w:val="00967801"/>
    <w:rsid w:val="00970050"/>
    <w:rsid w:val="00970411"/>
    <w:rsid w:val="00970463"/>
    <w:rsid w:val="00970A60"/>
    <w:rsid w:val="00970D70"/>
    <w:rsid w:val="00970F4A"/>
    <w:rsid w:val="00971363"/>
    <w:rsid w:val="009714C6"/>
    <w:rsid w:val="009714E4"/>
    <w:rsid w:val="009719D6"/>
    <w:rsid w:val="009719D9"/>
    <w:rsid w:val="00971B4D"/>
    <w:rsid w:val="00972593"/>
    <w:rsid w:val="00972685"/>
    <w:rsid w:val="00972A46"/>
    <w:rsid w:val="00972A55"/>
    <w:rsid w:val="00972C7C"/>
    <w:rsid w:val="00972D8C"/>
    <w:rsid w:val="00972E9B"/>
    <w:rsid w:val="00972FFB"/>
    <w:rsid w:val="00973044"/>
    <w:rsid w:val="009734D9"/>
    <w:rsid w:val="0097374C"/>
    <w:rsid w:val="00973901"/>
    <w:rsid w:val="0097394F"/>
    <w:rsid w:val="00973B12"/>
    <w:rsid w:val="00973E0C"/>
    <w:rsid w:val="00973F27"/>
    <w:rsid w:val="00973F3D"/>
    <w:rsid w:val="00974088"/>
    <w:rsid w:val="00974481"/>
    <w:rsid w:val="0097468F"/>
    <w:rsid w:val="009746A7"/>
    <w:rsid w:val="00974B6C"/>
    <w:rsid w:val="00974C9E"/>
    <w:rsid w:val="0097502C"/>
    <w:rsid w:val="00975873"/>
    <w:rsid w:val="00975CF3"/>
    <w:rsid w:val="0097602A"/>
    <w:rsid w:val="0097605E"/>
    <w:rsid w:val="0097617C"/>
    <w:rsid w:val="00976E60"/>
    <w:rsid w:val="0097736C"/>
    <w:rsid w:val="009774FD"/>
    <w:rsid w:val="009777C0"/>
    <w:rsid w:val="00977B82"/>
    <w:rsid w:val="00977D0F"/>
    <w:rsid w:val="00977E09"/>
    <w:rsid w:val="009802F1"/>
    <w:rsid w:val="0098038C"/>
    <w:rsid w:val="009805AA"/>
    <w:rsid w:val="009806F4"/>
    <w:rsid w:val="0098089A"/>
    <w:rsid w:val="00981196"/>
    <w:rsid w:val="0098129D"/>
    <w:rsid w:val="009814A4"/>
    <w:rsid w:val="00981906"/>
    <w:rsid w:val="00981DF8"/>
    <w:rsid w:val="00981E25"/>
    <w:rsid w:val="0098217C"/>
    <w:rsid w:val="00982255"/>
    <w:rsid w:val="0098228C"/>
    <w:rsid w:val="009823E2"/>
    <w:rsid w:val="00982669"/>
    <w:rsid w:val="00982710"/>
    <w:rsid w:val="00982A33"/>
    <w:rsid w:val="00982AB5"/>
    <w:rsid w:val="00982F66"/>
    <w:rsid w:val="009833E0"/>
    <w:rsid w:val="0098376E"/>
    <w:rsid w:val="009837A9"/>
    <w:rsid w:val="00983938"/>
    <w:rsid w:val="00983A78"/>
    <w:rsid w:val="00983A87"/>
    <w:rsid w:val="00983B25"/>
    <w:rsid w:val="00983D52"/>
    <w:rsid w:val="009840CF"/>
    <w:rsid w:val="009843DB"/>
    <w:rsid w:val="00984762"/>
    <w:rsid w:val="009847CD"/>
    <w:rsid w:val="009848B3"/>
    <w:rsid w:val="00984E78"/>
    <w:rsid w:val="00984E85"/>
    <w:rsid w:val="00984F8B"/>
    <w:rsid w:val="00985803"/>
    <w:rsid w:val="00985E0C"/>
    <w:rsid w:val="00985E11"/>
    <w:rsid w:val="0098696A"/>
    <w:rsid w:val="009869B0"/>
    <w:rsid w:val="00986ACF"/>
    <w:rsid w:val="00986AE0"/>
    <w:rsid w:val="00986B75"/>
    <w:rsid w:val="0098737A"/>
    <w:rsid w:val="00987553"/>
    <w:rsid w:val="00987839"/>
    <w:rsid w:val="009878F4"/>
    <w:rsid w:val="00987C2C"/>
    <w:rsid w:val="00987E78"/>
    <w:rsid w:val="00987EA5"/>
    <w:rsid w:val="00990170"/>
    <w:rsid w:val="009902A0"/>
    <w:rsid w:val="009903AB"/>
    <w:rsid w:val="0099060B"/>
    <w:rsid w:val="00990EEB"/>
    <w:rsid w:val="009910EE"/>
    <w:rsid w:val="009912CC"/>
    <w:rsid w:val="00991691"/>
    <w:rsid w:val="0099183E"/>
    <w:rsid w:val="00991B68"/>
    <w:rsid w:val="00991C0B"/>
    <w:rsid w:val="00991CD3"/>
    <w:rsid w:val="00991DFE"/>
    <w:rsid w:val="0099208B"/>
    <w:rsid w:val="00992320"/>
    <w:rsid w:val="0099274E"/>
    <w:rsid w:val="009929E5"/>
    <w:rsid w:val="00992ACD"/>
    <w:rsid w:val="00993064"/>
    <w:rsid w:val="00993178"/>
    <w:rsid w:val="009931B6"/>
    <w:rsid w:val="009931FD"/>
    <w:rsid w:val="009939F0"/>
    <w:rsid w:val="00993BE3"/>
    <w:rsid w:val="009942E7"/>
    <w:rsid w:val="0099430A"/>
    <w:rsid w:val="009944C5"/>
    <w:rsid w:val="009944FD"/>
    <w:rsid w:val="00994642"/>
    <w:rsid w:val="009949BA"/>
    <w:rsid w:val="00994D26"/>
    <w:rsid w:val="00994ED6"/>
    <w:rsid w:val="0099519F"/>
    <w:rsid w:val="00995249"/>
    <w:rsid w:val="009953CF"/>
    <w:rsid w:val="009956F6"/>
    <w:rsid w:val="00995ACC"/>
    <w:rsid w:val="00996293"/>
    <w:rsid w:val="009965A3"/>
    <w:rsid w:val="00996702"/>
    <w:rsid w:val="00996816"/>
    <w:rsid w:val="00996853"/>
    <w:rsid w:val="0099692F"/>
    <w:rsid w:val="00996D32"/>
    <w:rsid w:val="00996D79"/>
    <w:rsid w:val="00996F94"/>
    <w:rsid w:val="009974C9"/>
    <w:rsid w:val="0099771B"/>
    <w:rsid w:val="00997CFF"/>
    <w:rsid w:val="009A02CB"/>
    <w:rsid w:val="009A05A0"/>
    <w:rsid w:val="009A0B32"/>
    <w:rsid w:val="009A0BBE"/>
    <w:rsid w:val="009A0E88"/>
    <w:rsid w:val="009A0F73"/>
    <w:rsid w:val="009A0FC8"/>
    <w:rsid w:val="009A1234"/>
    <w:rsid w:val="009A1B05"/>
    <w:rsid w:val="009A1E98"/>
    <w:rsid w:val="009A23DA"/>
    <w:rsid w:val="009A2B71"/>
    <w:rsid w:val="009A2EB8"/>
    <w:rsid w:val="009A322F"/>
    <w:rsid w:val="009A374D"/>
    <w:rsid w:val="009A3AD3"/>
    <w:rsid w:val="009A3B63"/>
    <w:rsid w:val="009A401A"/>
    <w:rsid w:val="009A42BE"/>
    <w:rsid w:val="009A4454"/>
    <w:rsid w:val="009A47EE"/>
    <w:rsid w:val="009A4CEA"/>
    <w:rsid w:val="009A4CF9"/>
    <w:rsid w:val="009A674C"/>
    <w:rsid w:val="009A6798"/>
    <w:rsid w:val="009A774A"/>
    <w:rsid w:val="009A79A5"/>
    <w:rsid w:val="009A79B6"/>
    <w:rsid w:val="009A7BE6"/>
    <w:rsid w:val="009A7E57"/>
    <w:rsid w:val="009B01D4"/>
    <w:rsid w:val="009B01F5"/>
    <w:rsid w:val="009B07CA"/>
    <w:rsid w:val="009B0CC0"/>
    <w:rsid w:val="009B0D82"/>
    <w:rsid w:val="009B0DBD"/>
    <w:rsid w:val="009B0EA9"/>
    <w:rsid w:val="009B0F01"/>
    <w:rsid w:val="009B118C"/>
    <w:rsid w:val="009B1204"/>
    <w:rsid w:val="009B2FBD"/>
    <w:rsid w:val="009B3064"/>
    <w:rsid w:val="009B30EA"/>
    <w:rsid w:val="009B3254"/>
    <w:rsid w:val="009B331B"/>
    <w:rsid w:val="009B3737"/>
    <w:rsid w:val="009B39EC"/>
    <w:rsid w:val="009B3B9E"/>
    <w:rsid w:val="009B3D6A"/>
    <w:rsid w:val="009B3E1A"/>
    <w:rsid w:val="009B3F34"/>
    <w:rsid w:val="009B441E"/>
    <w:rsid w:val="009B4B34"/>
    <w:rsid w:val="009B5076"/>
    <w:rsid w:val="009B5980"/>
    <w:rsid w:val="009B5BA6"/>
    <w:rsid w:val="009B5C38"/>
    <w:rsid w:val="009B5F29"/>
    <w:rsid w:val="009B607B"/>
    <w:rsid w:val="009B678B"/>
    <w:rsid w:val="009B710C"/>
    <w:rsid w:val="009B716C"/>
    <w:rsid w:val="009B7601"/>
    <w:rsid w:val="009B7F49"/>
    <w:rsid w:val="009C02A3"/>
    <w:rsid w:val="009C04C8"/>
    <w:rsid w:val="009C07C5"/>
    <w:rsid w:val="009C0ADB"/>
    <w:rsid w:val="009C0C4A"/>
    <w:rsid w:val="009C0FB9"/>
    <w:rsid w:val="009C107A"/>
    <w:rsid w:val="009C14F1"/>
    <w:rsid w:val="009C17F8"/>
    <w:rsid w:val="009C1957"/>
    <w:rsid w:val="009C1D75"/>
    <w:rsid w:val="009C1FB8"/>
    <w:rsid w:val="009C206C"/>
    <w:rsid w:val="009C213F"/>
    <w:rsid w:val="009C2400"/>
    <w:rsid w:val="009C2480"/>
    <w:rsid w:val="009C26C7"/>
    <w:rsid w:val="009C274D"/>
    <w:rsid w:val="009C29B2"/>
    <w:rsid w:val="009C3091"/>
    <w:rsid w:val="009C3417"/>
    <w:rsid w:val="009C375B"/>
    <w:rsid w:val="009C3ED0"/>
    <w:rsid w:val="009C3FF3"/>
    <w:rsid w:val="009C4349"/>
    <w:rsid w:val="009C464C"/>
    <w:rsid w:val="009C4982"/>
    <w:rsid w:val="009C4CC9"/>
    <w:rsid w:val="009C4F8D"/>
    <w:rsid w:val="009C51AE"/>
    <w:rsid w:val="009C5696"/>
    <w:rsid w:val="009C5698"/>
    <w:rsid w:val="009C581D"/>
    <w:rsid w:val="009C58B8"/>
    <w:rsid w:val="009C5A4D"/>
    <w:rsid w:val="009C5A94"/>
    <w:rsid w:val="009C5F81"/>
    <w:rsid w:val="009C6756"/>
    <w:rsid w:val="009C6AD2"/>
    <w:rsid w:val="009C6CE0"/>
    <w:rsid w:val="009C6EDA"/>
    <w:rsid w:val="009C6F2E"/>
    <w:rsid w:val="009C7319"/>
    <w:rsid w:val="009C7BC9"/>
    <w:rsid w:val="009D0065"/>
    <w:rsid w:val="009D069D"/>
    <w:rsid w:val="009D0A38"/>
    <w:rsid w:val="009D0DCF"/>
    <w:rsid w:val="009D16A6"/>
    <w:rsid w:val="009D16EE"/>
    <w:rsid w:val="009D18E8"/>
    <w:rsid w:val="009D1E9B"/>
    <w:rsid w:val="009D1F44"/>
    <w:rsid w:val="009D208E"/>
    <w:rsid w:val="009D292A"/>
    <w:rsid w:val="009D295D"/>
    <w:rsid w:val="009D2C32"/>
    <w:rsid w:val="009D2C96"/>
    <w:rsid w:val="009D2CC3"/>
    <w:rsid w:val="009D2CF7"/>
    <w:rsid w:val="009D2F07"/>
    <w:rsid w:val="009D3090"/>
    <w:rsid w:val="009D3375"/>
    <w:rsid w:val="009D357B"/>
    <w:rsid w:val="009D3610"/>
    <w:rsid w:val="009D377A"/>
    <w:rsid w:val="009D390A"/>
    <w:rsid w:val="009D4436"/>
    <w:rsid w:val="009D6BE6"/>
    <w:rsid w:val="009D6C54"/>
    <w:rsid w:val="009D6E76"/>
    <w:rsid w:val="009D70E9"/>
    <w:rsid w:val="009D777D"/>
    <w:rsid w:val="009D7B92"/>
    <w:rsid w:val="009E003B"/>
    <w:rsid w:val="009E0D99"/>
    <w:rsid w:val="009E1348"/>
    <w:rsid w:val="009E18E4"/>
    <w:rsid w:val="009E1C6C"/>
    <w:rsid w:val="009E215B"/>
    <w:rsid w:val="009E24EC"/>
    <w:rsid w:val="009E2ADA"/>
    <w:rsid w:val="009E302C"/>
    <w:rsid w:val="009E3117"/>
    <w:rsid w:val="009E315B"/>
    <w:rsid w:val="009E353A"/>
    <w:rsid w:val="009E35CD"/>
    <w:rsid w:val="009E3850"/>
    <w:rsid w:val="009E38C8"/>
    <w:rsid w:val="009E39A2"/>
    <w:rsid w:val="009E3BA8"/>
    <w:rsid w:val="009E415E"/>
    <w:rsid w:val="009E41D2"/>
    <w:rsid w:val="009E4B5D"/>
    <w:rsid w:val="009E4C83"/>
    <w:rsid w:val="009E4C95"/>
    <w:rsid w:val="009E5190"/>
    <w:rsid w:val="009E5927"/>
    <w:rsid w:val="009E5FD2"/>
    <w:rsid w:val="009E6609"/>
    <w:rsid w:val="009E6DB7"/>
    <w:rsid w:val="009E727F"/>
    <w:rsid w:val="009E73A4"/>
    <w:rsid w:val="009F01BB"/>
    <w:rsid w:val="009F05D7"/>
    <w:rsid w:val="009F0E1D"/>
    <w:rsid w:val="009F1538"/>
    <w:rsid w:val="009F1CEB"/>
    <w:rsid w:val="009F1CEF"/>
    <w:rsid w:val="009F2062"/>
    <w:rsid w:val="009F2357"/>
    <w:rsid w:val="009F29F9"/>
    <w:rsid w:val="009F2C11"/>
    <w:rsid w:val="009F3015"/>
    <w:rsid w:val="009F31BD"/>
    <w:rsid w:val="009F328B"/>
    <w:rsid w:val="009F3AAC"/>
    <w:rsid w:val="009F3D74"/>
    <w:rsid w:val="009F3DBE"/>
    <w:rsid w:val="009F3DEF"/>
    <w:rsid w:val="009F41EF"/>
    <w:rsid w:val="009F43AB"/>
    <w:rsid w:val="009F4416"/>
    <w:rsid w:val="009F4548"/>
    <w:rsid w:val="009F47E9"/>
    <w:rsid w:val="009F4B04"/>
    <w:rsid w:val="009F4BD0"/>
    <w:rsid w:val="009F4EF3"/>
    <w:rsid w:val="009F582B"/>
    <w:rsid w:val="009F58BD"/>
    <w:rsid w:val="009F5E31"/>
    <w:rsid w:val="009F5E8C"/>
    <w:rsid w:val="009F5EB0"/>
    <w:rsid w:val="009F6C8D"/>
    <w:rsid w:val="009F6CFD"/>
    <w:rsid w:val="009F6FE5"/>
    <w:rsid w:val="009F72DB"/>
    <w:rsid w:val="009F7772"/>
    <w:rsid w:val="009F7D9D"/>
    <w:rsid w:val="009F7DDD"/>
    <w:rsid w:val="00A00389"/>
    <w:rsid w:val="00A00C05"/>
    <w:rsid w:val="00A00C33"/>
    <w:rsid w:val="00A010AC"/>
    <w:rsid w:val="00A0120D"/>
    <w:rsid w:val="00A01894"/>
    <w:rsid w:val="00A01D9A"/>
    <w:rsid w:val="00A02021"/>
    <w:rsid w:val="00A0221E"/>
    <w:rsid w:val="00A024DE"/>
    <w:rsid w:val="00A0259F"/>
    <w:rsid w:val="00A02BF9"/>
    <w:rsid w:val="00A02D73"/>
    <w:rsid w:val="00A02E8A"/>
    <w:rsid w:val="00A03039"/>
    <w:rsid w:val="00A0341B"/>
    <w:rsid w:val="00A03674"/>
    <w:rsid w:val="00A03E27"/>
    <w:rsid w:val="00A03E72"/>
    <w:rsid w:val="00A03EBE"/>
    <w:rsid w:val="00A04260"/>
    <w:rsid w:val="00A04784"/>
    <w:rsid w:val="00A047B8"/>
    <w:rsid w:val="00A048C3"/>
    <w:rsid w:val="00A05053"/>
    <w:rsid w:val="00A055C3"/>
    <w:rsid w:val="00A056A6"/>
    <w:rsid w:val="00A05895"/>
    <w:rsid w:val="00A05C35"/>
    <w:rsid w:val="00A05C76"/>
    <w:rsid w:val="00A0655A"/>
    <w:rsid w:val="00A06B3D"/>
    <w:rsid w:val="00A06D64"/>
    <w:rsid w:val="00A06E67"/>
    <w:rsid w:val="00A070AE"/>
    <w:rsid w:val="00A07157"/>
    <w:rsid w:val="00A07399"/>
    <w:rsid w:val="00A0742F"/>
    <w:rsid w:val="00A07B75"/>
    <w:rsid w:val="00A07DE5"/>
    <w:rsid w:val="00A10301"/>
    <w:rsid w:val="00A103C4"/>
    <w:rsid w:val="00A10CCB"/>
    <w:rsid w:val="00A10DE2"/>
    <w:rsid w:val="00A11108"/>
    <w:rsid w:val="00A1187E"/>
    <w:rsid w:val="00A120F6"/>
    <w:rsid w:val="00A12892"/>
    <w:rsid w:val="00A1292D"/>
    <w:rsid w:val="00A12970"/>
    <w:rsid w:val="00A12B3A"/>
    <w:rsid w:val="00A12FC1"/>
    <w:rsid w:val="00A13119"/>
    <w:rsid w:val="00A139D4"/>
    <w:rsid w:val="00A13A69"/>
    <w:rsid w:val="00A13AA9"/>
    <w:rsid w:val="00A13D10"/>
    <w:rsid w:val="00A13D77"/>
    <w:rsid w:val="00A13DB3"/>
    <w:rsid w:val="00A13EA9"/>
    <w:rsid w:val="00A14113"/>
    <w:rsid w:val="00A1414E"/>
    <w:rsid w:val="00A142DA"/>
    <w:rsid w:val="00A1435B"/>
    <w:rsid w:val="00A1451F"/>
    <w:rsid w:val="00A14A9E"/>
    <w:rsid w:val="00A14D10"/>
    <w:rsid w:val="00A15747"/>
    <w:rsid w:val="00A157E9"/>
    <w:rsid w:val="00A15B89"/>
    <w:rsid w:val="00A15C05"/>
    <w:rsid w:val="00A15D17"/>
    <w:rsid w:val="00A15DB9"/>
    <w:rsid w:val="00A15F24"/>
    <w:rsid w:val="00A15FB3"/>
    <w:rsid w:val="00A16ADF"/>
    <w:rsid w:val="00A16C73"/>
    <w:rsid w:val="00A16D28"/>
    <w:rsid w:val="00A16EE6"/>
    <w:rsid w:val="00A16F69"/>
    <w:rsid w:val="00A1752E"/>
    <w:rsid w:val="00A176A3"/>
    <w:rsid w:val="00A179F7"/>
    <w:rsid w:val="00A200E2"/>
    <w:rsid w:val="00A2047F"/>
    <w:rsid w:val="00A20C65"/>
    <w:rsid w:val="00A20CD9"/>
    <w:rsid w:val="00A20DA4"/>
    <w:rsid w:val="00A20DD4"/>
    <w:rsid w:val="00A20FAE"/>
    <w:rsid w:val="00A20FD1"/>
    <w:rsid w:val="00A215F2"/>
    <w:rsid w:val="00A21698"/>
    <w:rsid w:val="00A21DC9"/>
    <w:rsid w:val="00A220B9"/>
    <w:rsid w:val="00A2234D"/>
    <w:rsid w:val="00A22876"/>
    <w:rsid w:val="00A22DD4"/>
    <w:rsid w:val="00A23254"/>
    <w:rsid w:val="00A23266"/>
    <w:rsid w:val="00A232AA"/>
    <w:rsid w:val="00A23349"/>
    <w:rsid w:val="00A233F9"/>
    <w:rsid w:val="00A23610"/>
    <w:rsid w:val="00A23AA5"/>
    <w:rsid w:val="00A23BCF"/>
    <w:rsid w:val="00A23E5F"/>
    <w:rsid w:val="00A2427E"/>
    <w:rsid w:val="00A2438D"/>
    <w:rsid w:val="00A24678"/>
    <w:rsid w:val="00A24921"/>
    <w:rsid w:val="00A24D46"/>
    <w:rsid w:val="00A24D7A"/>
    <w:rsid w:val="00A24D91"/>
    <w:rsid w:val="00A2500F"/>
    <w:rsid w:val="00A25101"/>
    <w:rsid w:val="00A2526A"/>
    <w:rsid w:val="00A258C8"/>
    <w:rsid w:val="00A25AB1"/>
    <w:rsid w:val="00A2608F"/>
    <w:rsid w:val="00A26308"/>
    <w:rsid w:val="00A2650D"/>
    <w:rsid w:val="00A268B3"/>
    <w:rsid w:val="00A268EF"/>
    <w:rsid w:val="00A26B6D"/>
    <w:rsid w:val="00A26C9E"/>
    <w:rsid w:val="00A26DC8"/>
    <w:rsid w:val="00A26E23"/>
    <w:rsid w:val="00A26F53"/>
    <w:rsid w:val="00A27117"/>
    <w:rsid w:val="00A27573"/>
    <w:rsid w:val="00A27621"/>
    <w:rsid w:val="00A277E7"/>
    <w:rsid w:val="00A27B72"/>
    <w:rsid w:val="00A27D8D"/>
    <w:rsid w:val="00A3032C"/>
    <w:rsid w:val="00A3051F"/>
    <w:rsid w:val="00A305B7"/>
    <w:rsid w:val="00A3069B"/>
    <w:rsid w:val="00A309AE"/>
    <w:rsid w:val="00A30A10"/>
    <w:rsid w:val="00A30A7A"/>
    <w:rsid w:val="00A30E71"/>
    <w:rsid w:val="00A31069"/>
    <w:rsid w:val="00A31595"/>
    <w:rsid w:val="00A319A7"/>
    <w:rsid w:val="00A31AFC"/>
    <w:rsid w:val="00A31F34"/>
    <w:rsid w:val="00A32246"/>
    <w:rsid w:val="00A32272"/>
    <w:rsid w:val="00A3250F"/>
    <w:rsid w:val="00A329E1"/>
    <w:rsid w:val="00A32F8D"/>
    <w:rsid w:val="00A33077"/>
    <w:rsid w:val="00A33120"/>
    <w:rsid w:val="00A33506"/>
    <w:rsid w:val="00A33A01"/>
    <w:rsid w:val="00A33B33"/>
    <w:rsid w:val="00A33FC4"/>
    <w:rsid w:val="00A3409B"/>
    <w:rsid w:val="00A34359"/>
    <w:rsid w:val="00A34AAB"/>
    <w:rsid w:val="00A34C1D"/>
    <w:rsid w:val="00A34CB7"/>
    <w:rsid w:val="00A35207"/>
    <w:rsid w:val="00A35B55"/>
    <w:rsid w:val="00A35EF4"/>
    <w:rsid w:val="00A36CCB"/>
    <w:rsid w:val="00A36D38"/>
    <w:rsid w:val="00A36FFE"/>
    <w:rsid w:val="00A37160"/>
    <w:rsid w:val="00A373A8"/>
    <w:rsid w:val="00A373CD"/>
    <w:rsid w:val="00A373E7"/>
    <w:rsid w:val="00A3785C"/>
    <w:rsid w:val="00A37E6F"/>
    <w:rsid w:val="00A4009A"/>
    <w:rsid w:val="00A4043B"/>
    <w:rsid w:val="00A40B6E"/>
    <w:rsid w:val="00A4108E"/>
    <w:rsid w:val="00A41AB0"/>
    <w:rsid w:val="00A41E28"/>
    <w:rsid w:val="00A41F3D"/>
    <w:rsid w:val="00A42193"/>
    <w:rsid w:val="00A421CE"/>
    <w:rsid w:val="00A42244"/>
    <w:rsid w:val="00A42AA1"/>
    <w:rsid w:val="00A431E8"/>
    <w:rsid w:val="00A43217"/>
    <w:rsid w:val="00A43403"/>
    <w:rsid w:val="00A43CAA"/>
    <w:rsid w:val="00A4478B"/>
    <w:rsid w:val="00A4481C"/>
    <w:rsid w:val="00A44D6D"/>
    <w:rsid w:val="00A44F58"/>
    <w:rsid w:val="00A4511A"/>
    <w:rsid w:val="00A4527C"/>
    <w:rsid w:val="00A454B7"/>
    <w:rsid w:val="00A4558E"/>
    <w:rsid w:val="00A45E44"/>
    <w:rsid w:val="00A45EC3"/>
    <w:rsid w:val="00A46E7B"/>
    <w:rsid w:val="00A47024"/>
    <w:rsid w:val="00A47E57"/>
    <w:rsid w:val="00A502D7"/>
    <w:rsid w:val="00A503BE"/>
    <w:rsid w:val="00A5053C"/>
    <w:rsid w:val="00A50AE7"/>
    <w:rsid w:val="00A50CC0"/>
    <w:rsid w:val="00A51040"/>
    <w:rsid w:val="00A51130"/>
    <w:rsid w:val="00A5130F"/>
    <w:rsid w:val="00A513B3"/>
    <w:rsid w:val="00A51747"/>
    <w:rsid w:val="00A51BF5"/>
    <w:rsid w:val="00A51E72"/>
    <w:rsid w:val="00A51FB2"/>
    <w:rsid w:val="00A5273A"/>
    <w:rsid w:val="00A52980"/>
    <w:rsid w:val="00A531C7"/>
    <w:rsid w:val="00A5378C"/>
    <w:rsid w:val="00A537BD"/>
    <w:rsid w:val="00A538E6"/>
    <w:rsid w:val="00A541FA"/>
    <w:rsid w:val="00A5458F"/>
    <w:rsid w:val="00A54BB3"/>
    <w:rsid w:val="00A54CC6"/>
    <w:rsid w:val="00A54CCD"/>
    <w:rsid w:val="00A5501E"/>
    <w:rsid w:val="00A5527B"/>
    <w:rsid w:val="00A55982"/>
    <w:rsid w:val="00A55CC4"/>
    <w:rsid w:val="00A55DDB"/>
    <w:rsid w:val="00A55EC4"/>
    <w:rsid w:val="00A55F42"/>
    <w:rsid w:val="00A56240"/>
    <w:rsid w:val="00A562D1"/>
    <w:rsid w:val="00A565A7"/>
    <w:rsid w:val="00A56889"/>
    <w:rsid w:val="00A56D21"/>
    <w:rsid w:val="00A57B0B"/>
    <w:rsid w:val="00A57B29"/>
    <w:rsid w:val="00A57BCB"/>
    <w:rsid w:val="00A6047A"/>
    <w:rsid w:val="00A60686"/>
    <w:rsid w:val="00A608EB"/>
    <w:rsid w:val="00A609D4"/>
    <w:rsid w:val="00A60EB7"/>
    <w:rsid w:val="00A611C1"/>
    <w:rsid w:val="00A61521"/>
    <w:rsid w:val="00A616E3"/>
    <w:rsid w:val="00A61973"/>
    <w:rsid w:val="00A619EA"/>
    <w:rsid w:val="00A61CFD"/>
    <w:rsid w:val="00A62122"/>
    <w:rsid w:val="00A62189"/>
    <w:rsid w:val="00A62741"/>
    <w:rsid w:val="00A628CC"/>
    <w:rsid w:val="00A629A6"/>
    <w:rsid w:val="00A62D4D"/>
    <w:rsid w:val="00A62DC1"/>
    <w:rsid w:val="00A63118"/>
    <w:rsid w:val="00A632CC"/>
    <w:rsid w:val="00A6359D"/>
    <w:rsid w:val="00A63D29"/>
    <w:rsid w:val="00A63D69"/>
    <w:rsid w:val="00A64040"/>
    <w:rsid w:val="00A64538"/>
    <w:rsid w:val="00A652E3"/>
    <w:rsid w:val="00A653AC"/>
    <w:rsid w:val="00A65499"/>
    <w:rsid w:val="00A658C1"/>
    <w:rsid w:val="00A65D6C"/>
    <w:rsid w:val="00A65ED4"/>
    <w:rsid w:val="00A65FCF"/>
    <w:rsid w:val="00A660D6"/>
    <w:rsid w:val="00A665ED"/>
    <w:rsid w:val="00A6666B"/>
    <w:rsid w:val="00A674B7"/>
    <w:rsid w:val="00A674C4"/>
    <w:rsid w:val="00A67643"/>
    <w:rsid w:val="00A677FD"/>
    <w:rsid w:val="00A67DF5"/>
    <w:rsid w:val="00A70242"/>
    <w:rsid w:val="00A7035B"/>
    <w:rsid w:val="00A70410"/>
    <w:rsid w:val="00A706B2"/>
    <w:rsid w:val="00A70759"/>
    <w:rsid w:val="00A7084F"/>
    <w:rsid w:val="00A70E63"/>
    <w:rsid w:val="00A70FF1"/>
    <w:rsid w:val="00A71439"/>
    <w:rsid w:val="00A71A6C"/>
    <w:rsid w:val="00A71CB4"/>
    <w:rsid w:val="00A71E32"/>
    <w:rsid w:val="00A7206A"/>
    <w:rsid w:val="00A72474"/>
    <w:rsid w:val="00A726BD"/>
    <w:rsid w:val="00A726F3"/>
    <w:rsid w:val="00A727E7"/>
    <w:rsid w:val="00A72ABC"/>
    <w:rsid w:val="00A72B9D"/>
    <w:rsid w:val="00A73524"/>
    <w:rsid w:val="00A73BAA"/>
    <w:rsid w:val="00A73F87"/>
    <w:rsid w:val="00A7421A"/>
    <w:rsid w:val="00A7433E"/>
    <w:rsid w:val="00A745BA"/>
    <w:rsid w:val="00A7460C"/>
    <w:rsid w:val="00A7512E"/>
    <w:rsid w:val="00A752DC"/>
    <w:rsid w:val="00A752F7"/>
    <w:rsid w:val="00A75B6C"/>
    <w:rsid w:val="00A764E6"/>
    <w:rsid w:val="00A766D6"/>
    <w:rsid w:val="00A76835"/>
    <w:rsid w:val="00A76A3E"/>
    <w:rsid w:val="00A76A54"/>
    <w:rsid w:val="00A772BB"/>
    <w:rsid w:val="00A7730B"/>
    <w:rsid w:val="00A77551"/>
    <w:rsid w:val="00A775E6"/>
    <w:rsid w:val="00A77664"/>
    <w:rsid w:val="00A77A8E"/>
    <w:rsid w:val="00A77E05"/>
    <w:rsid w:val="00A8024A"/>
    <w:rsid w:val="00A80259"/>
    <w:rsid w:val="00A80355"/>
    <w:rsid w:val="00A80546"/>
    <w:rsid w:val="00A80700"/>
    <w:rsid w:val="00A80A81"/>
    <w:rsid w:val="00A80E05"/>
    <w:rsid w:val="00A811CD"/>
    <w:rsid w:val="00A811E3"/>
    <w:rsid w:val="00A8120A"/>
    <w:rsid w:val="00A813D4"/>
    <w:rsid w:val="00A814B8"/>
    <w:rsid w:val="00A818B9"/>
    <w:rsid w:val="00A8232D"/>
    <w:rsid w:val="00A8269E"/>
    <w:rsid w:val="00A82ADE"/>
    <w:rsid w:val="00A82E12"/>
    <w:rsid w:val="00A83BA4"/>
    <w:rsid w:val="00A83D17"/>
    <w:rsid w:val="00A83D6F"/>
    <w:rsid w:val="00A84B38"/>
    <w:rsid w:val="00A84E67"/>
    <w:rsid w:val="00A85071"/>
    <w:rsid w:val="00A851CF"/>
    <w:rsid w:val="00A854A0"/>
    <w:rsid w:val="00A85AF5"/>
    <w:rsid w:val="00A85C48"/>
    <w:rsid w:val="00A85DD2"/>
    <w:rsid w:val="00A85EA0"/>
    <w:rsid w:val="00A85F53"/>
    <w:rsid w:val="00A85FEE"/>
    <w:rsid w:val="00A85FF5"/>
    <w:rsid w:val="00A862B4"/>
    <w:rsid w:val="00A86388"/>
    <w:rsid w:val="00A8643B"/>
    <w:rsid w:val="00A8679D"/>
    <w:rsid w:val="00A867F8"/>
    <w:rsid w:val="00A86925"/>
    <w:rsid w:val="00A86E6A"/>
    <w:rsid w:val="00A87045"/>
    <w:rsid w:val="00A870E3"/>
    <w:rsid w:val="00A87443"/>
    <w:rsid w:val="00A87584"/>
    <w:rsid w:val="00A87743"/>
    <w:rsid w:val="00A878E8"/>
    <w:rsid w:val="00A87CE9"/>
    <w:rsid w:val="00A87DA6"/>
    <w:rsid w:val="00A87F61"/>
    <w:rsid w:val="00A87FF3"/>
    <w:rsid w:val="00A907FB"/>
    <w:rsid w:val="00A90A3E"/>
    <w:rsid w:val="00A90B79"/>
    <w:rsid w:val="00A90D8F"/>
    <w:rsid w:val="00A90E4C"/>
    <w:rsid w:val="00A91240"/>
    <w:rsid w:val="00A91710"/>
    <w:rsid w:val="00A91A4B"/>
    <w:rsid w:val="00A92494"/>
    <w:rsid w:val="00A92565"/>
    <w:rsid w:val="00A929AF"/>
    <w:rsid w:val="00A92EFD"/>
    <w:rsid w:val="00A935DF"/>
    <w:rsid w:val="00A937D4"/>
    <w:rsid w:val="00A939C9"/>
    <w:rsid w:val="00A93C1E"/>
    <w:rsid w:val="00A93C73"/>
    <w:rsid w:val="00A93DE8"/>
    <w:rsid w:val="00A93FED"/>
    <w:rsid w:val="00A942AC"/>
    <w:rsid w:val="00A94496"/>
    <w:rsid w:val="00A9462A"/>
    <w:rsid w:val="00A94C6A"/>
    <w:rsid w:val="00A95031"/>
    <w:rsid w:val="00A951BF"/>
    <w:rsid w:val="00A9561D"/>
    <w:rsid w:val="00A959C6"/>
    <w:rsid w:val="00A95D6C"/>
    <w:rsid w:val="00A95FB9"/>
    <w:rsid w:val="00A96414"/>
    <w:rsid w:val="00A96497"/>
    <w:rsid w:val="00A964E6"/>
    <w:rsid w:val="00A96686"/>
    <w:rsid w:val="00A96878"/>
    <w:rsid w:val="00A969F3"/>
    <w:rsid w:val="00A96CD1"/>
    <w:rsid w:val="00A96E34"/>
    <w:rsid w:val="00AA01C6"/>
    <w:rsid w:val="00AA05EC"/>
    <w:rsid w:val="00AA0D2D"/>
    <w:rsid w:val="00AA131B"/>
    <w:rsid w:val="00AA1ACA"/>
    <w:rsid w:val="00AA1AE7"/>
    <w:rsid w:val="00AA1F3A"/>
    <w:rsid w:val="00AA1FDC"/>
    <w:rsid w:val="00AA208E"/>
    <w:rsid w:val="00AA24DA"/>
    <w:rsid w:val="00AA2545"/>
    <w:rsid w:val="00AA2612"/>
    <w:rsid w:val="00AA2884"/>
    <w:rsid w:val="00AA2C7B"/>
    <w:rsid w:val="00AA2CB1"/>
    <w:rsid w:val="00AA2DB8"/>
    <w:rsid w:val="00AA3A6F"/>
    <w:rsid w:val="00AA4229"/>
    <w:rsid w:val="00AA42C1"/>
    <w:rsid w:val="00AA43E9"/>
    <w:rsid w:val="00AA4429"/>
    <w:rsid w:val="00AA458A"/>
    <w:rsid w:val="00AA4B5F"/>
    <w:rsid w:val="00AA57C1"/>
    <w:rsid w:val="00AA5E93"/>
    <w:rsid w:val="00AA6546"/>
    <w:rsid w:val="00AA66B7"/>
    <w:rsid w:val="00AA69CC"/>
    <w:rsid w:val="00AA6F78"/>
    <w:rsid w:val="00AA769A"/>
    <w:rsid w:val="00AA78EB"/>
    <w:rsid w:val="00AA7B4D"/>
    <w:rsid w:val="00AA7C6B"/>
    <w:rsid w:val="00AA7E62"/>
    <w:rsid w:val="00AA7E90"/>
    <w:rsid w:val="00AB02EC"/>
    <w:rsid w:val="00AB0519"/>
    <w:rsid w:val="00AB0DA7"/>
    <w:rsid w:val="00AB1732"/>
    <w:rsid w:val="00AB1BB0"/>
    <w:rsid w:val="00AB1CB8"/>
    <w:rsid w:val="00AB1ED8"/>
    <w:rsid w:val="00AB1F88"/>
    <w:rsid w:val="00AB255D"/>
    <w:rsid w:val="00AB274D"/>
    <w:rsid w:val="00AB2D78"/>
    <w:rsid w:val="00AB32D4"/>
    <w:rsid w:val="00AB3679"/>
    <w:rsid w:val="00AB3FF3"/>
    <w:rsid w:val="00AB431F"/>
    <w:rsid w:val="00AB43A5"/>
    <w:rsid w:val="00AB4C08"/>
    <w:rsid w:val="00AB4CAA"/>
    <w:rsid w:val="00AB4CCE"/>
    <w:rsid w:val="00AB554C"/>
    <w:rsid w:val="00AB5856"/>
    <w:rsid w:val="00AB5C04"/>
    <w:rsid w:val="00AB6102"/>
    <w:rsid w:val="00AB6208"/>
    <w:rsid w:val="00AB6304"/>
    <w:rsid w:val="00AB645A"/>
    <w:rsid w:val="00AB6E27"/>
    <w:rsid w:val="00AB6FD4"/>
    <w:rsid w:val="00AB7069"/>
    <w:rsid w:val="00AB70D7"/>
    <w:rsid w:val="00AB7644"/>
    <w:rsid w:val="00AB7CE7"/>
    <w:rsid w:val="00AB7EC1"/>
    <w:rsid w:val="00AC01DF"/>
    <w:rsid w:val="00AC01FB"/>
    <w:rsid w:val="00AC0395"/>
    <w:rsid w:val="00AC1118"/>
    <w:rsid w:val="00AC166A"/>
    <w:rsid w:val="00AC1683"/>
    <w:rsid w:val="00AC2066"/>
    <w:rsid w:val="00AC2086"/>
    <w:rsid w:val="00AC226D"/>
    <w:rsid w:val="00AC268A"/>
    <w:rsid w:val="00AC2D52"/>
    <w:rsid w:val="00AC3288"/>
    <w:rsid w:val="00AC3965"/>
    <w:rsid w:val="00AC3F8D"/>
    <w:rsid w:val="00AC406C"/>
    <w:rsid w:val="00AC4677"/>
    <w:rsid w:val="00AC4829"/>
    <w:rsid w:val="00AC4AC6"/>
    <w:rsid w:val="00AC4C20"/>
    <w:rsid w:val="00AC552C"/>
    <w:rsid w:val="00AC5882"/>
    <w:rsid w:val="00AC5A0B"/>
    <w:rsid w:val="00AC5A97"/>
    <w:rsid w:val="00AC5C0C"/>
    <w:rsid w:val="00AC5EBE"/>
    <w:rsid w:val="00AC6056"/>
    <w:rsid w:val="00AC6393"/>
    <w:rsid w:val="00AC642B"/>
    <w:rsid w:val="00AC6934"/>
    <w:rsid w:val="00AC74C6"/>
    <w:rsid w:val="00AD046A"/>
    <w:rsid w:val="00AD04F7"/>
    <w:rsid w:val="00AD092A"/>
    <w:rsid w:val="00AD096D"/>
    <w:rsid w:val="00AD0A48"/>
    <w:rsid w:val="00AD0FA4"/>
    <w:rsid w:val="00AD1026"/>
    <w:rsid w:val="00AD1081"/>
    <w:rsid w:val="00AD1482"/>
    <w:rsid w:val="00AD18B3"/>
    <w:rsid w:val="00AD1F12"/>
    <w:rsid w:val="00AD1F8A"/>
    <w:rsid w:val="00AD20B3"/>
    <w:rsid w:val="00AD2616"/>
    <w:rsid w:val="00AD2C4D"/>
    <w:rsid w:val="00AD2D9D"/>
    <w:rsid w:val="00AD373B"/>
    <w:rsid w:val="00AD37D7"/>
    <w:rsid w:val="00AD3C3F"/>
    <w:rsid w:val="00AD3DD3"/>
    <w:rsid w:val="00AD3E28"/>
    <w:rsid w:val="00AD45C8"/>
    <w:rsid w:val="00AD475D"/>
    <w:rsid w:val="00AD48AD"/>
    <w:rsid w:val="00AD48C1"/>
    <w:rsid w:val="00AD4A38"/>
    <w:rsid w:val="00AD4AFD"/>
    <w:rsid w:val="00AD4DA9"/>
    <w:rsid w:val="00AD4EFC"/>
    <w:rsid w:val="00AD4FBF"/>
    <w:rsid w:val="00AD50B4"/>
    <w:rsid w:val="00AD5273"/>
    <w:rsid w:val="00AD5760"/>
    <w:rsid w:val="00AD5775"/>
    <w:rsid w:val="00AD5EBB"/>
    <w:rsid w:val="00AD5FDD"/>
    <w:rsid w:val="00AD60A4"/>
    <w:rsid w:val="00AD64D3"/>
    <w:rsid w:val="00AD693C"/>
    <w:rsid w:val="00AD69DA"/>
    <w:rsid w:val="00AD6AB7"/>
    <w:rsid w:val="00AD6BF8"/>
    <w:rsid w:val="00AD6C08"/>
    <w:rsid w:val="00AD6E68"/>
    <w:rsid w:val="00AD72A5"/>
    <w:rsid w:val="00AD77F9"/>
    <w:rsid w:val="00AD7B82"/>
    <w:rsid w:val="00AD7D16"/>
    <w:rsid w:val="00AD7E74"/>
    <w:rsid w:val="00AE03E3"/>
    <w:rsid w:val="00AE049A"/>
    <w:rsid w:val="00AE0A3F"/>
    <w:rsid w:val="00AE0B4A"/>
    <w:rsid w:val="00AE0BC7"/>
    <w:rsid w:val="00AE0CB2"/>
    <w:rsid w:val="00AE0D63"/>
    <w:rsid w:val="00AE0DD2"/>
    <w:rsid w:val="00AE1013"/>
    <w:rsid w:val="00AE1218"/>
    <w:rsid w:val="00AE146F"/>
    <w:rsid w:val="00AE1D5E"/>
    <w:rsid w:val="00AE1E4A"/>
    <w:rsid w:val="00AE20B6"/>
    <w:rsid w:val="00AE2323"/>
    <w:rsid w:val="00AE24D3"/>
    <w:rsid w:val="00AE2EC9"/>
    <w:rsid w:val="00AE2F3B"/>
    <w:rsid w:val="00AE328A"/>
    <w:rsid w:val="00AE3409"/>
    <w:rsid w:val="00AE3599"/>
    <w:rsid w:val="00AE35D9"/>
    <w:rsid w:val="00AE3B6B"/>
    <w:rsid w:val="00AE3C9A"/>
    <w:rsid w:val="00AE46F6"/>
    <w:rsid w:val="00AE47CF"/>
    <w:rsid w:val="00AE48BE"/>
    <w:rsid w:val="00AE49B4"/>
    <w:rsid w:val="00AE4C52"/>
    <w:rsid w:val="00AE4E6A"/>
    <w:rsid w:val="00AE5309"/>
    <w:rsid w:val="00AE53AF"/>
    <w:rsid w:val="00AE6976"/>
    <w:rsid w:val="00AE6E14"/>
    <w:rsid w:val="00AE70C5"/>
    <w:rsid w:val="00AE785C"/>
    <w:rsid w:val="00AE7902"/>
    <w:rsid w:val="00AE7DFB"/>
    <w:rsid w:val="00AE7E30"/>
    <w:rsid w:val="00AF00E1"/>
    <w:rsid w:val="00AF0187"/>
    <w:rsid w:val="00AF0389"/>
    <w:rsid w:val="00AF0979"/>
    <w:rsid w:val="00AF09C3"/>
    <w:rsid w:val="00AF0B09"/>
    <w:rsid w:val="00AF0B6D"/>
    <w:rsid w:val="00AF1B18"/>
    <w:rsid w:val="00AF1BDF"/>
    <w:rsid w:val="00AF1D5B"/>
    <w:rsid w:val="00AF2404"/>
    <w:rsid w:val="00AF2461"/>
    <w:rsid w:val="00AF2576"/>
    <w:rsid w:val="00AF2835"/>
    <w:rsid w:val="00AF2B6A"/>
    <w:rsid w:val="00AF3AF4"/>
    <w:rsid w:val="00AF3C16"/>
    <w:rsid w:val="00AF3DBF"/>
    <w:rsid w:val="00AF3FBC"/>
    <w:rsid w:val="00AF4190"/>
    <w:rsid w:val="00AF4221"/>
    <w:rsid w:val="00AF424C"/>
    <w:rsid w:val="00AF42E2"/>
    <w:rsid w:val="00AF4426"/>
    <w:rsid w:val="00AF44FC"/>
    <w:rsid w:val="00AF4801"/>
    <w:rsid w:val="00AF49A6"/>
    <w:rsid w:val="00AF4DC9"/>
    <w:rsid w:val="00AF5129"/>
    <w:rsid w:val="00AF5296"/>
    <w:rsid w:val="00AF5313"/>
    <w:rsid w:val="00AF5557"/>
    <w:rsid w:val="00AF5C60"/>
    <w:rsid w:val="00AF5DC4"/>
    <w:rsid w:val="00AF5E0B"/>
    <w:rsid w:val="00AF6114"/>
    <w:rsid w:val="00AF6513"/>
    <w:rsid w:val="00AF729E"/>
    <w:rsid w:val="00AF775F"/>
    <w:rsid w:val="00AF7A0D"/>
    <w:rsid w:val="00AF7B63"/>
    <w:rsid w:val="00AF7CC4"/>
    <w:rsid w:val="00AF7E8F"/>
    <w:rsid w:val="00AF7F14"/>
    <w:rsid w:val="00B00818"/>
    <w:rsid w:val="00B00BA7"/>
    <w:rsid w:val="00B00E40"/>
    <w:rsid w:val="00B00F21"/>
    <w:rsid w:val="00B0137D"/>
    <w:rsid w:val="00B024FA"/>
    <w:rsid w:val="00B02504"/>
    <w:rsid w:val="00B026BF"/>
    <w:rsid w:val="00B028A1"/>
    <w:rsid w:val="00B02D06"/>
    <w:rsid w:val="00B0363F"/>
    <w:rsid w:val="00B03A00"/>
    <w:rsid w:val="00B03A78"/>
    <w:rsid w:val="00B03B43"/>
    <w:rsid w:val="00B04025"/>
    <w:rsid w:val="00B042E4"/>
    <w:rsid w:val="00B04841"/>
    <w:rsid w:val="00B04902"/>
    <w:rsid w:val="00B04C86"/>
    <w:rsid w:val="00B04FC7"/>
    <w:rsid w:val="00B0530A"/>
    <w:rsid w:val="00B053D8"/>
    <w:rsid w:val="00B05A76"/>
    <w:rsid w:val="00B05B04"/>
    <w:rsid w:val="00B05D35"/>
    <w:rsid w:val="00B060C2"/>
    <w:rsid w:val="00B0611E"/>
    <w:rsid w:val="00B062E7"/>
    <w:rsid w:val="00B06536"/>
    <w:rsid w:val="00B067B3"/>
    <w:rsid w:val="00B067D6"/>
    <w:rsid w:val="00B06A9C"/>
    <w:rsid w:val="00B06BCD"/>
    <w:rsid w:val="00B06ECC"/>
    <w:rsid w:val="00B071F2"/>
    <w:rsid w:val="00B07200"/>
    <w:rsid w:val="00B07B39"/>
    <w:rsid w:val="00B07C21"/>
    <w:rsid w:val="00B07F49"/>
    <w:rsid w:val="00B10247"/>
    <w:rsid w:val="00B103B5"/>
    <w:rsid w:val="00B1062E"/>
    <w:rsid w:val="00B10E8A"/>
    <w:rsid w:val="00B10EE0"/>
    <w:rsid w:val="00B1163C"/>
    <w:rsid w:val="00B11863"/>
    <w:rsid w:val="00B11A90"/>
    <w:rsid w:val="00B12801"/>
    <w:rsid w:val="00B12812"/>
    <w:rsid w:val="00B12DA4"/>
    <w:rsid w:val="00B12DE7"/>
    <w:rsid w:val="00B1315A"/>
    <w:rsid w:val="00B13583"/>
    <w:rsid w:val="00B13EBD"/>
    <w:rsid w:val="00B14155"/>
    <w:rsid w:val="00B143BC"/>
    <w:rsid w:val="00B14539"/>
    <w:rsid w:val="00B14989"/>
    <w:rsid w:val="00B14A93"/>
    <w:rsid w:val="00B14A9E"/>
    <w:rsid w:val="00B14AB4"/>
    <w:rsid w:val="00B14B92"/>
    <w:rsid w:val="00B14BCC"/>
    <w:rsid w:val="00B1516A"/>
    <w:rsid w:val="00B151FB"/>
    <w:rsid w:val="00B15497"/>
    <w:rsid w:val="00B15841"/>
    <w:rsid w:val="00B1586A"/>
    <w:rsid w:val="00B158E9"/>
    <w:rsid w:val="00B158F3"/>
    <w:rsid w:val="00B159BF"/>
    <w:rsid w:val="00B1662F"/>
    <w:rsid w:val="00B168D5"/>
    <w:rsid w:val="00B16A89"/>
    <w:rsid w:val="00B17333"/>
    <w:rsid w:val="00B1765C"/>
    <w:rsid w:val="00B178BA"/>
    <w:rsid w:val="00B17940"/>
    <w:rsid w:val="00B17E3E"/>
    <w:rsid w:val="00B17F9A"/>
    <w:rsid w:val="00B204DA"/>
    <w:rsid w:val="00B2074F"/>
    <w:rsid w:val="00B20ED8"/>
    <w:rsid w:val="00B20FBC"/>
    <w:rsid w:val="00B2100E"/>
    <w:rsid w:val="00B210A3"/>
    <w:rsid w:val="00B213BB"/>
    <w:rsid w:val="00B2146A"/>
    <w:rsid w:val="00B214F6"/>
    <w:rsid w:val="00B21504"/>
    <w:rsid w:val="00B21B5B"/>
    <w:rsid w:val="00B21E4E"/>
    <w:rsid w:val="00B21EB2"/>
    <w:rsid w:val="00B22237"/>
    <w:rsid w:val="00B226EE"/>
    <w:rsid w:val="00B231A4"/>
    <w:rsid w:val="00B23872"/>
    <w:rsid w:val="00B241AA"/>
    <w:rsid w:val="00B24393"/>
    <w:rsid w:val="00B2446A"/>
    <w:rsid w:val="00B24702"/>
    <w:rsid w:val="00B247E0"/>
    <w:rsid w:val="00B2491C"/>
    <w:rsid w:val="00B24A90"/>
    <w:rsid w:val="00B24B3C"/>
    <w:rsid w:val="00B25228"/>
    <w:rsid w:val="00B25317"/>
    <w:rsid w:val="00B255F8"/>
    <w:rsid w:val="00B26067"/>
    <w:rsid w:val="00B26427"/>
    <w:rsid w:val="00B269FD"/>
    <w:rsid w:val="00B26A89"/>
    <w:rsid w:val="00B26C4D"/>
    <w:rsid w:val="00B26E89"/>
    <w:rsid w:val="00B2700B"/>
    <w:rsid w:val="00B2706D"/>
    <w:rsid w:val="00B271E1"/>
    <w:rsid w:val="00B2745A"/>
    <w:rsid w:val="00B27527"/>
    <w:rsid w:val="00B27561"/>
    <w:rsid w:val="00B277A0"/>
    <w:rsid w:val="00B30448"/>
    <w:rsid w:val="00B30946"/>
    <w:rsid w:val="00B30BA8"/>
    <w:rsid w:val="00B31516"/>
    <w:rsid w:val="00B315EE"/>
    <w:rsid w:val="00B3189C"/>
    <w:rsid w:val="00B318D3"/>
    <w:rsid w:val="00B31B49"/>
    <w:rsid w:val="00B3261E"/>
    <w:rsid w:val="00B326AC"/>
    <w:rsid w:val="00B3274D"/>
    <w:rsid w:val="00B328EE"/>
    <w:rsid w:val="00B32A43"/>
    <w:rsid w:val="00B32B91"/>
    <w:rsid w:val="00B32EFE"/>
    <w:rsid w:val="00B330C8"/>
    <w:rsid w:val="00B333CB"/>
    <w:rsid w:val="00B33706"/>
    <w:rsid w:val="00B3399D"/>
    <w:rsid w:val="00B33BE3"/>
    <w:rsid w:val="00B33C25"/>
    <w:rsid w:val="00B33F2E"/>
    <w:rsid w:val="00B34001"/>
    <w:rsid w:val="00B340F4"/>
    <w:rsid w:val="00B342BC"/>
    <w:rsid w:val="00B346C5"/>
    <w:rsid w:val="00B3490E"/>
    <w:rsid w:val="00B34BF8"/>
    <w:rsid w:val="00B351C8"/>
    <w:rsid w:val="00B351CE"/>
    <w:rsid w:val="00B357F1"/>
    <w:rsid w:val="00B35FF0"/>
    <w:rsid w:val="00B360BC"/>
    <w:rsid w:val="00B36594"/>
    <w:rsid w:val="00B366ED"/>
    <w:rsid w:val="00B36E21"/>
    <w:rsid w:val="00B37109"/>
    <w:rsid w:val="00B37AE5"/>
    <w:rsid w:val="00B37C82"/>
    <w:rsid w:val="00B37CF9"/>
    <w:rsid w:val="00B37F46"/>
    <w:rsid w:val="00B4012D"/>
    <w:rsid w:val="00B401E1"/>
    <w:rsid w:val="00B40605"/>
    <w:rsid w:val="00B40998"/>
    <w:rsid w:val="00B40C3C"/>
    <w:rsid w:val="00B40E60"/>
    <w:rsid w:val="00B41105"/>
    <w:rsid w:val="00B41320"/>
    <w:rsid w:val="00B41593"/>
    <w:rsid w:val="00B416B4"/>
    <w:rsid w:val="00B41C67"/>
    <w:rsid w:val="00B41D90"/>
    <w:rsid w:val="00B42460"/>
    <w:rsid w:val="00B424CF"/>
    <w:rsid w:val="00B425D4"/>
    <w:rsid w:val="00B42ACA"/>
    <w:rsid w:val="00B42B99"/>
    <w:rsid w:val="00B42BEF"/>
    <w:rsid w:val="00B42FC9"/>
    <w:rsid w:val="00B4358F"/>
    <w:rsid w:val="00B4377C"/>
    <w:rsid w:val="00B437CD"/>
    <w:rsid w:val="00B4392A"/>
    <w:rsid w:val="00B43EE0"/>
    <w:rsid w:val="00B43F59"/>
    <w:rsid w:val="00B43F62"/>
    <w:rsid w:val="00B441AD"/>
    <w:rsid w:val="00B444A9"/>
    <w:rsid w:val="00B4455C"/>
    <w:rsid w:val="00B44B70"/>
    <w:rsid w:val="00B44BE1"/>
    <w:rsid w:val="00B44E23"/>
    <w:rsid w:val="00B44FFE"/>
    <w:rsid w:val="00B45197"/>
    <w:rsid w:val="00B451B5"/>
    <w:rsid w:val="00B4532F"/>
    <w:rsid w:val="00B456DD"/>
    <w:rsid w:val="00B4583A"/>
    <w:rsid w:val="00B45A05"/>
    <w:rsid w:val="00B45F81"/>
    <w:rsid w:val="00B46031"/>
    <w:rsid w:val="00B46177"/>
    <w:rsid w:val="00B4665B"/>
    <w:rsid w:val="00B466F3"/>
    <w:rsid w:val="00B467FF"/>
    <w:rsid w:val="00B46BB0"/>
    <w:rsid w:val="00B47509"/>
    <w:rsid w:val="00B479B6"/>
    <w:rsid w:val="00B47BBB"/>
    <w:rsid w:val="00B47C68"/>
    <w:rsid w:val="00B47F8F"/>
    <w:rsid w:val="00B47FFB"/>
    <w:rsid w:val="00B503CF"/>
    <w:rsid w:val="00B505FA"/>
    <w:rsid w:val="00B508CC"/>
    <w:rsid w:val="00B50D4C"/>
    <w:rsid w:val="00B51038"/>
    <w:rsid w:val="00B5174F"/>
    <w:rsid w:val="00B51832"/>
    <w:rsid w:val="00B51B89"/>
    <w:rsid w:val="00B52265"/>
    <w:rsid w:val="00B5234F"/>
    <w:rsid w:val="00B52859"/>
    <w:rsid w:val="00B52AC2"/>
    <w:rsid w:val="00B52AF0"/>
    <w:rsid w:val="00B5361F"/>
    <w:rsid w:val="00B538A4"/>
    <w:rsid w:val="00B5423E"/>
    <w:rsid w:val="00B5428D"/>
    <w:rsid w:val="00B546F2"/>
    <w:rsid w:val="00B54970"/>
    <w:rsid w:val="00B54AF5"/>
    <w:rsid w:val="00B54E65"/>
    <w:rsid w:val="00B55428"/>
    <w:rsid w:val="00B55805"/>
    <w:rsid w:val="00B55DCE"/>
    <w:rsid w:val="00B5619C"/>
    <w:rsid w:val="00B56297"/>
    <w:rsid w:val="00B56697"/>
    <w:rsid w:val="00B5681E"/>
    <w:rsid w:val="00B5685C"/>
    <w:rsid w:val="00B569C5"/>
    <w:rsid w:val="00B569F0"/>
    <w:rsid w:val="00B56F21"/>
    <w:rsid w:val="00B571E1"/>
    <w:rsid w:val="00B5733A"/>
    <w:rsid w:val="00B57657"/>
    <w:rsid w:val="00B57787"/>
    <w:rsid w:val="00B57AC4"/>
    <w:rsid w:val="00B610D7"/>
    <w:rsid w:val="00B61704"/>
    <w:rsid w:val="00B61888"/>
    <w:rsid w:val="00B61AB5"/>
    <w:rsid w:val="00B61B5D"/>
    <w:rsid w:val="00B62A0F"/>
    <w:rsid w:val="00B62C53"/>
    <w:rsid w:val="00B63605"/>
    <w:rsid w:val="00B63A82"/>
    <w:rsid w:val="00B63C6D"/>
    <w:rsid w:val="00B63D87"/>
    <w:rsid w:val="00B64180"/>
    <w:rsid w:val="00B64507"/>
    <w:rsid w:val="00B64540"/>
    <w:rsid w:val="00B646F2"/>
    <w:rsid w:val="00B64869"/>
    <w:rsid w:val="00B64918"/>
    <w:rsid w:val="00B64946"/>
    <w:rsid w:val="00B65244"/>
    <w:rsid w:val="00B654DD"/>
    <w:rsid w:val="00B655F6"/>
    <w:rsid w:val="00B65B0C"/>
    <w:rsid w:val="00B65B8F"/>
    <w:rsid w:val="00B65D7D"/>
    <w:rsid w:val="00B66336"/>
    <w:rsid w:val="00B665DE"/>
    <w:rsid w:val="00B66947"/>
    <w:rsid w:val="00B66BB8"/>
    <w:rsid w:val="00B66BBA"/>
    <w:rsid w:val="00B66E82"/>
    <w:rsid w:val="00B67113"/>
    <w:rsid w:val="00B671F3"/>
    <w:rsid w:val="00B6747D"/>
    <w:rsid w:val="00B67969"/>
    <w:rsid w:val="00B67F12"/>
    <w:rsid w:val="00B705C2"/>
    <w:rsid w:val="00B7069A"/>
    <w:rsid w:val="00B7088E"/>
    <w:rsid w:val="00B70979"/>
    <w:rsid w:val="00B709A0"/>
    <w:rsid w:val="00B709D1"/>
    <w:rsid w:val="00B70D51"/>
    <w:rsid w:val="00B71332"/>
    <w:rsid w:val="00B7138F"/>
    <w:rsid w:val="00B71551"/>
    <w:rsid w:val="00B71B60"/>
    <w:rsid w:val="00B71CF4"/>
    <w:rsid w:val="00B71FB4"/>
    <w:rsid w:val="00B720FB"/>
    <w:rsid w:val="00B7241F"/>
    <w:rsid w:val="00B7244E"/>
    <w:rsid w:val="00B724E1"/>
    <w:rsid w:val="00B725CD"/>
    <w:rsid w:val="00B727D8"/>
    <w:rsid w:val="00B72992"/>
    <w:rsid w:val="00B72AAC"/>
    <w:rsid w:val="00B72D81"/>
    <w:rsid w:val="00B7335C"/>
    <w:rsid w:val="00B735F4"/>
    <w:rsid w:val="00B73696"/>
    <w:rsid w:val="00B737F7"/>
    <w:rsid w:val="00B73A7D"/>
    <w:rsid w:val="00B73B19"/>
    <w:rsid w:val="00B73B7F"/>
    <w:rsid w:val="00B73EED"/>
    <w:rsid w:val="00B74512"/>
    <w:rsid w:val="00B746D2"/>
    <w:rsid w:val="00B74CB3"/>
    <w:rsid w:val="00B74CBC"/>
    <w:rsid w:val="00B74EBB"/>
    <w:rsid w:val="00B7515C"/>
    <w:rsid w:val="00B7559D"/>
    <w:rsid w:val="00B75818"/>
    <w:rsid w:val="00B758CB"/>
    <w:rsid w:val="00B7592D"/>
    <w:rsid w:val="00B7595A"/>
    <w:rsid w:val="00B75C2F"/>
    <w:rsid w:val="00B75E3F"/>
    <w:rsid w:val="00B75EF3"/>
    <w:rsid w:val="00B7648E"/>
    <w:rsid w:val="00B76660"/>
    <w:rsid w:val="00B76FC0"/>
    <w:rsid w:val="00B77166"/>
    <w:rsid w:val="00B77320"/>
    <w:rsid w:val="00B7738D"/>
    <w:rsid w:val="00B77876"/>
    <w:rsid w:val="00B77FF5"/>
    <w:rsid w:val="00B8039C"/>
    <w:rsid w:val="00B80832"/>
    <w:rsid w:val="00B811A3"/>
    <w:rsid w:val="00B8158D"/>
    <w:rsid w:val="00B81CF0"/>
    <w:rsid w:val="00B81E60"/>
    <w:rsid w:val="00B81EC0"/>
    <w:rsid w:val="00B81F2C"/>
    <w:rsid w:val="00B81FCD"/>
    <w:rsid w:val="00B81FF0"/>
    <w:rsid w:val="00B8227D"/>
    <w:rsid w:val="00B8228F"/>
    <w:rsid w:val="00B82403"/>
    <w:rsid w:val="00B82671"/>
    <w:rsid w:val="00B827DB"/>
    <w:rsid w:val="00B82C72"/>
    <w:rsid w:val="00B83042"/>
    <w:rsid w:val="00B831DE"/>
    <w:rsid w:val="00B8354B"/>
    <w:rsid w:val="00B83581"/>
    <w:rsid w:val="00B839BE"/>
    <w:rsid w:val="00B83A31"/>
    <w:rsid w:val="00B83AE8"/>
    <w:rsid w:val="00B83FCD"/>
    <w:rsid w:val="00B84592"/>
    <w:rsid w:val="00B8491E"/>
    <w:rsid w:val="00B84C59"/>
    <w:rsid w:val="00B84E49"/>
    <w:rsid w:val="00B84FEB"/>
    <w:rsid w:val="00B85732"/>
    <w:rsid w:val="00B85C8D"/>
    <w:rsid w:val="00B85CCA"/>
    <w:rsid w:val="00B862A1"/>
    <w:rsid w:val="00B86663"/>
    <w:rsid w:val="00B866A5"/>
    <w:rsid w:val="00B869F9"/>
    <w:rsid w:val="00B86A0E"/>
    <w:rsid w:val="00B86B97"/>
    <w:rsid w:val="00B87369"/>
    <w:rsid w:val="00B87681"/>
    <w:rsid w:val="00B876E2"/>
    <w:rsid w:val="00B87CB8"/>
    <w:rsid w:val="00B87E74"/>
    <w:rsid w:val="00B9017E"/>
    <w:rsid w:val="00B9072A"/>
    <w:rsid w:val="00B90D61"/>
    <w:rsid w:val="00B90E90"/>
    <w:rsid w:val="00B9106B"/>
    <w:rsid w:val="00B915A7"/>
    <w:rsid w:val="00B91823"/>
    <w:rsid w:val="00B91916"/>
    <w:rsid w:val="00B91D22"/>
    <w:rsid w:val="00B92445"/>
    <w:rsid w:val="00B925AF"/>
    <w:rsid w:val="00B92F59"/>
    <w:rsid w:val="00B9356F"/>
    <w:rsid w:val="00B9363E"/>
    <w:rsid w:val="00B93744"/>
    <w:rsid w:val="00B93953"/>
    <w:rsid w:val="00B93EA2"/>
    <w:rsid w:val="00B93ECD"/>
    <w:rsid w:val="00B940FC"/>
    <w:rsid w:val="00B9460B"/>
    <w:rsid w:val="00B9512A"/>
    <w:rsid w:val="00B9525C"/>
    <w:rsid w:val="00B957FE"/>
    <w:rsid w:val="00B95B98"/>
    <w:rsid w:val="00B95E3E"/>
    <w:rsid w:val="00B9620F"/>
    <w:rsid w:val="00B967BC"/>
    <w:rsid w:val="00B9691E"/>
    <w:rsid w:val="00B96D69"/>
    <w:rsid w:val="00B9718F"/>
    <w:rsid w:val="00B9724D"/>
    <w:rsid w:val="00B97987"/>
    <w:rsid w:val="00B979C9"/>
    <w:rsid w:val="00B979F8"/>
    <w:rsid w:val="00B97A0B"/>
    <w:rsid w:val="00B97EDB"/>
    <w:rsid w:val="00BA0489"/>
    <w:rsid w:val="00BA053A"/>
    <w:rsid w:val="00BA0983"/>
    <w:rsid w:val="00BA09E5"/>
    <w:rsid w:val="00BA0DE8"/>
    <w:rsid w:val="00BA0EE9"/>
    <w:rsid w:val="00BA0FE9"/>
    <w:rsid w:val="00BA10CB"/>
    <w:rsid w:val="00BA1717"/>
    <w:rsid w:val="00BA174E"/>
    <w:rsid w:val="00BA18DD"/>
    <w:rsid w:val="00BA18EF"/>
    <w:rsid w:val="00BA1900"/>
    <w:rsid w:val="00BA1B97"/>
    <w:rsid w:val="00BA1E0B"/>
    <w:rsid w:val="00BA22E9"/>
    <w:rsid w:val="00BA259F"/>
    <w:rsid w:val="00BA2BAD"/>
    <w:rsid w:val="00BA2EA1"/>
    <w:rsid w:val="00BA3017"/>
    <w:rsid w:val="00BA303C"/>
    <w:rsid w:val="00BA3201"/>
    <w:rsid w:val="00BA3275"/>
    <w:rsid w:val="00BA33D3"/>
    <w:rsid w:val="00BA3610"/>
    <w:rsid w:val="00BA3670"/>
    <w:rsid w:val="00BA38D2"/>
    <w:rsid w:val="00BA3C58"/>
    <w:rsid w:val="00BA4722"/>
    <w:rsid w:val="00BA4782"/>
    <w:rsid w:val="00BA4C30"/>
    <w:rsid w:val="00BA4C7C"/>
    <w:rsid w:val="00BA4C80"/>
    <w:rsid w:val="00BA562C"/>
    <w:rsid w:val="00BA5BDC"/>
    <w:rsid w:val="00BA5CEB"/>
    <w:rsid w:val="00BA6787"/>
    <w:rsid w:val="00BA6B06"/>
    <w:rsid w:val="00BA6EF4"/>
    <w:rsid w:val="00BA72B6"/>
    <w:rsid w:val="00BA7639"/>
    <w:rsid w:val="00BA7C59"/>
    <w:rsid w:val="00BB04EB"/>
    <w:rsid w:val="00BB04EE"/>
    <w:rsid w:val="00BB05A4"/>
    <w:rsid w:val="00BB06EE"/>
    <w:rsid w:val="00BB09F5"/>
    <w:rsid w:val="00BB0F02"/>
    <w:rsid w:val="00BB10F5"/>
    <w:rsid w:val="00BB17A1"/>
    <w:rsid w:val="00BB1ABE"/>
    <w:rsid w:val="00BB1B3C"/>
    <w:rsid w:val="00BB1E72"/>
    <w:rsid w:val="00BB20ED"/>
    <w:rsid w:val="00BB22B6"/>
    <w:rsid w:val="00BB2533"/>
    <w:rsid w:val="00BB2768"/>
    <w:rsid w:val="00BB27FF"/>
    <w:rsid w:val="00BB28A3"/>
    <w:rsid w:val="00BB2D57"/>
    <w:rsid w:val="00BB2EE7"/>
    <w:rsid w:val="00BB2F73"/>
    <w:rsid w:val="00BB32EB"/>
    <w:rsid w:val="00BB3413"/>
    <w:rsid w:val="00BB3A9A"/>
    <w:rsid w:val="00BB4482"/>
    <w:rsid w:val="00BB4BF3"/>
    <w:rsid w:val="00BB500F"/>
    <w:rsid w:val="00BB5077"/>
    <w:rsid w:val="00BB5BCB"/>
    <w:rsid w:val="00BB5F7F"/>
    <w:rsid w:val="00BB602A"/>
    <w:rsid w:val="00BB6389"/>
    <w:rsid w:val="00BB68FF"/>
    <w:rsid w:val="00BB72BF"/>
    <w:rsid w:val="00BB77DD"/>
    <w:rsid w:val="00BB7A82"/>
    <w:rsid w:val="00BB7CCE"/>
    <w:rsid w:val="00BC0182"/>
    <w:rsid w:val="00BC0472"/>
    <w:rsid w:val="00BC0C00"/>
    <w:rsid w:val="00BC0C64"/>
    <w:rsid w:val="00BC0DEA"/>
    <w:rsid w:val="00BC136A"/>
    <w:rsid w:val="00BC179A"/>
    <w:rsid w:val="00BC1D80"/>
    <w:rsid w:val="00BC2379"/>
    <w:rsid w:val="00BC2B16"/>
    <w:rsid w:val="00BC2B59"/>
    <w:rsid w:val="00BC2D0C"/>
    <w:rsid w:val="00BC3163"/>
    <w:rsid w:val="00BC31ED"/>
    <w:rsid w:val="00BC331A"/>
    <w:rsid w:val="00BC334F"/>
    <w:rsid w:val="00BC3C0C"/>
    <w:rsid w:val="00BC3E87"/>
    <w:rsid w:val="00BC41FA"/>
    <w:rsid w:val="00BC4312"/>
    <w:rsid w:val="00BC4764"/>
    <w:rsid w:val="00BC4963"/>
    <w:rsid w:val="00BC4CD4"/>
    <w:rsid w:val="00BC4D27"/>
    <w:rsid w:val="00BC4D32"/>
    <w:rsid w:val="00BC4D7C"/>
    <w:rsid w:val="00BC4F7C"/>
    <w:rsid w:val="00BC525F"/>
    <w:rsid w:val="00BC564C"/>
    <w:rsid w:val="00BC6229"/>
    <w:rsid w:val="00BC6F11"/>
    <w:rsid w:val="00BC7107"/>
    <w:rsid w:val="00BC7264"/>
    <w:rsid w:val="00BC7396"/>
    <w:rsid w:val="00BC7A7E"/>
    <w:rsid w:val="00BC7A7F"/>
    <w:rsid w:val="00BD00BD"/>
    <w:rsid w:val="00BD023F"/>
    <w:rsid w:val="00BD049E"/>
    <w:rsid w:val="00BD0DE9"/>
    <w:rsid w:val="00BD122D"/>
    <w:rsid w:val="00BD12AA"/>
    <w:rsid w:val="00BD137C"/>
    <w:rsid w:val="00BD1581"/>
    <w:rsid w:val="00BD1A72"/>
    <w:rsid w:val="00BD2A36"/>
    <w:rsid w:val="00BD2DC0"/>
    <w:rsid w:val="00BD2DE2"/>
    <w:rsid w:val="00BD31CC"/>
    <w:rsid w:val="00BD32AC"/>
    <w:rsid w:val="00BD34E8"/>
    <w:rsid w:val="00BD34F5"/>
    <w:rsid w:val="00BD38EC"/>
    <w:rsid w:val="00BD405E"/>
    <w:rsid w:val="00BD467D"/>
    <w:rsid w:val="00BD4866"/>
    <w:rsid w:val="00BD4888"/>
    <w:rsid w:val="00BD4CE6"/>
    <w:rsid w:val="00BD4E62"/>
    <w:rsid w:val="00BD55F8"/>
    <w:rsid w:val="00BD562B"/>
    <w:rsid w:val="00BD5728"/>
    <w:rsid w:val="00BD5B28"/>
    <w:rsid w:val="00BD5C65"/>
    <w:rsid w:val="00BD5E1B"/>
    <w:rsid w:val="00BD6341"/>
    <w:rsid w:val="00BD65E1"/>
    <w:rsid w:val="00BD69EF"/>
    <w:rsid w:val="00BD6EAD"/>
    <w:rsid w:val="00BD7190"/>
    <w:rsid w:val="00BD76CB"/>
    <w:rsid w:val="00BD784E"/>
    <w:rsid w:val="00BD7CCE"/>
    <w:rsid w:val="00BD7E29"/>
    <w:rsid w:val="00BE0273"/>
    <w:rsid w:val="00BE05FD"/>
    <w:rsid w:val="00BE061F"/>
    <w:rsid w:val="00BE0787"/>
    <w:rsid w:val="00BE07AB"/>
    <w:rsid w:val="00BE09EC"/>
    <w:rsid w:val="00BE1134"/>
    <w:rsid w:val="00BE16DC"/>
    <w:rsid w:val="00BE1889"/>
    <w:rsid w:val="00BE1CA4"/>
    <w:rsid w:val="00BE1E57"/>
    <w:rsid w:val="00BE2133"/>
    <w:rsid w:val="00BE2645"/>
    <w:rsid w:val="00BE273F"/>
    <w:rsid w:val="00BE286C"/>
    <w:rsid w:val="00BE287D"/>
    <w:rsid w:val="00BE2F97"/>
    <w:rsid w:val="00BE3024"/>
    <w:rsid w:val="00BE3473"/>
    <w:rsid w:val="00BE38C1"/>
    <w:rsid w:val="00BE3A96"/>
    <w:rsid w:val="00BE3CAD"/>
    <w:rsid w:val="00BE3FBB"/>
    <w:rsid w:val="00BE4089"/>
    <w:rsid w:val="00BE455D"/>
    <w:rsid w:val="00BE4759"/>
    <w:rsid w:val="00BE4ADF"/>
    <w:rsid w:val="00BE4CB2"/>
    <w:rsid w:val="00BE4EE9"/>
    <w:rsid w:val="00BE4F61"/>
    <w:rsid w:val="00BE4F76"/>
    <w:rsid w:val="00BE54EC"/>
    <w:rsid w:val="00BE563B"/>
    <w:rsid w:val="00BE5CD5"/>
    <w:rsid w:val="00BE6077"/>
    <w:rsid w:val="00BE61E1"/>
    <w:rsid w:val="00BE667D"/>
    <w:rsid w:val="00BE69F5"/>
    <w:rsid w:val="00BE6AD0"/>
    <w:rsid w:val="00BE6D13"/>
    <w:rsid w:val="00BE6E0D"/>
    <w:rsid w:val="00BE76C9"/>
    <w:rsid w:val="00BE7D01"/>
    <w:rsid w:val="00BE7E70"/>
    <w:rsid w:val="00BF009B"/>
    <w:rsid w:val="00BF03DD"/>
    <w:rsid w:val="00BF0726"/>
    <w:rsid w:val="00BF0A00"/>
    <w:rsid w:val="00BF0A45"/>
    <w:rsid w:val="00BF0B04"/>
    <w:rsid w:val="00BF0B5E"/>
    <w:rsid w:val="00BF0DDD"/>
    <w:rsid w:val="00BF1117"/>
    <w:rsid w:val="00BF18F8"/>
    <w:rsid w:val="00BF25BB"/>
    <w:rsid w:val="00BF2778"/>
    <w:rsid w:val="00BF2891"/>
    <w:rsid w:val="00BF2A6D"/>
    <w:rsid w:val="00BF2F9D"/>
    <w:rsid w:val="00BF3515"/>
    <w:rsid w:val="00BF3958"/>
    <w:rsid w:val="00BF3D29"/>
    <w:rsid w:val="00BF3D3F"/>
    <w:rsid w:val="00BF3DF7"/>
    <w:rsid w:val="00BF46D8"/>
    <w:rsid w:val="00BF4897"/>
    <w:rsid w:val="00BF4988"/>
    <w:rsid w:val="00BF499D"/>
    <w:rsid w:val="00BF49B5"/>
    <w:rsid w:val="00BF4C5E"/>
    <w:rsid w:val="00BF4F41"/>
    <w:rsid w:val="00BF51CD"/>
    <w:rsid w:val="00BF53F2"/>
    <w:rsid w:val="00BF54D8"/>
    <w:rsid w:val="00BF5C6A"/>
    <w:rsid w:val="00BF624A"/>
    <w:rsid w:val="00BF63ED"/>
    <w:rsid w:val="00BF6CD4"/>
    <w:rsid w:val="00BF7710"/>
    <w:rsid w:val="00BF7C52"/>
    <w:rsid w:val="00BF7CF3"/>
    <w:rsid w:val="00C006A1"/>
    <w:rsid w:val="00C00C51"/>
    <w:rsid w:val="00C00E9F"/>
    <w:rsid w:val="00C00ED4"/>
    <w:rsid w:val="00C0108A"/>
    <w:rsid w:val="00C01952"/>
    <w:rsid w:val="00C01BC3"/>
    <w:rsid w:val="00C01D6E"/>
    <w:rsid w:val="00C01FEA"/>
    <w:rsid w:val="00C02187"/>
    <w:rsid w:val="00C021B0"/>
    <w:rsid w:val="00C02313"/>
    <w:rsid w:val="00C023AD"/>
    <w:rsid w:val="00C029A1"/>
    <w:rsid w:val="00C02C01"/>
    <w:rsid w:val="00C02E21"/>
    <w:rsid w:val="00C02E7D"/>
    <w:rsid w:val="00C034E5"/>
    <w:rsid w:val="00C03C47"/>
    <w:rsid w:val="00C0431B"/>
    <w:rsid w:val="00C04C81"/>
    <w:rsid w:val="00C05411"/>
    <w:rsid w:val="00C05740"/>
    <w:rsid w:val="00C05825"/>
    <w:rsid w:val="00C06024"/>
    <w:rsid w:val="00C06820"/>
    <w:rsid w:val="00C068BF"/>
    <w:rsid w:val="00C06A7B"/>
    <w:rsid w:val="00C06C9A"/>
    <w:rsid w:val="00C06DB6"/>
    <w:rsid w:val="00C06F50"/>
    <w:rsid w:val="00C06F86"/>
    <w:rsid w:val="00C07017"/>
    <w:rsid w:val="00C0727F"/>
    <w:rsid w:val="00C07422"/>
    <w:rsid w:val="00C07552"/>
    <w:rsid w:val="00C07BB6"/>
    <w:rsid w:val="00C07EE0"/>
    <w:rsid w:val="00C108C4"/>
    <w:rsid w:val="00C10AC9"/>
    <w:rsid w:val="00C10D4F"/>
    <w:rsid w:val="00C11019"/>
    <w:rsid w:val="00C1111D"/>
    <w:rsid w:val="00C119F4"/>
    <w:rsid w:val="00C11A04"/>
    <w:rsid w:val="00C124BF"/>
    <w:rsid w:val="00C124F8"/>
    <w:rsid w:val="00C12A0E"/>
    <w:rsid w:val="00C12C0C"/>
    <w:rsid w:val="00C13095"/>
    <w:rsid w:val="00C133C3"/>
    <w:rsid w:val="00C1362A"/>
    <w:rsid w:val="00C138DC"/>
    <w:rsid w:val="00C139C9"/>
    <w:rsid w:val="00C13DAF"/>
    <w:rsid w:val="00C13F1E"/>
    <w:rsid w:val="00C14050"/>
    <w:rsid w:val="00C143A4"/>
    <w:rsid w:val="00C1479E"/>
    <w:rsid w:val="00C147D2"/>
    <w:rsid w:val="00C14AE6"/>
    <w:rsid w:val="00C14CB8"/>
    <w:rsid w:val="00C14E1A"/>
    <w:rsid w:val="00C15425"/>
    <w:rsid w:val="00C157C7"/>
    <w:rsid w:val="00C158CF"/>
    <w:rsid w:val="00C15A81"/>
    <w:rsid w:val="00C160DB"/>
    <w:rsid w:val="00C1616E"/>
    <w:rsid w:val="00C161B0"/>
    <w:rsid w:val="00C16BB6"/>
    <w:rsid w:val="00C16DE1"/>
    <w:rsid w:val="00C16E3F"/>
    <w:rsid w:val="00C17016"/>
    <w:rsid w:val="00C17026"/>
    <w:rsid w:val="00C1705A"/>
    <w:rsid w:val="00C171DE"/>
    <w:rsid w:val="00C17434"/>
    <w:rsid w:val="00C1743E"/>
    <w:rsid w:val="00C1747C"/>
    <w:rsid w:val="00C1750E"/>
    <w:rsid w:val="00C200E4"/>
    <w:rsid w:val="00C209D8"/>
    <w:rsid w:val="00C20EC4"/>
    <w:rsid w:val="00C214CC"/>
    <w:rsid w:val="00C21958"/>
    <w:rsid w:val="00C21A81"/>
    <w:rsid w:val="00C21B14"/>
    <w:rsid w:val="00C21D41"/>
    <w:rsid w:val="00C21FB2"/>
    <w:rsid w:val="00C22088"/>
    <w:rsid w:val="00C221BC"/>
    <w:rsid w:val="00C22287"/>
    <w:rsid w:val="00C22BD7"/>
    <w:rsid w:val="00C22BFE"/>
    <w:rsid w:val="00C22C56"/>
    <w:rsid w:val="00C22DB9"/>
    <w:rsid w:val="00C22E49"/>
    <w:rsid w:val="00C2358A"/>
    <w:rsid w:val="00C23595"/>
    <w:rsid w:val="00C23964"/>
    <w:rsid w:val="00C24654"/>
    <w:rsid w:val="00C2479D"/>
    <w:rsid w:val="00C24D5B"/>
    <w:rsid w:val="00C250DE"/>
    <w:rsid w:val="00C2552C"/>
    <w:rsid w:val="00C25786"/>
    <w:rsid w:val="00C25A3B"/>
    <w:rsid w:val="00C25EBD"/>
    <w:rsid w:val="00C260A8"/>
    <w:rsid w:val="00C262B9"/>
    <w:rsid w:val="00C262EF"/>
    <w:rsid w:val="00C262FB"/>
    <w:rsid w:val="00C264E2"/>
    <w:rsid w:val="00C2653A"/>
    <w:rsid w:val="00C265D0"/>
    <w:rsid w:val="00C2676D"/>
    <w:rsid w:val="00C26E4A"/>
    <w:rsid w:val="00C26EC0"/>
    <w:rsid w:val="00C26FB0"/>
    <w:rsid w:val="00C270AF"/>
    <w:rsid w:val="00C2723A"/>
    <w:rsid w:val="00C272D3"/>
    <w:rsid w:val="00C27C1D"/>
    <w:rsid w:val="00C27F15"/>
    <w:rsid w:val="00C30405"/>
    <w:rsid w:val="00C30493"/>
    <w:rsid w:val="00C3050A"/>
    <w:rsid w:val="00C30C38"/>
    <w:rsid w:val="00C30CAF"/>
    <w:rsid w:val="00C31379"/>
    <w:rsid w:val="00C313C2"/>
    <w:rsid w:val="00C31459"/>
    <w:rsid w:val="00C314DE"/>
    <w:rsid w:val="00C31600"/>
    <w:rsid w:val="00C318E9"/>
    <w:rsid w:val="00C3197B"/>
    <w:rsid w:val="00C31D6D"/>
    <w:rsid w:val="00C32129"/>
    <w:rsid w:val="00C32291"/>
    <w:rsid w:val="00C32C20"/>
    <w:rsid w:val="00C33061"/>
    <w:rsid w:val="00C33443"/>
    <w:rsid w:val="00C33922"/>
    <w:rsid w:val="00C339A6"/>
    <w:rsid w:val="00C33A0B"/>
    <w:rsid w:val="00C34013"/>
    <w:rsid w:val="00C341E6"/>
    <w:rsid w:val="00C34530"/>
    <w:rsid w:val="00C3467B"/>
    <w:rsid w:val="00C34759"/>
    <w:rsid w:val="00C34772"/>
    <w:rsid w:val="00C35245"/>
    <w:rsid w:val="00C35597"/>
    <w:rsid w:val="00C356EA"/>
    <w:rsid w:val="00C35CD8"/>
    <w:rsid w:val="00C36029"/>
    <w:rsid w:val="00C36B64"/>
    <w:rsid w:val="00C36EE3"/>
    <w:rsid w:val="00C36F9F"/>
    <w:rsid w:val="00C3712F"/>
    <w:rsid w:val="00C4017A"/>
    <w:rsid w:val="00C40C74"/>
    <w:rsid w:val="00C40D95"/>
    <w:rsid w:val="00C40E47"/>
    <w:rsid w:val="00C40EB3"/>
    <w:rsid w:val="00C41BFC"/>
    <w:rsid w:val="00C41CD8"/>
    <w:rsid w:val="00C420FA"/>
    <w:rsid w:val="00C4227D"/>
    <w:rsid w:val="00C423C2"/>
    <w:rsid w:val="00C4264C"/>
    <w:rsid w:val="00C42A50"/>
    <w:rsid w:val="00C42DC1"/>
    <w:rsid w:val="00C4311D"/>
    <w:rsid w:val="00C43504"/>
    <w:rsid w:val="00C438B8"/>
    <w:rsid w:val="00C43912"/>
    <w:rsid w:val="00C442B1"/>
    <w:rsid w:val="00C44F5D"/>
    <w:rsid w:val="00C450A9"/>
    <w:rsid w:val="00C45154"/>
    <w:rsid w:val="00C45327"/>
    <w:rsid w:val="00C45511"/>
    <w:rsid w:val="00C45738"/>
    <w:rsid w:val="00C45B41"/>
    <w:rsid w:val="00C45E1C"/>
    <w:rsid w:val="00C463D1"/>
    <w:rsid w:val="00C466F9"/>
    <w:rsid w:val="00C4683D"/>
    <w:rsid w:val="00C46B45"/>
    <w:rsid w:val="00C46D5F"/>
    <w:rsid w:val="00C46F33"/>
    <w:rsid w:val="00C46FA0"/>
    <w:rsid w:val="00C46FFE"/>
    <w:rsid w:val="00C473A6"/>
    <w:rsid w:val="00C47659"/>
    <w:rsid w:val="00C47710"/>
    <w:rsid w:val="00C47B3B"/>
    <w:rsid w:val="00C47C02"/>
    <w:rsid w:val="00C47C74"/>
    <w:rsid w:val="00C47E68"/>
    <w:rsid w:val="00C47ED5"/>
    <w:rsid w:val="00C47F3D"/>
    <w:rsid w:val="00C50260"/>
    <w:rsid w:val="00C504A5"/>
    <w:rsid w:val="00C50D5C"/>
    <w:rsid w:val="00C5164A"/>
    <w:rsid w:val="00C53123"/>
    <w:rsid w:val="00C53147"/>
    <w:rsid w:val="00C536B5"/>
    <w:rsid w:val="00C53AD0"/>
    <w:rsid w:val="00C53BAD"/>
    <w:rsid w:val="00C53E90"/>
    <w:rsid w:val="00C53F21"/>
    <w:rsid w:val="00C53FAB"/>
    <w:rsid w:val="00C5415D"/>
    <w:rsid w:val="00C541BC"/>
    <w:rsid w:val="00C547CE"/>
    <w:rsid w:val="00C54897"/>
    <w:rsid w:val="00C54DE2"/>
    <w:rsid w:val="00C55415"/>
    <w:rsid w:val="00C55CBC"/>
    <w:rsid w:val="00C56A36"/>
    <w:rsid w:val="00C5722F"/>
    <w:rsid w:val="00C5729F"/>
    <w:rsid w:val="00C5754B"/>
    <w:rsid w:val="00C577C7"/>
    <w:rsid w:val="00C57A28"/>
    <w:rsid w:val="00C57C50"/>
    <w:rsid w:val="00C57EB8"/>
    <w:rsid w:val="00C57F2B"/>
    <w:rsid w:val="00C57F51"/>
    <w:rsid w:val="00C602D4"/>
    <w:rsid w:val="00C605F1"/>
    <w:rsid w:val="00C605FB"/>
    <w:rsid w:val="00C60D41"/>
    <w:rsid w:val="00C60E48"/>
    <w:rsid w:val="00C61425"/>
    <w:rsid w:val="00C61991"/>
    <w:rsid w:val="00C61A23"/>
    <w:rsid w:val="00C61C9E"/>
    <w:rsid w:val="00C61D5F"/>
    <w:rsid w:val="00C621C7"/>
    <w:rsid w:val="00C6328A"/>
    <w:rsid w:val="00C63A5D"/>
    <w:rsid w:val="00C63BC2"/>
    <w:rsid w:val="00C6437F"/>
    <w:rsid w:val="00C643CF"/>
    <w:rsid w:val="00C64497"/>
    <w:rsid w:val="00C64C66"/>
    <w:rsid w:val="00C6506E"/>
    <w:rsid w:val="00C650B5"/>
    <w:rsid w:val="00C6556E"/>
    <w:rsid w:val="00C65734"/>
    <w:rsid w:val="00C65C03"/>
    <w:rsid w:val="00C66253"/>
    <w:rsid w:val="00C66A18"/>
    <w:rsid w:val="00C66BFA"/>
    <w:rsid w:val="00C67494"/>
    <w:rsid w:val="00C677FF"/>
    <w:rsid w:val="00C678A3"/>
    <w:rsid w:val="00C67A2A"/>
    <w:rsid w:val="00C67FD4"/>
    <w:rsid w:val="00C701A1"/>
    <w:rsid w:val="00C709C6"/>
    <w:rsid w:val="00C710BC"/>
    <w:rsid w:val="00C7153F"/>
    <w:rsid w:val="00C72775"/>
    <w:rsid w:val="00C72CAF"/>
    <w:rsid w:val="00C72CD1"/>
    <w:rsid w:val="00C7329D"/>
    <w:rsid w:val="00C73784"/>
    <w:rsid w:val="00C738E0"/>
    <w:rsid w:val="00C73937"/>
    <w:rsid w:val="00C73C44"/>
    <w:rsid w:val="00C7408B"/>
    <w:rsid w:val="00C74C04"/>
    <w:rsid w:val="00C7506E"/>
    <w:rsid w:val="00C7522F"/>
    <w:rsid w:val="00C75730"/>
    <w:rsid w:val="00C75D6B"/>
    <w:rsid w:val="00C7605B"/>
    <w:rsid w:val="00C760E9"/>
    <w:rsid w:val="00C7680F"/>
    <w:rsid w:val="00C76C63"/>
    <w:rsid w:val="00C77041"/>
    <w:rsid w:val="00C7742F"/>
    <w:rsid w:val="00C7788A"/>
    <w:rsid w:val="00C778A1"/>
    <w:rsid w:val="00C77951"/>
    <w:rsid w:val="00C7798A"/>
    <w:rsid w:val="00C77B45"/>
    <w:rsid w:val="00C77CA5"/>
    <w:rsid w:val="00C77D28"/>
    <w:rsid w:val="00C77EE8"/>
    <w:rsid w:val="00C80511"/>
    <w:rsid w:val="00C80561"/>
    <w:rsid w:val="00C80648"/>
    <w:rsid w:val="00C80A3E"/>
    <w:rsid w:val="00C80B11"/>
    <w:rsid w:val="00C80B18"/>
    <w:rsid w:val="00C80EB8"/>
    <w:rsid w:val="00C80FBE"/>
    <w:rsid w:val="00C81181"/>
    <w:rsid w:val="00C811BA"/>
    <w:rsid w:val="00C818F9"/>
    <w:rsid w:val="00C81A3F"/>
    <w:rsid w:val="00C81A64"/>
    <w:rsid w:val="00C81B62"/>
    <w:rsid w:val="00C81BB9"/>
    <w:rsid w:val="00C82152"/>
    <w:rsid w:val="00C83827"/>
    <w:rsid w:val="00C83833"/>
    <w:rsid w:val="00C838D4"/>
    <w:rsid w:val="00C83B11"/>
    <w:rsid w:val="00C848A9"/>
    <w:rsid w:val="00C848BA"/>
    <w:rsid w:val="00C84F5C"/>
    <w:rsid w:val="00C8500F"/>
    <w:rsid w:val="00C85126"/>
    <w:rsid w:val="00C85305"/>
    <w:rsid w:val="00C855B7"/>
    <w:rsid w:val="00C85AA3"/>
    <w:rsid w:val="00C85AB2"/>
    <w:rsid w:val="00C85F80"/>
    <w:rsid w:val="00C864D3"/>
    <w:rsid w:val="00C865BA"/>
    <w:rsid w:val="00C8678D"/>
    <w:rsid w:val="00C8680A"/>
    <w:rsid w:val="00C86C51"/>
    <w:rsid w:val="00C86C9A"/>
    <w:rsid w:val="00C86D05"/>
    <w:rsid w:val="00C86D8D"/>
    <w:rsid w:val="00C86DD5"/>
    <w:rsid w:val="00C873F8"/>
    <w:rsid w:val="00C87888"/>
    <w:rsid w:val="00C87B3F"/>
    <w:rsid w:val="00C87BF4"/>
    <w:rsid w:val="00C87D64"/>
    <w:rsid w:val="00C87EAD"/>
    <w:rsid w:val="00C90156"/>
    <w:rsid w:val="00C907EB"/>
    <w:rsid w:val="00C90958"/>
    <w:rsid w:val="00C90A04"/>
    <w:rsid w:val="00C90BBE"/>
    <w:rsid w:val="00C90DE7"/>
    <w:rsid w:val="00C90F85"/>
    <w:rsid w:val="00C91483"/>
    <w:rsid w:val="00C914D0"/>
    <w:rsid w:val="00C917AD"/>
    <w:rsid w:val="00C91820"/>
    <w:rsid w:val="00C919D2"/>
    <w:rsid w:val="00C91D36"/>
    <w:rsid w:val="00C92172"/>
    <w:rsid w:val="00C924FA"/>
    <w:rsid w:val="00C9341E"/>
    <w:rsid w:val="00C93434"/>
    <w:rsid w:val="00C9353F"/>
    <w:rsid w:val="00C93934"/>
    <w:rsid w:val="00C94378"/>
    <w:rsid w:val="00C94790"/>
    <w:rsid w:val="00C948E8"/>
    <w:rsid w:val="00C95078"/>
    <w:rsid w:val="00C95405"/>
    <w:rsid w:val="00C95631"/>
    <w:rsid w:val="00C95B9D"/>
    <w:rsid w:val="00C95FC3"/>
    <w:rsid w:val="00C96178"/>
    <w:rsid w:val="00C963C9"/>
    <w:rsid w:val="00C96490"/>
    <w:rsid w:val="00C9665E"/>
    <w:rsid w:val="00C969F2"/>
    <w:rsid w:val="00C96B8E"/>
    <w:rsid w:val="00C96CF8"/>
    <w:rsid w:val="00C96CFB"/>
    <w:rsid w:val="00C96F09"/>
    <w:rsid w:val="00C96FD6"/>
    <w:rsid w:val="00C97243"/>
    <w:rsid w:val="00C974AD"/>
    <w:rsid w:val="00C97599"/>
    <w:rsid w:val="00C97865"/>
    <w:rsid w:val="00CA045B"/>
    <w:rsid w:val="00CA06D9"/>
    <w:rsid w:val="00CA0763"/>
    <w:rsid w:val="00CA0907"/>
    <w:rsid w:val="00CA12A2"/>
    <w:rsid w:val="00CA12D8"/>
    <w:rsid w:val="00CA1485"/>
    <w:rsid w:val="00CA1C1C"/>
    <w:rsid w:val="00CA2101"/>
    <w:rsid w:val="00CA2193"/>
    <w:rsid w:val="00CA2313"/>
    <w:rsid w:val="00CA2495"/>
    <w:rsid w:val="00CA2548"/>
    <w:rsid w:val="00CA297E"/>
    <w:rsid w:val="00CA2B89"/>
    <w:rsid w:val="00CA2D2C"/>
    <w:rsid w:val="00CA2D35"/>
    <w:rsid w:val="00CA3310"/>
    <w:rsid w:val="00CA36E8"/>
    <w:rsid w:val="00CA3FF9"/>
    <w:rsid w:val="00CA40B3"/>
    <w:rsid w:val="00CA43B9"/>
    <w:rsid w:val="00CA499C"/>
    <w:rsid w:val="00CA4C0B"/>
    <w:rsid w:val="00CA4E04"/>
    <w:rsid w:val="00CA4F3B"/>
    <w:rsid w:val="00CA50C4"/>
    <w:rsid w:val="00CA5145"/>
    <w:rsid w:val="00CA552B"/>
    <w:rsid w:val="00CA56BF"/>
    <w:rsid w:val="00CA5938"/>
    <w:rsid w:val="00CA5EA8"/>
    <w:rsid w:val="00CA658B"/>
    <w:rsid w:val="00CA65CB"/>
    <w:rsid w:val="00CA68E4"/>
    <w:rsid w:val="00CA6F70"/>
    <w:rsid w:val="00CA6F83"/>
    <w:rsid w:val="00CA76A2"/>
    <w:rsid w:val="00CA77D1"/>
    <w:rsid w:val="00CA7893"/>
    <w:rsid w:val="00CA7A6D"/>
    <w:rsid w:val="00CA7B1F"/>
    <w:rsid w:val="00CA7BA6"/>
    <w:rsid w:val="00CA7FD4"/>
    <w:rsid w:val="00CB03B4"/>
    <w:rsid w:val="00CB0689"/>
    <w:rsid w:val="00CB0D0B"/>
    <w:rsid w:val="00CB151D"/>
    <w:rsid w:val="00CB1620"/>
    <w:rsid w:val="00CB1627"/>
    <w:rsid w:val="00CB17AF"/>
    <w:rsid w:val="00CB1847"/>
    <w:rsid w:val="00CB1A49"/>
    <w:rsid w:val="00CB1EC5"/>
    <w:rsid w:val="00CB241F"/>
    <w:rsid w:val="00CB250D"/>
    <w:rsid w:val="00CB2D6B"/>
    <w:rsid w:val="00CB2F16"/>
    <w:rsid w:val="00CB339E"/>
    <w:rsid w:val="00CB33A8"/>
    <w:rsid w:val="00CB363B"/>
    <w:rsid w:val="00CB3864"/>
    <w:rsid w:val="00CB3B90"/>
    <w:rsid w:val="00CB3BC1"/>
    <w:rsid w:val="00CB3C2D"/>
    <w:rsid w:val="00CB4AE7"/>
    <w:rsid w:val="00CB4D4A"/>
    <w:rsid w:val="00CB56F1"/>
    <w:rsid w:val="00CB5745"/>
    <w:rsid w:val="00CB61BE"/>
    <w:rsid w:val="00CB6548"/>
    <w:rsid w:val="00CB6B19"/>
    <w:rsid w:val="00CB6B1E"/>
    <w:rsid w:val="00CB6DCE"/>
    <w:rsid w:val="00CB7168"/>
    <w:rsid w:val="00CB77E3"/>
    <w:rsid w:val="00CB79DB"/>
    <w:rsid w:val="00CB7BE4"/>
    <w:rsid w:val="00CB7C2B"/>
    <w:rsid w:val="00CB7C90"/>
    <w:rsid w:val="00CB7E8A"/>
    <w:rsid w:val="00CC0567"/>
    <w:rsid w:val="00CC069C"/>
    <w:rsid w:val="00CC0803"/>
    <w:rsid w:val="00CC0919"/>
    <w:rsid w:val="00CC0D23"/>
    <w:rsid w:val="00CC0FB6"/>
    <w:rsid w:val="00CC0FC4"/>
    <w:rsid w:val="00CC183B"/>
    <w:rsid w:val="00CC1A31"/>
    <w:rsid w:val="00CC1A37"/>
    <w:rsid w:val="00CC1AE1"/>
    <w:rsid w:val="00CC1BDF"/>
    <w:rsid w:val="00CC22B0"/>
    <w:rsid w:val="00CC232C"/>
    <w:rsid w:val="00CC2349"/>
    <w:rsid w:val="00CC287F"/>
    <w:rsid w:val="00CC2A28"/>
    <w:rsid w:val="00CC2AFE"/>
    <w:rsid w:val="00CC2F16"/>
    <w:rsid w:val="00CC2FA4"/>
    <w:rsid w:val="00CC33CA"/>
    <w:rsid w:val="00CC346A"/>
    <w:rsid w:val="00CC3725"/>
    <w:rsid w:val="00CC37B9"/>
    <w:rsid w:val="00CC39C6"/>
    <w:rsid w:val="00CC3C88"/>
    <w:rsid w:val="00CC3FDB"/>
    <w:rsid w:val="00CC44BB"/>
    <w:rsid w:val="00CC4858"/>
    <w:rsid w:val="00CC486F"/>
    <w:rsid w:val="00CC4FF0"/>
    <w:rsid w:val="00CC5226"/>
    <w:rsid w:val="00CC56BA"/>
    <w:rsid w:val="00CC5766"/>
    <w:rsid w:val="00CC5A6E"/>
    <w:rsid w:val="00CC5B32"/>
    <w:rsid w:val="00CC5C3F"/>
    <w:rsid w:val="00CC611C"/>
    <w:rsid w:val="00CC6203"/>
    <w:rsid w:val="00CC6300"/>
    <w:rsid w:val="00CC6B42"/>
    <w:rsid w:val="00CC70E2"/>
    <w:rsid w:val="00CC7168"/>
    <w:rsid w:val="00CC7C1E"/>
    <w:rsid w:val="00CC7CBF"/>
    <w:rsid w:val="00CC7DEB"/>
    <w:rsid w:val="00CC7DFB"/>
    <w:rsid w:val="00CD0289"/>
    <w:rsid w:val="00CD0443"/>
    <w:rsid w:val="00CD0454"/>
    <w:rsid w:val="00CD07E6"/>
    <w:rsid w:val="00CD088C"/>
    <w:rsid w:val="00CD0E4F"/>
    <w:rsid w:val="00CD11B7"/>
    <w:rsid w:val="00CD124D"/>
    <w:rsid w:val="00CD1299"/>
    <w:rsid w:val="00CD1383"/>
    <w:rsid w:val="00CD1460"/>
    <w:rsid w:val="00CD1CCB"/>
    <w:rsid w:val="00CD22C0"/>
    <w:rsid w:val="00CD248E"/>
    <w:rsid w:val="00CD25B7"/>
    <w:rsid w:val="00CD2643"/>
    <w:rsid w:val="00CD3053"/>
    <w:rsid w:val="00CD34D3"/>
    <w:rsid w:val="00CD384D"/>
    <w:rsid w:val="00CD3896"/>
    <w:rsid w:val="00CD3BAD"/>
    <w:rsid w:val="00CD415C"/>
    <w:rsid w:val="00CD4E84"/>
    <w:rsid w:val="00CD5440"/>
    <w:rsid w:val="00CD5D75"/>
    <w:rsid w:val="00CD5DF6"/>
    <w:rsid w:val="00CD68BF"/>
    <w:rsid w:val="00CD6951"/>
    <w:rsid w:val="00CD6B50"/>
    <w:rsid w:val="00CD6C85"/>
    <w:rsid w:val="00CD6D76"/>
    <w:rsid w:val="00CD6F4E"/>
    <w:rsid w:val="00CE00A6"/>
    <w:rsid w:val="00CE01E4"/>
    <w:rsid w:val="00CE02B7"/>
    <w:rsid w:val="00CE0AB5"/>
    <w:rsid w:val="00CE0ECE"/>
    <w:rsid w:val="00CE0FA5"/>
    <w:rsid w:val="00CE1187"/>
    <w:rsid w:val="00CE13D4"/>
    <w:rsid w:val="00CE157E"/>
    <w:rsid w:val="00CE2883"/>
    <w:rsid w:val="00CE2BC2"/>
    <w:rsid w:val="00CE2C18"/>
    <w:rsid w:val="00CE2E32"/>
    <w:rsid w:val="00CE2F5C"/>
    <w:rsid w:val="00CE34A5"/>
    <w:rsid w:val="00CE36B4"/>
    <w:rsid w:val="00CE3865"/>
    <w:rsid w:val="00CE39BD"/>
    <w:rsid w:val="00CE3AE7"/>
    <w:rsid w:val="00CE3C35"/>
    <w:rsid w:val="00CE3D99"/>
    <w:rsid w:val="00CE3F18"/>
    <w:rsid w:val="00CE40BD"/>
    <w:rsid w:val="00CE4216"/>
    <w:rsid w:val="00CE424A"/>
    <w:rsid w:val="00CE43FE"/>
    <w:rsid w:val="00CE4549"/>
    <w:rsid w:val="00CE466D"/>
    <w:rsid w:val="00CE4738"/>
    <w:rsid w:val="00CE4980"/>
    <w:rsid w:val="00CE4A1C"/>
    <w:rsid w:val="00CE4A49"/>
    <w:rsid w:val="00CE58ED"/>
    <w:rsid w:val="00CE5B21"/>
    <w:rsid w:val="00CE5C34"/>
    <w:rsid w:val="00CE5DDE"/>
    <w:rsid w:val="00CE636E"/>
    <w:rsid w:val="00CE63CF"/>
    <w:rsid w:val="00CE6436"/>
    <w:rsid w:val="00CE65F6"/>
    <w:rsid w:val="00CE6B2A"/>
    <w:rsid w:val="00CE6C70"/>
    <w:rsid w:val="00CE6CEC"/>
    <w:rsid w:val="00CE6F94"/>
    <w:rsid w:val="00CE76A1"/>
    <w:rsid w:val="00CE7A42"/>
    <w:rsid w:val="00CE7B9D"/>
    <w:rsid w:val="00CF0139"/>
    <w:rsid w:val="00CF02A4"/>
    <w:rsid w:val="00CF0A4E"/>
    <w:rsid w:val="00CF0B33"/>
    <w:rsid w:val="00CF0B4F"/>
    <w:rsid w:val="00CF0BB7"/>
    <w:rsid w:val="00CF108E"/>
    <w:rsid w:val="00CF15F0"/>
    <w:rsid w:val="00CF19D6"/>
    <w:rsid w:val="00CF1B55"/>
    <w:rsid w:val="00CF234C"/>
    <w:rsid w:val="00CF2665"/>
    <w:rsid w:val="00CF2816"/>
    <w:rsid w:val="00CF2D0E"/>
    <w:rsid w:val="00CF3590"/>
    <w:rsid w:val="00CF365F"/>
    <w:rsid w:val="00CF37DF"/>
    <w:rsid w:val="00CF38FE"/>
    <w:rsid w:val="00CF3A47"/>
    <w:rsid w:val="00CF3DD2"/>
    <w:rsid w:val="00CF4005"/>
    <w:rsid w:val="00CF4256"/>
    <w:rsid w:val="00CF496A"/>
    <w:rsid w:val="00CF4AC2"/>
    <w:rsid w:val="00CF4DF1"/>
    <w:rsid w:val="00CF5349"/>
    <w:rsid w:val="00CF57E1"/>
    <w:rsid w:val="00CF57F2"/>
    <w:rsid w:val="00CF5CFF"/>
    <w:rsid w:val="00CF5EF2"/>
    <w:rsid w:val="00CF62F5"/>
    <w:rsid w:val="00CF64A2"/>
    <w:rsid w:val="00CF694E"/>
    <w:rsid w:val="00CF699C"/>
    <w:rsid w:val="00CF7069"/>
    <w:rsid w:val="00CF7072"/>
    <w:rsid w:val="00CF72F0"/>
    <w:rsid w:val="00CF7370"/>
    <w:rsid w:val="00CF7392"/>
    <w:rsid w:val="00CF76D0"/>
    <w:rsid w:val="00CF7AE7"/>
    <w:rsid w:val="00CF7E14"/>
    <w:rsid w:val="00CF7E57"/>
    <w:rsid w:val="00D000FC"/>
    <w:rsid w:val="00D002D7"/>
    <w:rsid w:val="00D0043F"/>
    <w:rsid w:val="00D00879"/>
    <w:rsid w:val="00D00B0A"/>
    <w:rsid w:val="00D011B5"/>
    <w:rsid w:val="00D01522"/>
    <w:rsid w:val="00D017D5"/>
    <w:rsid w:val="00D01B0E"/>
    <w:rsid w:val="00D02020"/>
    <w:rsid w:val="00D024E6"/>
    <w:rsid w:val="00D026B7"/>
    <w:rsid w:val="00D0283B"/>
    <w:rsid w:val="00D02D41"/>
    <w:rsid w:val="00D030C1"/>
    <w:rsid w:val="00D03345"/>
    <w:rsid w:val="00D03530"/>
    <w:rsid w:val="00D03589"/>
    <w:rsid w:val="00D03BC3"/>
    <w:rsid w:val="00D03C80"/>
    <w:rsid w:val="00D03D03"/>
    <w:rsid w:val="00D03DD3"/>
    <w:rsid w:val="00D04097"/>
    <w:rsid w:val="00D04407"/>
    <w:rsid w:val="00D046F5"/>
    <w:rsid w:val="00D04745"/>
    <w:rsid w:val="00D047E6"/>
    <w:rsid w:val="00D049CE"/>
    <w:rsid w:val="00D04C81"/>
    <w:rsid w:val="00D0575B"/>
    <w:rsid w:val="00D0575D"/>
    <w:rsid w:val="00D05F5E"/>
    <w:rsid w:val="00D06496"/>
    <w:rsid w:val="00D066E5"/>
    <w:rsid w:val="00D06D12"/>
    <w:rsid w:val="00D07094"/>
    <w:rsid w:val="00D072A9"/>
    <w:rsid w:val="00D072B7"/>
    <w:rsid w:val="00D07463"/>
    <w:rsid w:val="00D07731"/>
    <w:rsid w:val="00D0785F"/>
    <w:rsid w:val="00D07B67"/>
    <w:rsid w:val="00D07F5D"/>
    <w:rsid w:val="00D10157"/>
    <w:rsid w:val="00D102C5"/>
    <w:rsid w:val="00D102EC"/>
    <w:rsid w:val="00D10694"/>
    <w:rsid w:val="00D10B36"/>
    <w:rsid w:val="00D10E50"/>
    <w:rsid w:val="00D10FA9"/>
    <w:rsid w:val="00D114B6"/>
    <w:rsid w:val="00D1169D"/>
    <w:rsid w:val="00D11C56"/>
    <w:rsid w:val="00D11D1B"/>
    <w:rsid w:val="00D12315"/>
    <w:rsid w:val="00D12462"/>
    <w:rsid w:val="00D124AE"/>
    <w:rsid w:val="00D12700"/>
    <w:rsid w:val="00D12815"/>
    <w:rsid w:val="00D128F9"/>
    <w:rsid w:val="00D129E4"/>
    <w:rsid w:val="00D12A44"/>
    <w:rsid w:val="00D12A96"/>
    <w:rsid w:val="00D12C8E"/>
    <w:rsid w:val="00D12D97"/>
    <w:rsid w:val="00D12E66"/>
    <w:rsid w:val="00D130C8"/>
    <w:rsid w:val="00D13134"/>
    <w:rsid w:val="00D134C1"/>
    <w:rsid w:val="00D135DD"/>
    <w:rsid w:val="00D1374F"/>
    <w:rsid w:val="00D13EA2"/>
    <w:rsid w:val="00D1485A"/>
    <w:rsid w:val="00D14FA5"/>
    <w:rsid w:val="00D15264"/>
    <w:rsid w:val="00D15AB4"/>
    <w:rsid w:val="00D1601E"/>
    <w:rsid w:val="00D1609B"/>
    <w:rsid w:val="00D1656B"/>
    <w:rsid w:val="00D20583"/>
    <w:rsid w:val="00D209CE"/>
    <w:rsid w:val="00D20C64"/>
    <w:rsid w:val="00D20CCB"/>
    <w:rsid w:val="00D20D18"/>
    <w:rsid w:val="00D210FF"/>
    <w:rsid w:val="00D21538"/>
    <w:rsid w:val="00D2167E"/>
    <w:rsid w:val="00D216FD"/>
    <w:rsid w:val="00D217DA"/>
    <w:rsid w:val="00D2182D"/>
    <w:rsid w:val="00D21A92"/>
    <w:rsid w:val="00D21D55"/>
    <w:rsid w:val="00D21EB7"/>
    <w:rsid w:val="00D21EFE"/>
    <w:rsid w:val="00D21F4E"/>
    <w:rsid w:val="00D224FF"/>
    <w:rsid w:val="00D2251E"/>
    <w:rsid w:val="00D2265A"/>
    <w:rsid w:val="00D2324D"/>
    <w:rsid w:val="00D236F1"/>
    <w:rsid w:val="00D23705"/>
    <w:rsid w:val="00D23B88"/>
    <w:rsid w:val="00D23C88"/>
    <w:rsid w:val="00D244C5"/>
    <w:rsid w:val="00D24855"/>
    <w:rsid w:val="00D24989"/>
    <w:rsid w:val="00D24F41"/>
    <w:rsid w:val="00D251EE"/>
    <w:rsid w:val="00D2555B"/>
    <w:rsid w:val="00D256A5"/>
    <w:rsid w:val="00D25756"/>
    <w:rsid w:val="00D25B0A"/>
    <w:rsid w:val="00D25CCB"/>
    <w:rsid w:val="00D25F5A"/>
    <w:rsid w:val="00D26000"/>
    <w:rsid w:val="00D269E4"/>
    <w:rsid w:val="00D26D2B"/>
    <w:rsid w:val="00D2750A"/>
    <w:rsid w:val="00D27637"/>
    <w:rsid w:val="00D27755"/>
    <w:rsid w:val="00D2798F"/>
    <w:rsid w:val="00D301B3"/>
    <w:rsid w:val="00D301E9"/>
    <w:rsid w:val="00D30291"/>
    <w:rsid w:val="00D305FD"/>
    <w:rsid w:val="00D306B8"/>
    <w:rsid w:val="00D30B14"/>
    <w:rsid w:val="00D30E44"/>
    <w:rsid w:val="00D316AD"/>
    <w:rsid w:val="00D3180E"/>
    <w:rsid w:val="00D31971"/>
    <w:rsid w:val="00D31A5F"/>
    <w:rsid w:val="00D31B39"/>
    <w:rsid w:val="00D31D02"/>
    <w:rsid w:val="00D32068"/>
    <w:rsid w:val="00D32B8E"/>
    <w:rsid w:val="00D32BE4"/>
    <w:rsid w:val="00D332B5"/>
    <w:rsid w:val="00D33378"/>
    <w:rsid w:val="00D33670"/>
    <w:rsid w:val="00D33946"/>
    <w:rsid w:val="00D33A42"/>
    <w:rsid w:val="00D33AC6"/>
    <w:rsid w:val="00D33C7C"/>
    <w:rsid w:val="00D33D7E"/>
    <w:rsid w:val="00D34036"/>
    <w:rsid w:val="00D345CC"/>
    <w:rsid w:val="00D34C85"/>
    <w:rsid w:val="00D3586E"/>
    <w:rsid w:val="00D35B84"/>
    <w:rsid w:val="00D35C1A"/>
    <w:rsid w:val="00D3645F"/>
    <w:rsid w:val="00D367C7"/>
    <w:rsid w:val="00D36939"/>
    <w:rsid w:val="00D3714A"/>
    <w:rsid w:val="00D37B36"/>
    <w:rsid w:val="00D37CEF"/>
    <w:rsid w:val="00D37E19"/>
    <w:rsid w:val="00D37F0D"/>
    <w:rsid w:val="00D401E6"/>
    <w:rsid w:val="00D403B9"/>
    <w:rsid w:val="00D405A5"/>
    <w:rsid w:val="00D40A2B"/>
    <w:rsid w:val="00D40A6B"/>
    <w:rsid w:val="00D40C5B"/>
    <w:rsid w:val="00D41A94"/>
    <w:rsid w:val="00D4240C"/>
    <w:rsid w:val="00D42E75"/>
    <w:rsid w:val="00D42F58"/>
    <w:rsid w:val="00D431A0"/>
    <w:rsid w:val="00D4326F"/>
    <w:rsid w:val="00D432AB"/>
    <w:rsid w:val="00D4350A"/>
    <w:rsid w:val="00D435E7"/>
    <w:rsid w:val="00D438A6"/>
    <w:rsid w:val="00D43ADF"/>
    <w:rsid w:val="00D43D08"/>
    <w:rsid w:val="00D43F27"/>
    <w:rsid w:val="00D440FB"/>
    <w:rsid w:val="00D44203"/>
    <w:rsid w:val="00D446D0"/>
    <w:rsid w:val="00D449A8"/>
    <w:rsid w:val="00D44AAA"/>
    <w:rsid w:val="00D44D49"/>
    <w:rsid w:val="00D44D90"/>
    <w:rsid w:val="00D45576"/>
    <w:rsid w:val="00D456B5"/>
    <w:rsid w:val="00D45FEE"/>
    <w:rsid w:val="00D460BE"/>
    <w:rsid w:val="00D4617A"/>
    <w:rsid w:val="00D462EA"/>
    <w:rsid w:val="00D466C9"/>
    <w:rsid w:val="00D4673E"/>
    <w:rsid w:val="00D46CBD"/>
    <w:rsid w:val="00D46D54"/>
    <w:rsid w:val="00D4741C"/>
    <w:rsid w:val="00D474CF"/>
    <w:rsid w:val="00D47555"/>
    <w:rsid w:val="00D47899"/>
    <w:rsid w:val="00D479AC"/>
    <w:rsid w:val="00D47A8E"/>
    <w:rsid w:val="00D47B08"/>
    <w:rsid w:val="00D47B2D"/>
    <w:rsid w:val="00D47B4B"/>
    <w:rsid w:val="00D47EC5"/>
    <w:rsid w:val="00D47FBA"/>
    <w:rsid w:val="00D5074F"/>
    <w:rsid w:val="00D507C6"/>
    <w:rsid w:val="00D50F31"/>
    <w:rsid w:val="00D514C9"/>
    <w:rsid w:val="00D52294"/>
    <w:rsid w:val="00D5269B"/>
    <w:rsid w:val="00D52BC8"/>
    <w:rsid w:val="00D52D1F"/>
    <w:rsid w:val="00D53295"/>
    <w:rsid w:val="00D53348"/>
    <w:rsid w:val="00D53D18"/>
    <w:rsid w:val="00D54249"/>
    <w:rsid w:val="00D544AF"/>
    <w:rsid w:val="00D54BA7"/>
    <w:rsid w:val="00D54D1D"/>
    <w:rsid w:val="00D5504C"/>
    <w:rsid w:val="00D551E9"/>
    <w:rsid w:val="00D553AB"/>
    <w:rsid w:val="00D55482"/>
    <w:rsid w:val="00D5550C"/>
    <w:rsid w:val="00D55D56"/>
    <w:rsid w:val="00D55FA6"/>
    <w:rsid w:val="00D565D3"/>
    <w:rsid w:val="00D56B3D"/>
    <w:rsid w:val="00D571B0"/>
    <w:rsid w:val="00D572B8"/>
    <w:rsid w:val="00D57338"/>
    <w:rsid w:val="00D575EB"/>
    <w:rsid w:val="00D57D7B"/>
    <w:rsid w:val="00D57FF3"/>
    <w:rsid w:val="00D60174"/>
    <w:rsid w:val="00D604F6"/>
    <w:rsid w:val="00D60B2E"/>
    <w:rsid w:val="00D60E04"/>
    <w:rsid w:val="00D61335"/>
    <w:rsid w:val="00D6150A"/>
    <w:rsid w:val="00D61626"/>
    <w:rsid w:val="00D616F5"/>
    <w:rsid w:val="00D61DDB"/>
    <w:rsid w:val="00D623DB"/>
    <w:rsid w:val="00D623E5"/>
    <w:rsid w:val="00D624C8"/>
    <w:rsid w:val="00D62AA8"/>
    <w:rsid w:val="00D62CAE"/>
    <w:rsid w:val="00D6317B"/>
    <w:rsid w:val="00D63736"/>
    <w:rsid w:val="00D639ED"/>
    <w:rsid w:val="00D63B0F"/>
    <w:rsid w:val="00D63C13"/>
    <w:rsid w:val="00D63EE6"/>
    <w:rsid w:val="00D64219"/>
    <w:rsid w:val="00D643BD"/>
    <w:rsid w:val="00D645D9"/>
    <w:rsid w:val="00D64AEE"/>
    <w:rsid w:val="00D64D32"/>
    <w:rsid w:val="00D64F9E"/>
    <w:rsid w:val="00D651F2"/>
    <w:rsid w:val="00D65811"/>
    <w:rsid w:val="00D65AB0"/>
    <w:rsid w:val="00D65B16"/>
    <w:rsid w:val="00D66388"/>
    <w:rsid w:val="00D6640A"/>
    <w:rsid w:val="00D668EF"/>
    <w:rsid w:val="00D7028D"/>
    <w:rsid w:val="00D7098C"/>
    <w:rsid w:val="00D709B5"/>
    <w:rsid w:val="00D70AAC"/>
    <w:rsid w:val="00D70AC8"/>
    <w:rsid w:val="00D70B45"/>
    <w:rsid w:val="00D70BE3"/>
    <w:rsid w:val="00D70E40"/>
    <w:rsid w:val="00D71479"/>
    <w:rsid w:val="00D716F0"/>
    <w:rsid w:val="00D71B6F"/>
    <w:rsid w:val="00D72451"/>
    <w:rsid w:val="00D72686"/>
    <w:rsid w:val="00D72C6E"/>
    <w:rsid w:val="00D72D8E"/>
    <w:rsid w:val="00D730EC"/>
    <w:rsid w:val="00D733D9"/>
    <w:rsid w:val="00D73735"/>
    <w:rsid w:val="00D737D3"/>
    <w:rsid w:val="00D73941"/>
    <w:rsid w:val="00D739D8"/>
    <w:rsid w:val="00D739DA"/>
    <w:rsid w:val="00D73A8C"/>
    <w:rsid w:val="00D73AEC"/>
    <w:rsid w:val="00D73B5C"/>
    <w:rsid w:val="00D73BCC"/>
    <w:rsid w:val="00D73DE7"/>
    <w:rsid w:val="00D7418F"/>
    <w:rsid w:val="00D75062"/>
    <w:rsid w:val="00D75584"/>
    <w:rsid w:val="00D756E5"/>
    <w:rsid w:val="00D75DC9"/>
    <w:rsid w:val="00D75E30"/>
    <w:rsid w:val="00D75FD2"/>
    <w:rsid w:val="00D760C4"/>
    <w:rsid w:val="00D76115"/>
    <w:rsid w:val="00D76248"/>
    <w:rsid w:val="00D7641B"/>
    <w:rsid w:val="00D76BC0"/>
    <w:rsid w:val="00D76DE7"/>
    <w:rsid w:val="00D76ED4"/>
    <w:rsid w:val="00D770CA"/>
    <w:rsid w:val="00D7753E"/>
    <w:rsid w:val="00D77578"/>
    <w:rsid w:val="00D77794"/>
    <w:rsid w:val="00D77C82"/>
    <w:rsid w:val="00D77F9E"/>
    <w:rsid w:val="00D80545"/>
    <w:rsid w:val="00D808FF"/>
    <w:rsid w:val="00D80900"/>
    <w:rsid w:val="00D80B20"/>
    <w:rsid w:val="00D81176"/>
    <w:rsid w:val="00D81462"/>
    <w:rsid w:val="00D815BD"/>
    <w:rsid w:val="00D829A4"/>
    <w:rsid w:val="00D829B9"/>
    <w:rsid w:val="00D82F13"/>
    <w:rsid w:val="00D83977"/>
    <w:rsid w:val="00D83A84"/>
    <w:rsid w:val="00D83C26"/>
    <w:rsid w:val="00D83D40"/>
    <w:rsid w:val="00D83ECB"/>
    <w:rsid w:val="00D84004"/>
    <w:rsid w:val="00D84154"/>
    <w:rsid w:val="00D84558"/>
    <w:rsid w:val="00D84851"/>
    <w:rsid w:val="00D84AA3"/>
    <w:rsid w:val="00D84C83"/>
    <w:rsid w:val="00D84D16"/>
    <w:rsid w:val="00D84DD4"/>
    <w:rsid w:val="00D84FF1"/>
    <w:rsid w:val="00D8555B"/>
    <w:rsid w:val="00D8563D"/>
    <w:rsid w:val="00D85798"/>
    <w:rsid w:val="00D85957"/>
    <w:rsid w:val="00D85D7E"/>
    <w:rsid w:val="00D85FD7"/>
    <w:rsid w:val="00D86199"/>
    <w:rsid w:val="00D8624E"/>
    <w:rsid w:val="00D86323"/>
    <w:rsid w:val="00D86670"/>
    <w:rsid w:val="00D867FE"/>
    <w:rsid w:val="00D86D98"/>
    <w:rsid w:val="00D86EA2"/>
    <w:rsid w:val="00D872DC"/>
    <w:rsid w:val="00D873B7"/>
    <w:rsid w:val="00D87909"/>
    <w:rsid w:val="00D87AB3"/>
    <w:rsid w:val="00D87BD4"/>
    <w:rsid w:val="00D87FE6"/>
    <w:rsid w:val="00D90032"/>
    <w:rsid w:val="00D9019A"/>
    <w:rsid w:val="00D901FA"/>
    <w:rsid w:val="00D901FE"/>
    <w:rsid w:val="00D904A0"/>
    <w:rsid w:val="00D908EF"/>
    <w:rsid w:val="00D90AB8"/>
    <w:rsid w:val="00D90B56"/>
    <w:rsid w:val="00D90BFE"/>
    <w:rsid w:val="00D90C4B"/>
    <w:rsid w:val="00D90C72"/>
    <w:rsid w:val="00D910C8"/>
    <w:rsid w:val="00D9140B"/>
    <w:rsid w:val="00D91CB3"/>
    <w:rsid w:val="00D91E72"/>
    <w:rsid w:val="00D91F7E"/>
    <w:rsid w:val="00D9208B"/>
    <w:rsid w:val="00D9221B"/>
    <w:rsid w:val="00D9262E"/>
    <w:rsid w:val="00D926E8"/>
    <w:rsid w:val="00D92C66"/>
    <w:rsid w:val="00D93254"/>
    <w:rsid w:val="00D9356A"/>
    <w:rsid w:val="00D9367C"/>
    <w:rsid w:val="00D93D94"/>
    <w:rsid w:val="00D93FAC"/>
    <w:rsid w:val="00D942AF"/>
    <w:rsid w:val="00D9547E"/>
    <w:rsid w:val="00D9575A"/>
    <w:rsid w:val="00D95972"/>
    <w:rsid w:val="00D95B96"/>
    <w:rsid w:val="00D95BBD"/>
    <w:rsid w:val="00D95BFD"/>
    <w:rsid w:val="00D95F1A"/>
    <w:rsid w:val="00D967A9"/>
    <w:rsid w:val="00D96AF5"/>
    <w:rsid w:val="00D96B50"/>
    <w:rsid w:val="00D977CF"/>
    <w:rsid w:val="00D97854"/>
    <w:rsid w:val="00D97C2C"/>
    <w:rsid w:val="00DA021C"/>
    <w:rsid w:val="00DA0875"/>
    <w:rsid w:val="00DA08B8"/>
    <w:rsid w:val="00DA0D78"/>
    <w:rsid w:val="00DA0FB2"/>
    <w:rsid w:val="00DA1133"/>
    <w:rsid w:val="00DA1143"/>
    <w:rsid w:val="00DA1844"/>
    <w:rsid w:val="00DA194D"/>
    <w:rsid w:val="00DA1AF8"/>
    <w:rsid w:val="00DA1C3F"/>
    <w:rsid w:val="00DA1C8D"/>
    <w:rsid w:val="00DA1DFB"/>
    <w:rsid w:val="00DA21A4"/>
    <w:rsid w:val="00DA2579"/>
    <w:rsid w:val="00DA2816"/>
    <w:rsid w:val="00DA28C8"/>
    <w:rsid w:val="00DA2B07"/>
    <w:rsid w:val="00DA2B5C"/>
    <w:rsid w:val="00DA2DB1"/>
    <w:rsid w:val="00DA2F09"/>
    <w:rsid w:val="00DA2F49"/>
    <w:rsid w:val="00DA35CA"/>
    <w:rsid w:val="00DA3614"/>
    <w:rsid w:val="00DA3C66"/>
    <w:rsid w:val="00DA3CF9"/>
    <w:rsid w:val="00DA3E0F"/>
    <w:rsid w:val="00DA3F88"/>
    <w:rsid w:val="00DA3FEF"/>
    <w:rsid w:val="00DA4021"/>
    <w:rsid w:val="00DA40B7"/>
    <w:rsid w:val="00DA40E0"/>
    <w:rsid w:val="00DA41A8"/>
    <w:rsid w:val="00DA4400"/>
    <w:rsid w:val="00DA46C8"/>
    <w:rsid w:val="00DA505D"/>
    <w:rsid w:val="00DA52C5"/>
    <w:rsid w:val="00DA5969"/>
    <w:rsid w:val="00DA5E27"/>
    <w:rsid w:val="00DA5EDF"/>
    <w:rsid w:val="00DA5FE0"/>
    <w:rsid w:val="00DA60FC"/>
    <w:rsid w:val="00DA6779"/>
    <w:rsid w:val="00DA6D64"/>
    <w:rsid w:val="00DA7016"/>
    <w:rsid w:val="00DA710B"/>
    <w:rsid w:val="00DA722A"/>
    <w:rsid w:val="00DA735A"/>
    <w:rsid w:val="00DA762C"/>
    <w:rsid w:val="00DA781B"/>
    <w:rsid w:val="00DA7F7D"/>
    <w:rsid w:val="00DB04ED"/>
    <w:rsid w:val="00DB0D63"/>
    <w:rsid w:val="00DB127C"/>
    <w:rsid w:val="00DB1489"/>
    <w:rsid w:val="00DB14D8"/>
    <w:rsid w:val="00DB150D"/>
    <w:rsid w:val="00DB1A43"/>
    <w:rsid w:val="00DB1D5B"/>
    <w:rsid w:val="00DB1EB2"/>
    <w:rsid w:val="00DB1EE1"/>
    <w:rsid w:val="00DB25F6"/>
    <w:rsid w:val="00DB2995"/>
    <w:rsid w:val="00DB2BFC"/>
    <w:rsid w:val="00DB2C46"/>
    <w:rsid w:val="00DB2D51"/>
    <w:rsid w:val="00DB2DEB"/>
    <w:rsid w:val="00DB30EC"/>
    <w:rsid w:val="00DB33F6"/>
    <w:rsid w:val="00DB373C"/>
    <w:rsid w:val="00DB3EEB"/>
    <w:rsid w:val="00DB4407"/>
    <w:rsid w:val="00DB4D6B"/>
    <w:rsid w:val="00DB5053"/>
    <w:rsid w:val="00DB514D"/>
    <w:rsid w:val="00DB53D7"/>
    <w:rsid w:val="00DB58CB"/>
    <w:rsid w:val="00DB5960"/>
    <w:rsid w:val="00DB5A08"/>
    <w:rsid w:val="00DB5E2B"/>
    <w:rsid w:val="00DB5FC2"/>
    <w:rsid w:val="00DB62A8"/>
    <w:rsid w:val="00DB640C"/>
    <w:rsid w:val="00DB6584"/>
    <w:rsid w:val="00DB6749"/>
    <w:rsid w:val="00DB69A7"/>
    <w:rsid w:val="00DB6FDC"/>
    <w:rsid w:val="00DB706E"/>
    <w:rsid w:val="00DB73E2"/>
    <w:rsid w:val="00DB742F"/>
    <w:rsid w:val="00DB7637"/>
    <w:rsid w:val="00DB79F8"/>
    <w:rsid w:val="00DB7D3F"/>
    <w:rsid w:val="00DB7E9E"/>
    <w:rsid w:val="00DB7F89"/>
    <w:rsid w:val="00DC0117"/>
    <w:rsid w:val="00DC015C"/>
    <w:rsid w:val="00DC020A"/>
    <w:rsid w:val="00DC050B"/>
    <w:rsid w:val="00DC0609"/>
    <w:rsid w:val="00DC10A9"/>
    <w:rsid w:val="00DC15A8"/>
    <w:rsid w:val="00DC1768"/>
    <w:rsid w:val="00DC1BF2"/>
    <w:rsid w:val="00DC1D2D"/>
    <w:rsid w:val="00DC1ECA"/>
    <w:rsid w:val="00DC21CA"/>
    <w:rsid w:val="00DC23EC"/>
    <w:rsid w:val="00DC24A3"/>
    <w:rsid w:val="00DC259E"/>
    <w:rsid w:val="00DC25B2"/>
    <w:rsid w:val="00DC2E93"/>
    <w:rsid w:val="00DC31DB"/>
    <w:rsid w:val="00DC32F4"/>
    <w:rsid w:val="00DC36B0"/>
    <w:rsid w:val="00DC4154"/>
    <w:rsid w:val="00DC48DB"/>
    <w:rsid w:val="00DC4CFF"/>
    <w:rsid w:val="00DC4F62"/>
    <w:rsid w:val="00DC503C"/>
    <w:rsid w:val="00DC52D4"/>
    <w:rsid w:val="00DC5365"/>
    <w:rsid w:val="00DC54C9"/>
    <w:rsid w:val="00DC5B58"/>
    <w:rsid w:val="00DC60A0"/>
    <w:rsid w:val="00DC6123"/>
    <w:rsid w:val="00DC617E"/>
    <w:rsid w:val="00DC6384"/>
    <w:rsid w:val="00DC6483"/>
    <w:rsid w:val="00DC66EF"/>
    <w:rsid w:val="00DC683C"/>
    <w:rsid w:val="00DC6BBE"/>
    <w:rsid w:val="00DC70B8"/>
    <w:rsid w:val="00DC70BC"/>
    <w:rsid w:val="00DC77A7"/>
    <w:rsid w:val="00DC78C3"/>
    <w:rsid w:val="00DC7D45"/>
    <w:rsid w:val="00DC7E78"/>
    <w:rsid w:val="00DD007A"/>
    <w:rsid w:val="00DD00F5"/>
    <w:rsid w:val="00DD010F"/>
    <w:rsid w:val="00DD013C"/>
    <w:rsid w:val="00DD0472"/>
    <w:rsid w:val="00DD07C0"/>
    <w:rsid w:val="00DD07CD"/>
    <w:rsid w:val="00DD096B"/>
    <w:rsid w:val="00DD1238"/>
    <w:rsid w:val="00DD21AA"/>
    <w:rsid w:val="00DD24ED"/>
    <w:rsid w:val="00DD2858"/>
    <w:rsid w:val="00DD2BC6"/>
    <w:rsid w:val="00DD2EAB"/>
    <w:rsid w:val="00DD2F6F"/>
    <w:rsid w:val="00DD30EB"/>
    <w:rsid w:val="00DD352B"/>
    <w:rsid w:val="00DD3812"/>
    <w:rsid w:val="00DD3881"/>
    <w:rsid w:val="00DD3FBA"/>
    <w:rsid w:val="00DD418F"/>
    <w:rsid w:val="00DD45CE"/>
    <w:rsid w:val="00DD462D"/>
    <w:rsid w:val="00DD4A47"/>
    <w:rsid w:val="00DD532D"/>
    <w:rsid w:val="00DD55DF"/>
    <w:rsid w:val="00DD5683"/>
    <w:rsid w:val="00DD5DEE"/>
    <w:rsid w:val="00DD609F"/>
    <w:rsid w:val="00DD61FB"/>
    <w:rsid w:val="00DD62C6"/>
    <w:rsid w:val="00DD6406"/>
    <w:rsid w:val="00DD6487"/>
    <w:rsid w:val="00DD6497"/>
    <w:rsid w:val="00DD6AF7"/>
    <w:rsid w:val="00DD6DF1"/>
    <w:rsid w:val="00DD7289"/>
    <w:rsid w:val="00DD7393"/>
    <w:rsid w:val="00DD78FB"/>
    <w:rsid w:val="00DD79A5"/>
    <w:rsid w:val="00DD7C3A"/>
    <w:rsid w:val="00DD7EF6"/>
    <w:rsid w:val="00DE00D6"/>
    <w:rsid w:val="00DE0549"/>
    <w:rsid w:val="00DE0E6B"/>
    <w:rsid w:val="00DE0F39"/>
    <w:rsid w:val="00DE119C"/>
    <w:rsid w:val="00DE12B5"/>
    <w:rsid w:val="00DE1965"/>
    <w:rsid w:val="00DE1BB4"/>
    <w:rsid w:val="00DE25C3"/>
    <w:rsid w:val="00DE36E0"/>
    <w:rsid w:val="00DE3968"/>
    <w:rsid w:val="00DE3C8F"/>
    <w:rsid w:val="00DE3DD8"/>
    <w:rsid w:val="00DE40A2"/>
    <w:rsid w:val="00DE438A"/>
    <w:rsid w:val="00DE453A"/>
    <w:rsid w:val="00DE540B"/>
    <w:rsid w:val="00DE5A8C"/>
    <w:rsid w:val="00DE6189"/>
    <w:rsid w:val="00DE67EB"/>
    <w:rsid w:val="00DE6ECC"/>
    <w:rsid w:val="00DF03EF"/>
    <w:rsid w:val="00DF06DB"/>
    <w:rsid w:val="00DF0770"/>
    <w:rsid w:val="00DF0B23"/>
    <w:rsid w:val="00DF0BF9"/>
    <w:rsid w:val="00DF131B"/>
    <w:rsid w:val="00DF13A0"/>
    <w:rsid w:val="00DF1917"/>
    <w:rsid w:val="00DF1DAE"/>
    <w:rsid w:val="00DF2004"/>
    <w:rsid w:val="00DF211B"/>
    <w:rsid w:val="00DF2307"/>
    <w:rsid w:val="00DF234D"/>
    <w:rsid w:val="00DF28BF"/>
    <w:rsid w:val="00DF2968"/>
    <w:rsid w:val="00DF3620"/>
    <w:rsid w:val="00DF3697"/>
    <w:rsid w:val="00DF3739"/>
    <w:rsid w:val="00DF38A4"/>
    <w:rsid w:val="00DF4B56"/>
    <w:rsid w:val="00DF4C8D"/>
    <w:rsid w:val="00DF4DFD"/>
    <w:rsid w:val="00DF4E01"/>
    <w:rsid w:val="00DF512F"/>
    <w:rsid w:val="00DF5180"/>
    <w:rsid w:val="00DF51CF"/>
    <w:rsid w:val="00DF542C"/>
    <w:rsid w:val="00DF5856"/>
    <w:rsid w:val="00DF594B"/>
    <w:rsid w:val="00DF5A34"/>
    <w:rsid w:val="00DF5B45"/>
    <w:rsid w:val="00DF5C87"/>
    <w:rsid w:val="00DF5FAD"/>
    <w:rsid w:val="00DF60A7"/>
    <w:rsid w:val="00DF6161"/>
    <w:rsid w:val="00DF664C"/>
    <w:rsid w:val="00DF6671"/>
    <w:rsid w:val="00DF68AF"/>
    <w:rsid w:val="00DF69E3"/>
    <w:rsid w:val="00DF6C5D"/>
    <w:rsid w:val="00DF6EBE"/>
    <w:rsid w:val="00DF6FCA"/>
    <w:rsid w:val="00DF7085"/>
    <w:rsid w:val="00DF7666"/>
    <w:rsid w:val="00DF7A76"/>
    <w:rsid w:val="00DF7BCD"/>
    <w:rsid w:val="00E0045F"/>
    <w:rsid w:val="00E006AF"/>
    <w:rsid w:val="00E006F0"/>
    <w:rsid w:val="00E00AC7"/>
    <w:rsid w:val="00E00C18"/>
    <w:rsid w:val="00E00F53"/>
    <w:rsid w:val="00E00F5C"/>
    <w:rsid w:val="00E01040"/>
    <w:rsid w:val="00E01503"/>
    <w:rsid w:val="00E016D9"/>
    <w:rsid w:val="00E017F2"/>
    <w:rsid w:val="00E01B06"/>
    <w:rsid w:val="00E01BED"/>
    <w:rsid w:val="00E0214C"/>
    <w:rsid w:val="00E0248E"/>
    <w:rsid w:val="00E02A5F"/>
    <w:rsid w:val="00E02A70"/>
    <w:rsid w:val="00E033EB"/>
    <w:rsid w:val="00E03579"/>
    <w:rsid w:val="00E048D5"/>
    <w:rsid w:val="00E04C28"/>
    <w:rsid w:val="00E05681"/>
    <w:rsid w:val="00E059DB"/>
    <w:rsid w:val="00E05EC4"/>
    <w:rsid w:val="00E05F50"/>
    <w:rsid w:val="00E060EE"/>
    <w:rsid w:val="00E060FE"/>
    <w:rsid w:val="00E0623B"/>
    <w:rsid w:val="00E06297"/>
    <w:rsid w:val="00E065FB"/>
    <w:rsid w:val="00E06905"/>
    <w:rsid w:val="00E06F2A"/>
    <w:rsid w:val="00E06FD0"/>
    <w:rsid w:val="00E072D9"/>
    <w:rsid w:val="00E07909"/>
    <w:rsid w:val="00E0799C"/>
    <w:rsid w:val="00E07D49"/>
    <w:rsid w:val="00E1038D"/>
    <w:rsid w:val="00E1074B"/>
    <w:rsid w:val="00E110A6"/>
    <w:rsid w:val="00E11425"/>
    <w:rsid w:val="00E11791"/>
    <w:rsid w:val="00E11A37"/>
    <w:rsid w:val="00E11B45"/>
    <w:rsid w:val="00E11BE8"/>
    <w:rsid w:val="00E11D10"/>
    <w:rsid w:val="00E1201F"/>
    <w:rsid w:val="00E12071"/>
    <w:rsid w:val="00E121F0"/>
    <w:rsid w:val="00E128F5"/>
    <w:rsid w:val="00E12E6E"/>
    <w:rsid w:val="00E12ED8"/>
    <w:rsid w:val="00E12FD2"/>
    <w:rsid w:val="00E13238"/>
    <w:rsid w:val="00E1340E"/>
    <w:rsid w:val="00E13737"/>
    <w:rsid w:val="00E13A57"/>
    <w:rsid w:val="00E140F5"/>
    <w:rsid w:val="00E1411A"/>
    <w:rsid w:val="00E1417F"/>
    <w:rsid w:val="00E145DA"/>
    <w:rsid w:val="00E146E2"/>
    <w:rsid w:val="00E14727"/>
    <w:rsid w:val="00E14E33"/>
    <w:rsid w:val="00E14FE8"/>
    <w:rsid w:val="00E15112"/>
    <w:rsid w:val="00E151D2"/>
    <w:rsid w:val="00E1548F"/>
    <w:rsid w:val="00E15CED"/>
    <w:rsid w:val="00E15F3F"/>
    <w:rsid w:val="00E16241"/>
    <w:rsid w:val="00E16BD3"/>
    <w:rsid w:val="00E170D9"/>
    <w:rsid w:val="00E17288"/>
    <w:rsid w:val="00E17672"/>
    <w:rsid w:val="00E17685"/>
    <w:rsid w:val="00E1789C"/>
    <w:rsid w:val="00E17E84"/>
    <w:rsid w:val="00E17ED4"/>
    <w:rsid w:val="00E20003"/>
    <w:rsid w:val="00E20478"/>
    <w:rsid w:val="00E207C1"/>
    <w:rsid w:val="00E20884"/>
    <w:rsid w:val="00E2091B"/>
    <w:rsid w:val="00E2123F"/>
    <w:rsid w:val="00E2141C"/>
    <w:rsid w:val="00E21739"/>
    <w:rsid w:val="00E21CF7"/>
    <w:rsid w:val="00E221CE"/>
    <w:rsid w:val="00E221F2"/>
    <w:rsid w:val="00E22501"/>
    <w:rsid w:val="00E23506"/>
    <w:rsid w:val="00E2360E"/>
    <w:rsid w:val="00E2375F"/>
    <w:rsid w:val="00E238B1"/>
    <w:rsid w:val="00E23916"/>
    <w:rsid w:val="00E23D16"/>
    <w:rsid w:val="00E24202"/>
    <w:rsid w:val="00E2425E"/>
    <w:rsid w:val="00E246B3"/>
    <w:rsid w:val="00E246E6"/>
    <w:rsid w:val="00E24867"/>
    <w:rsid w:val="00E24B19"/>
    <w:rsid w:val="00E24B5D"/>
    <w:rsid w:val="00E24DF3"/>
    <w:rsid w:val="00E24EA2"/>
    <w:rsid w:val="00E2500E"/>
    <w:rsid w:val="00E250AF"/>
    <w:rsid w:val="00E253EC"/>
    <w:rsid w:val="00E25ADF"/>
    <w:rsid w:val="00E25C92"/>
    <w:rsid w:val="00E25F53"/>
    <w:rsid w:val="00E26103"/>
    <w:rsid w:val="00E2624A"/>
    <w:rsid w:val="00E26634"/>
    <w:rsid w:val="00E267B9"/>
    <w:rsid w:val="00E26A5A"/>
    <w:rsid w:val="00E26B2C"/>
    <w:rsid w:val="00E26BC1"/>
    <w:rsid w:val="00E27166"/>
    <w:rsid w:val="00E272CF"/>
    <w:rsid w:val="00E273A5"/>
    <w:rsid w:val="00E2743E"/>
    <w:rsid w:val="00E27CC2"/>
    <w:rsid w:val="00E3032E"/>
    <w:rsid w:val="00E303E8"/>
    <w:rsid w:val="00E30C23"/>
    <w:rsid w:val="00E30E12"/>
    <w:rsid w:val="00E3126D"/>
    <w:rsid w:val="00E313A5"/>
    <w:rsid w:val="00E316B4"/>
    <w:rsid w:val="00E31815"/>
    <w:rsid w:val="00E3198E"/>
    <w:rsid w:val="00E31990"/>
    <w:rsid w:val="00E32092"/>
    <w:rsid w:val="00E32300"/>
    <w:rsid w:val="00E327A7"/>
    <w:rsid w:val="00E32F91"/>
    <w:rsid w:val="00E32FAC"/>
    <w:rsid w:val="00E331B2"/>
    <w:rsid w:val="00E33543"/>
    <w:rsid w:val="00E33753"/>
    <w:rsid w:val="00E33A3B"/>
    <w:rsid w:val="00E33ACC"/>
    <w:rsid w:val="00E33CD9"/>
    <w:rsid w:val="00E33DA1"/>
    <w:rsid w:val="00E33DB6"/>
    <w:rsid w:val="00E34366"/>
    <w:rsid w:val="00E34B30"/>
    <w:rsid w:val="00E34C7C"/>
    <w:rsid w:val="00E35060"/>
    <w:rsid w:val="00E35204"/>
    <w:rsid w:val="00E3539F"/>
    <w:rsid w:val="00E35474"/>
    <w:rsid w:val="00E35CA6"/>
    <w:rsid w:val="00E35E17"/>
    <w:rsid w:val="00E36126"/>
    <w:rsid w:val="00E36426"/>
    <w:rsid w:val="00E3643E"/>
    <w:rsid w:val="00E36523"/>
    <w:rsid w:val="00E36922"/>
    <w:rsid w:val="00E369EA"/>
    <w:rsid w:val="00E370A8"/>
    <w:rsid w:val="00E372E1"/>
    <w:rsid w:val="00E37AC5"/>
    <w:rsid w:val="00E37EE7"/>
    <w:rsid w:val="00E37F28"/>
    <w:rsid w:val="00E40222"/>
    <w:rsid w:val="00E403C2"/>
    <w:rsid w:val="00E40653"/>
    <w:rsid w:val="00E4075A"/>
    <w:rsid w:val="00E40888"/>
    <w:rsid w:val="00E40E64"/>
    <w:rsid w:val="00E41104"/>
    <w:rsid w:val="00E4174D"/>
    <w:rsid w:val="00E41A7D"/>
    <w:rsid w:val="00E41C0B"/>
    <w:rsid w:val="00E41CE8"/>
    <w:rsid w:val="00E41F4F"/>
    <w:rsid w:val="00E41FB9"/>
    <w:rsid w:val="00E4248A"/>
    <w:rsid w:val="00E42E16"/>
    <w:rsid w:val="00E43170"/>
    <w:rsid w:val="00E43A06"/>
    <w:rsid w:val="00E43B6D"/>
    <w:rsid w:val="00E43C05"/>
    <w:rsid w:val="00E43C4E"/>
    <w:rsid w:val="00E43D49"/>
    <w:rsid w:val="00E43F26"/>
    <w:rsid w:val="00E44174"/>
    <w:rsid w:val="00E441C5"/>
    <w:rsid w:val="00E44483"/>
    <w:rsid w:val="00E4485C"/>
    <w:rsid w:val="00E448FF"/>
    <w:rsid w:val="00E44A90"/>
    <w:rsid w:val="00E454A9"/>
    <w:rsid w:val="00E45B56"/>
    <w:rsid w:val="00E45D6F"/>
    <w:rsid w:val="00E46068"/>
    <w:rsid w:val="00E4612A"/>
    <w:rsid w:val="00E46280"/>
    <w:rsid w:val="00E46707"/>
    <w:rsid w:val="00E46F4D"/>
    <w:rsid w:val="00E47048"/>
    <w:rsid w:val="00E47124"/>
    <w:rsid w:val="00E4768F"/>
    <w:rsid w:val="00E47BC1"/>
    <w:rsid w:val="00E50345"/>
    <w:rsid w:val="00E506EA"/>
    <w:rsid w:val="00E508C7"/>
    <w:rsid w:val="00E509F4"/>
    <w:rsid w:val="00E51050"/>
    <w:rsid w:val="00E5187B"/>
    <w:rsid w:val="00E51A8D"/>
    <w:rsid w:val="00E51D18"/>
    <w:rsid w:val="00E520D7"/>
    <w:rsid w:val="00E52330"/>
    <w:rsid w:val="00E52418"/>
    <w:rsid w:val="00E52A23"/>
    <w:rsid w:val="00E52DE3"/>
    <w:rsid w:val="00E52ECC"/>
    <w:rsid w:val="00E53170"/>
    <w:rsid w:val="00E53294"/>
    <w:rsid w:val="00E535A3"/>
    <w:rsid w:val="00E53790"/>
    <w:rsid w:val="00E53D61"/>
    <w:rsid w:val="00E5424F"/>
    <w:rsid w:val="00E546C9"/>
    <w:rsid w:val="00E548D1"/>
    <w:rsid w:val="00E549AB"/>
    <w:rsid w:val="00E54A47"/>
    <w:rsid w:val="00E54E0D"/>
    <w:rsid w:val="00E54E62"/>
    <w:rsid w:val="00E54FA7"/>
    <w:rsid w:val="00E550FD"/>
    <w:rsid w:val="00E55A0D"/>
    <w:rsid w:val="00E55A18"/>
    <w:rsid w:val="00E55EDB"/>
    <w:rsid w:val="00E56103"/>
    <w:rsid w:val="00E563D8"/>
    <w:rsid w:val="00E563E7"/>
    <w:rsid w:val="00E56D8E"/>
    <w:rsid w:val="00E56E1B"/>
    <w:rsid w:val="00E56EB7"/>
    <w:rsid w:val="00E57122"/>
    <w:rsid w:val="00E57230"/>
    <w:rsid w:val="00E57792"/>
    <w:rsid w:val="00E57988"/>
    <w:rsid w:val="00E6048C"/>
    <w:rsid w:val="00E60912"/>
    <w:rsid w:val="00E60A4C"/>
    <w:rsid w:val="00E61AE1"/>
    <w:rsid w:val="00E61B08"/>
    <w:rsid w:val="00E61B30"/>
    <w:rsid w:val="00E61C61"/>
    <w:rsid w:val="00E61DA6"/>
    <w:rsid w:val="00E621C6"/>
    <w:rsid w:val="00E622A8"/>
    <w:rsid w:val="00E62D16"/>
    <w:rsid w:val="00E62E60"/>
    <w:rsid w:val="00E63100"/>
    <w:rsid w:val="00E631B0"/>
    <w:rsid w:val="00E6343C"/>
    <w:rsid w:val="00E635AF"/>
    <w:rsid w:val="00E63856"/>
    <w:rsid w:val="00E63DF3"/>
    <w:rsid w:val="00E63EBF"/>
    <w:rsid w:val="00E64626"/>
    <w:rsid w:val="00E6482D"/>
    <w:rsid w:val="00E6485D"/>
    <w:rsid w:val="00E65259"/>
    <w:rsid w:val="00E65291"/>
    <w:rsid w:val="00E653DE"/>
    <w:rsid w:val="00E6545F"/>
    <w:rsid w:val="00E65A07"/>
    <w:rsid w:val="00E65A4B"/>
    <w:rsid w:val="00E65B6C"/>
    <w:rsid w:val="00E65E57"/>
    <w:rsid w:val="00E65E59"/>
    <w:rsid w:val="00E65F1D"/>
    <w:rsid w:val="00E66FC4"/>
    <w:rsid w:val="00E6785D"/>
    <w:rsid w:val="00E67896"/>
    <w:rsid w:val="00E67932"/>
    <w:rsid w:val="00E67C85"/>
    <w:rsid w:val="00E67F61"/>
    <w:rsid w:val="00E67FD5"/>
    <w:rsid w:val="00E7003D"/>
    <w:rsid w:val="00E70102"/>
    <w:rsid w:val="00E71270"/>
    <w:rsid w:val="00E71273"/>
    <w:rsid w:val="00E71542"/>
    <w:rsid w:val="00E7158B"/>
    <w:rsid w:val="00E71C1F"/>
    <w:rsid w:val="00E72442"/>
    <w:rsid w:val="00E72450"/>
    <w:rsid w:val="00E72559"/>
    <w:rsid w:val="00E72721"/>
    <w:rsid w:val="00E72961"/>
    <w:rsid w:val="00E72D3E"/>
    <w:rsid w:val="00E72F08"/>
    <w:rsid w:val="00E73036"/>
    <w:rsid w:val="00E735A3"/>
    <w:rsid w:val="00E73730"/>
    <w:rsid w:val="00E73AEE"/>
    <w:rsid w:val="00E73BD0"/>
    <w:rsid w:val="00E74311"/>
    <w:rsid w:val="00E7492B"/>
    <w:rsid w:val="00E7495A"/>
    <w:rsid w:val="00E750DF"/>
    <w:rsid w:val="00E752CE"/>
    <w:rsid w:val="00E75320"/>
    <w:rsid w:val="00E75E0A"/>
    <w:rsid w:val="00E76028"/>
    <w:rsid w:val="00E762CF"/>
    <w:rsid w:val="00E7678F"/>
    <w:rsid w:val="00E76851"/>
    <w:rsid w:val="00E76990"/>
    <w:rsid w:val="00E76F9F"/>
    <w:rsid w:val="00E7700A"/>
    <w:rsid w:val="00E77867"/>
    <w:rsid w:val="00E77A60"/>
    <w:rsid w:val="00E80188"/>
    <w:rsid w:val="00E801C2"/>
    <w:rsid w:val="00E81651"/>
    <w:rsid w:val="00E81B0C"/>
    <w:rsid w:val="00E82428"/>
    <w:rsid w:val="00E826F2"/>
    <w:rsid w:val="00E82A75"/>
    <w:rsid w:val="00E82FA7"/>
    <w:rsid w:val="00E83061"/>
    <w:rsid w:val="00E832CA"/>
    <w:rsid w:val="00E835C3"/>
    <w:rsid w:val="00E838FF"/>
    <w:rsid w:val="00E845D1"/>
    <w:rsid w:val="00E84DDC"/>
    <w:rsid w:val="00E85631"/>
    <w:rsid w:val="00E85667"/>
    <w:rsid w:val="00E85746"/>
    <w:rsid w:val="00E858AA"/>
    <w:rsid w:val="00E858FC"/>
    <w:rsid w:val="00E85AB5"/>
    <w:rsid w:val="00E85D14"/>
    <w:rsid w:val="00E85DFA"/>
    <w:rsid w:val="00E86074"/>
    <w:rsid w:val="00E8682F"/>
    <w:rsid w:val="00E86855"/>
    <w:rsid w:val="00E86A07"/>
    <w:rsid w:val="00E8700D"/>
    <w:rsid w:val="00E872F0"/>
    <w:rsid w:val="00E876C8"/>
    <w:rsid w:val="00E87A9B"/>
    <w:rsid w:val="00E87BD6"/>
    <w:rsid w:val="00E87E7B"/>
    <w:rsid w:val="00E9085A"/>
    <w:rsid w:val="00E90CD0"/>
    <w:rsid w:val="00E910D9"/>
    <w:rsid w:val="00E9110E"/>
    <w:rsid w:val="00E917B6"/>
    <w:rsid w:val="00E918F4"/>
    <w:rsid w:val="00E9203F"/>
    <w:rsid w:val="00E92162"/>
    <w:rsid w:val="00E9220C"/>
    <w:rsid w:val="00E92698"/>
    <w:rsid w:val="00E92F30"/>
    <w:rsid w:val="00E933F3"/>
    <w:rsid w:val="00E9379E"/>
    <w:rsid w:val="00E93D96"/>
    <w:rsid w:val="00E94B08"/>
    <w:rsid w:val="00E95000"/>
    <w:rsid w:val="00E953D1"/>
    <w:rsid w:val="00E953DF"/>
    <w:rsid w:val="00E95952"/>
    <w:rsid w:val="00E95CB1"/>
    <w:rsid w:val="00E95D17"/>
    <w:rsid w:val="00E95F86"/>
    <w:rsid w:val="00E96813"/>
    <w:rsid w:val="00E9681A"/>
    <w:rsid w:val="00E972D0"/>
    <w:rsid w:val="00E97421"/>
    <w:rsid w:val="00E9764C"/>
    <w:rsid w:val="00E97BD2"/>
    <w:rsid w:val="00E97D0B"/>
    <w:rsid w:val="00EA055E"/>
    <w:rsid w:val="00EA08AD"/>
    <w:rsid w:val="00EA0B72"/>
    <w:rsid w:val="00EA0C61"/>
    <w:rsid w:val="00EA0E9D"/>
    <w:rsid w:val="00EA0F2B"/>
    <w:rsid w:val="00EA125F"/>
    <w:rsid w:val="00EA150B"/>
    <w:rsid w:val="00EA166D"/>
    <w:rsid w:val="00EA1671"/>
    <w:rsid w:val="00EA1A55"/>
    <w:rsid w:val="00EA1D94"/>
    <w:rsid w:val="00EA1F42"/>
    <w:rsid w:val="00EA2A55"/>
    <w:rsid w:val="00EA2EC7"/>
    <w:rsid w:val="00EA2F13"/>
    <w:rsid w:val="00EA308A"/>
    <w:rsid w:val="00EA3565"/>
    <w:rsid w:val="00EA364B"/>
    <w:rsid w:val="00EA36DF"/>
    <w:rsid w:val="00EA3A92"/>
    <w:rsid w:val="00EA3CA6"/>
    <w:rsid w:val="00EA41EB"/>
    <w:rsid w:val="00EA42C4"/>
    <w:rsid w:val="00EA4951"/>
    <w:rsid w:val="00EA49D1"/>
    <w:rsid w:val="00EA4E74"/>
    <w:rsid w:val="00EA4E84"/>
    <w:rsid w:val="00EA4EA3"/>
    <w:rsid w:val="00EA5075"/>
    <w:rsid w:val="00EA550E"/>
    <w:rsid w:val="00EA5EC8"/>
    <w:rsid w:val="00EA5F11"/>
    <w:rsid w:val="00EA6368"/>
    <w:rsid w:val="00EA69E9"/>
    <w:rsid w:val="00EA6D3E"/>
    <w:rsid w:val="00EA6EBE"/>
    <w:rsid w:val="00EA71AC"/>
    <w:rsid w:val="00EA767D"/>
    <w:rsid w:val="00EA76C6"/>
    <w:rsid w:val="00EA77E1"/>
    <w:rsid w:val="00EA7A57"/>
    <w:rsid w:val="00EA7CE2"/>
    <w:rsid w:val="00EA7D27"/>
    <w:rsid w:val="00EA7D72"/>
    <w:rsid w:val="00EA7E9B"/>
    <w:rsid w:val="00EB007F"/>
    <w:rsid w:val="00EB0422"/>
    <w:rsid w:val="00EB0484"/>
    <w:rsid w:val="00EB1156"/>
    <w:rsid w:val="00EB1A11"/>
    <w:rsid w:val="00EB1D57"/>
    <w:rsid w:val="00EB20F4"/>
    <w:rsid w:val="00EB2136"/>
    <w:rsid w:val="00EB21BA"/>
    <w:rsid w:val="00EB2B77"/>
    <w:rsid w:val="00EB2EDD"/>
    <w:rsid w:val="00EB2F0B"/>
    <w:rsid w:val="00EB3174"/>
    <w:rsid w:val="00EB35C0"/>
    <w:rsid w:val="00EB3D91"/>
    <w:rsid w:val="00EB48BB"/>
    <w:rsid w:val="00EB4AA3"/>
    <w:rsid w:val="00EB4B5A"/>
    <w:rsid w:val="00EB4E33"/>
    <w:rsid w:val="00EB4F93"/>
    <w:rsid w:val="00EB51C8"/>
    <w:rsid w:val="00EB53EF"/>
    <w:rsid w:val="00EB6085"/>
    <w:rsid w:val="00EB60FE"/>
    <w:rsid w:val="00EB610D"/>
    <w:rsid w:val="00EB6622"/>
    <w:rsid w:val="00EB6BE2"/>
    <w:rsid w:val="00EB6FC0"/>
    <w:rsid w:val="00EB7687"/>
    <w:rsid w:val="00EB773D"/>
    <w:rsid w:val="00EB7EAF"/>
    <w:rsid w:val="00EC09BF"/>
    <w:rsid w:val="00EC09EC"/>
    <w:rsid w:val="00EC09FD"/>
    <w:rsid w:val="00EC0DAC"/>
    <w:rsid w:val="00EC0DDD"/>
    <w:rsid w:val="00EC106C"/>
    <w:rsid w:val="00EC1517"/>
    <w:rsid w:val="00EC1823"/>
    <w:rsid w:val="00EC1C97"/>
    <w:rsid w:val="00EC1CF8"/>
    <w:rsid w:val="00EC1D75"/>
    <w:rsid w:val="00EC1DFA"/>
    <w:rsid w:val="00EC1F5C"/>
    <w:rsid w:val="00EC2165"/>
    <w:rsid w:val="00EC25CB"/>
    <w:rsid w:val="00EC2B93"/>
    <w:rsid w:val="00EC2DE6"/>
    <w:rsid w:val="00EC2ECC"/>
    <w:rsid w:val="00EC2F19"/>
    <w:rsid w:val="00EC3929"/>
    <w:rsid w:val="00EC3D29"/>
    <w:rsid w:val="00EC3D9B"/>
    <w:rsid w:val="00EC4817"/>
    <w:rsid w:val="00EC49DD"/>
    <w:rsid w:val="00EC4A54"/>
    <w:rsid w:val="00EC51C0"/>
    <w:rsid w:val="00EC5395"/>
    <w:rsid w:val="00EC542D"/>
    <w:rsid w:val="00EC5A9B"/>
    <w:rsid w:val="00EC5CDA"/>
    <w:rsid w:val="00EC5D39"/>
    <w:rsid w:val="00EC5D70"/>
    <w:rsid w:val="00EC6269"/>
    <w:rsid w:val="00EC6295"/>
    <w:rsid w:val="00EC6497"/>
    <w:rsid w:val="00EC6DE4"/>
    <w:rsid w:val="00EC6F40"/>
    <w:rsid w:val="00EC71CF"/>
    <w:rsid w:val="00EC71F4"/>
    <w:rsid w:val="00EC722C"/>
    <w:rsid w:val="00EC7467"/>
    <w:rsid w:val="00EC7650"/>
    <w:rsid w:val="00EC799F"/>
    <w:rsid w:val="00EC7E9E"/>
    <w:rsid w:val="00EC7EC8"/>
    <w:rsid w:val="00ED0256"/>
    <w:rsid w:val="00ED09C5"/>
    <w:rsid w:val="00ED0ADD"/>
    <w:rsid w:val="00ED0C94"/>
    <w:rsid w:val="00ED0E52"/>
    <w:rsid w:val="00ED15BF"/>
    <w:rsid w:val="00ED171E"/>
    <w:rsid w:val="00ED17FA"/>
    <w:rsid w:val="00ED1A85"/>
    <w:rsid w:val="00ED1AB4"/>
    <w:rsid w:val="00ED1DD2"/>
    <w:rsid w:val="00ED1E07"/>
    <w:rsid w:val="00ED2299"/>
    <w:rsid w:val="00ED24B1"/>
    <w:rsid w:val="00ED27F1"/>
    <w:rsid w:val="00ED28B8"/>
    <w:rsid w:val="00ED3825"/>
    <w:rsid w:val="00ED39B4"/>
    <w:rsid w:val="00ED3F50"/>
    <w:rsid w:val="00ED4047"/>
    <w:rsid w:val="00ED40FA"/>
    <w:rsid w:val="00ED4380"/>
    <w:rsid w:val="00ED4640"/>
    <w:rsid w:val="00ED5041"/>
    <w:rsid w:val="00ED5606"/>
    <w:rsid w:val="00ED5702"/>
    <w:rsid w:val="00ED5AFD"/>
    <w:rsid w:val="00ED5CF1"/>
    <w:rsid w:val="00ED5CF3"/>
    <w:rsid w:val="00ED625C"/>
    <w:rsid w:val="00ED6426"/>
    <w:rsid w:val="00ED6895"/>
    <w:rsid w:val="00ED68E4"/>
    <w:rsid w:val="00ED6A0A"/>
    <w:rsid w:val="00ED6B0F"/>
    <w:rsid w:val="00ED6C48"/>
    <w:rsid w:val="00ED7149"/>
    <w:rsid w:val="00ED71C2"/>
    <w:rsid w:val="00ED75C4"/>
    <w:rsid w:val="00ED77CC"/>
    <w:rsid w:val="00ED7AFB"/>
    <w:rsid w:val="00ED7FD2"/>
    <w:rsid w:val="00EE001D"/>
    <w:rsid w:val="00EE0281"/>
    <w:rsid w:val="00EE050E"/>
    <w:rsid w:val="00EE0748"/>
    <w:rsid w:val="00EE0766"/>
    <w:rsid w:val="00EE08F9"/>
    <w:rsid w:val="00EE0BB8"/>
    <w:rsid w:val="00EE0ED4"/>
    <w:rsid w:val="00EE167D"/>
    <w:rsid w:val="00EE172C"/>
    <w:rsid w:val="00EE18BC"/>
    <w:rsid w:val="00EE1A7F"/>
    <w:rsid w:val="00EE242B"/>
    <w:rsid w:val="00EE2513"/>
    <w:rsid w:val="00EE2548"/>
    <w:rsid w:val="00EE2552"/>
    <w:rsid w:val="00EE2A56"/>
    <w:rsid w:val="00EE2B40"/>
    <w:rsid w:val="00EE2BEB"/>
    <w:rsid w:val="00EE2EB4"/>
    <w:rsid w:val="00EE3034"/>
    <w:rsid w:val="00EE3127"/>
    <w:rsid w:val="00EE3198"/>
    <w:rsid w:val="00EE39A6"/>
    <w:rsid w:val="00EE4453"/>
    <w:rsid w:val="00EE44AC"/>
    <w:rsid w:val="00EE44D5"/>
    <w:rsid w:val="00EE4B69"/>
    <w:rsid w:val="00EE4BF4"/>
    <w:rsid w:val="00EE531D"/>
    <w:rsid w:val="00EE5608"/>
    <w:rsid w:val="00EE5715"/>
    <w:rsid w:val="00EE5AE2"/>
    <w:rsid w:val="00EE63C1"/>
    <w:rsid w:val="00EE653A"/>
    <w:rsid w:val="00EE6AB8"/>
    <w:rsid w:val="00EE6EAD"/>
    <w:rsid w:val="00EE6FA9"/>
    <w:rsid w:val="00EE71B8"/>
    <w:rsid w:val="00EE74B8"/>
    <w:rsid w:val="00EE766E"/>
    <w:rsid w:val="00EE76B5"/>
    <w:rsid w:val="00EE783F"/>
    <w:rsid w:val="00EE7D06"/>
    <w:rsid w:val="00EE7E66"/>
    <w:rsid w:val="00EF0133"/>
    <w:rsid w:val="00EF0A04"/>
    <w:rsid w:val="00EF0A5A"/>
    <w:rsid w:val="00EF0B34"/>
    <w:rsid w:val="00EF132D"/>
    <w:rsid w:val="00EF16CE"/>
    <w:rsid w:val="00EF192B"/>
    <w:rsid w:val="00EF24DB"/>
    <w:rsid w:val="00EF2AC0"/>
    <w:rsid w:val="00EF2BFE"/>
    <w:rsid w:val="00EF2F8D"/>
    <w:rsid w:val="00EF3030"/>
    <w:rsid w:val="00EF3435"/>
    <w:rsid w:val="00EF355D"/>
    <w:rsid w:val="00EF3DBE"/>
    <w:rsid w:val="00EF4084"/>
    <w:rsid w:val="00EF427A"/>
    <w:rsid w:val="00EF42EC"/>
    <w:rsid w:val="00EF4BF2"/>
    <w:rsid w:val="00EF4C41"/>
    <w:rsid w:val="00EF4D2C"/>
    <w:rsid w:val="00EF51D4"/>
    <w:rsid w:val="00EF5523"/>
    <w:rsid w:val="00EF5950"/>
    <w:rsid w:val="00EF59D9"/>
    <w:rsid w:val="00EF5CA5"/>
    <w:rsid w:val="00EF63FC"/>
    <w:rsid w:val="00EF67B1"/>
    <w:rsid w:val="00EF6D63"/>
    <w:rsid w:val="00EF6F4D"/>
    <w:rsid w:val="00EF7519"/>
    <w:rsid w:val="00EF7717"/>
    <w:rsid w:val="00EF78A6"/>
    <w:rsid w:val="00EF79E9"/>
    <w:rsid w:val="00EF7B3F"/>
    <w:rsid w:val="00EF7BCF"/>
    <w:rsid w:val="00EF7CC8"/>
    <w:rsid w:val="00F00075"/>
    <w:rsid w:val="00F00302"/>
    <w:rsid w:val="00F00767"/>
    <w:rsid w:val="00F00ADC"/>
    <w:rsid w:val="00F00B9C"/>
    <w:rsid w:val="00F01508"/>
    <w:rsid w:val="00F016AC"/>
    <w:rsid w:val="00F02186"/>
    <w:rsid w:val="00F0236C"/>
    <w:rsid w:val="00F023FD"/>
    <w:rsid w:val="00F027BD"/>
    <w:rsid w:val="00F02C2B"/>
    <w:rsid w:val="00F033D5"/>
    <w:rsid w:val="00F0371F"/>
    <w:rsid w:val="00F03966"/>
    <w:rsid w:val="00F03DF1"/>
    <w:rsid w:val="00F03F59"/>
    <w:rsid w:val="00F03F93"/>
    <w:rsid w:val="00F03FA3"/>
    <w:rsid w:val="00F04328"/>
    <w:rsid w:val="00F05127"/>
    <w:rsid w:val="00F051FA"/>
    <w:rsid w:val="00F05420"/>
    <w:rsid w:val="00F0556E"/>
    <w:rsid w:val="00F05B4A"/>
    <w:rsid w:val="00F05DBA"/>
    <w:rsid w:val="00F05E63"/>
    <w:rsid w:val="00F06466"/>
    <w:rsid w:val="00F06709"/>
    <w:rsid w:val="00F06C05"/>
    <w:rsid w:val="00F06CC2"/>
    <w:rsid w:val="00F06CF6"/>
    <w:rsid w:val="00F07345"/>
    <w:rsid w:val="00F073B9"/>
    <w:rsid w:val="00F07877"/>
    <w:rsid w:val="00F07D43"/>
    <w:rsid w:val="00F10475"/>
    <w:rsid w:val="00F1078F"/>
    <w:rsid w:val="00F10AB1"/>
    <w:rsid w:val="00F10E95"/>
    <w:rsid w:val="00F10F83"/>
    <w:rsid w:val="00F11171"/>
    <w:rsid w:val="00F111B6"/>
    <w:rsid w:val="00F11323"/>
    <w:rsid w:val="00F1187C"/>
    <w:rsid w:val="00F119F2"/>
    <w:rsid w:val="00F11EA5"/>
    <w:rsid w:val="00F11FC7"/>
    <w:rsid w:val="00F1208A"/>
    <w:rsid w:val="00F122A8"/>
    <w:rsid w:val="00F123D1"/>
    <w:rsid w:val="00F129D7"/>
    <w:rsid w:val="00F12AC0"/>
    <w:rsid w:val="00F12CDB"/>
    <w:rsid w:val="00F12CF4"/>
    <w:rsid w:val="00F130AB"/>
    <w:rsid w:val="00F1339F"/>
    <w:rsid w:val="00F135F1"/>
    <w:rsid w:val="00F136E4"/>
    <w:rsid w:val="00F13A0D"/>
    <w:rsid w:val="00F13CE4"/>
    <w:rsid w:val="00F14039"/>
    <w:rsid w:val="00F158B0"/>
    <w:rsid w:val="00F15EC5"/>
    <w:rsid w:val="00F15F09"/>
    <w:rsid w:val="00F1650F"/>
    <w:rsid w:val="00F1683D"/>
    <w:rsid w:val="00F17074"/>
    <w:rsid w:val="00F170E7"/>
    <w:rsid w:val="00F17361"/>
    <w:rsid w:val="00F17686"/>
    <w:rsid w:val="00F17977"/>
    <w:rsid w:val="00F17B12"/>
    <w:rsid w:val="00F17CD5"/>
    <w:rsid w:val="00F20469"/>
    <w:rsid w:val="00F20905"/>
    <w:rsid w:val="00F20AF1"/>
    <w:rsid w:val="00F20B03"/>
    <w:rsid w:val="00F20BD0"/>
    <w:rsid w:val="00F21037"/>
    <w:rsid w:val="00F21404"/>
    <w:rsid w:val="00F216A5"/>
    <w:rsid w:val="00F21C93"/>
    <w:rsid w:val="00F220F9"/>
    <w:rsid w:val="00F2296B"/>
    <w:rsid w:val="00F22B6B"/>
    <w:rsid w:val="00F22F2A"/>
    <w:rsid w:val="00F22F49"/>
    <w:rsid w:val="00F237C4"/>
    <w:rsid w:val="00F2381F"/>
    <w:rsid w:val="00F23C16"/>
    <w:rsid w:val="00F240EB"/>
    <w:rsid w:val="00F24A05"/>
    <w:rsid w:val="00F24ABB"/>
    <w:rsid w:val="00F24BC3"/>
    <w:rsid w:val="00F24DC0"/>
    <w:rsid w:val="00F24DC5"/>
    <w:rsid w:val="00F256DE"/>
    <w:rsid w:val="00F257C0"/>
    <w:rsid w:val="00F261E2"/>
    <w:rsid w:val="00F26588"/>
    <w:rsid w:val="00F274F3"/>
    <w:rsid w:val="00F27A8C"/>
    <w:rsid w:val="00F27EE6"/>
    <w:rsid w:val="00F302A9"/>
    <w:rsid w:val="00F3065E"/>
    <w:rsid w:val="00F30FE3"/>
    <w:rsid w:val="00F31343"/>
    <w:rsid w:val="00F31917"/>
    <w:rsid w:val="00F31DA2"/>
    <w:rsid w:val="00F324DA"/>
    <w:rsid w:val="00F32B71"/>
    <w:rsid w:val="00F32FBA"/>
    <w:rsid w:val="00F3304B"/>
    <w:rsid w:val="00F3316B"/>
    <w:rsid w:val="00F33225"/>
    <w:rsid w:val="00F332BC"/>
    <w:rsid w:val="00F33614"/>
    <w:rsid w:val="00F33624"/>
    <w:rsid w:val="00F33855"/>
    <w:rsid w:val="00F338B4"/>
    <w:rsid w:val="00F33A46"/>
    <w:rsid w:val="00F33ABC"/>
    <w:rsid w:val="00F33D46"/>
    <w:rsid w:val="00F33F0C"/>
    <w:rsid w:val="00F33FE4"/>
    <w:rsid w:val="00F34051"/>
    <w:rsid w:val="00F34167"/>
    <w:rsid w:val="00F34465"/>
    <w:rsid w:val="00F3469A"/>
    <w:rsid w:val="00F349C8"/>
    <w:rsid w:val="00F35156"/>
    <w:rsid w:val="00F35292"/>
    <w:rsid w:val="00F355CB"/>
    <w:rsid w:val="00F35B80"/>
    <w:rsid w:val="00F35D7F"/>
    <w:rsid w:val="00F35EDE"/>
    <w:rsid w:val="00F3639E"/>
    <w:rsid w:val="00F364EA"/>
    <w:rsid w:val="00F36685"/>
    <w:rsid w:val="00F3684C"/>
    <w:rsid w:val="00F368BB"/>
    <w:rsid w:val="00F36E46"/>
    <w:rsid w:val="00F36ED0"/>
    <w:rsid w:val="00F36FA4"/>
    <w:rsid w:val="00F37030"/>
    <w:rsid w:val="00F37223"/>
    <w:rsid w:val="00F37F9A"/>
    <w:rsid w:val="00F4032B"/>
    <w:rsid w:val="00F405E3"/>
    <w:rsid w:val="00F407B2"/>
    <w:rsid w:val="00F40D72"/>
    <w:rsid w:val="00F4128F"/>
    <w:rsid w:val="00F414E8"/>
    <w:rsid w:val="00F41596"/>
    <w:rsid w:val="00F41638"/>
    <w:rsid w:val="00F41655"/>
    <w:rsid w:val="00F41C04"/>
    <w:rsid w:val="00F41D93"/>
    <w:rsid w:val="00F420F2"/>
    <w:rsid w:val="00F42207"/>
    <w:rsid w:val="00F42286"/>
    <w:rsid w:val="00F428A3"/>
    <w:rsid w:val="00F42AD0"/>
    <w:rsid w:val="00F42BF4"/>
    <w:rsid w:val="00F42EA2"/>
    <w:rsid w:val="00F4312F"/>
    <w:rsid w:val="00F432E8"/>
    <w:rsid w:val="00F43471"/>
    <w:rsid w:val="00F43992"/>
    <w:rsid w:val="00F43A54"/>
    <w:rsid w:val="00F43F01"/>
    <w:rsid w:val="00F441A8"/>
    <w:rsid w:val="00F4457D"/>
    <w:rsid w:val="00F445B3"/>
    <w:rsid w:val="00F448A0"/>
    <w:rsid w:val="00F44AE9"/>
    <w:rsid w:val="00F44BDB"/>
    <w:rsid w:val="00F44C66"/>
    <w:rsid w:val="00F4542A"/>
    <w:rsid w:val="00F45500"/>
    <w:rsid w:val="00F4576E"/>
    <w:rsid w:val="00F45BC4"/>
    <w:rsid w:val="00F45C14"/>
    <w:rsid w:val="00F45F9D"/>
    <w:rsid w:val="00F4636C"/>
    <w:rsid w:val="00F46447"/>
    <w:rsid w:val="00F4652B"/>
    <w:rsid w:val="00F46704"/>
    <w:rsid w:val="00F469F9"/>
    <w:rsid w:val="00F46BAF"/>
    <w:rsid w:val="00F46E69"/>
    <w:rsid w:val="00F46F2F"/>
    <w:rsid w:val="00F476E6"/>
    <w:rsid w:val="00F4781F"/>
    <w:rsid w:val="00F47FF2"/>
    <w:rsid w:val="00F50A56"/>
    <w:rsid w:val="00F5101D"/>
    <w:rsid w:val="00F512AE"/>
    <w:rsid w:val="00F5137A"/>
    <w:rsid w:val="00F5165D"/>
    <w:rsid w:val="00F51E26"/>
    <w:rsid w:val="00F51F4A"/>
    <w:rsid w:val="00F52597"/>
    <w:rsid w:val="00F528E7"/>
    <w:rsid w:val="00F529A8"/>
    <w:rsid w:val="00F52C4F"/>
    <w:rsid w:val="00F52DFF"/>
    <w:rsid w:val="00F5389E"/>
    <w:rsid w:val="00F53A48"/>
    <w:rsid w:val="00F53C41"/>
    <w:rsid w:val="00F542D6"/>
    <w:rsid w:val="00F5431E"/>
    <w:rsid w:val="00F54796"/>
    <w:rsid w:val="00F54A4E"/>
    <w:rsid w:val="00F551AC"/>
    <w:rsid w:val="00F552A1"/>
    <w:rsid w:val="00F55E43"/>
    <w:rsid w:val="00F56148"/>
    <w:rsid w:val="00F56345"/>
    <w:rsid w:val="00F56824"/>
    <w:rsid w:val="00F56CEA"/>
    <w:rsid w:val="00F57023"/>
    <w:rsid w:val="00F57043"/>
    <w:rsid w:val="00F57358"/>
    <w:rsid w:val="00F57778"/>
    <w:rsid w:val="00F57780"/>
    <w:rsid w:val="00F578F4"/>
    <w:rsid w:val="00F57C5C"/>
    <w:rsid w:val="00F57EC2"/>
    <w:rsid w:val="00F60522"/>
    <w:rsid w:val="00F605A9"/>
    <w:rsid w:val="00F60808"/>
    <w:rsid w:val="00F608EF"/>
    <w:rsid w:val="00F60B51"/>
    <w:rsid w:val="00F60B99"/>
    <w:rsid w:val="00F6124C"/>
    <w:rsid w:val="00F612E7"/>
    <w:rsid w:val="00F6132A"/>
    <w:rsid w:val="00F61406"/>
    <w:rsid w:val="00F614D9"/>
    <w:rsid w:val="00F615AA"/>
    <w:rsid w:val="00F618A1"/>
    <w:rsid w:val="00F61D5E"/>
    <w:rsid w:val="00F61D94"/>
    <w:rsid w:val="00F621D0"/>
    <w:rsid w:val="00F6223D"/>
    <w:rsid w:val="00F62416"/>
    <w:rsid w:val="00F62454"/>
    <w:rsid w:val="00F62BFE"/>
    <w:rsid w:val="00F62D48"/>
    <w:rsid w:val="00F63327"/>
    <w:rsid w:val="00F635A0"/>
    <w:rsid w:val="00F63FA8"/>
    <w:rsid w:val="00F6479C"/>
    <w:rsid w:val="00F64942"/>
    <w:rsid w:val="00F64E95"/>
    <w:rsid w:val="00F6512F"/>
    <w:rsid w:val="00F653D9"/>
    <w:rsid w:val="00F65539"/>
    <w:rsid w:val="00F65806"/>
    <w:rsid w:val="00F65E13"/>
    <w:rsid w:val="00F65EE0"/>
    <w:rsid w:val="00F65F1C"/>
    <w:rsid w:val="00F66475"/>
    <w:rsid w:val="00F66FA7"/>
    <w:rsid w:val="00F674DE"/>
    <w:rsid w:val="00F677BD"/>
    <w:rsid w:val="00F67DB6"/>
    <w:rsid w:val="00F67DC9"/>
    <w:rsid w:val="00F70181"/>
    <w:rsid w:val="00F705CD"/>
    <w:rsid w:val="00F706AB"/>
    <w:rsid w:val="00F70891"/>
    <w:rsid w:val="00F709A3"/>
    <w:rsid w:val="00F709CB"/>
    <w:rsid w:val="00F70B88"/>
    <w:rsid w:val="00F70F1B"/>
    <w:rsid w:val="00F71489"/>
    <w:rsid w:val="00F7148F"/>
    <w:rsid w:val="00F71E28"/>
    <w:rsid w:val="00F723CF"/>
    <w:rsid w:val="00F7263A"/>
    <w:rsid w:val="00F7270B"/>
    <w:rsid w:val="00F73599"/>
    <w:rsid w:val="00F73768"/>
    <w:rsid w:val="00F737B0"/>
    <w:rsid w:val="00F737EB"/>
    <w:rsid w:val="00F73832"/>
    <w:rsid w:val="00F73D91"/>
    <w:rsid w:val="00F7410E"/>
    <w:rsid w:val="00F74330"/>
    <w:rsid w:val="00F7452C"/>
    <w:rsid w:val="00F746AE"/>
    <w:rsid w:val="00F746F5"/>
    <w:rsid w:val="00F7477B"/>
    <w:rsid w:val="00F74AF1"/>
    <w:rsid w:val="00F7519A"/>
    <w:rsid w:val="00F75508"/>
    <w:rsid w:val="00F7556F"/>
    <w:rsid w:val="00F770BC"/>
    <w:rsid w:val="00F77174"/>
    <w:rsid w:val="00F77518"/>
    <w:rsid w:val="00F77B2E"/>
    <w:rsid w:val="00F77CE7"/>
    <w:rsid w:val="00F77EA4"/>
    <w:rsid w:val="00F77FF8"/>
    <w:rsid w:val="00F806B6"/>
    <w:rsid w:val="00F810F8"/>
    <w:rsid w:val="00F81D3B"/>
    <w:rsid w:val="00F82485"/>
    <w:rsid w:val="00F8290E"/>
    <w:rsid w:val="00F82B8C"/>
    <w:rsid w:val="00F82D9A"/>
    <w:rsid w:val="00F82F09"/>
    <w:rsid w:val="00F83239"/>
    <w:rsid w:val="00F8348A"/>
    <w:rsid w:val="00F835AD"/>
    <w:rsid w:val="00F83783"/>
    <w:rsid w:val="00F83B6D"/>
    <w:rsid w:val="00F83F66"/>
    <w:rsid w:val="00F83FB7"/>
    <w:rsid w:val="00F845E1"/>
    <w:rsid w:val="00F84B1E"/>
    <w:rsid w:val="00F84D22"/>
    <w:rsid w:val="00F84DD5"/>
    <w:rsid w:val="00F85418"/>
    <w:rsid w:val="00F85519"/>
    <w:rsid w:val="00F8569B"/>
    <w:rsid w:val="00F85B81"/>
    <w:rsid w:val="00F85D5F"/>
    <w:rsid w:val="00F86297"/>
    <w:rsid w:val="00F86450"/>
    <w:rsid w:val="00F869B1"/>
    <w:rsid w:val="00F869C0"/>
    <w:rsid w:val="00F86BA7"/>
    <w:rsid w:val="00F86BAB"/>
    <w:rsid w:val="00F86E65"/>
    <w:rsid w:val="00F86EE8"/>
    <w:rsid w:val="00F8718C"/>
    <w:rsid w:val="00F87C72"/>
    <w:rsid w:val="00F87FB4"/>
    <w:rsid w:val="00F90030"/>
    <w:rsid w:val="00F902A3"/>
    <w:rsid w:val="00F904B9"/>
    <w:rsid w:val="00F90B31"/>
    <w:rsid w:val="00F90B66"/>
    <w:rsid w:val="00F90BEA"/>
    <w:rsid w:val="00F90D96"/>
    <w:rsid w:val="00F91061"/>
    <w:rsid w:val="00F91177"/>
    <w:rsid w:val="00F91506"/>
    <w:rsid w:val="00F91ECD"/>
    <w:rsid w:val="00F91EFE"/>
    <w:rsid w:val="00F920EA"/>
    <w:rsid w:val="00F922D0"/>
    <w:rsid w:val="00F92677"/>
    <w:rsid w:val="00F92C5B"/>
    <w:rsid w:val="00F92D2F"/>
    <w:rsid w:val="00F93083"/>
    <w:rsid w:val="00F93134"/>
    <w:rsid w:val="00F9322A"/>
    <w:rsid w:val="00F9393E"/>
    <w:rsid w:val="00F93B1A"/>
    <w:rsid w:val="00F93B5F"/>
    <w:rsid w:val="00F94112"/>
    <w:rsid w:val="00F942E2"/>
    <w:rsid w:val="00F94430"/>
    <w:rsid w:val="00F94881"/>
    <w:rsid w:val="00F94A67"/>
    <w:rsid w:val="00F952C4"/>
    <w:rsid w:val="00F95792"/>
    <w:rsid w:val="00F95BA8"/>
    <w:rsid w:val="00F95DEE"/>
    <w:rsid w:val="00F96533"/>
    <w:rsid w:val="00F969B7"/>
    <w:rsid w:val="00F969EE"/>
    <w:rsid w:val="00F976D3"/>
    <w:rsid w:val="00F97712"/>
    <w:rsid w:val="00F9783B"/>
    <w:rsid w:val="00F97A6C"/>
    <w:rsid w:val="00F97B95"/>
    <w:rsid w:val="00F97FBC"/>
    <w:rsid w:val="00FA0110"/>
    <w:rsid w:val="00FA01FF"/>
    <w:rsid w:val="00FA05D1"/>
    <w:rsid w:val="00FA089D"/>
    <w:rsid w:val="00FA0C99"/>
    <w:rsid w:val="00FA0D66"/>
    <w:rsid w:val="00FA1153"/>
    <w:rsid w:val="00FA145E"/>
    <w:rsid w:val="00FA1ADD"/>
    <w:rsid w:val="00FA233C"/>
    <w:rsid w:val="00FA23D6"/>
    <w:rsid w:val="00FA28EC"/>
    <w:rsid w:val="00FA2E3C"/>
    <w:rsid w:val="00FA2F41"/>
    <w:rsid w:val="00FA2F8E"/>
    <w:rsid w:val="00FA2FE5"/>
    <w:rsid w:val="00FA31E8"/>
    <w:rsid w:val="00FA3786"/>
    <w:rsid w:val="00FA378B"/>
    <w:rsid w:val="00FA398A"/>
    <w:rsid w:val="00FA39A6"/>
    <w:rsid w:val="00FA39FE"/>
    <w:rsid w:val="00FA3A08"/>
    <w:rsid w:val="00FA4264"/>
    <w:rsid w:val="00FA494F"/>
    <w:rsid w:val="00FA4C56"/>
    <w:rsid w:val="00FA4EDC"/>
    <w:rsid w:val="00FA53CF"/>
    <w:rsid w:val="00FA5607"/>
    <w:rsid w:val="00FA5652"/>
    <w:rsid w:val="00FA5C76"/>
    <w:rsid w:val="00FA5EA0"/>
    <w:rsid w:val="00FA607B"/>
    <w:rsid w:val="00FA6283"/>
    <w:rsid w:val="00FA64B1"/>
    <w:rsid w:val="00FA64EA"/>
    <w:rsid w:val="00FA651D"/>
    <w:rsid w:val="00FA68F0"/>
    <w:rsid w:val="00FA6BFF"/>
    <w:rsid w:val="00FA7726"/>
    <w:rsid w:val="00FA7BE1"/>
    <w:rsid w:val="00FA7F0C"/>
    <w:rsid w:val="00FB0533"/>
    <w:rsid w:val="00FB05BA"/>
    <w:rsid w:val="00FB10AF"/>
    <w:rsid w:val="00FB1188"/>
    <w:rsid w:val="00FB148F"/>
    <w:rsid w:val="00FB14B6"/>
    <w:rsid w:val="00FB1D1B"/>
    <w:rsid w:val="00FB2325"/>
    <w:rsid w:val="00FB241B"/>
    <w:rsid w:val="00FB2BF3"/>
    <w:rsid w:val="00FB2D8F"/>
    <w:rsid w:val="00FB32C4"/>
    <w:rsid w:val="00FB34B2"/>
    <w:rsid w:val="00FB3B30"/>
    <w:rsid w:val="00FB3EAA"/>
    <w:rsid w:val="00FB40F2"/>
    <w:rsid w:val="00FB4553"/>
    <w:rsid w:val="00FB470A"/>
    <w:rsid w:val="00FB482E"/>
    <w:rsid w:val="00FB490F"/>
    <w:rsid w:val="00FB52F0"/>
    <w:rsid w:val="00FB574D"/>
    <w:rsid w:val="00FB5920"/>
    <w:rsid w:val="00FB6192"/>
    <w:rsid w:val="00FB61A5"/>
    <w:rsid w:val="00FB625D"/>
    <w:rsid w:val="00FB694F"/>
    <w:rsid w:val="00FB73E5"/>
    <w:rsid w:val="00FB7454"/>
    <w:rsid w:val="00FB7A58"/>
    <w:rsid w:val="00FC008D"/>
    <w:rsid w:val="00FC062B"/>
    <w:rsid w:val="00FC09EE"/>
    <w:rsid w:val="00FC0C9F"/>
    <w:rsid w:val="00FC0FA3"/>
    <w:rsid w:val="00FC10E9"/>
    <w:rsid w:val="00FC112D"/>
    <w:rsid w:val="00FC13E2"/>
    <w:rsid w:val="00FC16E9"/>
    <w:rsid w:val="00FC1AAA"/>
    <w:rsid w:val="00FC1FBF"/>
    <w:rsid w:val="00FC207D"/>
    <w:rsid w:val="00FC20B1"/>
    <w:rsid w:val="00FC29A4"/>
    <w:rsid w:val="00FC2EF4"/>
    <w:rsid w:val="00FC2EFB"/>
    <w:rsid w:val="00FC32CD"/>
    <w:rsid w:val="00FC33EC"/>
    <w:rsid w:val="00FC3AA4"/>
    <w:rsid w:val="00FC3C05"/>
    <w:rsid w:val="00FC3C54"/>
    <w:rsid w:val="00FC3E23"/>
    <w:rsid w:val="00FC411E"/>
    <w:rsid w:val="00FC4590"/>
    <w:rsid w:val="00FC46FF"/>
    <w:rsid w:val="00FC4848"/>
    <w:rsid w:val="00FC49CE"/>
    <w:rsid w:val="00FC4B03"/>
    <w:rsid w:val="00FC506B"/>
    <w:rsid w:val="00FC513F"/>
    <w:rsid w:val="00FC5843"/>
    <w:rsid w:val="00FC5865"/>
    <w:rsid w:val="00FC5B1F"/>
    <w:rsid w:val="00FC5C13"/>
    <w:rsid w:val="00FC5D4F"/>
    <w:rsid w:val="00FC5E72"/>
    <w:rsid w:val="00FC67A5"/>
    <w:rsid w:val="00FC6911"/>
    <w:rsid w:val="00FC6EDE"/>
    <w:rsid w:val="00FC6F06"/>
    <w:rsid w:val="00FC70AF"/>
    <w:rsid w:val="00FC73E9"/>
    <w:rsid w:val="00FC768A"/>
    <w:rsid w:val="00FC7A0F"/>
    <w:rsid w:val="00FC7A4C"/>
    <w:rsid w:val="00FC7DAD"/>
    <w:rsid w:val="00FD0393"/>
    <w:rsid w:val="00FD0EBC"/>
    <w:rsid w:val="00FD14D0"/>
    <w:rsid w:val="00FD1941"/>
    <w:rsid w:val="00FD1A55"/>
    <w:rsid w:val="00FD1D25"/>
    <w:rsid w:val="00FD1D79"/>
    <w:rsid w:val="00FD1E0D"/>
    <w:rsid w:val="00FD1ECB"/>
    <w:rsid w:val="00FD227B"/>
    <w:rsid w:val="00FD2C96"/>
    <w:rsid w:val="00FD2E4E"/>
    <w:rsid w:val="00FD3D0D"/>
    <w:rsid w:val="00FD3D66"/>
    <w:rsid w:val="00FD3DC8"/>
    <w:rsid w:val="00FD3E36"/>
    <w:rsid w:val="00FD3F89"/>
    <w:rsid w:val="00FD42AD"/>
    <w:rsid w:val="00FD42B8"/>
    <w:rsid w:val="00FD465E"/>
    <w:rsid w:val="00FD4934"/>
    <w:rsid w:val="00FD4954"/>
    <w:rsid w:val="00FD4D84"/>
    <w:rsid w:val="00FD4DF0"/>
    <w:rsid w:val="00FD4F32"/>
    <w:rsid w:val="00FD4FDD"/>
    <w:rsid w:val="00FD50D1"/>
    <w:rsid w:val="00FD5471"/>
    <w:rsid w:val="00FD5558"/>
    <w:rsid w:val="00FD56C2"/>
    <w:rsid w:val="00FD574F"/>
    <w:rsid w:val="00FD591D"/>
    <w:rsid w:val="00FD5B11"/>
    <w:rsid w:val="00FD65CC"/>
    <w:rsid w:val="00FD67D3"/>
    <w:rsid w:val="00FD6D43"/>
    <w:rsid w:val="00FD6E91"/>
    <w:rsid w:val="00FD6EFA"/>
    <w:rsid w:val="00FD70DA"/>
    <w:rsid w:val="00FD70E8"/>
    <w:rsid w:val="00FD75A6"/>
    <w:rsid w:val="00FD765D"/>
    <w:rsid w:val="00FD773F"/>
    <w:rsid w:val="00FD77B4"/>
    <w:rsid w:val="00FD7BEE"/>
    <w:rsid w:val="00FE0281"/>
    <w:rsid w:val="00FE05A5"/>
    <w:rsid w:val="00FE06CB"/>
    <w:rsid w:val="00FE08C7"/>
    <w:rsid w:val="00FE09F9"/>
    <w:rsid w:val="00FE0A38"/>
    <w:rsid w:val="00FE0AA2"/>
    <w:rsid w:val="00FE0C2C"/>
    <w:rsid w:val="00FE0D21"/>
    <w:rsid w:val="00FE0E70"/>
    <w:rsid w:val="00FE127B"/>
    <w:rsid w:val="00FE1466"/>
    <w:rsid w:val="00FE1777"/>
    <w:rsid w:val="00FE1856"/>
    <w:rsid w:val="00FE1A0D"/>
    <w:rsid w:val="00FE1EAB"/>
    <w:rsid w:val="00FE1F5B"/>
    <w:rsid w:val="00FE2190"/>
    <w:rsid w:val="00FE2404"/>
    <w:rsid w:val="00FE2431"/>
    <w:rsid w:val="00FE2958"/>
    <w:rsid w:val="00FE2A63"/>
    <w:rsid w:val="00FE2B7A"/>
    <w:rsid w:val="00FE31E4"/>
    <w:rsid w:val="00FE3317"/>
    <w:rsid w:val="00FE33F0"/>
    <w:rsid w:val="00FE3427"/>
    <w:rsid w:val="00FE3620"/>
    <w:rsid w:val="00FE364C"/>
    <w:rsid w:val="00FE3686"/>
    <w:rsid w:val="00FE392F"/>
    <w:rsid w:val="00FE3D2B"/>
    <w:rsid w:val="00FE40A7"/>
    <w:rsid w:val="00FE4165"/>
    <w:rsid w:val="00FE431D"/>
    <w:rsid w:val="00FE448D"/>
    <w:rsid w:val="00FE45B7"/>
    <w:rsid w:val="00FE45E4"/>
    <w:rsid w:val="00FE48F6"/>
    <w:rsid w:val="00FE4904"/>
    <w:rsid w:val="00FE493F"/>
    <w:rsid w:val="00FE4B28"/>
    <w:rsid w:val="00FE4BC7"/>
    <w:rsid w:val="00FE4E69"/>
    <w:rsid w:val="00FE542B"/>
    <w:rsid w:val="00FE5AA7"/>
    <w:rsid w:val="00FE5B4A"/>
    <w:rsid w:val="00FE5FED"/>
    <w:rsid w:val="00FE60EF"/>
    <w:rsid w:val="00FE648E"/>
    <w:rsid w:val="00FE64D6"/>
    <w:rsid w:val="00FE6B21"/>
    <w:rsid w:val="00FE711A"/>
    <w:rsid w:val="00FE72FD"/>
    <w:rsid w:val="00FE7337"/>
    <w:rsid w:val="00FE753B"/>
    <w:rsid w:val="00FE797C"/>
    <w:rsid w:val="00FE7B4A"/>
    <w:rsid w:val="00FE7FB1"/>
    <w:rsid w:val="00FF01CD"/>
    <w:rsid w:val="00FF038D"/>
    <w:rsid w:val="00FF062D"/>
    <w:rsid w:val="00FF07BC"/>
    <w:rsid w:val="00FF1072"/>
    <w:rsid w:val="00FF1286"/>
    <w:rsid w:val="00FF184E"/>
    <w:rsid w:val="00FF193D"/>
    <w:rsid w:val="00FF21CB"/>
    <w:rsid w:val="00FF2293"/>
    <w:rsid w:val="00FF22D6"/>
    <w:rsid w:val="00FF2466"/>
    <w:rsid w:val="00FF2491"/>
    <w:rsid w:val="00FF251A"/>
    <w:rsid w:val="00FF30AB"/>
    <w:rsid w:val="00FF30B1"/>
    <w:rsid w:val="00FF334C"/>
    <w:rsid w:val="00FF3466"/>
    <w:rsid w:val="00FF35C7"/>
    <w:rsid w:val="00FF394E"/>
    <w:rsid w:val="00FF3971"/>
    <w:rsid w:val="00FF3F7D"/>
    <w:rsid w:val="00FF4377"/>
    <w:rsid w:val="00FF460D"/>
    <w:rsid w:val="00FF4AF5"/>
    <w:rsid w:val="00FF4B2A"/>
    <w:rsid w:val="00FF4CA0"/>
    <w:rsid w:val="00FF51E3"/>
    <w:rsid w:val="00FF5249"/>
    <w:rsid w:val="00FF5518"/>
    <w:rsid w:val="00FF580A"/>
    <w:rsid w:val="00FF5948"/>
    <w:rsid w:val="00FF59FB"/>
    <w:rsid w:val="00FF5E6B"/>
    <w:rsid w:val="00FF5F82"/>
    <w:rsid w:val="00FF5FD0"/>
    <w:rsid w:val="00FF60A2"/>
    <w:rsid w:val="00FF60CB"/>
    <w:rsid w:val="00FF658D"/>
    <w:rsid w:val="00FF6632"/>
    <w:rsid w:val="00FF6829"/>
    <w:rsid w:val="00FF687D"/>
    <w:rsid w:val="00FF6D6F"/>
    <w:rsid w:val="00FF71DA"/>
    <w:rsid w:val="00FF72B4"/>
    <w:rsid w:val="00FF75E6"/>
    <w:rsid w:val="00FF76AF"/>
    <w:rsid w:val="00FF783E"/>
    <w:rsid w:val="00FF7A4E"/>
    <w:rsid w:val="00FF7AF5"/>
    <w:rsid w:val="00FF7EA1"/>
    <w:rsid w:val="011155E8"/>
    <w:rsid w:val="011CEC24"/>
    <w:rsid w:val="0268437A"/>
    <w:rsid w:val="0316B4E0"/>
    <w:rsid w:val="033161FD"/>
    <w:rsid w:val="03FF2C35"/>
    <w:rsid w:val="043D13AF"/>
    <w:rsid w:val="0560980D"/>
    <w:rsid w:val="06280E7F"/>
    <w:rsid w:val="076749CB"/>
    <w:rsid w:val="07DA94BA"/>
    <w:rsid w:val="0850AABE"/>
    <w:rsid w:val="087E27A6"/>
    <w:rsid w:val="08FA1D24"/>
    <w:rsid w:val="0ACD3109"/>
    <w:rsid w:val="0BB60A48"/>
    <w:rsid w:val="0BBB6FAF"/>
    <w:rsid w:val="0CDEA02E"/>
    <w:rsid w:val="0CE7F0F1"/>
    <w:rsid w:val="0D7C59C7"/>
    <w:rsid w:val="0E16AD5D"/>
    <w:rsid w:val="0E1D9D66"/>
    <w:rsid w:val="0E38245E"/>
    <w:rsid w:val="0E7A7BA0"/>
    <w:rsid w:val="0F0B6346"/>
    <w:rsid w:val="0FA6C8FB"/>
    <w:rsid w:val="0FB2D494"/>
    <w:rsid w:val="0FF2E4EA"/>
    <w:rsid w:val="111F3BAD"/>
    <w:rsid w:val="116FF780"/>
    <w:rsid w:val="11F2C096"/>
    <w:rsid w:val="131E51C8"/>
    <w:rsid w:val="13BA3B7D"/>
    <w:rsid w:val="13C31486"/>
    <w:rsid w:val="13FC90B2"/>
    <w:rsid w:val="140AF558"/>
    <w:rsid w:val="153B9642"/>
    <w:rsid w:val="16ADEF5B"/>
    <w:rsid w:val="16BD29FD"/>
    <w:rsid w:val="179959F1"/>
    <w:rsid w:val="17BA3631"/>
    <w:rsid w:val="17C4E757"/>
    <w:rsid w:val="180A5D62"/>
    <w:rsid w:val="185E2B4C"/>
    <w:rsid w:val="187C9BAD"/>
    <w:rsid w:val="190B607A"/>
    <w:rsid w:val="19F2F819"/>
    <w:rsid w:val="1A6D1FCE"/>
    <w:rsid w:val="1B71A7E2"/>
    <w:rsid w:val="1BE0D140"/>
    <w:rsid w:val="1BEFDEA3"/>
    <w:rsid w:val="1C2C375D"/>
    <w:rsid w:val="1C6736C2"/>
    <w:rsid w:val="1C9F524B"/>
    <w:rsid w:val="1D15E5FE"/>
    <w:rsid w:val="1D65170B"/>
    <w:rsid w:val="1DB0EB5E"/>
    <w:rsid w:val="1E23BE4D"/>
    <w:rsid w:val="1FBEE9EE"/>
    <w:rsid w:val="20302BE9"/>
    <w:rsid w:val="204AD3FA"/>
    <w:rsid w:val="20B66C91"/>
    <w:rsid w:val="22332D84"/>
    <w:rsid w:val="24754C10"/>
    <w:rsid w:val="26DBA65E"/>
    <w:rsid w:val="276E601C"/>
    <w:rsid w:val="277D1096"/>
    <w:rsid w:val="2793B0F8"/>
    <w:rsid w:val="27C6D0FC"/>
    <w:rsid w:val="280BC22E"/>
    <w:rsid w:val="291909C2"/>
    <w:rsid w:val="2A2E98A0"/>
    <w:rsid w:val="2A5CBA94"/>
    <w:rsid w:val="2A9E5D37"/>
    <w:rsid w:val="2AA56F92"/>
    <w:rsid w:val="2AE1D455"/>
    <w:rsid w:val="2C406DE0"/>
    <w:rsid w:val="2C60DB16"/>
    <w:rsid w:val="2D464F2B"/>
    <w:rsid w:val="2D744900"/>
    <w:rsid w:val="2D9F14FF"/>
    <w:rsid w:val="2F040215"/>
    <w:rsid w:val="2F107578"/>
    <w:rsid w:val="2F3712F2"/>
    <w:rsid w:val="31655F98"/>
    <w:rsid w:val="32FA5023"/>
    <w:rsid w:val="355E4BC7"/>
    <w:rsid w:val="35733E01"/>
    <w:rsid w:val="3703437F"/>
    <w:rsid w:val="37AC60A5"/>
    <w:rsid w:val="380186DB"/>
    <w:rsid w:val="380ED724"/>
    <w:rsid w:val="390C8DA9"/>
    <w:rsid w:val="396FC536"/>
    <w:rsid w:val="397CFCA8"/>
    <w:rsid w:val="39BB7884"/>
    <w:rsid w:val="3A3D5364"/>
    <w:rsid w:val="3A431E5D"/>
    <w:rsid w:val="3AF041AF"/>
    <w:rsid w:val="3CD6C35F"/>
    <w:rsid w:val="3CF9F194"/>
    <w:rsid w:val="3D54BD61"/>
    <w:rsid w:val="3D7279E8"/>
    <w:rsid w:val="3DA6050E"/>
    <w:rsid w:val="3DD0A4EA"/>
    <w:rsid w:val="3E8410EE"/>
    <w:rsid w:val="3F5E4A87"/>
    <w:rsid w:val="402259A6"/>
    <w:rsid w:val="4298F090"/>
    <w:rsid w:val="4362F0FD"/>
    <w:rsid w:val="437CF515"/>
    <w:rsid w:val="43813FF7"/>
    <w:rsid w:val="44442597"/>
    <w:rsid w:val="458BAE3F"/>
    <w:rsid w:val="466D7205"/>
    <w:rsid w:val="46EE0FC1"/>
    <w:rsid w:val="4770BCF4"/>
    <w:rsid w:val="47D01233"/>
    <w:rsid w:val="496CF80F"/>
    <w:rsid w:val="4AF0319A"/>
    <w:rsid w:val="4C5E0CD9"/>
    <w:rsid w:val="4DED5613"/>
    <w:rsid w:val="4EC165E3"/>
    <w:rsid w:val="4EDB3675"/>
    <w:rsid w:val="4FB772C0"/>
    <w:rsid w:val="505D3993"/>
    <w:rsid w:val="50F8044C"/>
    <w:rsid w:val="5133F0A5"/>
    <w:rsid w:val="517EC014"/>
    <w:rsid w:val="51875FB4"/>
    <w:rsid w:val="5218E50A"/>
    <w:rsid w:val="5261B438"/>
    <w:rsid w:val="526C9B41"/>
    <w:rsid w:val="5276AAC1"/>
    <w:rsid w:val="52829150"/>
    <w:rsid w:val="52954056"/>
    <w:rsid w:val="52A61C45"/>
    <w:rsid w:val="52F29B96"/>
    <w:rsid w:val="530812B3"/>
    <w:rsid w:val="53513742"/>
    <w:rsid w:val="554925FE"/>
    <w:rsid w:val="568EE2D2"/>
    <w:rsid w:val="56EE5FD3"/>
    <w:rsid w:val="570B7C63"/>
    <w:rsid w:val="58C65924"/>
    <w:rsid w:val="5A884733"/>
    <w:rsid w:val="5BA3A921"/>
    <w:rsid w:val="5C438005"/>
    <w:rsid w:val="5CAD29AD"/>
    <w:rsid w:val="5D081717"/>
    <w:rsid w:val="5EC7542A"/>
    <w:rsid w:val="5EE10BE2"/>
    <w:rsid w:val="5F3D268F"/>
    <w:rsid w:val="5F6B8892"/>
    <w:rsid w:val="5FDAF712"/>
    <w:rsid w:val="5FE4550E"/>
    <w:rsid w:val="606DD8A7"/>
    <w:rsid w:val="606E1C45"/>
    <w:rsid w:val="610FB3E3"/>
    <w:rsid w:val="62230490"/>
    <w:rsid w:val="624EE03F"/>
    <w:rsid w:val="634BBF29"/>
    <w:rsid w:val="64330079"/>
    <w:rsid w:val="64431C22"/>
    <w:rsid w:val="644AA633"/>
    <w:rsid w:val="64E314A5"/>
    <w:rsid w:val="65014901"/>
    <w:rsid w:val="6529D100"/>
    <w:rsid w:val="65670352"/>
    <w:rsid w:val="664EDB09"/>
    <w:rsid w:val="669B0C7F"/>
    <w:rsid w:val="6805C94D"/>
    <w:rsid w:val="680A3984"/>
    <w:rsid w:val="682BC0EF"/>
    <w:rsid w:val="682CB175"/>
    <w:rsid w:val="6930EA8B"/>
    <w:rsid w:val="69B2E04F"/>
    <w:rsid w:val="69EA2903"/>
    <w:rsid w:val="69FBE3E0"/>
    <w:rsid w:val="6AB4CBDB"/>
    <w:rsid w:val="6AD8CFB7"/>
    <w:rsid w:val="6B69A549"/>
    <w:rsid w:val="6C017A87"/>
    <w:rsid w:val="6C0626FC"/>
    <w:rsid w:val="6C8DDD2E"/>
    <w:rsid w:val="6CB2D2E9"/>
    <w:rsid w:val="6CCF717D"/>
    <w:rsid w:val="6D12CD10"/>
    <w:rsid w:val="6DA0DEB5"/>
    <w:rsid w:val="6F726B02"/>
    <w:rsid w:val="6FE78BB9"/>
    <w:rsid w:val="7064A5EE"/>
    <w:rsid w:val="713EAE42"/>
    <w:rsid w:val="713EEC74"/>
    <w:rsid w:val="71435447"/>
    <w:rsid w:val="717C565F"/>
    <w:rsid w:val="72E6A8E3"/>
    <w:rsid w:val="73756DE8"/>
    <w:rsid w:val="7398F68C"/>
    <w:rsid w:val="73E4C289"/>
    <w:rsid w:val="74E437DD"/>
    <w:rsid w:val="75368DAE"/>
    <w:rsid w:val="76743ADB"/>
    <w:rsid w:val="76756513"/>
    <w:rsid w:val="77B891DB"/>
    <w:rsid w:val="77F12E13"/>
    <w:rsid w:val="78BB5EFA"/>
    <w:rsid w:val="79719753"/>
    <w:rsid w:val="79ABD2D0"/>
    <w:rsid w:val="7AD4E0C3"/>
    <w:rsid w:val="7B8C3662"/>
    <w:rsid w:val="7C0DA907"/>
    <w:rsid w:val="7CAD6B7E"/>
    <w:rsid w:val="7CE38C95"/>
    <w:rsid w:val="7DDE84FD"/>
    <w:rsid w:val="7DFE9554"/>
    <w:rsid w:val="7E8F2228"/>
    <w:rsid w:val="7EA09AF4"/>
    <w:rsid w:val="7EAC51D4"/>
    <w:rsid w:val="7F735D9C"/>
    <w:rsid w:val="7F8AF0DB"/>
    <w:rsid w:val="7FAF916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6AFF42CB"/>
  <w15:docId w15:val="{99F06B72-E974-4171-9C2A-24F2E4250D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5216"/>
    <w:pPr>
      <w:spacing w:before="120" w:after="120" w:line="288" w:lineRule="auto"/>
      <w:jc w:val="both"/>
    </w:pPr>
    <w:rPr>
      <w:rFonts w:ascii="Calibri" w:eastAsia="Times New Roman" w:hAnsi="Calibri" w:cs="Calibri"/>
      <w:color w:val="000000"/>
      <w:sz w:val="22"/>
    </w:rPr>
  </w:style>
  <w:style w:type="paragraph" w:styleId="Heading1">
    <w:name w:val="heading 1"/>
    <w:next w:val="Normal"/>
    <w:link w:val="Heading1Char"/>
    <w:uiPriority w:val="9"/>
    <w:qFormat/>
    <w:pPr>
      <w:keepNext/>
      <w:keepLines/>
      <w:spacing w:after="0" w:line="259" w:lineRule="auto"/>
      <w:outlineLvl w:val="0"/>
    </w:pPr>
    <w:rPr>
      <w:rFonts w:ascii="Times New Roman" w:eastAsia="Times New Roman" w:hAnsi="Times New Roman" w:cs="Times New Roman"/>
      <w:color w:val="2F5496"/>
      <w:sz w:val="32"/>
    </w:rPr>
  </w:style>
  <w:style w:type="paragraph" w:styleId="Heading2">
    <w:name w:val="heading 2"/>
    <w:next w:val="Normal"/>
    <w:link w:val="Heading2Char"/>
    <w:uiPriority w:val="9"/>
    <w:unhideWhenUsed/>
    <w:qFormat/>
    <w:rsid w:val="0006794E"/>
    <w:pPr>
      <w:keepNext/>
      <w:keepLines/>
      <w:numPr>
        <w:numId w:val="1"/>
      </w:numPr>
      <w:spacing w:after="0" w:line="266" w:lineRule="auto"/>
      <w:ind w:left="459" w:hanging="459"/>
      <w:outlineLvl w:val="1"/>
    </w:pPr>
    <w:rPr>
      <w:rFonts w:ascii="Calibri" w:eastAsia="Times New Roman" w:hAnsi="Calibri" w:cs="Calibri"/>
      <w:b/>
      <w:bCs/>
      <w:color w:val="00435D"/>
      <w:sz w:val="44"/>
      <w:szCs w:val="36"/>
    </w:rPr>
  </w:style>
  <w:style w:type="paragraph" w:styleId="Heading3">
    <w:name w:val="heading 3"/>
    <w:next w:val="Normal"/>
    <w:link w:val="Heading3Char"/>
    <w:uiPriority w:val="9"/>
    <w:unhideWhenUsed/>
    <w:qFormat/>
    <w:rsid w:val="00DA5EDF"/>
    <w:pPr>
      <w:keepNext/>
      <w:keepLines/>
      <w:numPr>
        <w:ilvl w:val="1"/>
        <w:numId w:val="1"/>
      </w:numPr>
      <w:spacing w:after="80" w:line="264" w:lineRule="auto"/>
      <w:ind w:left="357" w:hanging="357"/>
      <w:outlineLvl w:val="2"/>
    </w:pPr>
    <w:rPr>
      <w:rFonts w:ascii="Calibri" w:eastAsia="Times New Roman" w:hAnsi="Calibri" w:cs="Calibri"/>
      <w:b/>
      <w:bCs/>
      <w:color w:val="01B9BE"/>
      <w:sz w:val="28"/>
    </w:rPr>
  </w:style>
  <w:style w:type="paragraph" w:styleId="Heading4">
    <w:name w:val="heading 4"/>
    <w:basedOn w:val="Normal"/>
    <w:next w:val="Normal"/>
    <w:link w:val="Heading4Char"/>
    <w:uiPriority w:val="9"/>
    <w:unhideWhenUsed/>
    <w:qFormat/>
    <w:rsid w:val="004B7EAB"/>
    <w:pPr>
      <w:numPr>
        <w:ilvl w:val="2"/>
        <w:numId w:val="1"/>
      </w:numPr>
      <w:ind w:left="357" w:hanging="357"/>
      <w:outlineLvl w:val="3"/>
    </w:pPr>
    <w:rPr>
      <w:b/>
      <w:bCs/>
      <w:i/>
      <w:iCs/>
      <w:color w:val="0070C0"/>
    </w:rPr>
  </w:style>
  <w:style w:type="paragraph" w:styleId="Heading5">
    <w:name w:val="heading 5"/>
    <w:basedOn w:val="Normal"/>
    <w:next w:val="Normal"/>
    <w:link w:val="Heading5Char"/>
    <w:uiPriority w:val="9"/>
    <w:unhideWhenUsed/>
    <w:qFormat/>
    <w:rsid w:val="00F469F9"/>
    <w:pPr>
      <w:keepNext/>
      <w:keepLines/>
      <w:spacing w:before="40" w:after="0"/>
      <w:outlineLvl w:val="4"/>
    </w:pPr>
    <w:rPr>
      <w:rFonts w:asciiTheme="majorHAnsi" w:eastAsiaTheme="majorEastAsia" w:hAnsiTheme="majorHAnsi" w:cstheme="majorBidi"/>
      <w:b/>
      <w:bCs/>
      <w:color w:val="003145" w:themeColor="accent1" w:themeShade="BF"/>
    </w:rPr>
  </w:style>
  <w:style w:type="paragraph" w:styleId="Heading6">
    <w:name w:val="heading 6"/>
    <w:basedOn w:val="Normal"/>
    <w:next w:val="Normal"/>
    <w:link w:val="Heading6Char"/>
    <w:uiPriority w:val="9"/>
    <w:semiHidden/>
    <w:unhideWhenUsed/>
    <w:qFormat/>
    <w:rsid w:val="00A11108"/>
    <w:pPr>
      <w:keepNext/>
      <w:keepLines/>
      <w:spacing w:before="40" w:after="0"/>
      <w:outlineLvl w:val="5"/>
    </w:pPr>
    <w:rPr>
      <w:rFonts w:asciiTheme="majorHAnsi" w:eastAsiaTheme="majorEastAsia" w:hAnsiTheme="majorHAnsi" w:cstheme="majorBidi"/>
      <w:color w:val="00212E"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
    <w:rsid w:val="00282C9E"/>
    <w:rPr>
      <w:rFonts w:ascii="Calibri" w:eastAsia="Times New Roman" w:hAnsi="Calibri" w:cs="Calibri"/>
      <w:b/>
      <w:bCs/>
      <w:color w:val="01B9BE"/>
      <w:sz w:val="28"/>
    </w:rPr>
  </w:style>
  <w:style w:type="character" w:customStyle="1" w:styleId="Heading1Char">
    <w:name w:val="Heading 1 Char"/>
    <w:link w:val="Heading1"/>
    <w:rPr>
      <w:rFonts w:ascii="Times New Roman" w:eastAsia="Times New Roman" w:hAnsi="Times New Roman" w:cs="Times New Roman"/>
      <w:color w:val="2F5496"/>
      <w:sz w:val="32"/>
    </w:rPr>
  </w:style>
  <w:style w:type="character" w:customStyle="1" w:styleId="Heading2Char">
    <w:name w:val="Heading 2 Char"/>
    <w:link w:val="Heading2"/>
    <w:uiPriority w:val="9"/>
    <w:rsid w:val="0045566D"/>
    <w:rPr>
      <w:rFonts w:ascii="Calibri" w:eastAsia="Times New Roman" w:hAnsi="Calibri" w:cs="Calibri"/>
      <w:b/>
      <w:bCs/>
      <w:color w:val="00435D"/>
      <w:sz w:val="44"/>
      <w:szCs w:val="3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Title">
    <w:name w:val="Title"/>
    <w:basedOn w:val="Normal"/>
    <w:next w:val="Normal"/>
    <w:link w:val="TitleChar"/>
    <w:uiPriority w:val="10"/>
    <w:qFormat/>
    <w:rsid w:val="00371E2E"/>
    <w:pPr>
      <w:spacing w:after="0" w:line="240" w:lineRule="auto"/>
      <w:contextualSpacing/>
    </w:pPr>
    <w:rPr>
      <w:b/>
      <w:bCs/>
      <w:color w:val="auto"/>
      <w:spacing w:val="-10"/>
      <w:kern w:val="28"/>
      <w:sz w:val="56"/>
      <w:szCs w:val="56"/>
    </w:rPr>
  </w:style>
  <w:style w:type="character" w:customStyle="1" w:styleId="TitleChar">
    <w:name w:val="Title Char"/>
    <w:basedOn w:val="DefaultParagraphFont"/>
    <w:link w:val="Title"/>
    <w:uiPriority w:val="10"/>
    <w:rsid w:val="00371E2E"/>
    <w:rPr>
      <w:rFonts w:ascii="Calibri" w:eastAsia="Times New Roman" w:hAnsi="Calibri" w:cs="Calibri"/>
      <w:b/>
      <w:bCs/>
      <w:spacing w:val="-10"/>
      <w:kern w:val="28"/>
      <w:sz w:val="56"/>
      <w:szCs w:val="56"/>
    </w:rPr>
  </w:style>
  <w:style w:type="paragraph" w:styleId="TOC1">
    <w:name w:val="toc 1"/>
    <w:basedOn w:val="Normal"/>
    <w:next w:val="Normal"/>
    <w:autoRedefine/>
    <w:uiPriority w:val="39"/>
    <w:unhideWhenUsed/>
    <w:rsid w:val="007934EF"/>
    <w:pPr>
      <w:tabs>
        <w:tab w:val="right" w:leader="dot" w:pos="9021"/>
      </w:tabs>
      <w:spacing w:after="100" w:line="480" w:lineRule="auto"/>
    </w:pPr>
    <w:rPr>
      <w:b/>
    </w:rPr>
  </w:style>
  <w:style w:type="paragraph" w:styleId="TOC2">
    <w:name w:val="toc 2"/>
    <w:basedOn w:val="Normal"/>
    <w:next w:val="Normal"/>
    <w:autoRedefine/>
    <w:uiPriority w:val="39"/>
    <w:unhideWhenUsed/>
    <w:rsid w:val="00123BA8"/>
    <w:pPr>
      <w:spacing w:after="100"/>
      <w:ind w:left="220"/>
    </w:pPr>
    <w:rPr>
      <w:sz w:val="21"/>
    </w:rPr>
  </w:style>
  <w:style w:type="character" w:styleId="Hyperlink">
    <w:name w:val="Hyperlink"/>
    <w:basedOn w:val="DefaultParagraphFont"/>
    <w:uiPriority w:val="99"/>
    <w:unhideWhenUsed/>
    <w:rsid w:val="00123BA8"/>
    <w:rPr>
      <w:color w:val="00435D" w:themeColor="hyperlink"/>
      <w:u w:val="single"/>
    </w:rPr>
  </w:style>
  <w:style w:type="paragraph" w:styleId="ListParagraph">
    <w:name w:val="List Paragraph"/>
    <w:basedOn w:val="ListBullet"/>
    <w:uiPriority w:val="34"/>
    <w:qFormat/>
    <w:rsid w:val="00A658C1"/>
    <w:pPr>
      <w:ind w:left="792"/>
      <w:contextualSpacing w:val="0"/>
    </w:pPr>
  </w:style>
  <w:style w:type="character" w:customStyle="1" w:styleId="Heading4Char">
    <w:name w:val="Heading 4 Char"/>
    <w:basedOn w:val="DefaultParagraphFont"/>
    <w:link w:val="Heading4"/>
    <w:uiPriority w:val="9"/>
    <w:rsid w:val="000A4863"/>
    <w:rPr>
      <w:rFonts w:ascii="Calibri" w:eastAsia="Times New Roman" w:hAnsi="Calibri" w:cs="Calibri"/>
      <w:b/>
      <w:bCs/>
      <w:i/>
      <w:iCs/>
      <w:color w:val="0070C0"/>
      <w:sz w:val="22"/>
    </w:rPr>
  </w:style>
  <w:style w:type="paragraph" w:styleId="BodyText">
    <w:name w:val="Body Text"/>
    <w:basedOn w:val="Normal"/>
    <w:link w:val="BodyTextChar"/>
    <w:uiPriority w:val="1"/>
    <w:qFormat/>
    <w:rsid w:val="00C0727F"/>
    <w:pPr>
      <w:widowControl w:val="0"/>
      <w:autoSpaceDE w:val="0"/>
      <w:autoSpaceDN w:val="0"/>
      <w:spacing w:after="0" w:line="240" w:lineRule="auto"/>
      <w:jc w:val="left"/>
    </w:pPr>
    <w:rPr>
      <w:rFonts w:ascii="Trebuchet MS" w:eastAsia="Trebuchet MS" w:hAnsi="Trebuchet MS" w:cs="Trebuchet MS"/>
      <w:color w:val="auto"/>
      <w:kern w:val="0"/>
      <w:szCs w:val="22"/>
      <w:lang w:val="en-US" w:eastAsia="en-US"/>
      <w14:ligatures w14:val="none"/>
    </w:rPr>
  </w:style>
  <w:style w:type="character" w:customStyle="1" w:styleId="BodyTextChar">
    <w:name w:val="Body Text Char"/>
    <w:basedOn w:val="DefaultParagraphFont"/>
    <w:link w:val="BodyText"/>
    <w:uiPriority w:val="1"/>
    <w:rsid w:val="00C0727F"/>
    <w:rPr>
      <w:rFonts w:ascii="Trebuchet MS" w:eastAsia="Trebuchet MS" w:hAnsi="Trebuchet MS" w:cs="Trebuchet MS"/>
      <w:kern w:val="0"/>
      <w:sz w:val="22"/>
      <w:szCs w:val="22"/>
      <w:lang w:val="en-US" w:eastAsia="en-US"/>
      <w14:ligatures w14:val="none"/>
    </w:rPr>
  </w:style>
  <w:style w:type="paragraph" w:styleId="NormalWeb">
    <w:name w:val="Normal (Web)"/>
    <w:basedOn w:val="Normal"/>
    <w:uiPriority w:val="99"/>
    <w:unhideWhenUsed/>
    <w:rsid w:val="004525BA"/>
    <w:rPr>
      <w:rFonts w:ascii="Times New Roman" w:hAnsi="Times New Roman" w:cs="Times New Roman"/>
      <w:sz w:val="24"/>
    </w:rPr>
  </w:style>
  <w:style w:type="paragraph" w:styleId="FootnoteText">
    <w:name w:val="footnote text"/>
    <w:basedOn w:val="Normal"/>
    <w:link w:val="FootnoteTextChar"/>
    <w:uiPriority w:val="99"/>
    <w:unhideWhenUsed/>
    <w:rsid w:val="004139E3"/>
    <w:pPr>
      <w:spacing w:after="0" w:line="240" w:lineRule="auto"/>
    </w:pPr>
    <w:rPr>
      <w:sz w:val="20"/>
      <w:szCs w:val="20"/>
    </w:rPr>
  </w:style>
  <w:style w:type="character" w:customStyle="1" w:styleId="FootnoteTextChar">
    <w:name w:val="Footnote Text Char"/>
    <w:basedOn w:val="DefaultParagraphFont"/>
    <w:link w:val="FootnoteText"/>
    <w:uiPriority w:val="99"/>
    <w:rsid w:val="004139E3"/>
    <w:rPr>
      <w:rFonts w:ascii="Calibri" w:eastAsia="Times New Roman" w:hAnsi="Calibri" w:cs="Calibri"/>
      <w:color w:val="000000"/>
      <w:sz w:val="20"/>
      <w:szCs w:val="20"/>
    </w:rPr>
  </w:style>
  <w:style w:type="character" w:styleId="FootnoteReference">
    <w:name w:val="footnote reference"/>
    <w:basedOn w:val="DefaultParagraphFont"/>
    <w:uiPriority w:val="99"/>
    <w:unhideWhenUsed/>
    <w:rsid w:val="004139E3"/>
    <w:rPr>
      <w:vertAlign w:val="superscript"/>
    </w:rPr>
  </w:style>
  <w:style w:type="character" w:styleId="UnresolvedMention">
    <w:name w:val="Unresolved Mention"/>
    <w:basedOn w:val="DefaultParagraphFont"/>
    <w:uiPriority w:val="99"/>
    <w:semiHidden/>
    <w:unhideWhenUsed/>
    <w:rsid w:val="007904EC"/>
    <w:rPr>
      <w:color w:val="605E5C"/>
      <w:shd w:val="clear" w:color="auto" w:fill="E1DFDD"/>
    </w:rPr>
  </w:style>
  <w:style w:type="character" w:styleId="CommentReference">
    <w:name w:val="annotation reference"/>
    <w:basedOn w:val="DefaultParagraphFont"/>
    <w:uiPriority w:val="99"/>
    <w:semiHidden/>
    <w:unhideWhenUsed/>
    <w:rsid w:val="002C331A"/>
    <w:rPr>
      <w:sz w:val="16"/>
      <w:szCs w:val="16"/>
    </w:rPr>
  </w:style>
  <w:style w:type="paragraph" w:styleId="CommentText">
    <w:name w:val="annotation text"/>
    <w:basedOn w:val="Normal"/>
    <w:link w:val="CommentTextChar"/>
    <w:uiPriority w:val="99"/>
    <w:unhideWhenUsed/>
    <w:rsid w:val="002C331A"/>
    <w:pPr>
      <w:spacing w:line="240" w:lineRule="auto"/>
    </w:pPr>
    <w:rPr>
      <w:sz w:val="20"/>
      <w:szCs w:val="20"/>
    </w:rPr>
  </w:style>
  <w:style w:type="character" w:customStyle="1" w:styleId="CommentTextChar">
    <w:name w:val="Comment Text Char"/>
    <w:basedOn w:val="DefaultParagraphFont"/>
    <w:link w:val="CommentText"/>
    <w:uiPriority w:val="99"/>
    <w:rsid w:val="002C331A"/>
    <w:rPr>
      <w:rFonts w:ascii="Calibri" w:eastAsia="Times New Roman"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2C331A"/>
    <w:rPr>
      <w:b/>
      <w:bCs/>
    </w:rPr>
  </w:style>
  <w:style w:type="character" w:customStyle="1" w:styleId="CommentSubjectChar">
    <w:name w:val="Comment Subject Char"/>
    <w:basedOn w:val="CommentTextChar"/>
    <w:link w:val="CommentSubject"/>
    <w:uiPriority w:val="99"/>
    <w:semiHidden/>
    <w:rsid w:val="002C331A"/>
    <w:rPr>
      <w:rFonts w:ascii="Calibri" w:eastAsia="Times New Roman" w:hAnsi="Calibri" w:cs="Calibri"/>
      <w:b/>
      <w:bCs/>
      <w:color w:val="000000"/>
      <w:sz w:val="20"/>
      <w:szCs w:val="20"/>
    </w:rPr>
  </w:style>
  <w:style w:type="character" w:styleId="Mention">
    <w:name w:val="Mention"/>
    <w:basedOn w:val="DefaultParagraphFont"/>
    <w:uiPriority w:val="99"/>
    <w:unhideWhenUsed/>
    <w:rsid w:val="00730ACA"/>
    <w:rPr>
      <w:color w:val="2B579A"/>
      <w:shd w:val="clear" w:color="auto" w:fill="E1DFDD"/>
    </w:rPr>
  </w:style>
  <w:style w:type="paragraph" w:styleId="Header">
    <w:name w:val="header"/>
    <w:basedOn w:val="Normal"/>
    <w:link w:val="HeaderChar"/>
    <w:uiPriority w:val="99"/>
    <w:unhideWhenUsed/>
    <w:rsid w:val="00BD405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D405E"/>
    <w:rPr>
      <w:rFonts w:ascii="Calibri" w:eastAsia="Times New Roman" w:hAnsi="Calibri" w:cs="Calibri"/>
      <w:color w:val="000000"/>
      <w:sz w:val="22"/>
    </w:rPr>
  </w:style>
  <w:style w:type="paragraph" w:styleId="Footer">
    <w:name w:val="footer"/>
    <w:basedOn w:val="Normal"/>
    <w:link w:val="FooterChar"/>
    <w:uiPriority w:val="99"/>
    <w:unhideWhenUsed/>
    <w:rsid w:val="00BD405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D405E"/>
    <w:rPr>
      <w:rFonts w:ascii="Calibri" w:eastAsia="Times New Roman" w:hAnsi="Calibri" w:cs="Calibri"/>
      <w:color w:val="000000"/>
      <w:sz w:val="22"/>
    </w:rPr>
  </w:style>
  <w:style w:type="table" w:styleId="TableGrid0">
    <w:name w:val="Table Grid"/>
    <w:basedOn w:val="TableNormal"/>
    <w:uiPriority w:val="39"/>
    <w:rsid w:val="005560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B90D6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ListBullet">
    <w:name w:val="List Bullet"/>
    <w:basedOn w:val="Normal"/>
    <w:uiPriority w:val="99"/>
    <w:semiHidden/>
    <w:unhideWhenUsed/>
    <w:rsid w:val="00B7335C"/>
    <w:pPr>
      <w:numPr>
        <w:numId w:val="14"/>
      </w:numPr>
      <w:contextualSpacing/>
    </w:pPr>
  </w:style>
  <w:style w:type="table" w:styleId="GridTable7ColourfulAccent2">
    <w:name w:val="Grid Table 7 Colorful Accent 2"/>
    <w:basedOn w:val="TableNormal"/>
    <w:uiPriority w:val="52"/>
    <w:rsid w:val="003B7012"/>
    <w:pPr>
      <w:spacing w:after="0" w:line="240" w:lineRule="auto"/>
    </w:pPr>
    <w:rPr>
      <w:color w:val="008A8E" w:themeColor="accent2" w:themeShade="BF"/>
    </w:rPr>
    <w:tblPr>
      <w:tblStyleRowBandSize w:val="1"/>
      <w:tblStyleColBandSize w:val="1"/>
      <w:tblBorders>
        <w:top w:val="single" w:sz="4" w:space="0" w:color="40F8FE" w:themeColor="accent2" w:themeTint="99"/>
        <w:left w:val="single" w:sz="4" w:space="0" w:color="40F8FE" w:themeColor="accent2" w:themeTint="99"/>
        <w:bottom w:val="single" w:sz="4" w:space="0" w:color="40F8FE" w:themeColor="accent2" w:themeTint="99"/>
        <w:right w:val="single" w:sz="4" w:space="0" w:color="40F8FE" w:themeColor="accent2" w:themeTint="99"/>
        <w:insideH w:val="single" w:sz="4" w:space="0" w:color="40F8FE" w:themeColor="accent2" w:themeTint="99"/>
        <w:insideV w:val="single" w:sz="4" w:space="0" w:color="40F8F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FFCFE" w:themeFill="accent2" w:themeFillTint="33"/>
      </w:tcPr>
    </w:tblStylePr>
    <w:tblStylePr w:type="band1Horz">
      <w:tblPr/>
      <w:tcPr>
        <w:shd w:val="clear" w:color="auto" w:fill="BFFCFE" w:themeFill="accent2" w:themeFillTint="33"/>
      </w:tcPr>
    </w:tblStylePr>
    <w:tblStylePr w:type="neCell">
      <w:tblPr/>
      <w:tcPr>
        <w:tcBorders>
          <w:bottom w:val="single" w:sz="4" w:space="0" w:color="40F8FE" w:themeColor="accent2" w:themeTint="99"/>
        </w:tcBorders>
      </w:tcPr>
    </w:tblStylePr>
    <w:tblStylePr w:type="nwCell">
      <w:tblPr/>
      <w:tcPr>
        <w:tcBorders>
          <w:bottom w:val="single" w:sz="4" w:space="0" w:color="40F8FE" w:themeColor="accent2" w:themeTint="99"/>
        </w:tcBorders>
      </w:tcPr>
    </w:tblStylePr>
    <w:tblStylePr w:type="seCell">
      <w:tblPr/>
      <w:tcPr>
        <w:tcBorders>
          <w:top w:val="single" w:sz="4" w:space="0" w:color="40F8FE" w:themeColor="accent2" w:themeTint="99"/>
        </w:tcBorders>
      </w:tcPr>
    </w:tblStylePr>
    <w:tblStylePr w:type="swCell">
      <w:tblPr/>
      <w:tcPr>
        <w:tcBorders>
          <w:top w:val="single" w:sz="4" w:space="0" w:color="40F8FE" w:themeColor="accent2" w:themeTint="99"/>
        </w:tcBorders>
      </w:tcPr>
    </w:tblStylePr>
  </w:style>
  <w:style w:type="table" w:styleId="GridTable3-Accent2">
    <w:name w:val="Grid Table 3 Accent 2"/>
    <w:basedOn w:val="TableNormal"/>
    <w:uiPriority w:val="48"/>
    <w:rsid w:val="000B6CA2"/>
    <w:pPr>
      <w:spacing w:after="0" w:line="240" w:lineRule="auto"/>
    </w:pPr>
    <w:tblPr>
      <w:tblStyleRowBandSize w:val="1"/>
      <w:tblStyleColBandSize w:val="1"/>
      <w:tblBorders>
        <w:top w:val="single" w:sz="4" w:space="0" w:color="40F8FE" w:themeColor="accent2" w:themeTint="99"/>
        <w:left w:val="single" w:sz="4" w:space="0" w:color="40F8FE" w:themeColor="accent2" w:themeTint="99"/>
        <w:bottom w:val="single" w:sz="4" w:space="0" w:color="40F8FE" w:themeColor="accent2" w:themeTint="99"/>
        <w:right w:val="single" w:sz="4" w:space="0" w:color="40F8FE" w:themeColor="accent2" w:themeTint="99"/>
        <w:insideH w:val="single" w:sz="4" w:space="0" w:color="40F8FE" w:themeColor="accent2" w:themeTint="99"/>
        <w:insideV w:val="single" w:sz="4" w:space="0" w:color="40F8F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FFCFE" w:themeFill="accent2" w:themeFillTint="33"/>
      </w:tcPr>
    </w:tblStylePr>
    <w:tblStylePr w:type="band1Horz">
      <w:tblPr/>
      <w:tcPr>
        <w:shd w:val="clear" w:color="auto" w:fill="BFFCFE" w:themeFill="accent2" w:themeFillTint="33"/>
      </w:tcPr>
    </w:tblStylePr>
    <w:tblStylePr w:type="neCell">
      <w:tblPr/>
      <w:tcPr>
        <w:tcBorders>
          <w:bottom w:val="single" w:sz="4" w:space="0" w:color="40F8FE" w:themeColor="accent2" w:themeTint="99"/>
        </w:tcBorders>
      </w:tcPr>
    </w:tblStylePr>
    <w:tblStylePr w:type="nwCell">
      <w:tblPr/>
      <w:tcPr>
        <w:tcBorders>
          <w:bottom w:val="single" w:sz="4" w:space="0" w:color="40F8FE" w:themeColor="accent2" w:themeTint="99"/>
        </w:tcBorders>
      </w:tcPr>
    </w:tblStylePr>
    <w:tblStylePr w:type="seCell">
      <w:tblPr/>
      <w:tcPr>
        <w:tcBorders>
          <w:top w:val="single" w:sz="4" w:space="0" w:color="40F8FE" w:themeColor="accent2" w:themeTint="99"/>
        </w:tcBorders>
      </w:tcPr>
    </w:tblStylePr>
    <w:tblStylePr w:type="swCell">
      <w:tblPr/>
      <w:tcPr>
        <w:tcBorders>
          <w:top w:val="single" w:sz="4" w:space="0" w:color="40F8FE" w:themeColor="accent2" w:themeTint="99"/>
        </w:tcBorders>
      </w:tcPr>
    </w:tblStylePr>
  </w:style>
  <w:style w:type="table" w:styleId="GridTable1LightAccent2">
    <w:name w:val="Grid Table 1 Light Accent 2"/>
    <w:basedOn w:val="TableNormal"/>
    <w:uiPriority w:val="46"/>
    <w:rsid w:val="000B6CA2"/>
    <w:pPr>
      <w:spacing w:after="0" w:line="240" w:lineRule="auto"/>
    </w:pPr>
    <w:tblPr>
      <w:tblStyleRowBandSize w:val="1"/>
      <w:tblStyleColBandSize w:val="1"/>
      <w:tblBorders>
        <w:top w:val="single" w:sz="4" w:space="0" w:color="80FAFE" w:themeColor="accent2" w:themeTint="66"/>
        <w:left w:val="single" w:sz="4" w:space="0" w:color="80FAFE" w:themeColor="accent2" w:themeTint="66"/>
        <w:bottom w:val="single" w:sz="4" w:space="0" w:color="80FAFE" w:themeColor="accent2" w:themeTint="66"/>
        <w:right w:val="single" w:sz="4" w:space="0" w:color="80FAFE" w:themeColor="accent2" w:themeTint="66"/>
        <w:insideH w:val="single" w:sz="4" w:space="0" w:color="80FAFE" w:themeColor="accent2" w:themeTint="66"/>
        <w:insideV w:val="single" w:sz="4" w:space="0" w:color="80FAFE" w:themeColor="accent2" w:themeTint="66"/>
      </w:tblBorders>
    </w:tblPr>
    <w:tblStylePr w:type="firstRow">
      <w:rPr>
        <w:b/>
        <w:bCs/>
      </w:rPr>
      <w:tblPr/>
      <w:tcPr>
        <w:tcBorders>
          <w:bottom w:val="single" w:sz="12" w:space="0" w:color="40F8FE" w:themeColor="accent2" w:themeTint="99"/>
        </w:tcBorders>
      </w:tcPr>
    </w:tblStylePr>
    <w:tblStylePr w:type="lastRow">
      <w:rPr>
        <w:b/>
        <w:bCs/>
      </w:rPr>
      <w:tblPr/>
      <w:tcPr>
        <w:tcBorders>
          <w:top w:val="double" w:sz="2" w:space="0" w:color="40F8FE" w:themeColor="accent2" w:themeTint="99"/>
        </w:tcBorders>
      </w:tcPr>
    </w:tblStylePr>
    <w:tblStylePr w:type="firstCol">
      <w:rPr>
        <w:b/>
        <w:bCs/>
      </w:rPr>
    </w:tblStylePr>
    <w:tblStylePr w:type="lastCol">
      <w:rPr>
        <w:b/>
        <w:bCs/>
      </w:rPr>
    </w:tblStylePr>
  </w:style>
  <w:style w:type="table" w:styleId="GridTable6ColourfulAccent2">
    <w:name w:val="Grid Table 6 Colorful Accent 2"/>
    <w:basedOn w:val="TableNormal"/>
    <w:uiPriority w:val="51"/>
    <w:rsid w:val="000B6CA2"/>
    <w:pPr>
      <w:spacing w:after="0" w:line="240" w:lineRule="auto"/>
    </w:pPr>
    <w:rPr>
      <w:color w:val="008A8E" w:themeColor="accent2" w:themeShade="BF"/>
    </w:rPr>
    <w:tblPr>
      <w:tblStyleRowBandSize w:val="1"/>
      <w:tblStyleColBandSize w:val="1"/>
      <w:tblBorders>
        <w:top w:val="single" w:sz="4" w:space="0" w:color="40F8FE" w:themeColor="accent2" w:themeTint="99"/>
        <w:left w:val="single" w:sz="4" w:space="0" w:color="40F8FE" w:themeColor="accent2" w:themeTint="99"/>
        <w:bottom w:val="single" w:sz="4" w:space="0" w:color="40F8FE" w:themeColor="accent2" w:themeTint="99"/>
        <w:right w:val="single" w:sz="4" w:space="0" w:color="40F8FE" w:themeColor="accent2" w:themeTint="99"/>
        <w:insideH w:val="single" w:sz="4" w:space="0" w:color="40F8FE" w:themeColor="accent2" w:themeTint="99"/>
        <w:insideV w:val="single" w:sz="4" w:space="0" w:color="40F8FE" w:themeColor="accent2" w:themeTint="99"/>
      </w:tblBorders>
    </w:tblPr>
    <w:tblStylePr w:type="firstRow">
      <w:rPr>
        <w:b/>
        <w:bCs/>
      </w:rPr>
      <w:tblPr/>
      <w:tcPr>
        <w:tcBorders>
          <w:bottom w:val="single" w:sz="12" w:space="0" w:color="40F8FE" w:themeColor="accent2" w:themeTint="99"/>
        </w:tcBorders>
      </w:tcPr>
    </w:tblStylePr>
    <w:tblStylePr w:type="lastRow">
      <w:rPr>
        <w:b/>
        <w:bCs/>
      </w:rPr>
      <w:tblPr/>
      <w:tcPr>
        <w:tcBorders>
          <w:top w:val="double" w:sz="4" w:space="0" w:color="40F8FE" w:themeColor="accent2" w:themeTint="99"/>
        </w:tcBorders>
      </w:tcPr>
    </w:tblStylePr>
    <w:tblStylePr w:type="firstCol">
      <w:rPr>
        <w:b/>
        <w:bCs/>
      </w:rPr>
    </w:tblStylePr>
    <w:tblStylePr w:type="lastCol">
      <w:rPr>
        <w:b/>
        <w:bCs/>
      </w:rPr>
    </w:tblStylePr>
    <w:tblStylePr w:type="band1Vert">
      <w:tblPr/>
      <w:tcPr>
        <w:shd w:val="clear" w:color="auto" w:fill="BFFCFE" w:themeFill="accent2" w:themeFillTint="33"/>
      </w:tcPr>
    </w:tblStylePr>
    <w:tblStylePr w:type="band1Horz">
      <w:tblPr/>
      <w:tcPr>
        <w:shd w:val="clear" w:color="auto" w:fill="BFFCFE" w:themeFill="accent2" w:themeFillTint="33"/>
      </w:tcPr>
    </w:tblStylePr>
  </w:style>
  <w:style w:type="table" w:styleId="GridTable1Light-Accent6">
    <w:name w:val="Grid Table 1 Light Accent 6"/>
    <w:basedOn w:val="TableNormal"/>
    <w:uiPriority w:val="46"/>
    <w:rsid w:val="00B11863"/>
    <w:pPr>
      <w:spacing w:after="0" w:line="240" w:lineRule="auto"/>
    </w:pPr>
    <w:tblPr>
      <w:tblStyleRowBandSize w:val="1"/>
      <w:tblStyleColBandSize w:val="1"/>
      <w:tblBorders>
        <w:top w:val="single" w:sz="4" w:space="0" w:color="CEE8C1" w:themeColor="accent6" w:themeTint="66"/>
        <w:left w:val="single" w:sz="4" w:space="0" w:color="CEE8C1" w:themeColor="accent6" w:themeTint="66"/>
        <w:bottom w:val="single" w:sz="4" w:space="0" w:color="CEE8C1" w:themeColor="accent6" w:themeTint="66"/>
        <w:right w:val="single" w:sz="4" w:space="0" w:color="CEE8C1" w:themeColor="accent6" w:themeTint="66"/>
        <w:insideH w:val="single" w:sz="4" w:space="0" w:color="CEE8C1" w:themeColor="accent6" w:themeTint="66"/>
        <w:insideV w:val="single" w:sz="4" w:space="0" w:color="CEE8C1" w:themeColor="accent6" w:themeTint="66"/>
      </w:tblBorders>
    </w:tblPr>
    <w:tblStylePr w:type="firstRow">
      <w:rPr>
        <w:b/>
        <w:bCs/>
      </w:rPr>
      <w:tblPr/>
      <w:tcPr>
        <w:tcBorders>
          <w:bottom w:val="single" w:sz="12" w:space="0" w:color="B6DDA2" w:themeColor="accent6" w:themeTint="99"/>
        </w:tcBorders>
      </w:tcPr>
    </w:tblStylePr>
    <w:tblStylePr w:type="lastRow">
      <w:rPr>
        <w:b/>
        <w:bCs/>
      </w:rPr>
      <w:tblPr/>
      <w:tcPr>
        <w:tcBorders>
          <w:top w:val="double" w:sz="2" w:space="0" w:color="B6DDA2" w:themeColor="accent6" w:themeTint="99"/>
        </w:tcBorders>
      </w:tcPr>
    </w:tblStylePr>
    <w:tblStylePr w:type="firstCol">
      <w:rPr>
        <w:b/>
        <w:bCs/>
      </w:rPr>
    </w:tblStylePr>
    <w:tblStylePr w:type="lastCol">
      <w:rPr>
        <w:b/>
        <w:bCs/>
      </w:rPr>
    </w:tblStylePr>
  </w:style>
  <w:style w:type="paragraph" w:styleId="EndnoteText">
    <w:name w:val="endnote text"/>
    <w:basedOn w:val="Normal"/>
    <w:link w:val="EndnoteTextChar"/>
    <w:uiPriority w:val="99"/>
    <w:unhideWhenUsed/>
    <w:rsid w:val="00052EE9"/>
    <w:pPr>
      <w:spacing w:after="0" w:line="240" w:lineRule="auto"/>
    </w:pPr>
    <w:rPr>
      <w:sz w:val="20"/>
      <w:szCs w:val="20"/>
    </w:rPr>
  </w:style>
  <w:style w:type="character" w:customStyle="1" w:styleId="EndnoteTextChar">
    <w:name w:val="Endnote Text Char"/>
    <w:basedOn w:val="DefaultParagraphFont"/>
    <w:link w:val="EndnoteText"/>
    <w:uiPriority w:val="99"/>
    <w:rsid w:val="00052EE9"/>
    <w:rPr>
      <w:rFonts w:ascii="Calibri" w:eastAsia="Times New Roman" w:hAnsi="Calibri" w:cs="Calibri"/>
      <w:color w:val="000000"/>
      <w:sz w:val="20"/>
      <w:szCs w:val="20"/>
    </w:rPr>
  </w:style>
  <w:style w:type="character" w:styleId="EndnoteReference">
    <w:name w:val="endnote reference"/>
    <w:basedOn w:val="DefaultParagraphFont"/>
    <w:uiPriority w:val="99"/>
    <w:unhideWhenUsed/>
    <w:rsid w:val="00052EE9"/>
    <w:rPr>
      <w:vertAlign w:val="superscript"/>
    </w:rPr>
  </w:style>
  <w:style w:type="character" w:styleId="FollowedHyperlink">
    <w:name w:val="FollowedHyperlink"/>
    <w:basedOn w:val="DefaultParagraphFont"/>
    <w:uiPriority w:val="99"/>
    <w:semiHidden/>
    <w:unhideWhenUsed/>
    <w:rsid w:val="00052EE9"/>
    <w:rPr>
      <w:color w:val="01B9BE" w:themeColor="followedHyperlink"/>
      <w:u w:val="single"/>
    </w:rPr>
  </w:style>
  <w:style w:type="paragraph" w:styleId="TOCHeading">
    <w:name w:val="TOC Heading"/>
    <w:basedOn w:val="Heading1"/>
    <w:next w:val="Normal"/>
    <w:uiPriority w:val="39"/>
    <w:unhideWhenUsed/>
    <w:qFormat/>
    <w:rsid w:val="00E327A7"/>
    <w:pPr>
      <w:spacing w:before="240"/>
      <w:outlineLvl w:val="9"/>
    </w:pPr>
    <w:rPr>
      <w:rFonts w:asciiTheme="majorHAnsi" w:eastAsiaTheme="majorEastAsia" w:hAnsiTheme="majorHAnsi" w:cstheme="majorBidi"/>
      <w:color w:val="003145" w:themeColor="accent1" w:themeShade="BF"/>
      <w:kern w:val="0"/>
      <w:szCs w:val="32"/>
      <w:lang w:val="en-US" w:eastAsia="en-US"/>
      <w14:ligatures w14:val="none"/>
    </w:rPr>
  </w:style>
  <w:style w:type="paragraph" w:styleId="TOC3">
    <w:name w:val="toc 3"/>
    <w:basedOn w:val="Normal"/>
    <w:next w:val="Normal"/>
    <w:autoRedefine/>
    <w:uiPriority w:val="39"/>
    <w:unhideWhenUsed/>
    <w:rsid w:val="00E327A7"/>
    <w:pPr>
      <w:spacing w:after="100"/>
      <w:ind w:left="440"/>
    </w:pPr>
  </w:style>
  <w:style w:type="character" w:customStyle="1" w:styleId="Heading5Char">
    <w:name w:val="Heading 5 Char"/>
    <w:basedOn w:val="DefaultParagraphFont"/>
    <w:link w:val="Heading5"/>
    <w:uiPriority w:val="9"/>
    <w:rsid w:val="00F469F9"/>
    <w:rPr>
      <w:rFonts w:asciiTheme="majorHAnsi" w:eastAsiaTheme="majorEastAsia" w:hAnsiTheme="majorHAnsi" w:cstheme="majorBidi"/>
      <w:b/>
      <w:bCs/>
      <w:color w:val="003145" w:themeColor="accent1" w:themeShade="BF"/>
      <w:sz w:val="22"/>
    </w:rPr>
  </w:style>
  <w:style w:type="paragraph" w:styleId="Caption">
    <w:name w:val="caption"/>
    <w:basedOn w:val="Normal"/>
    <w:next w:val="Normal"/>
    <w:uiPriority w:val="35"/>
    <w:unhideWhenUsed/>
    <w:qFormat/>
    <w:rsid w:val="00E86074"/>
    <w:pPr>
      <w:widowControl w:val="0"/>
      <w:autoSpaceDE w:val="0"/>
      <w:autoSpaceDN w:val="0"/>
      <w:spacing w:before="0" w:after="200" w:line="240" w:lineRule="auto"/>
      <w:ind w:left="709" w:right="709"/>
    </w:pPr>
    <w:rPr>
      <w:rFonts w:eastAsia="Trebuchet MS"/>
      <w:i/>
      <w:iCs/>
      <w:color w:val="0E2841" w:themeColor="text2"/>
      <w:kern w:val="0"/>
      <w:sz w:val="18"/>
      <w:szCs w:val="18"/>
      <w:lang w:eastAsia="en-US"/>
      <w14:ligatures w14:val="none"/>
    </w:rPr>
  </w:style>
  <w:style w:type="character" w:styleId="Strong">
    <w:name w:val="Strong"/>
    <w:basedOn w:val="DefaultParagraphFont"/>
    <w:uiPriority w:val="22"/>
    <w:qFormat/>
    <w:rsid w:val="00E86074"/>
    <w:rPr>
      <w:b/>
      <w:bCs/>
    </w:rPr>
  </w:style>
  <w:style w:type="table" w:styleId="PlainTable4">
    <w:name w:val="Plain Table 4"/>
    <w:basedOn w:val="TableNormal"/>
    <w:uiPriority w:val="44"/>
    <w:rsid w:val="0019228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Accent2">
    <w:name w:val="Grid Table 2 Accent 2"/>
    <w:basedOn w:val="TableNormal"/>
    <w:uiPriority w:val="47"/>
    <w:rsid w:val="0019228C"/>
    <w:pPr>
      <w:spacing w:after="0" w:line="240" w:lineRule="auto"/>
    </w:pPr>
    <w:tblPr>
      <w:tblStyleRowBandSize w:val="1"/>
      <w:tblStyleColBandSize w:val="1"/>
      <w:tblBorders>
        <w:top w:val="single" w:sz="2" w:space="0" w:color="40F8FE" w:themeColor="accent2" w:themeTint="99"/>
        <w:bottom w:val="single" w:sz="2" w:space="0" w:color="40F8FE" w:themeColor="accent2" w:themeTint="99"/>
        <w:insideH w:val="single" w:sz="2" w:space="0" w:color="40F8FE" w:themeColor="accent2" w:themeTint="99"/>
        <w:insideV w:val="single" w:sz="2" w:space="0" w:color="40F8FE" w:themeColor="accent2" w:themeTint="99"/>
      </w:tblBorders>
    </w:tblPr>
    <w:tblStylePr w:type="firstRow">
      <w:rPr>
        <w:b/>
        <w:bCs/>
      </w:rPr>
      <w:tblPr/>
      <w:tcPr>
        <w:tcBorders>
          <w:top w:val="nil"/>
          <w:bottom w:val="single" w:sz="12" w:space="0" w:color="40F8FE" w:themeColor="accent2" w:themeTint="99"/>
          <w:insideH w:val="nil"/>
          <w:insideV w:val="nil"/>
        </w:tcBorders>
        <w:shd w:val="clear" w:color="auto" w:fill="FFFFFF" w:themeFill="background1"/>
      </w:tcPr>
    </w:tblStylePr>
    <w:tblStylePr w:type="lastRow">
      <w:rPr>
        <w:b/>
        <w:bCs/>
      </w:rPr>
      <w:tblPr/>
      <w:tcPr>
        <w:tcBorders>
          <w:top w:val="double" w:sz="2" w:space="0" w:color="40F8F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FFCFE" w:themeFill="accent2" w:themeFillTint="33"/>
      </w:tcPr>
    </w:tblStylePr>
    <w:tblStylePr w:type="band1Horz">
      <w:tblPr/>
      <w:tcPr>
        <w:shd w:val="clear" w:color="auto" w:fill="BFFCFE" w:themeFill="accent2" w:themeFillTint="33"/>
      </w:tcPr>
    </w:tblStylePr>
  </w:style>
  <w:style w:type="table" w:styleId="GridTable5Dark-Accent2">
    <w:name w:val="Grid Table 5 Dark Accent 2"/>
    <w:basedOn w:val="TableNormal"/>
    <w:uiPriority w:val="50"/>
    <w:rsid w:val="0019228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FFCFE"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1B9BE"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1B9BE"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1B9BE"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1B9BE" w:themeFill="accent2"/>
      </w:tcPr>
    </w:tblStylePr>
    <w:tblStylePr w:type="band1Vert">
      <w:tblPr/>
      <w:tcPr>
        <w:shd w:val="clear" w:color="auto" w:fill="80FAFE" w:themeFill="accent2" w:themeFillTint="66"/>
      </w:tcPr>
    </w:tblStylePr>
    <w:tblStylePr w:type="band1Horz">
      <w:tblPr/>
      <w:tcPr>
        <w:shd w:val="clear" w:color="auto" w:fill="80FAFE" w:themeFill="accent2" w:themeFillTint="66"/>
      </w:tcPr>
    </w:tblStylePr>
  </w:style>
  <w:style w:type="table" w:styleId="GridTable3-Accent5">
    <w:name w:val="Grid Table 3 Accent 5"/>
    <w:basedOn w:val="TableNormal"/>
    <w:uiPriority w:val="48"/>
    <w:rsid w:val="00EA308A"/>
    <w:pPr>
      <w:spacing w:after="0" w:line="240" w:lineRule="auto"/>
    </w:pPr>
    <w:tblPr>
      <w:tblStyleRowBandSize w:val="1"/>
      <w:tblStyleColBandSize w:val="1"/>
      <w:tblBorders>
        <w:top w:val="single" w:sz="4" w:space="0" w:color="40F8FE" w:themeColor="accent5" w:themeTint="99"/>
        <w:left w:val="single" w:sz="4" w:space="0" w:color="40F8FE" w:themeColor="accent5" w:themeTint="99"/>
        <w:bottom w:val="single" w:sz="4" w:space="0" w:color="40F8FE" w:themeColor="accent5" w:themeTint="99"/>
        <w:right w:val="single" w:sz="4" w:space="0" w:color="40F8FE" w:themeColor="accent5" w:themeTint="99"/>
        <w:insideH w:val="single" w:sz="4" w:space="0" w:color="40F8FE" w:themeColor="accent5" w:themeTint="99"/>
        <w:insideV w:val="single" w:sz="4" w:space="0" w:color="40F8FE"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FFCFE" w:themeFill="accent5" w:themeFillTint="33"/>
      </w:tcPr>
    </w:tblStylePr>
    <w:tblStylePr w:type="band1Horz">
      <w:tblPr/>
      <w:tcPr>
        <w:shd w:val="clear" w:color="auto" w:fill="BFFCFE" w:themeFill="accent5" w:themeFillTint="33"/>
      </w:tcPr>
    </w:tblStylePr>
    <w:tblStylePr w:type="neCell">
      <w:tblPr/>
      <w:tcPr>
        <w:tcBorders>
          <w:bottom w:val="single" w:sz="4" w:space="0" w:color="40F8FE" w:themeColor="accent5" w:themeTint="99"/>
        </w:tcBorders>
      </w:tcPr>
    </w:tblStylePr>
    <w:tblStylePr w:type="nwCell">
      <w:tblPr/>
      <w:tcPr>
        <w:tcBorders>
          <w:bottom w:val="single" w:sz="4" w:space="0" w:color="40F8FE" w:themeColor="accent5" w:themeTint="99"/>
        </w:tcBorders>
      </w:tcPr>
    </w:tblStylePr>
    <w:tblStylePr w:type="seCell">
      <w:tblPr/>
      <w:tcPr>
        <w:tcBorders>
          <w:top w:val="single" w:sz="4" w:space="0" w:color="40F8FE" w:themeColor="accent5" w:themeTint="99"/>
        </w:tcBorders>
      </w:tcPr>
    </w:tblStylePr>
    <w:tblStylePr w:type="swCell">
      <w:tblPr/>
      <w:tcPr>
        <w:tcBorders>
          <w:top w:val="single" w:sz="4" w:space="0" w:color="40F8FE" w:themeColor="accent5" w:themeTint="99"/>
        </w:tcBorders>
      </w:tcPr>
    </w:tblStylePr>
  </w:style>
  <w:style w:type="table" w:styleId="GridTable7ColourfulAccent5">
    <w:name w:val="Grid Table 7 Colorful Accent 5"/>
    <w:basedOn w:val="TableNormal"/>
    <w:uiPriority w:val="52"/>
    <w:rsid w:val="00A34C1D"/>
    <w:pPr>
      <w:spacing w:after="0" w:line="240" w:lineRule="auto"/>
    </w:pPr>
    <w:rPr>
      <w:color w:val="008A8E" w:themeColor="accent5" w:themeShade="BF"/>
    </w:rPr>
    <w:tblPr>
      <w:tblStyleRowBandSize w:val="1"/>
      <w:tblStyleColBandSize w:val="1"/>
      <w:tblBorders>
        <w:top w:val="single" w:sz="4" w:space="0" w:color="40F8FE" w:themeColor="accent5" w:themeTint="99"/>
        <w:left w:val="single" w:sz="4" w:space="0" w:color="40F8FE" w:themeColor="accent5" w:themeTint="99"/>
        <w:bottom w:val="single" w:sz="4" w:space="0" w:color="40F8FE" w:themeColor="accent5" w:themeTint="99"/>
        <w:right w:val="single" w:sz="4" w:space="0" w:color="40F8FE" w:themeColor="accent5" w:themeTint="99"/>
        <w:insideH w:val="single" w:sz="4" w:space="0" w:color="40F8FE" w:themeColor="accent5" w:themeTint="99"/>
        <w:insideV w:val="single" w:sz="4" w:space="0" w:color="40F8FE"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FFCFE" w:themeFill="accent5" w:themeFillTint="33"/>
      </w:tcPr>
    </w:tblStylePr>
    <w:tblStylePr w:type="band1Horz">
      <w:tblPr/>
      <w:tcPr>
        <w:shd w:val="clear" w:color="auto" w:fill="BFFCFE" w:themeFill="accent5" w:themeFillTint="33"/>
      </w:tcPr>
    </w:tblStylePr>
    <w:tblStylePr w:type="neCell">
      <w:tblPr/>
      <w:tcPr>
        <w:tcBorders>
          <w:bottom w:val="single" w:sz="4" w:space="0" w:color="40F8FE" w:themeColor="accent5" w:themeTint="99"/>
        </w:tcBorders>
      </w:tcPr>
    </w:tblStylePr>
    <w:tblStylePr w:type="nwCell">
      <w:tblPr/>
      <w:tcPr>
        <w:tcBorders>
          <w:bottom w:val="single" w:sz="4" w:space="0" w:color="40F8FE" w:themeColor="accent5" w:themeTint="99"/>
        </w:tcBorders>
      </w:tcPr>
    </w:tblStylePr>
    <w:tblStylePr w:type="seCell">
      <w:tblPr/>
      <w:tcPr>
        <w:tcBorders>
          <w:top w:val="single" w:sz="4" w:space="0" w:color="40F8FE" w:themeColor="accent5" w:themeTint="99"/>
        </w:tcBorders>
      </w:tcPr>
    </w:tblStylePr>
    <w:tblStylePr w:type="swCell">
      <w:tblPr/>
      <w:tcPr>
        <w:tcBorders>
          <w:top w:val="single" w:sz="4" w:space="0" w:color="40F8FE" w:themeColor="accent5" w:themeTint="99"/>
        </w:tcBorders>
      </w:tcPr>
    </w:tblStylePr>
  </w:style>
  <w:style w:type="table" w:styleId="GridTable4-Accent2">
    <w:name w:val="Grid Table 4 Accent 2"/>
    <w:basedOn w:val="TableNormal"/>
    <w:uiPriority w:val="49"/>
    <w:rsid w:val="00225339"/>
    <w:pPr>
      <w:spacing w:after="0" w:line="240" w:lineRule="auto"/>
    </w:pPr>
    <w:tblPr>
      <w:tblStyleRowBandSize w:val="1"/>
      <w:tblStyleColBandSize w:val="1"/>
      <w:tblBorders>
        <w:top w:val="single" w:sz="4" w:space="0" w:color="40F8FE" w:themeColor="accent2" w:themeTint="99"/>
        <w:left w:val="single" w:sz="4" w:space="0" w:color="40F8FE" w:themeColor="accent2" w:themeTint="99"/>
        <w:bottom w:val="single" w:sz="4" w:space="0" w:color="40F8FE" w:themeColor="accent2" w:themeTint="99"/>
        <w:right w:val="single" w:sz="4" w:space="0" w:color="40F8FE" w:themeColor="accent2" w:themeTint="99"/>
        <w:insideH w:val="single" w:sz="4" w:space="0" w:color="40F8FE" w:themeColor="accent2" w:themeTint="99"/>
        <w:insideV w:val="single" w:sz="4" w:space="0" w:color="40F8FE" w:themeColor="accent2" w:themeTint="99"/>
      </w:tblBorders>
    </w:tblPr>
    <w:tblStylePr w:type="firstRow">
      <w:rPr>
        <w:b/>
        <w:bCs/>
        <w:color w:val="FFFFFF" w:themeColor="background1"/>
      </w:rPr>
      <w:tblPr/>
      <w:tcPr>
        <w:tcBorders>
          <w:top w:val="single" w:sz="4" w:space="0" w:color="01B9BE" w:themeColor="accent2"/>
          <w:left w:val="single" w:sz="4" w:space="0" w:color="01B9BE" w:themeColor="accent2"/>
          <w:bottom w:val="single" w:sz="4" w:space="0" w:color="01B9BE" w:themeColor="accent2"/>
          <w:right w:val="single" w:sz="4" w:space="0" w:color="01B9BE" w:themeColor="accent2"/>
          <w:insideH w:val="nil"/>
          <w:insideV w:val="nil"/>
        </w:tcBorders>
        <w:shd w:val="clear" w:color="auto" w:fill="01B9BE" w:themeFill="accent2"/>
      </w:tcPr>
    </w:tblStylePr>
    <w:tblStylePr w:type="lastRow">
      <w:rPr>
        <w:b/>
        <w:bCs/>
      </w:rPr>
      <w:tblPr/>
      <w:tcPr>
        <w:tcBorders>
          <w:top w:val="double" w:sz="4" w:space="0" w:color="01B9BE" w:themeColor="accent2"/>
        </w:tcBorders>
      </w:tcPr>
    </w:tblStylePr>
    <w:tblStylePr w:type="firstCol">
      <w:rPr>
        <w:b/>
        <w:bCs/>
      </w:rPr>
    </w:tblStylePr>
    <w:tblStylePr w:type="lastCol">
      <w:rPr>
        <w:b/>
        <w:bCs/>
      </w:rPr>
    </w:tblStylePr>
    <w:tblStylePr w:type="band1Vert">
      <w:tblPr/>
      <w:tcPr>
        <w:shd w:val="clear" w:color="auto" w:fill="BFFCFE" w:themeFill="accent2" w:themeFillTint="33"/>
      </w:tcPr>
    </w:tblStylePr>
    <w:tblStylePr w:type="band1Horz">
      <w:tblPr/>
      <w:tcPr>
        <w:shd w:val="clear" w:color="auto" w:fill="BFFCFE" w:themeFill="accent2" w:themeFillTint="33"/>
      </w:tcPr>
    </w:tblStylePr>
  </w:style>
  <w:style w:type="table" w:styleId="GridTable4-Accent1">
    <w:name w:val="Grid Table 4 Accent 1"/>
    <w:basedOn w:val="TableNormal"/>
    <w:uiPriority w:val="49"/>
    <w:rsid w:val="00AB02EC"/>
    <w:pPr>
      <w:spacing w:after="0" w:line="240" w:lineRule="auto"/>
    </w:pPr>
    <w:tblPr>
      <w:tblStyleRowBandSize w:val="1"/>
      <w:tblStyleColBandSize w:val="1"/>
      <w:tblBorders>
        <w:top w:val="single" w:sz="4" w:space="0" w:color="04B8FF" w:themeColor="accent1" w:themeTint="99"/>
        <w:left w:val="single" w:sz="4" w:space="0" w:color="04B8FF" w:themeColor="accent1" w:themeTint="99"/>
        <w:bottom w:val="single" w:sz="4" w:space="0" w:color="04B8FF" w:themeColor="accent1" w:themeTint="99"/>
        <w:right w:val="single" w:sz="4" w:space="0" w:color="04B8FF" w:themeColor="accent1" w:themeTint="99"/>
        <w:insideH w:val="single" w:sz="4" w:space="0" w:color="04B8FF" w:themeColor="accent1" w:themeTint="99"/>
        <w:insideV w:val="single" w:sz="4" w:space="0" w:color="04B8FF" w:themeColor="accent1" w:themeTint="99"/>
      </w:tblBorders>
    </w:tblPr>
    <w:tblStylePr w:type="firstRow">
      <w:rPr>
        <w:b/>
        <w:bCs/>
        <w:color w:val="FFFFFF" w:themeColor="background1"/>
      </w:rPr>
      <w:tblPr/>
      <w:tcPr>
        <w:tcBorders>
          <w:top w:val="single" w:sz="4" w:space="0" w:color="00435D" w:themeColor="accent1"/>
          <w:left w:val="single" w:sz="4" w:space="0" w:color="00435D" w:themeColor="accent1"/>
          <w:bottom w:val="single" w:sz="4" w:space="0" w:color="00435D" w:themeColor="accent1"/>
          <w:right w:val="single" w:sz="4" w:space="0" w:color="00435D" w:themeColor="accent1"/>
          <w:insideH w:val="nil"/>
          <w:insideV w:val="nil"/>
        </w:tcBorders>
        <w:shd w:val="clear" w:color="auto" w:fill="00435D" w:themeFill="accent1"/>
      </w:tcPr>
    </w:tblStylePr>
    <w:tblStylePr w:type="lastRow">
      <w:rPr>
        <w:b/>
        <w:bCs/>
      </w:rPr>
      <w:tblPr/>
      <w:tcPr>
        <w:tcBorders>
          <w:top w:val="double" w:sz="4" w:space="0" w:color="00435D" w:themeColor="accent1"/>
        </w:tcBorders>
      </w:tcPr>
    </w:tblStylePr>
    <w:tblStylePr w:type="firstCol">
      <w:rPr>
        <w:b/>
        <w:bCs/>
      </w:rPr>
    </w:tblStylePr>
    <w:tblStylePr w:type="lastCol">
      <w:rPr>
        <w:b/>
        <w:bCs/>
      </w:rPr>
    </w:tblStylePr>
    <w:tblStylePr w:type="band1Vert">
      <w:tblPr/>
      <w:tcPr>
        <w:shd w:val="clear" w:color="auto" w:fill="ABE7FF" w:themeFill="accent1" w:themeFillTint="33"/>
      </w:tcPr>
    </w:tblStylePr>
    <w:tblStylePr w:type="band1Horz">
      <w:tblPr/>
      <w:tcPr>
        <w:shd w:val="clear" w:color="auto" w:fill="ABE7FF" w:themeFill="accent1" w:themeFillTint="33"/>
      </w:tcPr>
    </w:tblStylePr>
  </w:style>
  <w:style w:type="paragraph" w:styleId="TOC4">
    <w:name w:val="toc 4"/>
    <w:basedOn w:val="Normal"/>
    <w:next w:val="Normal"/>
    <w:autoRedefine/>
    <w:uiPriority w:val="39"/>
    <w:unhideWhenUsed/>
    <w:rsid w:val="00FD70DA"/>
    <w:pPr>
      <w:spacing w:before="0" w:after="100" w:line="278" w:lineRule="auto"/>
      <w:ind w:left="720"/>
      <w:jc w:val="left"/>
    </w:pPr>
    <w:rPr>
      <w:rFonts w:asciiTheme="minorHAnsi" w:eastAsiaTheme="minorEastAsia" w:hAnsiTheme="minorHAnsi" w:cstheme="minorBidi"/>
      <w:color w:val="auto"/>
      <w:sz w:val="24"/>
      <w:lang w:val="en-US" w:eastAsia="en-US"/>
    </w:rPr>
  </w:style>
  <w:style w:type="paragraph" w:styleId="TOC5">
    <w:name w:val="toc 5"/>
    <w:basedOn w:val="Normal"/>
    <w:next w:val="Normal"/>
    <w:autoRedefine/>
    <w:uiPriority w:val="39"/>
    <w:unhideWhenUsed/>
    <w:rsid w:val="00FD70DA"/>
    <w:pPr>
      <w:spacing w:before="0" w:after="100" w:line="278" w:lineRule="auto"/>
      <w:ind w:left="960"/>
      <w:jc w:val="left"/>
    </w:pPr>
    <w:rPr>
      <w:rFonts w:asciiTheme="minorHAnsi" w:eastAsiaTheme="minorEastAsia" w:hAnsiTheme="minorHAnsi" w:cstheme="minorBidi"/>
      <w:color w:val="auto"/>
      <w:sz w:val="24"/>
      <w:lang w:val="en-US" w:eastAsia="en-US"/>
    </w:rPr>
  </w:style>
  <w:style w:type="paragraph" w:styleId="TOC6">
    <w:name w:val="toc 6"/>
    <w:basedOn w:val="Normal"/>
    <w:next w:val="Normal"/>
    <w:autoRedefine/>
    <w:uiPriority w:val="39"/>
    <w:unhideWhenUsed/>
    <w:rsid w:val="00FD70DA"/>
    <w:pPr>
      <w:spacing w:before="0" w:after="100" w:line="278" w:lineRule="auto"/>
      <w:ind w:left="1200"/>
      <w:jc w:val="left"/>
    </w:pPr>
    <w:rPr>
      <w:rFonts w:asciiTheme="minorHAnsi" w:eastAsiaTheme="minorEastAsia" w:hAnsiTheme="minorHAnsi" w:cstheme="minorBidi"/>
      <w:color w:val="auto"/>
      <w:sz w:val="24"/>
      <w:lang w:val="en-US" w:eastAsia="en-US"/>
    </w:rPr>
  </w:style>
  <w:style w:type="paragraph" w:styleId="TOC7">
    <w:name w:val="toc 7"/>
    <w:basedOn w:val="Normal"/>
    <w:next w:val="Normal"/>
    <w:autoRedefine/>
    <w:uiPriority w:val="39"/>
    <w:unhideWhenUsed/>
    <w:rsid w:val="00FD70DA"/>
    <w:pPr>
      <w:spacing w:before="0" w:after="100" w:line="278" w:lineRule="auto"/>
      <w:ind w:left="1440"/>
      <w:jc w:val="left"/>
    </w:pPr>
    <w:rPr>
      <w:rFonts w:asciiTheme="minorHAnsi" w:eastAsiaTheme="minorEastAsia" w:hAnsiTheme="minorHAnsi" w:cstheme="minorBidi"/>
      <w:color w:val="auto"/>
      <w:sz w:val="24"/>
      <w:lang w:val="en-US" w:eastAsia="en-US"/>
    </w:rPr>
  </w:style>
  <w:style w:type="paragraph" w:styleId="TOC8">
    <w:name w:val="toc 8"/>
    <w:basedOn w:val="Normal"/>
    <w:next w:val="Normal"/>
    <w:autoRedefine/>
    <w:uiPriority w:val="39"/>
    <w:unhideWhenUsed/>
    <w:rsid w:val="00FD70DA"/>
    <w:pPr>
      <w:spacing w:before="0" w:after="100" w:line="278" w:lineRule="auto"/>
      <w:ind w:left="1680"/>
      <w:jc w:val="left"/>
    </w:pPr>
    <w:rPr>
      <w:rFonts w:asciiTheme="minorHAnsi" w:eastAsiaTheme="minorEastAsia" w:hAnsiTheme="minorHAnsi" w:cstheme="minorBidi"/>
      <w:color w:val="auto"/>
      <w:sz w:val="24"/>
      <w:lang w:val="en-US" w:eastAsia="en-US"/>
    </w:rPr>
  </w:style>
  <w:style w:type="paragraph" w:styleId="TOC9">
    <w:name w:val="toc 9"/>
    <w:basedOn w:val="Normal"/>
    <w:next w:val="Normal"/>
    <w:autoRedefine/>
    <w:uiPriority w:val="39"/>
    <w:unhideWhenUsed/>
    <w:rsid w:val="00FD70DA"/>
    <w:pPr>
      <w:spacing w:before="0" w:after="100" w:line="278" w:lineRule="auto"/>
      <w:ind w:left="1920"/>
      <w:jc w:val="left"/>
    </w:pPr>
    <w:rPr>
      <w:rFonts w:asciiTheme="minorHAnsi" w:eastAsiaTheme="minorEastAsia" w:hAnsiTheme="minorHAnsi" w:cstheme="minorBidi"/>
      <w:color w:val="auto"/>
      <w:sz w:val="24"/>
      <w:lang w:val="en-US" w:eastAsia="en-US"/>
    </w:rPr>
  </w:style>
  <w:style w:type="paragraph" w:styleId="NoSpacing">
    <w:name w:val="No Spacing"/>
    <w:uiPriority w:val="1"/>
    <w:qFormat/>
    <w:rsid w:val="007E20E0"/>
    <w:pPr>
      <w:spacing w:after="0" w:line="240" w:lineRule="auto"/>
      <w:jc w:val="both"/>
    </w:pPr>
    <w:rPr>
      <w:rFonts w:ascii="Calibri" w:eastAsia="Times New Roman" w:hAnsi="Calibri" w:cs="Calibri"/>
      <w:color w:val="000000"/>
      <w:sz w:val="22"/>
    </w:rPr>
  </w:style>
  <w:style w:type="table" w:styleId="GridTable4">
    <w:name w:val="Grid Table 4"/>
    <w:basedOn w:val="TableNormal"/>
    <w:uiPriority w:val="49"/>
    <w:rsid w:val="00306D09"/>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5">
    <w:name w:val="Grid Table 4 Accent 5"/>
    <w:basedOn w:val="TableNormal"/>
    <w:uiPriority w:val="49"/>
    <w:rsid w:val="00306D09"/>
    <w:pPr>
      <w:spacing w:after="0" w:line="240" w:lineRule="auto"/>
    </w:pPr>
    <w:tblPr>
      <w:tblStyleRowBandSize w:val="1"/>
      <w:tblStyleColBandSize w:val="1"/>
      <w:tblBorders>
        <w:top w:val="single" w:sz="4" w:space="0" w:color="40F8FE" w:themeColor="accent5" w:themeTint="99"/>
        <w:left w:val="single" w:sz="4" w:space="0" w:color="40F8FE" w:themeColor="accent5" w:themeTint="99"/>
        <w:bottom w:val="single" w:sz="4" w:space="0" w:color="40F8FE" w:themeColor="accent5" w:themeTint="99"/>
        <w:right w:val="single" w:sz="4" w:space="0" w:color="40F8FE" w:themeColor="accent5" w:themeTint="99"/>
        <w:insideH w:val="single" w:sz="4" w:space="0" w:color="40F8FE" w:themeColor="accent5" w:themeTint="99"/>
        <w:insideV w:val="single" w:sz="4" w:space="0" w:color="40F8FE" w:themeColor="accent5" w:themeTint="99"/>
      </w:tblBorders>
    </w:tblPr>
    <w:tblStylePr w:type="firstRow">
      <w:rPr>
        <w:b/>
        <w:bCs/>
        <w:color w:val="FFFFFF" w:themeColor="background1"/>
      </w:rPr>
      <w:tblPr/>
      <w:tcPr>
        <w:tcBorders>
          <w:top w:val="single" w:sz="4" w:space="0" w:color="01B9BE" w:themeColor="accent5"/>
          <w:left w:val="single" w:sz="4" w:space="0" w:color="01B9BE" w:themeColor="accent5"/>
          <w:bottom w:val="single" w:sz="4" w:space="0" w:color="01B9BE" w:themeColor="accent5"/>
          <w:right w:val="single" w:sz="4" w:space="0" w:color="01B9BE" w:themeColor="accent5"/>
          <w:insideH w:val="nil"/>
          <w:insideV w:val="nil"/>
        </w:tcBorders>
        <w:shd w:val="clear" w:color="auto" w:fill="01B9BE" w:themeFill="accent5"/>
      </w:tcPr>
    </w:tblStylePr>
    <w:tblStylePr w:type="lastRow">
      <w:rPr>
        <w:b/>
        <w:bCs/>
      </w:rPr>
      <w:tblPr/>
      <w:tcPr>
        <w:tcBorders>
          <w:top w:val="double" w:sz="4" w:space="0" w:color="01B9BE" w:themeColor="accent5"/>
        </w:tcBorders>
      </w:tcPr>
    </w:tblStylePr>
    <w:tblStylePr w:type="firstCol">
      <w:rPr>
        <w:b/>
        <w:bCs/>
      </w:rPr>
    </w:tblStylePr>
    <w:tblStylePr w:type="lastCol">
      <w:rPr>
        <w:b/>
        <w:bCs/>
      </w:rPr>
    </w:tblStylePr>
    <w:tblStylePr w:type="band1Vert">
      <w:tblPr/>
      <w:tcPr>
        <w:shd w:val="clear" w:color="auto" w:fill="BFFCFE" w:themeFill="accent5" w:themeFillTint="33"/>
      </w:tcPr>
    </w:tblStylePr>
    <w:tblStylePr w:type="band1Horz">
      <w:tblPr/>
      <w:tcPr>
        <w:shd w:val="clear" w:color="auto" w:fill="BFFCFE" w:themeFill="accent5" w:themeFillTint="33"/>
      </w:tcPr>
    </w:tblStylePr>
  </w:style>
  <w:style w:type="character" w:styleId="Emphasis">
    <w:name w:val="Emphasis"/>
    <w:basedOn w:val="DefaultParagraphFont"/>
    <w:uiPriority w:val="20"/>
    <w:qFormat/>
    <w:rsid w:val="00364C3B"/>
    <w:rPr>
      <w:i/>
      <w:iCs/>
    </w:rPr>
  </w:style>
  <w:style w:type="character" w:customStyle="1" w:styleId="Heading6Char">
    <w:name w:val="Heading 6 Char"/>
    <w:basedOn w:val="DefaultParagraphFont"/>
    <w:link w:val="Heading6"/>
    <w:uiPriority w:val="9"/>
    <w:semiHidden/>
    <w:rsid w:val="00A11108"/>
    <w:rPr>
      <w:rFonts w:asciiTheme="majorHAnsi" w:eastAsiaTheme="majorEastAsia" w:hAnsiTheme="majorHAnsi" w:cstheme="majorBidi"/>
      <w:color w:val="00212E" w:themeColor="accent1" w:themeShade="7F"/>
      <w:sz w:val="22"/>
    </w:rPr>
  </w:style>
  <w:style w:type="paragraph" w:styleId="Subtitle">
    <w:name w:val="Subtitle"/>
    <w:basedOn w:val="Normal"/>
    <w:next w:val="Normal"/>
    <w:link w:val="SubtitleChar"/>
    <w:uiPriority w:val="11"/>
    <w:qFormat/>
    <w:rsid w:val="002F1B11"/>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uiPriority w:val="11"/>
    <w:rsid w:val="002F1B11"/>
    <w:rPr>
      <w:color w:val="5A5A5A" w:themeColor="text1" w:themeTint="A5"/>
      <w:spacing w:val="15"/>
      <w:sz w:val="22"/>
      <w:szCs w:val="22"/>
    </w:rPr>
  </w:style>
  <w:style w:type="paragraph" w:styleId="Revision">
    <w:name w:val="Revision"/>
    <w:hidden/>
    <w:uiPriority w:val="99"/>
    <w:semiHidden/>
    <w:rsid w:val="008256B4"/>
    <w:pPr>
      <w:spacing w:after="0" w:line="240" w:lineRule="auto"/>
    </w:pPr>
    <w:rPr>
      <w:rFonts w:ascii="Calibri" w:eastAsia="Times New Roman" w:hAnsi="Calibri" w:cs="Calibri"/>
      <w:color w:val="000000"/>
      <w:sz w:val="22"/>
    </w:rPr>
  </w:style>
  <w:style w:type="table" w:styleId="ListTable3-Accent1">
    <w:name w:val="List Table 3 Accent 1"/>
    <w:basedOn w:val="TableNormal"/>
    <w:uiPriority w:val="48"/>
    <w:rsid w:val="0086533A"/>
    <w:pPr>
      <w:spacing w:after="0" w:line="240" w:lineRule="auto"/>
    </w:pPr>
    <w:tblPr>
      <w:tblStyleRowBandSize w:val="1"/>
      <w:tblStyleColBandSize w:val="1"/>
      <w:tblBorders>
        <w:top w:val="single" w:sz="4" w:space="0" w:color="00435D" w:themeColor="accent1"/>
        <w:left w:val="single" w:sz="4" w:space="0" w:color="00435D" w:themeColor="accent1"/>
        <w:bottom w:val="single" w:sz="4" w:space="0" w:color="00435D" w:themeColor="accent1"/>
        <w:right w:val="single" w:sz="4" w:space="0" w:color="00435D" w:themeColor="accent1"/>
      </w:tblBorders>
    </w:tblPr>
    <w:tblStylePr w:type="firstRow">
      <w:rPr>
        <w:b/>
        <w:bCs/>
        <w:color w:val="FFFFFF" w:themeColor="background1"/>
      </w:rPr>
      <w:tblPr/>
      <w:tcPr>
        <w:shd w:val="clear" w:color="auto" w:fill="00435D" w:themeFill="accent1"/>
      </w:tcPr>
    </w:tblStylePr>
    <w:tblStylePr w:type="lastRow">
      <w:rPr>
        <w:b/>
        <w:bCs/>
      </w:rPr>
      <w:tblPr/>
      <w:tcPr>
        <w:tcBorders>
          <w:top w:val="double" w:sz="4" w:space="0" w:color="00435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35D" w:themeColor="accent1"/>
          <w:right w:val="single" w:sz="4" w:space="0" w:color="00435D" w:themeColor="accent1"/>
        </w:tcBorders>
      </w:tcPr>
    </w:tblStylePr>
    <w:tblStylePr w:type="band1Horz">
      <w:tblPr/>
      <w:tcPr>
        <w:tcBorders>
          <w:top w:val="single" w:sz="4" w:space="0" w:color="00435D" w:themeColor="accent1"/>
          <w:bottom w:val="single" w:sz="4" w:space="0" w:color="00435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35D" w:themeColor="accent1"/>
          <w:left w:val="nil"/>
        </w:tcBorders>
      </w:tcPr>
    </w:tblStylePr>
    <w:tblStylePr w:type="swCell">
      <w:tblPr/>
      <w:tcPr>
        <w:tcBorders>
          <w:top w:val="double" w:sz="4" w:space="0" w:color="00435D" w:themeColor="accent1"/>
          <w:right w:val="nil"/>
        </w:tcBorders>
      </w:tcPr>
    </w:tblStylePr>
  </w:style>
  <w:style w:type="table" w:styleId="GridTable1Light">
    <w:name w:val="Grid Table 1 Light"/>
    <w:basedOn w:val="TableNormal"/>
    <w:uiPriority w:val="46"/>
    <w:rsid w:val="006A0E4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DF616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13660">
      <w:bodyDiv w:val="1"/>
      <w:marLeft w:val="0"/>
      <w:marRight w:val="0"/>
      <w:marTop w:val="0"/>
      <w:marBottom w:val="0"/>
      <w:divBdr>
        <w:top w:val="none" w:sz="0" w:space="0" w:color="auto"/>
        <w:left w:val="none" w:sz="0" w:space="0" w:color="auto"/>
        <w:bottom w:val="none" w:sz="0" w:space="0" w:color="auto"/>
        <w:right w:val="none" w:sz="0" w:space="0" w:color="auto"/>
      </w:divBdr>
    </w:div>
    <w:div w:id="75441934">
      <w:bodyDiv w:val="1"/>
      <w:marLeft w:val="0"/>
      <w:marRight w:val="0"/>
      <w:marTop w:val="0"/>
      <w:marBottom w:val="0"/>
      <w:divBdr>
        <w:top w:val="none" w:sz="0" w:space="0" w:color="auto"/>
        <w:left w:val="none" w:sz="0" w:space="0" w:color="auto"/>
        <w:bottom w:val="none" w:sz="0" w:space="0" w:color="auto"/>
        <w:right w:val="none" w:sz="0" w:space="0" w:color="auto"/>
      </w:divBdr>
    </w:div>
    <w:div w:id="129787641">
      <w:bodyDiv w:val="1"/>
      <w:marLeft w:val="0"/>
      <w:marRight w:val="0"/>
      <w:marTop w:val="0"/>
      <w:marBottom w:val="0"/>
      <w:divBdr>
        <w:top w:val="none" w:sz="0" w:space="0" w:color="auto"/>
        <w:left w:val="none" w:sz="0" w:space="0" w:color="auto"/>
        <w:bottom w:val="none" w:sz="0" w:space="0" w:color="auto"/>
        <w:right w:val="none" w:sz="0" w:space="0" w:color="auto"/>
      </w:divBdr>
    </w:div>
    <w:div w:id="131410096">
      <w:bodyDiv w:val="1"/>
      <w:marLeft w:val="0"/>
      <w:marRight w:val="0"/>
      <w:marTop w:val="0"/>
      <w:marBottom w:val="0"/>
      <w:divBdr>
        <w:top w:val="none" w:sz="0" w:space="0" w:color="auto"/>
        <w:left w:val="none" w:sz="0" w:space="0" w:color="auto"/>
        <w:bottom w:val="none" w:sz="0" w:space="0" w:color="auto"/>
        <w:right w:val="none" w:sz="0" w:space="0" w:color="auto"/>
      </w:divBdr>
    </w:div>
    <w:div w:id="138957015">
      <w:bodyDiv w:val="1"/>
      <w:marLeft w:val="0"/>
      <w:marRight w:val="0"/>
      <w:marTop w:val="0"/>
      <w:marBottom w:val="0"/>
      <w:divBdr>
        <w:top w:val="none" w:sz="0" w:space="0" w:color="auto"/>
        <w:left w:val="none" w:sz="0" w:space="0" w:color="auto"/>
        <w:bottom w:val="none" w:sz="0" w:space="0" w:color="auto"/>
        <w:right w:val="none" w:sz="0" w:space="0" w:color="auto"/>
      </w:divBdr>
    </w:div>
    <w:div w:id="156381092">
      <w:bodyDiv w:val="1"/>
      <w:marLeft w:val="0"/>
      <w:marRight w:val="0"/>
      <w:marTop w:val="0"/>
      <w:marBottom w:val="0"/>
      <w:divBdr>
        <w:top w:val="none" w:sz="0" w:space="0" w:color="auto"/>
        <w:left w:val="none" w:sz="0" w:space="0" w:color="auto"/>
        <w:bottom w:val="none" w:sz="0" w:space="0" w:color="auto"/>
        <w:right w:val="none" w:sz="0" w:space="0" w:color="auto"/>
      </w:divBdr>
    </w:div>
    <w:div w:id="183446156">
      <w:bodyDiv w:val="1"/>
      <w:marLeft w:val="0"/>
      <w:marRight w:val="0"/>
      <w:marTop w:val="0"/>
      <w:marBottom w:val="0"/>
      <w:divBdr>
        <w:top w:val="none" w:sz="0" w:space="0" w:color="auto"/>
        <w:left w:val="none" w:sz="0" w:space="0" w:color="auto"/>
        <w:bottom w:val="none" w:sz="0" w:space="0" w:color="auto"/>
        <w:right w:val="none" w:sz="0" w:space="0" w:color="auto"/>
      </w:divBdr>
    </w:div>
    <w:div w:id="187837756">
      <w:bodyDiv w:val="1"/>
      <w:marLeft w:val="0"/>
      <w:marRight w:val="0"/>
      <w:marTop w:val="0"/>
      <w:marBottom w:val="0"/>
      <w:divBdr>
        <w:top w:val="none" w:sz="0" w:space="0" w:color="auto"/>
        <w:left w:val="none" w:sz="0" w:space="0" w:color="auto"/>
        <w:bottom w:val="none" w:sz="0" w:space="0" w:color="auto"/>
        <w:right w:val="none" w:sz="0" w:space="0" w:color="auto"/>
      </w:divBdr>
    </w:div>
    <w:div w:id="189341984">
      <w:bodyDiv w:val="1"/>
      <w:marLeft w:val="0"/>
      <w:marRight w:val="0"/>
      <w:marTop w:val="0"/>
      <w:marBottom w:val="0"/>
      <w:divBdr>
        <w:top w:val="none" w:sz="0" w:space="0" w:color="auto"/>
        <w:left w:val="none" w:sz="0" w:space="0" w:color="auto"/>
        <w:bottom w:val="none" w:sz="0" w:space="0" w:color="auto"/>
        <w:right w:val="none" w:sz="0" w:space="0" w:color="auto"/>
      </w:divBdr>
    </w:div>
    <w:div w:id="194733485">
      <w:bodyDiv w:val="1"/>
      <w:marLeft w:val="0"/>
      <w:marRight w:val="0"/>
      <w:marTop w:val="0"/>
      <w:marBottom w:val="0"/>
      <w:divBdr>
        <w:top w:val="none" w:sz="0" w:space="0" w:color="auto"/>
        <w:left w:val="none" w:sz="0" w:space="0" w:color="auto"/>
        <w:bottom w:val="none" w:sz="0" w:space="0" w:color="auto"/>
        <w:right w:val="none" w:sz="0" w:space="0" w:color="auto"/>
      </w:divBdr>
    </w:div>
    <w:div w:id="200627416">
      <w:bodyDiv w:val="1"/>
      <w:marLeft w:val="0"/>
      <w:marRight w:val="0"/>
      <w:marTop w:val="0"/>
      <w:marBottom w:val="0"/>
      <w:divBdr>
        <w:top w:val="none" w:sz="0" w:space="0" w:color="auto"/>
        <w:left w:val="none" w:sz="0" w:space="0" w:color="auto"/>
        <w:bottom w:val="none" w:sz="0" w:space="0" w:color="auto"/>
        <w:right w:val="none" w:sz="0" w:space="0" w:color="auto"/>
      </w:divBdr>
    </w:div>
    <w:div w:id="212161922">
      <w:bodyDiv w:val="1"/>
      <w:marLeft w:val="0"/>
      <w:marRight w:val="0"/>
      <w:marTop w:val="0"/>
      <w:marBottom w:val="0"/>
      <w:divBdr>
        <w:top w:val="none" w:sz="0" w:space="0" w:color="auto"/>
        <w:left w:val="none" w:sz="0" w:space="0" w:color="auto"/>
        <w:bottom w:val="none" w:sz="0" w:space="0" w:color="auto"/>
        <w:right w:val="none" w:sz="0" w:space="0" w:color="auto"/>
      </w:divBdr>
    </w:div>
    <w:div w:id="266617299">
      <w:bodyDiv w:val="1"/>
      <w:marLeft w:val="0"/>
      <w:marRight w:val="0"/>
      <w:marTop w:val="0"/>
      <w:marBottom w:val="0"/>
      <w:divBdr>
        <w:top w:val="none" w:sz="0" w:space="0" w:color="auto"/>
        <w:left w:val="none" w:sz="0" w:space="0" w:color="auto"/>
        <w:bottom w:val="none" w:sz="0" w:space="0" w:color="auto"/>
        <w:right w:val="none" w:sz="0" w:space="0" w:color="auto"/>
      </w:divBdr>
    </w:div>
    <w:div w:id="312298929">
      <w:bodyDiv w:val="1"/>
      <w:marLeft w:val="0"/>
      <w:marRight w:val="0"/>
      <w:marTop w:val="0"/>
      <w:marBottom w:val="0"/>
      <w:divBdr>
        <w:top w:val="none" w:sz="0" w:space="0" w:color="auto"/>
        <w:left w:val="none" w:sz="0" w:space="0" w:color="auto"/>
        <w:bottom w:val="none" w:sz="0" w:space="0" w:color="auto"/>
        <w:right w:val="none" w:sz="0" w:space="0" w:color="auto"/>
      </w:divBdr>
    </w:div>
    <w:div w:id="316150872">
      <w:bodyDiv w:val="1"/>
      <w:marLeft w:val="0"/>
      <w:marRight w:val="0"/>
      <w:marTop w:val="0"/>
      <w:marBottom w:val="0"/>
      <w:divBdr>
        <w:top w:val="none" w:sz="0" w:space="0" w:color="auto"/>
        <w:left w:val="none" w:sz="0" w:space="0" w:color="auto"/>
        <w:bottom w:val="none" w:sz="0" w:space="0" w:color="auto"/>
        <w:right w:val="none" w:sz="0" w:space="0" w:color="auto"/>
      </w:divBdr>
    </w:div>
    <w:div w:id="325861982">
      <w:bodyDiv w:val="1"/>
      <w:marLeft w:val="0"/>
      <w:marRight w:val="0"/>
      <w:marTop w:val="0"/>
      <w:marBottom w:val="0"/>
      <w:divBdr>
        <w:top w:val="none" w:sz="0" w:space="0" w:color="auto"/>
        <w:left w:val="none" w:sz="0" w:space="0" w:color="auto"/>
        <w:bottom w:val="none" w:sz="0" w:space="0" w:color="auto"/>
        <w:right w:val="none" w:sz="0" w:space="0" w:color="auto"/>
      </w:divBdr>
    </w:div>
    <w:div w:id="334695519">
      <w:bodyDiv w:val="1"/>
      <w:marLeft w:val="0"/>
      <w:marRight w:val="0"/>
      <w:marTop w:val="0"/>
      <w:marBottom w:val="0"/>
      <w:divBdr>
        <w:top w:val="none" w:sz="0" w:space="0" w:color="auto"/>
        <w:left w:val="none" w:sz="0" w:space="0" w:color="auto"/>
        <w:bottom w:val="none" w:sz="0" w:space="0" w:color="auto"/>
        <w:right w:val="none" w:sz="0" w:space="0" w:color="auto"/>
      </w:divBdr>
    </w:div>
    <w:div w:id="409623839">
      <w:bodyDiv w:val="1"/>
      <w:marLeft w:val="0"/>
      <w:marRight w:val="0"/>
      <w:marTop w:val="0"/>
      <w:marBottom w:val="0"/>
      <w:divBdr>
        <w:top w:val="none" w:sz="0" w:space="0" w:color="auto"/>
        <w:left w:val="none" w:sz="0" w:space="0" w:color="auto"/>
        <w:bottom w:val="none" w:sz="0" w:space="0" w:color="auto"/>
        <w:right w:val="none" w:sz="0" w:space="0" w:color="auto"/>
      </w:divBdr>
    </w:div>
    <w:div w:id="410740616">
      <w:bodyDiv w:val="1"/>
      <w:marLeft w:val="0"/>
      <w:marRight w:val="0"/>
      <w:marTop w:val="0"/>
      <w:marBottom w:val="0"/>
      <w:divBdr>
        <w:top w:val="none" w:sz="0" w:space="0" w:color="auto"/>
        <w:left w:val="none" w:sz="0" w:space="0" w:color="auto"/>
        <w:bottom w:val="none" w:sz="0" w:space="0" w:color="auto"/>
        <w:right w:val="none" w:sz="0" w:space="0" w:color="auto"/>
      </w:divBdr>
    </w:div>
    <w:div w:id="429933745">
      <w:bodyDiv w:val="1"/>
      <w:marLeft w:val="0"/>
      <w:marRight w:val="0"/>
      <w:marTop w:val="0"/>
      <w:marBottom w:val="0"/>
      <w:divBdr>
        <w:top w:val="none" w:sz="0" w:space="0" w:color="auto"/>
        <w:left w:val="none" w:sz="0" w:space="0" w:color="auto"/>
        <w:bottom w:val="none" w:sz="0" w:space="0" w:color="auto"/>
        <w:right w:val="none" w:sz="0" w:space="0" w:color="auto"/>
      </w:divBdr>
    </w:div>
    <w:div w:id="432212162">
      <w:bodyDiv w:val="1"/>
      <w:marLeft w:val="0"/>
      <w:marRight w:val="0"/>
      <w:marTop w:val="0"/>
      <w:marBottom w:val="0"/>
      <w:divBdr>
        <w:top w:val="none" w:sz="0" w:space="0" w:color="auto"/>
        <w:left w:val="none" w:sz="0" w:space="0" w:color="auto"/>
        <w:bottom w:val="none" w:sz="0" w:space="0" w:color="auto"/>
        <w:right w:val="none" w:sz="0" w:space="0" w:color="auto"/>
      </w:divBdr>
    </w:div>
    <w:div w:id="460458934">
      <w:bodyDiv w:val="1"/>
      <w:marLeft w:val="0"/>
      <w:marRight w:val="0"/>
      <w:marTop w:val="0"/>
      <w:marBottom w:val="0"/>
      <w:divBdr>
        <w:top w:val="none" w:sz="0" w:space="0" w:color="auto"/>
        <w:left w:val="none" w:sz="0" w:space="0" w:color="auto"/>
        <w:bottom w:val="none" w:sz="0" w:space="0" w:color="auto"/>
        <w:right w:val="none" w:sz="0" w:space="0" w:color="auto"/>
      </w:divBdr>
    </w:div>
    <w:div w:id="470221268">
      <w:bodyDiv w:val="1"/>
      <w:marLeft w:val="0"/>
      <w:marRight w:val="0"/>
      <w:marTop w:val="0"/>
      <w:marBottom w:val="0"/>
      <w:divBdr>
        <w:top w:val="none" w:sz="0" w:space="0" w:color="auto"/>
        <w:left w:val="none" w:sz="0" w:space="0" w:color="auto"/>
        <w:bottom w:val="none" w:sz="0" w:space="0" w:color="auto"/>
        <w:right w:val="none" w:sz="0" w:space="0" w:color="auto"/>
      </w:divBdr>
    </w:div>
    <w:div w:id="484247606">
      <w:bodyDiv w:val="1"/>
      <w:marLeft w:val="0"/>
      <w:marRight w:val="0"/>
      <w:marTop w:val="0"/>
      <w:marBottom w:val="0"/>
      <w:divBdr>
        <w:top w:val="none" w:sz="0" w:space="0" w:color="auto"/>
        <w:left w:val="none" w:sz="0" w:space="0" w:color="auto"/>
        <w:bottom w:val="none" w:sz="0" w:space="0" w:color="auto"/>
        <w:right w:val="none" w:sz="0" w:space="0" w:color="auto"/>
      </w:divBdr>
    </w:div>
    <w:div w:id="487403458">
      <w:bodyDiv w:val="1"/>
      <w:marLeft w:val="0"/>
      <w:marRight w:val="0"/>
      <w:marTop w:val="0"/>
      <w:marBottom w:val="0"/>
      <w:divBdr>
        <w:top w:val="none" w:sz="0" w:space="0" w:color="auto"/>
        <w:left w:val="none" w:sz="0" w:space="0" w:color="auto"/>
        <w:bottom w:val="none" w:sz="0" w:space="0" w:color="auto"/>
        <w:right w:val="none" w:sz="0" w:space="0" w:color="auto"/>
      </w:divBdr>
    </w:div>
    <w:div w:id="533231532">
      <w:bodyDiv w:val="1"/>
      <w:marLeft w:val="0"/>
      <w:marRight w:val="0"/>
      <w:marTop w:val="0"/>
      <w:marBottom w:val="0"/>
      <w:divBdr>
        <w:top w:val="none" w:sz="0" w:space="0" w:color="auto"/>
        <w:left w:val="none" w:sz="0" w:space="0" w:color="auto"/>
        <w:bottom w:val="none" w:sz="0" w:space="0" w:color="auto"/>
        <w:right w:val="none" w:sz="0" w:space="0" w:color="auto"/>
      </w:divBdr>
      <w:divsChild>
        <w:div w:id="342049913">
          <w:marLeft w:val="0"/>
          <w:marRight w:val="0"/>
          <w:marTop w:val="0"/>
          <w:marBottom w:val="0"/>
          <w:divBdr>
            <w:top w:val="none" w:sz="0" w:space="0" w:color="auto"/>
            <w:left w:val="none" w:sz="0" w:space="0" w:color="auto"/>
            <w:bottom w:val="none" w:sz="0" w:space="0" w:color="auto"/>
            <w:right w:val="none" w:sz="0" w:space="0" w:color="auto"/>
          </w:divBdr>
          <w:divsChild>
            <w:div w:id="2013217604">
              <w:marLeft w:val="0"/>
              <w:marRight w:val="0"/>
              <w:marTop w:val="0"/>
              <w:marBottom w:val="0"/>
              <w:divBdr>
                <w:top w:val="none" w:sz="0" w:space="0" w:color="auto"/>
                <w:left w:val="none" w:sz="0" w:space="0" w:color="auto"/>
                <w:bottom w:val="none" w:sz="0" w:space="0" w:color="auto"/>
                <w:right w:val="none" w:sz="0" w:space="0" w:color="auto"/>
              </w:divBdr>
              <w:divsChild>
                <w:div w:id="943003349">
                  <w:marLeft w:val="0"/>
                  <w:marRight w:val="0"/>
                  <w:marTop w:val="0"/>
                  <w:marBottom w:val="0"/>
                  <w:divBdr>
                    <w:top w:val="none" w:sz="0" w:space="0" w:color="auto"/>
                    <w:left w:val="none" w:sz="0" w:space="0" w:color="auto"/>
                    <w:bottom w:val="none" w:sz="0" w:space="0" w:color="auto"/>
                    <w:right w:val="none" w:sz="0" w:space="0" w:color="auto"/>
                  </w:divBdr>
                  <w:divsChild>
                    <w:div w:id="653486459">
                      <w:marLeft w:val="0"/>
                      <w:marRight w:val="0"/>
                      <w:marTop w:val="0"/>
                      <w:marBottom w:val="0"/>
                      <w:divBdr>
                        <w:top w:val="none" w:sz="0" w:space="0" w:color="auto"/>
                        <w:left w:val="none" w:sz="0" w:space="0" w:color="auto"/>
                        <w:bottom w:val="none" w:sz="0" w:space="0" w:color="auto"/>
                        <w:right w:val="none" w:sz="0" w:space="0" w:color="auto"/>
                      </w:divBdr>
                      <w:divsChild>
                        <w:div w:id="285425943">
                          <w:marLeft w:val="0"/>
                          <w:marRight w:val="0"/>
                          <w:marTop w:val="0"/>
                          <w:marBottom w:val="0"/>
                          <w:divBdr>
                            <w:top w:val="none" w:sz="0" w:space="0" w:color="auto"/>
                            <w:left w:val="none" w:sz="0" w:space="0" w:color="auto"/>
                            <w:bottom w:val="none" w:sz="0" w:space="0" w:color="auto"/>
                            <w:right w:val="none" w:sz="0" w:space="0" w:color="auto"/>
                          </w:divBdr>
                          <w:divsChild>
                            <w:div w:id="187180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1305831">
          <w:marLeft w:val="0"/>
          <w:marRight w:val="0"/>
          <w:marTop w:val="0"/>
          <w:marBottom w:val="0"/>
          <w:divBdr>
            <w:top w:val="none" w:sz="0" w:space="0" w:color="auto"/>
            <w:left w:val="none" w:sz="0" w:space="0" w:color="auto"/>
            <w:bottom w:val="none" w:sz="0" w:space="0" w:color="auto"/>
            <w:right w:val="none" w:sz="0" w:space="0" w:color="auto"/>
          </w:divBdr>
          <w:divsChild>
            <w:div w:id="725222031">
              <w:marLeft w:val="0"/>
              <w:marRight w:val="0"/>
              <w:marTop w:val="0"/>
              <w:marBottom w:val="0"/>
              <w:divBdr>
                <w:top w:val="none" w:sz="0" w:space="0" w:color="auto"/>
                <w:left w:val="none" w:sz="0" w:space="0" w:color="auto"/>
                <w:bottom w:val="none" w:sz="0" w:space="0" w:color="auto"/>
                <w:right w:val="none" w:sz="0" w:space="0" w:color="auto"/>
              </w:divBdr>
              <w:divsChild>
                <w:div w:id="616376624">
                  <w:marLeft w:val="0"/>
                  <w:marRight w:val="0"/>
                  <w:marTop w:val="0"/>
                  <w:marBottom w:val="0"/>
                  <w:divBdr>
                    <w:top w:val="none" w:sz="0" w:space="0" w:color="auto"/>
                    <w:left w:val="none" w:sz="0" w:space="0" w:color="auto"/>
                    <w:bottom w:val="none" w:sz="0" w:space="0" w:color="auto"/>
                    <w:right w:val="none" w:sz="0" w:space="0" w:color="auto"/>
                  </w:divBdr>
                  <w:divsChild>
                    <w:div w:id="1826511973">
                      <w:marLeft w:val="0"/>
                      <w:marRight w:val="0"/>
                      <w:marTop w:val="0"/>
                      <w:marBottom w:val="0"/>
                      <w:divBdr>
                        <w:top w:val="none" w:sz="0" w:space="0" w:color="auto"/>
                        <w:left w:val="none" w:sz="0" w:space="0" w:color="auto"/>
                        <w:bottom w:val="none" w:sz="0" w:space="0" w:color="auto"/>
                        <w:right w:val="none" w:sz="0" w:space="0" w:color="auto"/>
                      </w:divBdr>
                      <w:divsChild>
                        <w:div w:id="1528374471">
                          <w:marLeft w:val="0"/>
                          <w:marRight w:val="0"/>
                          <w:marTop w:val="0"/>
                          <w:marBottom w:val="0"/>
                          <w:divBdr>
                            <w:top w:val="none" w:sz="0" w:space="0" w:color="auto"/>
                            <w:left w:val="none" w:sz="0" w:space="0" w:color="auto"/>
                            <w:bottom w:val="none" w:sz="0" w:space="0" w:color="auto"/>
                            <w:right w:val="none" w:sz="0" w:space="0" w:color="auto"/>
                          </w:divBdr>
                          <w:divsChild>
                            <w:div w:id="174352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3998298">
          <w:marLeft w:val="0"/>
          <w:marRight w:val="0"/>
          <w:marTop w:val="0"/>
          <w:marBottom w:val="0"/>
          <w:divBdr>
            <w:top w:val="none" w:sz="0" w:space="0" w:color="auto"/>
            <w:left w:val="none" w:sz="0" w:space="0" w:color="auto"/>
            <w:bottom w:val="none" w:sz="0" w:space="0" w:color="auto"/>
            <w:right w:val="none" w:sz="0" w:space="0" w:color="auto"/>
          </w:divBdr>
          <w:divsChild>
            <w:div w:id="453599217">
              <w:marLeft w:val="0"/>
              <w:marRight w:val="0"/>
              <w:marTop w:val="0"/>
              <w:marBottom w:val="0"/>
              <w:divBdr>
                <w:top w:val="none" w:sz="0" w:space="0" w:color="auto"/>
                <w:left w:val="none" w:sz="0" w:space="0" w:color="auto"/>
                <w:bottom w:val="none" w:sz="0" w:space="0" w:color="auto"/>
                <w:right w:val="none" w:sz="0" w:space="0" w:color="auto"/>
              </w:divBdr>
              <w:divsChild>
                <w:div w:id="2129739778">
                  <w:marLeft w:val="0"/>
                  <w:marRight w:val="0"/>
                  <w:marTop w:val="0"/>
                  <w:marBottom w:val="0"/>
                  <w:divBdr>
                    <w:top w:val="none" w:sz="0" w:space="0" w:color="auto"/>
                    <w:left w:val="none" w:sz="0" w:space="0" w:color="auto"/>
                    <w:bottom w:val="none" w:sz="0" w:space="0" w:color="auto"/>
                    <w:right w:val="none" w:sz="0" w:space="0" w:color="auto"/>
                  </w:divBdr>
                  <w:divsChild>
                    <w:div w:id="1863007650">
                      <w:marLeft w:val="0"/>
                      <w:marRight w:val="0"/>
                      <w:marTop w:val="0"/>
                      <w:marBottom w:val="0"/>
                      <w:divBdr>
                        <w:top w:val="none" w:sz="0" w:space="0" w:color="auto"/>
                        <w:left w:val="none" w:sz="0" w:space="0" w:color="auto"/>
                        <w:bottom w:val="none" w:sz="0" w:space="0" w:color="auto"/>
                        <w:right w:val="none" w:sz="0" w:space="0" w:color="auto"/>
                      </w:divBdr>
                      <w:divsChild>
                        <w:div w:id="976490557">
                          <w:marLeft w:val="0"/>
                          <w:marRight w:val="0"/>
                          <w:marTop w:val="0"/>
                          <w:marBottom w:val="0"/>
                          <w:divBdr>
                            <w:top w:val="none" w:sz="0" w:space="0" w:color="auto"/>
                            <w:left w:val="none" w:sz="0" w:space="0" w:color="auto"/>
                            <w:bottom w:val="none" w:sz="0" w:space="0" w:color="auto"/>
                            <w:right w:val="none" w:sz="0" w:space="0" w:color="auto"/>
                          </w:divBdr>
                          <w:divsChild>
                            <w:div w:id="1956643264">
                              <w:marLeft w:val="0"/>
                              <w:marRight w:val="0"/>
                              <w:marTop w:val="0"/>
                              <w:marBottom w:val="0"/>
                              <w:divBdr>
                                <w:top w:val="none" w:sz="0" w:space="0" w:color="auto"/>
                                <w:left w:val="none" w:sz="0" w:space="0" w:color="auto"/>
                                <w:bottom w:val="none" w:sz="0" w:space="0" w:color="auto"/>
                                <w:right w:val="none" w:sz="0" w:space="0" w:color="auto"/>
                              </w:divBdr>
                              <w:divsChild>
                                <w:div w:id="213929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7860417">
      <w:bodyDiv w:val="1"/>
      <w:marLeft w:val="0"/>
      <w:marRight w:val="0"/>
      <w:marTop w:val="0"/>
      <w:marBottom w:val="0"/>
      <w:divBdr>
        <w:top w:val="none" w:sz="0" w:space="0" w:color="auto"/>
        <w:left w:val="none" w:sz="0" w:space="0" w:color="auto"/>
        <w:bottom w:val="none" w:sz="0" w:space="0" w:color="auto"/>
        <w:right w:val="none" w:sz="0" w:space="0" w:color="auto"/>
      </w:divBdr>
    </w:div>
    <w:div w:id="554244978">
      <w:bodyDiv w:val="1"/>
      <w:marLeft w:val="0"/>
      <w:marRight w:val="0"/>
      <w:marTop w:val="0"/>
      <w:marBottom w:val="0"/>
      <w:divBdr>
        <w:top w:val="none" w:sz="0" w:space="0" w:color="auto"/>
        <w:left w:val="none" w:sz="0" w:space="0" w:color="auto"/>
        <w:bottom w:val="none" w:sz="0" w:space="0" w:color="auto"/>
        <w:right w:val="none" w:sz="0" w:space="0" w:color="auto"/>
      </w:divBdr>
    </w:div>
    <w:div w:id="562184386">
      <w:bodyDiv w:val="1"/>
      <w:marLeft w:val="0"/>
      <w:marRight w:val="0"/>
      <w:marTop w:val="0"/>
      <w:marBottom w:val="0"/>
      <w:divBdr>
        <w:top w:val="none" w:sz="0" w:space="0" w:color="auto"/>
        <w:left w:val="none" w:sz="0" w:space="0" w:color="auto"/>
        <w:bottom w:val="none" w:sz="0" w:space="0" w:color="auto"/>
        <w:right w:val="none" w:sz="0" w:space="0" w:color="auto"/>
      </w:divBdr>
    </w:div>
    <w:div w:id="594555947">
      <w:bodyDiv w:val="1"/>
      <w:marLeft w:val="0"/>
      <w:marRight w:val="0"/>
      <w:marTop w:val="0"/>
      <w:marBottom w:val="0"/>
      <w:divBdr>
        <w:top w:val="none" w:sz="0" w:space="0" w:color="auto"/>
        <w:left w:val="none" w:sz="0" w:space="0" w:color="auto"/>
        <w:bottom w:val="none" w:sz="0" w:space="0" w:color="auto"/>
        <w:right w:val="none" w:sz="0" w:space="0" w:color="auto"/>
      </w:divBdr>
    </w:div>
    <w:div w:id="643968195">
      <w:bodyDiv w:val="1"/>
      <w:marLeft w:val="0"/>
      <w:marRight w:val="0"/>
      <w:marTop w:val="0"/>
      <w:marBottom w:val="0"/>
      <w:divBdr>
        <w:top w:val="none" w:sz="0" w:space="0" w:color="auto"/>
        <w:left w:val="none" w:sz="0" w:space="0" w:color="auto"/>
        <w:bottom w:val="none" w:sz="0" w:space="0" w:color="auto"/>
        <w:right w:val="none" w:sz="0" w:space="0" w:color="auto"/>
      </w:divBdr>
    </w:div>
    <w:div w:id="653871143">
      <w:bodyDiv w:val="1"/>
      <w:marLeft w:val="0"/>
      <w:marRight w:val="0"/>
      <w:marTop w:val="0"/>
      <w:marBottom w:val="0"/>
      <w:divBdr>
        <w:top w:val="none" w:sz="0" w:space="0" w:color="auto"/>
        <w:left w:val="none" w:sz="0" w:space="0" w:color="auto"/>
        <w:bottom w:val="none" w:sz="0" w:space="0" w:color="auto"/>
        <w:right w:val="none" w:sz="0" w:space="0" w:color="auto"/>
      </w:divBdr>
    </w:div>
    <w:div w:id="663241695">
      <w:bodyDiv w:val="1"/>
      <w:marLeft w:val="0"/>
      <w:marRight w:val="0"/>
      <w:marTop w:val="0"/>
      <w:marBottom w:val="0"/>
      <w:divBdr>
        <w:top w:val="none" w:sz="0" w:space="0" w:color="auto"/>
        <w:left w:val="none" w:sz="0" w:space="0" w:color="auto"/>
        <w:bottom w:val="none" w:sz="0" w:space="0" w:color="auto"/>
        <w:right w:val="none" w:sz="0" w:space="0" w:color="auto"/>
      </w:divBdr>
    </w:div>
    <w:div w:id="710350325">
      <w:bodyDiv w:val="1"/>
      <w:marLeft w:val="0"/>
      <w:marRight w:val="0"/>
      <w:marTop w:val="0"/>
      <w:marBottom w:val="0"/>
      <w:divBdr>
        <w:top w:val="none" w:sz="0" w:space="0" w:color="auto"/>
        <w:left w:val="none" w:sz="0" w:space="0" w:color="auto"/>
        <w:bottom w:val="none" w:sz="0" w:space="0" w:color="auto"/>
        <w:right w:val="none" w:sz="0" w:space="0" w:color="auto"/>
      </w:divBdr>
    </w:div>
    <w:div w:id="748622868">
      <w:bodyDiv w:val="1"/>
      <w:marLeft w:val="0"/>
      <w:marRight w:val="0"/>
      <w:marTop w:val="0"/>
      <w:marBottom w:val="0"/>
      <w:divBdr>
        <w:top w:val="none" w:sz="0" w:space="0" w:color="auto"/>
        <w:left w:val="none" w:sz="0" w:space="0" w:color="auto"/>
        <w:bottom w:val="none" w:sz="0" w:space="0" w:color="auto"/>
        <w:right w:val="none" w:sz="0" w:space="0" w:color="auto"/>
      </w:divBdr>
    </w:div>
    <w:div w:id="778644028">
      <w:bodyDiv w:val="1"/>
      <w:marLeft w:val="0"/>
      <w:marRight w:val="0"/>
      <w:marTop w:val="0"/>
      <w:marBottom w:val="0"/>
      <w:divBdr>
        <w:top w:val="none" w:sz="0" w:space="0" w:color="auto"/>
        <w:left w:val="none" w:sz="0" w:space="0" w:color="auto"/>
        <w:bottom w:val="none" w:sz="0" w:space="0" w:color="auto"/>
        <w:right w:val="none" w:sz="0" w:space="0" w:color="auto"/>
      </w:divBdr>
    </w:div>
    <w:div w:id="808742980">
      <w:bodyDiv w:val="1"/>
      <w:marLeft w:val="0"/>
      <w:marRight w:val="0"/>
      <w:marTop w:val="0"/>
      <w:marBottom w:val="0"/>
      <w:divBdr>
        <w:top w:val="none" w:sz="0" w:space="0" w:color="auto"/>
        <w:left w:val="none" w:sz="0" w:space="0" w:color="auto"/>
        <w:bottom w:val="none" w:sz="0" w:space="0" w:color="auto"/>
        <w:right w:val="none" w:sz="0" w:space="0" w:color="auto"/>
      </w:divBdr>
    </w:div>
    <w:div w:id="824860439">
      <w:bodyDiv w:val="1"/>
      <w:marLeft w:val="0"/>
      <w:marRight w:val="0"/>
      <w:marTop w:val="0"/>
      <w:marBottom w:val="0"/>
      <w:divBdr>
        <w:top w:val="none" w:sz="0" w:space="0" w:color="auto"/>
        <w:left w:val="none" w:sz="0" w:space="0" w:color="auto"/>
        <w:bottom w:val="none" w:sz="0" w:space="0" w:color="auto"/>
        <w:right w:val="none" w:sz="0" w:space="0" w:color="auto"/>
      </w:divBdr>
    </w:div>
    <w:div w:id="829716449">
      <w:bodyDiv w:val="1"/>
      <w:marLeft w:val="0"/>
      <w:marRight w:val="0"/>
      <w:marTop w:val="0"/>
      <w:marBottom w:val="0"/>
      <w:divBdr>
        <w:top w:val="none" w:sz="0" w:space="0" w:color="auto"/>
        <w:left w:val="none" w:sz="0" w:space="0" w:color="auto"/>
        <w:bottom w:val="none" w:sz="0" w:space="0" w:color="auto"/>
        <w:right w:val="none" w:sz="0" w:space="0" w:color="auto"/>
      </w:divBdr>
    </w:div>
    <w:div w:id="835919965">
      <w:bodyDiv w:val="1"/>
      <w:marLeft w:val="0"/>
      <w:marRight w:val="0"/>
      <w:marTop w:val="0"/>
      <w:marBottom w:val="0"/>
      <w:divBdr>
        <w:top w:val="none" w:sz="0" w:space="0" w:color="auto"/>
        <w:left w:val="none" w:sz="0" w:space="0" w:color="auto"/>
        <w:bottom w:val="none" w:sz="0" w:space="0" w:color="auto"/>
        <w:right w:val="none" w:sz="0" w:space="0" w:color="auto"/>
      </w:divBdr>
    </w:div>
    <w:div w:id="881936769">
      <w:bodyDiv w:val="1"/>
      <w:marLeft w:val="0"/>
      <w:marRight w:val="0"/>
      <w:marTop w:val="0"/>
      <w:marBottom w:val="0"/>
      <w:divBdr>
        <w:top w:val="none" w:sz="0" w:space="0" w:color="auto"/>
        <w:left w:val="none" w:sz="0" w:space="0" w:color="auto"/>
        <w:bottom w:val="none" w:sz="0" w:space="0" w:color="auto"/>
        <w:right w:val="none" w:sz="0" w:space="0" w:color="auto"/>
      </w:divBdr>
    </w:div>
    <w:div w:id="908618974">
      <w:bodyDiv w:val="1"/>
      <w:marLeft w:val="0"/>
      <w:marRight w:val="0"/>
      <w:marTop w:val="0"/>
      <w:marBottom w:val="0"/>
      <w:divBdr>
        <w:top w:val="none" w:sz="0" w:space="0" w:color="auto"/>
        <w:left w:val="none" w:sz="0" w:space="0" w:color="auto"/>
        <w:bottom w:val="none" w:sz="0" w:space="0" w:color="auto"/>
        <w:right w:val="none" w:sz="0" w:space="0" w:color="auto"/>
      </w:divBdr>
    </w:div>
    <w:div w:id="919562178">
      <w:bodyDiv w:val="1"/>
      <w:marLeft w:val="0"/>
      <w:marRight w:val="0"/>
      <w:marTop w:val="0"/>
      <w:marBottom w:val="0"/>
      <w:divBdr>
        <w:top w:val="none" w:sz="0" w:space="0" w:color="auto"/>
        <w:left w:val="none" w:sz="0" w:space="0" w:color="auto"/>
        <w:bottom w:val="none" w:sz="0" w:space="0" w:color="auto"/>
        <w:right w:val="none" w:sz="0" w:space="0" w:color="auto"/>
      </w:divBdr>
    </w:div>
    <w:div w:id="926771187">
      <w:bodyDiv w:val="1"/>
      <w:marLeft w:val="0"/>
      <w:marRight w:val="0"/>
      <w:marTop w:val="0"/>
      <w:marBottom w:val="0"/>
      <w:divBdr>
        <w:top w:val="none" w:sz="0" w:space="0" w:color="auto"/>
        <w:left w:val="none" w:sz="0" w:space="0" w:color="auto"/>
        <w:bottom w:val="none" w:sz="0" w:space="0" w:color="auto"/>
        <w:right w:val="none" w:sz="0" w:space="0" w:color="auto"/>
      </w:divBdr>
    </w:div>
    <w:div w:id="938872133">
      <w:bodyDiv w:val="1"/>
      <w:marLeft w:val="0"/>
      <w:marRight w:val="0"/>
      <w:marTop w:val="0"/>
      <w:marBottom w:val="0"/>
      <w:divBdr>
        <w:top w:val="none" w:sz="0" w:space="0" w:color="auto"/>
        <w:left w:val="none" w:sz="0" w:space="0" w:color="auto"/>
        <w:bottom w:val="none" w:sz="0" w:space="0" w:color="auto"/>
        <w:right w:val="none" w:sz="0" w:space="0" w:color="auto"/>
      </w:divBdr>
    </w:div>
    <w:div w:id="943683675">
      <w:bodyDiv w:val="1"/>
      <w:marLeft w:val="0"/>
      <w:marRight w:val="0"/>
      <w:marTop w:val="0"/>
      <w:marBottom w:val="0"/>
      <w:divBdr>
        <w:top w:val="none" w:sz="0" w:space="0" w:color="auto"/>
        <w:left w:val="none" w:sz="0" w:space="0" w:color="auto"/>
        <w:bottom w:val="none" w:sz="0" w:space="0" w:color="auto"/>
        <w:right w:val="none" w:sz="0" w:space="0" w:color="auto"/>
      </w:divBdr>
    </w:div>
    <w:div w:id="954171090">
      <w:bodyDiv w:val="1"/>
      <w:marLeft w:val="0"/>
      <w:marRight w:val="0"/>
      <w:marTop w:val="0"/>
      <w:marBottom w:val="0"/>
      <w:divBdr>
        <w:top w:val="none" w:sz="0" w:space="0" w:color="auto"/>
        <w:left w:val="none" w:sz="0" w:space="0" w:color="auto"/>
        <w:bottom w:val="none" w:sz="0" w:space="0" w:color="auto"/>
        <w:right w:val="none" w:sz="0" w:space="0" w:color="auto"/>
      </w:divBdr>
    </w:div>
    <w:div w:id="971666096">
      <w:bodyDiv w:val="1"/>
      <w:marLeft w:val="0"/>
      <w:marRight w:val="0"/>
      <w:marTop w:val="0"/>
      <w:marBottom w:val="0"/>
      <w:divBdr>
        <w:top w:val="none" w:sz="0" w:space="0" w:color="auto"/>
        <w:left w:val="none" w:sz="0" w:space="0" w:color="auto"/>
        <w:bottom w:val="none" w:sz="0" w:space="0" w:color="auto"/>
        <w:right w:val="none" w:sz="0" w:space="0" w:color="auto"/>
      </w:divBdr>
    </w:div>
    <w:div w:id="975378191">
      <w:bodyDiv w:val="1"/>
      <w:marLeft w:val="0"/>
      <w:marRight w:val="0"/>
      <w:marTop w:val="0"/>
      <w:marBottom w:val="0"/>
      <w:divBdr>
        <w:top w:val="none" w:sz="0" w:space="0" w:color="auto"/>
        <w:left w:val="none" w:sz="0" w:space="0" w:color="auto"/>
        <w:bottom w:val="none" w:sz="0" w:space="0" w:color="auto"/>
        <w:right w:val="none" w:sz="0" w:space="0" w:color="auto"/>
      </w:divBdr>
    </w:div>
    <w:div w:id="978612321">
      <w:bodyDiv w:val="1"/>
      <w:marLeft w:val="0"/>
      <w:marRight w:val="0"/>
      <w:marTop w:val="0"/>
      <w:marBottom w:val="0"/>
      <w:divBdr>
        <w:top w:val="none" w:sz="0" w:space="0" w:color="auto"/>
        <w:left w:val="none" w:sz="0" w:space="0" w:color="auto"/>
        <w:bottom w:val="none" w:sz="0" w:space="0" w:color="auto"/>
        <w:right w:val="none" w:sz="0" w:space="0" w:color="auto"/>
      </w:divBdr>
    </w:div>
    <w:div w:id="1014305345">
      <w:bodyDiv w:val="1"/>
      <w:marLeft w:val="0"/>
      <w:marRight w:val="0"/>
      <w:marTop w:val="0"/>
      <w:marBottom w:val="0"/>
      <w:divBdr>
        <w:top w:val="none" w:sz="0" w:space="0" w:color="auto"/>
        <w:left w:val="none" w:sz="0" w:space="0" w:color="auto"/>
        <w:bottom w:val="none" w:sz="0" w:space="0" w:color="auto"/>
        <w:right w:val="none" w:sz="0" w:space="0" w:color="auto"/>
      </w:divBdr>
    </w:div>
    <w:div w:id="1019699955">
      <w:bodyDiv w:val="1"/>
      <w:marLeft w:val="0"/>
      <w:marRight w:val="0"/>
      <w:marTop w:val="0"/>
      <w:marBottom w:val="0"/>
      <w:divBdr>
        <w:top w:val="none" w:sz="0" w:space="0" w:color="auto"/>
        <w:left w:val="none" w:sz="0" w:space="0" w:color="auto"/>
        <w:bottom w:val="none" w:sz="0" w:space="0" w:color="auto"/>
        <w:right w:val="none" w:sz="0" w:space="0" w:color="auto"/>
      </w:divBdr>
    </w:div>
    <w:div w:id="1027635028">
      <w:bodyDiv w:val="1"/>
      <w:marLeft w:val="0"/>
      <w:marRight w:val="0"/>
      <w:marTop w:val="0"/>
      <w:marBottom w:val="0"/>
      <w:divBdr>
        <w:top w:val="none" w:sz="0" w:space="0" w:color="auto"/>
        <w:left w:val="none" w:sz="0" w:space="0" w:color="auto"/>
        <w:bottom w:val="none" w:sz="0" w:space="0" w:color="auto"/>
        <w:right w:val="none" w:sz="0" w:space="0" w:color="auto"/>
      </w:divBdr>
    </w:div>
    <w:div w:id="1032804116">
      <w:bodyDiv w:val="1"/>
      <w:marLeft w:val="0"/>
      <w:marRight w:val="0"/>
      <w:marTop w:val="0"/>
      <w:marBottom w:val="0"/>
      <w:divBdr>
        <w:top w:val="none" w:sz="0" w:space="0" w:color="auto"/>
        <w:left w:val="none" w:sz="0" w:space="0" w:color="auto"/>
        <w:bottom w:val="none" w:sz="0" w:space="0" w:color="auto"/>
        <w:right w:val="none" w:sz="0" w:space="0" w:color="auto"/>
      </w:divBdr>
    </w:div>
    <w:div w:id="1089891687">
      <w:bodyDiv w:val="1"/>
      <w:marLeft w:val="0"/>
      <w:marRight w:val="0"/>
      <w:marTop w:val="0"/>
      <w:marBottom w:val="0"/>
      <w:divBdr>
        <w:top w:val="none" w:sz="0" w:space="0" w:color="auto"/>
        <w:left w:val="none" w:sz="0" w:space="0" w:color="auto"/>
        <w:bottom w:val="none" w:sz="0" w:space="0" w:color="auto"/>
        <w:right w:val="none" w:sz="0" w:space="0" w:color="auto"/>
      </w:divBdr>
    </w:div>
    <w:div w:id="1107121584">
      <w:bodyDiv w:val="1"/>
      <w:marLeft w:val="0"/>
      <w:marRight w:val="0"/>
      <w:marTop w:val="0"/>
      <w:marBottom w:val="0"/>
      <w:divBdr>
        <w:top w:val="none" w:sz="0" w:space="0" w:color="auto"/>
        <w:left w:val="none" w:sz="0" w:space="0" w:color="auto"/>
        <w:bottom w:val="none" w:sz="0" w:space="0" w:color="auto"/>
        <w:right w:val="none" w:sz="0" w:space="0" w:color="auto"/>
      </w:divBdr>
    </w:div>
    <w:div w:id="1142504962">
      <w:bodyDiv w:val="1"/>
      <w:marLeft w:val="0"/>
      <w:marRight w:val="0"/>
      <w:marTop w:val="0"/>
      <w:marBottom w:val="0"/>
      <w:divBdr>
        <w:top w:val="none" w:sz="0" w:space="0" w:color="auto"/>
        <w:left w:val="none" w:sz="0" w:space="0" w:color="auto"/>
        <w:bottom w:val="none" w:sz="0" w:space="0" w:color="auto"/>
        <w:right w:val="none" w:sz="0" w:space="0" w:color="auto"/>
      </w:divBdr>
    </w:div>
    <w:div w:id="1152797732">
      <w:bodyDiv w:val="1"/>
      <w:marLeft w:val="0"/>
      <w:marRight w:val="0"/>
      <w:marTop w:val="0"/>
      <w:marBottom w:val="0"/>
      <w:divBdr>
        <w:top w:val="none" w:sz="0" w:space="0" w:color="auto"/>
        <w:left w:val="none" w:sz="0" w:space="0" w:color="auto"/>
        <w:bottom w:val="none" w:sz="0" w:space="0" w:color="auto"/>
        <w:right w:val="none" w:sz="0" w:space="0" w:color="auto"/>
      </w:divBdr>
    </w:div>
    <w:div w:id="1160534753">
      <w:bodyDiv w:val="1"/>
      <w:marLeft w:val="0"/>
      <w:marRight w:val="0"/>
      <w:marTop w:val="0"/>
      <w:marBottom w:val="0"/>
      <w:divBdr>
        <w:top w:val="none" w:sz="0" w:space="0" w:color="auto"/>
        <w:left w:val="none" w:sz="0" w:space="0" w:color="auto"/>
        <w:bottom w:val="none" w:sz="0" w:space="0" w:color="auto"/>
        <w:right w:val="none" w:sz="0" w:space="0" w:color="auto"/>
      </w:divBdr>
    </w:div>
    <w:div w:id="1182163387">
      <w:bodyDiv w:val="1"/>
      <w:marLeft w:val="0"/>
      <w:marRight w:val="0"/>
      <w:marTop w:val="0"/>
      <w:marBottom w:val="0"/>
      <w:divBdr>
        <w:top w:val="none" w:sz="0" w:space="0" w:color="auto"/>
        <w:left w:val="none" w:sz="0" w:space="0" w:color="auto"/>
        <w:bottom w:val="none" w:sz="0" w:space="0" w:color="auto"/>
        <w:right w:val="none" w:sz="0" w:space="0" w:color="auto"/>
      </w:divBdr>
    </w:div>
    <w:div w:id="1187869586">
      <w:bodyDiv w:val="1"/>
      <w:marLeft w:val="0"/>
      <w:marRight w:val="0"/>
      <w:marTop w:val="0"/>
      <w:marBottom w:val="0"/>
      <w:divBdr>
        <w:top w:val="none" w:sz="0" w:space="0" w:color="auto"/>
        <w:left w:val="none" w:sz="0" w:space="0" w:color="auto"/>
        <w:bottom w:val="none" w:sz="0" w:space="0" w:color="auto"/>
        <w:right w:val="none" w:sz="0" w:space="0" w:color="auto"/>
      </w:divBdr>
    </w:div>
    <w:div w:id="1201019422">
      <w:bodyDiv w:val="1"/>
      <w:marLeft w:val="0"/>
      <w:marRight w:val="0"/>
      <w:marTop w:val="0"/>
      <w:marBottom w:val="0"/>
      <w:divBdr>
        <w:top w:val="none" w:sz="0" w:space="0" w:color="auto"/>
        <w:left w:val="none" w:sz="0" w:space="0" w:color="auto"/>
        <w:bottom w:val="none" w:sz="0" w:space="0" w:color="auto"/>
        <w:right w:val="none" w:sz="0" w:space="0" w:color="auto"/>
      </w:divBdr>
    </w:div>
    <w:div w:id="1209295493">
      <w:bodyDiv w:val="1"/>
      <w:marLeft w:val="0"/>
      <w:marRight w:val="0"/>
      <w:marTop w:val="0"/>
      <w:marBottom w:val="0"/>
      <w:divBdr>
        <w:top w:val="none" w:sz="0" w:space="0" w:color="auto"/>
        <w:left w:val="none" w:sz="0" w:space="0" w:color="auto"/>
        <w:bottom w:val="none" w:sz="0" w:space="0" w:color="auto"/>
        <w:right w:val="none" w:sz="0" w:space="0" w:color="auto"/>
      </w:divBdr>
    </w:div>
    <w:div w:id="1253008783">
      <w:bodyDiv w:val="1"/>
      <w:marLeft w:val="0"/>
      <w:marRight w:val="0"/>
      <w:marTop w:val="0"/>
      <w:marBottom w:val="0"/>
      <w:divBdr>
        <w:top w:val="none" w:sz="0" w:space="0" w:color="auto"/>
        <w:left w:val="none" w:sz="0" w:space="0" w:color="auto"/>
        <w:bottom w:val="none" w:sz="0" w:space="0" w:color="auto"/>
        <w:right w:val="none" w:sz="0" w:space="0" w:color="auto"/>
      </w:divBdr>
    </w:div>
    <w:div w:id="1259563147">
      <w:bodyDiv w:val="1"/>
      <w:marLeft w:val="0"/>
      <w:marRight w:val="0"/>
      <w:marTop w:val="0"/>
      <w:marBottom w:val="0"/>
      <w:divBdr>
        <w:top w:val="none" w:sz="0" w:space="0" w:color="auto"/>
        <w:left w:val="none" w:sz="0" w:space="0" w:color="auto"/>
        <w:bottom w:val="none" w:sz="0" w:space="0" w:color="auto"/>
        <w:right w:val="none" w:sz="0" w:space="0" w:color="auto"/>
      </w:divBdr>
    </w:div>
    <w:div w:id="1301380182">
      <w:bodyDiv w:val="1"/>
      <w:marLeft w:val="0"/>
      <w:marRight w:val="0"/>
      <w:marTop w:val="0"/>
      <w:marBottom w:val="0"/>
      <w:divBdr>
        <w:top w:val="none" w:sz="0" w:space="0" w:color="auto"/>
        <w:left w:val="none" w:sz="0" w:space="0" w:color="auto"/>
        <w:bottom w:val="none" w:sz="0" w:space="0" w:color="auto"/>
        <w:right w:val="none" w:sz="0" w:space="0" w:color="auto"/>
      </w:divBdr>
    </w:div>
    <w:div w:id="1308971761">
      <w:bodyDiv w:val="1"/>
      <w:marLeft w:val="0"/>
      <w:marRight w:val="0"/>
      <w:marTop w:val="0"/>
      <w:marBottom w:val="0"/>
      <w:divBdr>
        <w:top w:val="none" w:sz="0" w:space="0" w:color="auto"/>
        <w:left w:val="none" w:sz="0" w:space="0" w:color="auto"/>
        <w:bottom w:val="none" w:sz="0" w:space="0" w:color="auto"/>
        <w:right w:val="none" w:sz="0" w:space="0" w:color="auto"/>
      </w:divBdr>
    </w:div>
    <w:div w:id="1342928119">
      <w:bodyDiv w:val="1"/>
      <w:marLeft w:val="0"/>
      <w:marRight w:val="0"/>
      <w:marTop w:val="0"/>
      <w:marBottom w:val="0"/>
      <w:divBdr>
        <w:top w:val="none" w:sz="0" w:space="0" w:color="auto"/>
        <w:left w:val="none" w:sz="0" w:space="0" w:color="auto"/>
        <w:bottom w:val="none" w:sz="0" w:space="0" w:color="auto"/>
        <w:right w:val="none" w:sz="0" w:space="0" w:color="auto"/>
      </w:divBdr>
    </w:div>
    <w:div w:id="1347319311">
      <w:bodyDiv w:val="1"/>
      <w:marLeft w:val="0"/>
      <w:marRight w:val="0"/>
      <w:marTop w:val="0"/>
      <w:marBottom w:val="0"/>
      <w:divBdr>
        <w:top w:val="none" w:sz="0" w:space="0" w:color="auto"/>
        <w:left w:val="none" w:sz="0" w:space="0" w:color="auto"/>
        <w:bottom w:val="none" w:sz="0" w:space="0" w:color="auto"/>
        <w:right w:val="none" w:sz="0" w:space="0" w:color="auto"/>
      </w:divBdr>
    </w:div>
    <w:div w:id="1352536724">
      <w:bodyDiv w:val="1"/>
      <w:marLeft w:val="0"/>
      <w:marRight w:val="0"/>
      <w:marTop w:val="0"/>
      <w:marBottom w:val="0"/>
      <w:divBdr>
        <w:top w:val="none" w:sz="0" w:space="0" w:color="auto"/>
        <w:left w:val="none" w:sz="0" w:space="0" w:color="auto"/>
        <w:bottom w:val="none" w:sz="0" w:space="0" w:color="auto"/>
        <w:right w:val="none" w:sz="0" w:space="0" w:color="auto"/>
      </w:divBdr>
    </w:div>
    <w:div w:id="1421759901">
      <w:bodyDiv w:val="1"/>
      <w:marLeft w:val="0"/>
      <w:marRight w:val="0"/>
      <w:marTop w:val="0"/>
      <w:marBottom w:val="0"/>
      <w:divBdr>
        <w:top w:val="none" w:sz="0" w:space="0" w:color="auto"/>
        <w:left w:val="none" w:sz="0" w:space="0" w:color="auto"/>
        <w:bottom w:val="none" w:sz="0" w:space="0" w:color="auto"/>
        <w:right w:val="none" w:sz="0" w:space="0" w:color="auto"/>
      </w:divBdr>
    </w:div>
    <w:div w:id="1457602653">
      <w:bodyDiv w:val="1"/>
      <w:marLeft w:val="0"/>
      <w:marRight w:val="0"/>
      <w:marTop w:val="0"/>
      <w:marBottom w:val="0"/>
      <w:divBdr>
        <w:top w:val="none" w:sz="0" w:space="0" w:color="auto"/>
        <w:left w:val="none" w:sz="0" w:space="0" w:color="auto"/>
        <w:bottom w:val="none" w:sz="0" w:space="0" w:color="auto"/>
        <w:right w:val="none" w:sz="0" w:space="0" w:color="auto"/>
      </w:divBdr>
    </w:div>
    <w:div w:id="1483543393">
      <w:bodyDiv w:val="1"/>
      <w:marLeft w:val="0"/>
      <w:marRight w:val="0"/>
      <w:marTop w:val="0"/>
      <w:marBottom w:val="0"/>
      <w:divBdr>
        <w:top w:val="none" w:sz="0" w:space="0" w:color="auto"/>
        <w:left w:val="none" w:sz="0" w:space="0" w:color="auto"/>
        <w:bottom w:val="none" w:sz="0" w:space="0" w:color="auto"/>
        <w:right w:val="none" w:sz="0" w:space="0" w:color="auto"/>
      </w:divBdr>
    </w:div>
    <w:div w:id="1502698110">
      <w:bodyDiv w:val="1"/>
      <w:marLeft w:val="0"/>
      <w:marRight w:val="0"/>
      <w:marTop w:val="0"/>
      <w:marBottom w:val="0"/>
      <w:divBdr>
        <w:top w:val="none" w:sz="0" w:space="0" w:color="auto"/>
        <w:left w:val="none" w:sz="0" w:space="0" w:color="auto"/>
        <w:bottom w:val="none" w:sz="0" w:space="0" w:color="auto"/>
        <w:right w:val="none" w:sz="0" w:space="0" w:color="auto"/>
      </w:divBdr>
    </w:div>
    <w:div w:id="1572155243">
      <w:bodyDiv w:val="1"/>
      <w:marLeft w:val="0"/>
      <w:marRight w:val="0"/>
      <w:marTop w:val="0"/>
      <w:marBottom w:val="0"/>
      <w:divBdr>
        <w:top w:val="none" w:sz="0" w:space="0" w:color="auto"/>
        <w:left w:val="none" w:sz="0" w:space="0" w:color="auto"/>
        <w:bottom w:val="none" w:sz="0" w:space="0" w:color="auto"/>
        <w:right w:val="none" w:sz="0" w:space="0" w:color="auto"/>
      </w:divBdr>
    </w:div>
    <w:div w:id="1584993136">
      <w:bodyDiv w:val="1"/>
      <w:marLeft w:val="0"/>
      <w:marRight w:val="0"/>
      <w:marTop w:val="0"/>
      <w:marBottom w:val="0"/>
      <w:divBdr>
        <w:top w:val="none" w:sz="0" w:space="0" w:color="auto"/>
        <w:left w:val="none" w:sz="0" w:space="0" w:color="auto"/>
        <w:bottom w:val="none" w:sz="0" w:space="0" w:color="auto"/>
        <w:right w:val="none" w:sz="0" w:space="0" w:color="auto"/>
      </w:divBdr>
    </w:div>
    <w:div w:id="1611278349">
      <w:bodyDiv w:val="1"/>
      <w:marLeft w:val="0"/>
      <w:marRight w:val="0"/>
      <w:marTop w:val="0"/>
      <w:marBottom w:val="0"/>
      <w:divBdr>
        <w:top w:val="none" w:sz="0" w:space="0" w:color="auto"/>
        <w:left w:val="none" w:sz="0" w:space="0" w:color="auto"/>
        <w:bottom w:val="none" w:sz="0" w:space="0" w:color="auto"/>
        <w:right w:val="none" w:sz="0" w:space="0" w:color="auto"/>
      </w:divBdr>
    </w:div>
    <w:div w:id="1634099076">
      <w:bodyDiv w:val="1"/>
      <w:marLeft w:val="0"/>
      <w:marRight w:val="0"/>
      <w:marTop w:val="0"/>
      <w:marBottom w:val="0"/>
      <w:divBdr>
        <w:top w:val="none" w:sz="0" w:space="0" w:color="auto"/>
        <w:left w:val="none" w:sz="0" w:space="0" w:color="auto"/>
        <w:bottom w:val="none" w:sz="0" w:space="0" w:color="auto"/>
        <w:right w:val="none" w:sz="0" w:space="0" w:color="auto"/>
      </w:divBdr>
    </w:div>
    <w:div w:id="1726559769">
      <w:bodyDiv w:val="1"/>
      <w:marLeft w:val="0"/>
      <w:marRight w:val="0"/>
      <w:marTop w:val="0"/>
      <w:marBottom w:val="0"/>
      <w:divBdr>
        <w:top w:val="none" w:sz="0" w:space="0" w:color="auto"/>
        <w:left w:val="none" w:sz="0" w:space="0" w:color="auto"/>
        <w:bottom w:val="none" w:sz="0" w:space="0" w:color="auto"/>
        <w:right w:val="none" w:sz="0" w:space="0" w:color="auto"/>
      </w:divBdr>
    </w:div>
    <w:div w:id="1738281482">
      <w:bodyDiv w:val="1"/>
      <w:marLeft w:val="0"/>
      <w:marRight w:val="0"/>
      <w:marTop w:val="0"/>
      <w:marBottom w:val="0"/>
      <w:divBdr>
        <w:top w:val="none" w:sz="0" w:space="0" w:color="auto"/>
        <w:left w:val="none" w:sz="0" w:space="0" w:color="auto"/>
        <w:bottom w:val="none" w:sz="0" w:space="0" w:color="auto"/>
        <w:right w:val="none" w:sz="0" w:space="0" w:color="auto"/>
      </w:divBdr>
    </w:div>
    <w:div w:id="1742558874">
      <w:bodyDiv w:val="1"/>
      <w:marLeft w:val="0"/>
      <w:marRight w:val="0"/>
      <w:marTop w:val="0"/>
      <w:marBottom w:val="0"/>
      <w:divBdr>
        <w:top w:val="none" w:sz="0" w:space="0" w:color="auto"/>
        <w:left w:val="none" w:sz="0" w:space="0" w:color="auto"/>
        <w:bottom w:val="none" w:sz="0" w:space="0" w:color="auto"/>
        <w:right w:val="none" w:sz="0" w:space="0" w:color="auto"/>
      </w:divBdr>
    </w:div>
    <w:div w:id="1835533645">
      <w:bodyDiv w:val="1"/>
      <w:marLeft w:val="0"/>
      <w:marRight w:val="0"/>
      <w:marTop w:val="0"/>
      <w:marBottom w:val="0"/>
      <w:divBdr>
        <w:top w:val="none" w:sz="0" w:space="0" w:color="auto"/>
        <w:left w:val="none" w:sz="0" w:space="0" w:color="auto"/>
        <w:bottom w:val="none" w:sz="0" w:space="0" w:color="auto"/>
        <w:right w:val="none" w:sz="0" w:space="0" w:color="auto"/>
      </w:divBdr>
    </w:div>
    <w:div w:id="1859345737">
      <w:bodyDiv w:val="1"/>
      <w:marLeft w:val="0"/>
      <w:marRight w:val="0"/>
      <w:marTop w:val="0"/>
      <w:marBottom w:val="0"/>
      <w:divBdr>
        <w:top w:val="none" w:sz="0" w:space="0" w:color="auto"/>
        <w:left w:val="none" w:sz="0" w:space="0" w:color="auto"/>
        <w:bottom w:val="none" w:sz="0" w:space="0" w:color="auto"/>
        <w:right w:val="none" w:sz="0" w:space="0" w:color="auto"/>
      </w:divBdr>
    </w:div>
    <w:div w:id="1859467644">
      <w:bodyDiv w:val="1"/>
      <w:marLeft w:val="0"/>
      <w:marRight w:val="0"/>
      <w:marTop w:val="0"/>
      <w:marBottom w:val="0"/>
      <w:divBdr>
        <w:top w:val="none" w:sz="0" w:space="0" w:color="auto"/>
        <w:left w:val="none" w:sz="0" w:space="0" w:color="auto"/>
        <w:bottom w:val="none" w:sz="0" w:space="0" w:color="auto"/>
        <w:right w:val="none" w:sz="0" w:space="0" w:color="auto"/>
      </w:divBdr>
    </w:div>
    <w:div w:id="1899708873">
      <w:bodyDiv w:val="1"/>
      <w:marLeft w:val="0"/>
      <w:marRight w:val="0"/>
      <w:marTop w:val="0"/>
      <w:marBottom w:val="0"/>
      <w:divBdr>
        <w:top w:val="none" w:sz="0" w:space="0" w:color="auto"/>
        <w:left w:val="none" w:sz="0" w:space="0" w:color="auto"/>
        <w:bottom w:val="none" w:sz="0" w:space="0" w:color="auto"/>
        <w:right w:val="none" w:sz="0" w:space="0" w:color="auto"/>
      </w:divBdr>
    </w:div>
    <w:div w:id="1901865493">
      <w:bodyDiv w:val="1"/>
      <w:marLeft w:val="0"/>
      <w:marRight w:val="0"/>
      <w:marTop w:val="0"/>
      <w:marBottom w:val="0"/>
      <w:divBdr>
        <w:top w:val="none" w:sz="0" w:space="0" w:color="auto"/>
        <w:left w:val="none" w:sz="0" w:space="0" w:color="auto"/>
        <w:bottom w:val="none" w:sz="0" w:space="0" w:color="auto"/>
        <w:right w:val="none" w:sz="0" w:space="0" w:color="auto"/>
      </w:divBdr>
    </w:div>
    <w:div w:id="1913193750">
      <w:bodyDiv w:val="1"/>
      <w:marLeft w:val="0"/>
      <w:marRight w:val="0"/>
      <w:marTop w:val="0"/>
      <w:marBottom w:val="0"/>
      <w:divBdr>
        <w:top w:val="none" w:sz="0" w:space="0" w:color="auto"/>
        <w:left w:val="none" w:sz="0" w:space="0" w:color="auto"/>
        <w:bottom w:val="none" w:sz="0" w:space="0" w:color="auto"/>
        <w:right w:val="none" w:sz="0" w:space="0" w:color="auto"/>
      </w:divBdr>
    </w:div>
    <w:div w:id="1915580434">
      <w:bodyDiv w:val="1"/>
      <w:marLeft w:val="0"/>
      <w:marRight w:val="0"/>
      <w:marTop w:val="0"/>
      <w:marBottom w:val="0"/>
      <w:divBdr>
        <w:top w:val="none" w:sz="0" w:space="0" w:color="auto"/>
        <w:left w:val="none" w:sz="0" w:space="0" w:color="auto"/>
        <w:bottom w:val="none" w:sz="0" w:space="0" w:color="auto"/>
        <w:right w:val="none" w:sz="0" w:space="0" w:color="auto"/>
      </w:divBdr>
    </w:div>
    <w:div w:id="1917518166">
      <w:bodyDiv w:val="1"/>
      <w:marLeft w:val="0"/>
      <w:marRight w:val="0"/>
      <w:marTop w:val="0"/>
      <w:marBottom w:val="0"/>
      <w:divBdr>
        <w:top w:val="none" w:sz="0" w:space="0" w:color="auto"/>
        <w:left w:val="none" w:sz="0" w:space="0" w:color="auto"/>
        <w:bottom w:val="none" w:sz="0" w:space="0" w:color="auto"/>
        <w:right w:val="none" w:sz="0" w:space="0" w:color="auto"/>
      </w:divBdr>
    </w:div>
    <w:div w:id="1945720831">
      <w:bodyDiv w:val="1"/>
      <w:marLeft w:val="0"/>
      <w:marRight w:val="0"/>
      <w:marTop w:val="0"/>
      <w:marBottom w:val="0"/>
      <w:divBdr>
        <w:top w:val="none" w:sz="0" w:space="0" w:color="auto"/>
        <w:left w:val="none" w:sz="0" w:space="0" w:color="auto"/>
        <w:bottom w:val="none" w:sz="0" w:space="0" w:color="auto"/>
        <w:right w:val="none" w:sz="0" w:space="0" w:color="auto"/>
      </w:divBdr>
    </w:div>
    <w:div w:id="1974405330">
      <w:bodyDiv w:val="1"/>
      <w:marLeft w:val="0"/>
      <w:marRight w:val="0"/>
      <w:marTop w:val="0"/>
      <w:marBottom w:val="0"/>
      <w:divBdr>
        <w:top w:val="none" w:sz="0" w:space="0" w:color="auto"/>
        <w:left w:val="none" w:sz="0" w:space="0" w:color="auto"/>
        <w:bottom w:val="none" w:sz="0" w:space="0" w:color="auto"/>
        <w:right w:val="none" w:sz="0" w:space="0" w:color="auto"/>
      </w:divBdr>
    </w:div>
    <w:div w:id="2001809851">
      <w:bodyDiv w:val="1"/>
      <w:marLeft w:val="0"/>
      <w:marRight w:val="0"/>
      <w:marTop w:val="0"/>
      <w:marBottom w:val="0"/>
      <w:divBdr>
        <w:top w:val="none" w:sz="0" w:space="0" w:color="auto"/>
        <w:left w:val="none" w:sz="0" w:space="0" w:color="auto"/>
        <w:bottom w:val="none" w:sz="0" w:space="0" w:color="auto"/>
        <w:right w:val="none" w:sz="0" w:space="0" w:color="auto"/>
      </w:divBdr>
    </w:div>
    <w:div w:id="2030402881">
      <w:bodyDiv w:val="1"/>
      <w:marLeft w:val="0"/>
      <w:marRight w:val="0"/>
      <w:marTop w:val="0"/>
      <w:marBottom w:val="0"/>
      <w:divBdr>
        <w:top w:val="none" w:sz="0" w:space="0" w:color="auto"/>
        <w:left w:val="none" w:sz="0" w:space="0" w:color="auto"/>
        <w:bottom w:val="none" w:sz="0" w:space="0" w:color="auto"/>
        <w:right w:val="none" w:sz="0" w:space="0" w:color="auto"/>
      </w:divBdr>
    </w:div>
    <w:div w:id="2032679624">
      <w:bodyDiv w:val="1"/>
      <w:marLeft w:val="0"/>
      <w:marRight w:val="0"/>
      <w:marTop w:val="0"/>
      <w:marBottom w:val="0"/>
      <w:divBdr>
        <w:top w:val="none" w:sz="0" w:space="0" w:color="auto"/>
        <w:left w:val="none" w:sz="0" w:space="0" w:color="auto"/>
        <w:bottom w:val="none" w:sz="0" w:space="0" w:color="auto"/>
        <w:right w:val="none" w:sz="0" w:space="0" w:color="auto"/>
      </w:divBdr>
    </w:div>
    <w:div w:id="2061853542">
      <w:bodyDiv w:val="1"/>
      <w:marLeft w:val="0"/>
      <w:marRight w:val="0"/>
      <w:marTop w:val="0"/>
      <w:marBottom w:val="0"/>
      <w:divBdr>
        <w:top w:val="none" w:sz="0" w:space="0" w:color="auto"/>
        <w:left w:val="none" w:sz="0" w:space="0" w:color="auto"/>
        <w:bottom w:val="none" w:sz="0" w:space="0" w:color="auto"/>
        <w:right w:val="none" w:sz="0" w:space="0" w:color="auto"/>
      </w:divBdr>
    </w:div>
    <w:div w:id="2094162262">
      <w:bodyDiv w:val="1"/>
      <w:marLeft w:val="0"/>
      <w:marRight w:val="0"/>
      <w:marTop w:val="0"/>
      <w:marBottom w:val="0"/>
      <w:divBdr>
        <w:top w:val="none" w:sz="0" w:space="0" w:color="auto"/>
        <w:left w:val="none" w:sz="0" w:space="0" w:color="auto"/>
        <w:bottom w:val="none" w:sz="0" w:space="0" w:color="auto"/>
        <w:right w:val="none" w:sz="0" w:space="0" w:color="auto"/>
      </w:divBdr>
    </w:div>
    <w:div w:id="2115130422">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3.xml"/><Relationship Id="rId26" Type="http://schemas.openxmlformats.org/officeDocument/2006/relationships/image" Target="media/image10.png"/><Relationship Id="rId39" Type="http://schemas.openxmlformats.org/officeDocument/2006/relationships/oleObject" Target="embeddings/oleObject4.bin"/><Relationship Id="rId21" Type="http://schemas.openxmlformats.org/officeDocument/2006/relationships/image" Target="media/image7.png"/><Relationship Id="rId34" Type="http://schemas.openxmlformats.org/officeDocument/2006/relationships/image" Target="media/image16.png"/><Relationship Id="rId42"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9.emf"/><Relationship Id="rId32" Type="http://schemas.openxmlformats.org/officeDocument/2006/relationships/image" Target="media/image14.png"/><Relationship Id="rId37" Type="http://schemas.openxmlformats.org/officeDocument/2006/relationships/oleObject" Target="embeddings/oleObject3.bin"/><Relationship Id="rId40" Type="http://schemas.openxmlformats.org/officeDocument/2006/relationships/hyperlink" Target="https://5f2fe3253cd1dfa0d089-bf8b2cdb6a1dc2999fecbc372702016c.ssl.cf3.rackcdn.com/uploads/ckeditor/attachments/18130/TH_Let_s_Talk_SEND_Newsletter__Summer_2025_.pdf" TargetMode="Externa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chart" Target="charts/chart4.xml"/><Relationship Id="rId28" Type="http://schemas.openxmlformats.org/officeDocument/2006/relationships/oleObject" Target="embeddings/oleObject2.bin"/><Relationship Id="rId36" Type="http://schemas.openxmlformats.org/officeDocument/2006/relationships/image" Target="media/image18.emf"/><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chart" Target="charts/chart5.xml"/><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8.png"/><Relationship Id="rId27" Type="http://schemas.openxmlformats.org/officeDocument/2006/relationships/image" Target="media/image11.emf"/><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towerhamlets.gov.uk/News_events/2025/August/Partnership-inspection-finds-children-and-young-people-with-SEND-are-valued-in-Tower-Hamlets.aspx" TargetMode="External"/><Relationship Id="rId17" Type="http://schemas.openxmlformats.org/officeDocument/2006/relationships/chart" Target="charts/chart2.xml"/><Relationship Id="rId25" Type="http://schemas.openxmlformats.org/officeDocument/2006/relationships/oleObject" Target="embeddings/oleObject1.bin"/><Relationship Id="rId33" Type="http://schemas.openxmlformats.org/officeDocument/2006/relationships/image" Target="media/image15.jpeg"/><Relationship Id="rId38" Type="http://schemas.openxmlformats.org/officeDocument/2006/relationships/image" Target="media/image19.emf"/><Relationship Id="rId20" Type="http://schemas.openxmlformats.org/officeDocument/2006/relationships/image" Target="media/image6.jpeg"/><Relationship Id="rId41" Type="http://schemas.openxmlformats.org/officeDocument/2006/relationships/image" Target="media/image20.jpeg"/></Relationships>
</file>

<file path=word/_rels/endnotes.xml.rels><?xml version="1.0" encoding="UTF-8" standalone="yes"?>
<Relationships xmlns="http://schemas.openxmlformats.org/package/2006/relationships"><Relationship Id="rId117" Type="http://schemas.openxmlformats.org/officeDocument/2006/relationships/hyperlink" Target="https://www.nhs.uk/conditions/developmental-coordination-disorder-dyspraxia-in-adults" TargetMode="External"/><Relationship Id="rId21" Type="http://schemas.openxmlformats.org/officeDocument/2006/relationships/hyperlink" Target="https://www.towerhamlets.gov.uk/Documents/Children-and-families-services/Early_help/TH-Early-Help-Strategy.pdf" TargetMode="External"/><Relationship Id="rId42" Type="http://schemas.openxmlformats.org/officeDocument/2006/relationships/hyperlink" Target="https://doi.org/10.1097/DBP.0000000000000140" TargetMode="External"/><Relationship Id="rId63" Type="http://schemas.openxmlformats.org/officeDocument/2006/relationships/hyperlink" Target="https://democracy.towerhamlets.gov.uk/documents/s242711/20052024%20TH%20HWBB%20MHWB%20Final%20Draft.pdf" TargetMode="External"/><Relationship Id="rId84" Type="http://schemas.openxmlformats.org/officeDocument/2006/relationships/hyperlink" Target="https://www.rcslt.org/wp-content/uploads/media/Project/RCSLT/rcslt-communication-needs-factsheet.pdf" TargetMode="External"/><Relationship Id="rId138" Type="http://schemas.openxmlformats.org/officeDocument/2006/relationships/hyperlink" Target="https://doi.org/10.1016/j.aip.2015.09.002" TargetMode="External"/><Relationship Id="rId159" Type="http://schemas.openxmlformats.org/officeDocument/2006/relationships/hyperlink" Target="https://doi.org/10.1080/13632752.2021.1894743" TargetMode="External"/><Relationship Id="rId170" Type="http://schemas.openxmlformats.org/officeDocument/2006/relationships/hyperlink" Target="https://doi.org/10.1080/16506073.2014.947316" TargetMode="External"/><Relationship Id="rId191" Type="http://schemas.openxmlformats.org/officeDocument/2006/relationships/hyperlink" Target="https://explore-education-statistics.service.gov.uk/data-tables/school-pupils-and-their-characteristics" TargetMode="External"/><Relationship Id="rId205" Type="http://schemas.openxmlformats.org/officeDocument/2006/relationships/hyperlink" Target="https://rnid.org.uk/wp-content/uploads/2020/05/AIS-policy-report-England-UPDATED.pdf" TargetMode="External"/><Relationship Id="rId226" Type="http://schemas.openxmlformats.org/officeDocument/2006/relationships/hyperlink" Target="https://www.downs-syndrome.org.uk/wp-content/uploads/2020/10/International_Guidelines_for_the_Education_of_Learners_with_Down_Syndrome_-_DSi_-_July_2020-1.pdf" TargetMode="External"/><Relationship Id="rId107" Type="http://schemas.openxmlformats.org/officeDocument/2006/relationships/hyperlink" Target="https://doi.org/10.1111/jcpp.12737" TargetMode="External"/><Relationship Id="rId11" Type="http://schemas.openxmlformats.org/officeDocument/2006/relationships/hyperlink" Target="https://assets.publishing.service.gov.uk/media/5a7c95a4e5274a0bb7cb806d/5860.pdf" TargetMode="External"/><Relationship Id="rId32" Type="http://schemas.openxmlformats.org/officeDocument/2006/relationships/hyperlink" Target="https://explore-education-statistics.service.gov.uk/find-statistics/suspensions-and-permanent-exclusions-in-england/2023-24" TargetMode="External"/><Relationship Id="rId53" Type="http://schemas.openxmlformats.org/officeDocument/2006/relationships/hyperlink" Target="https://www.nice.org.uk/guidance/cg128" TargetMode="External"/><Relationship Id="rId74" Type="http://schemas.openxmlformats.org/officeDocument/2006/relationships/hyperlink" Target="https://doi.org/10.1111/bjep.12375" TargetMode="External"/><Relationship Id="rId128" Type="http://schemas.openxmlformats.org/officeDocument/2006/relationships/hyperlink" Target="https://doi.org/10.2466/pms.2002.94.2.623" TargetMode="External"/><Relationship Id="rId149" Type="http://schemas.openxmlformats.org/officeDocument/2006/relationships/hyperlink" Target="https://digital.nhs.uk/data-and-information/publications/statistical/adult-psychiatric-morbidity-survey/survey-of-mental-health-and-wellbeing-england-2023-24/attention-deficit-hyperactivity-disorder" TargetMode="External"/><Relationship Id="rId5" Type="http://schemas.openxmlformats.org/officeDocument/2006/relationships/hyperlink" Target="https://fingertips.phe.org.uk" TargetMode="External"/><Relationship Id="rId95" Type="http://schemas.openxmlformats.org/officeDocument/2006/relationships/hyperlink" Target="https://democracy.towerhamlets.gov.uk/documents/s250000/HWBB+SEND+Report+27+Feb+2025.pdf" TargetMode="External"/><Relationship Id="rId160" Type="http://schemas.openxmlformats.org/officeDocument/2006/relationships/hyperlink" Target="https://researchonline.ljmu.ac.uk/id/eprint/15715/1/A%20Rapid%20Scoping%20Review.pdf" TargetMode="External"/><Relationship Id="rId181" Type="http://schemas.openxmlformats.org/officeDocument/2006/relationships/hyperlink" Target="https://www.nidcd.nih.gov/health/noise-induced-hearing-loss" TargetMode="External"/><Relationship Id="rId216" Type="http://schemas.openxmlformats.org/officeDocument/2006/relationships/hyperlink" Target="https://www.childrenscommissioner.gov.uk/the-big-ambition/" TargetMode="External"/><Relationship Id="rId22" Type="http://schemas.openxmlformats.org/officeDocument/2006/relationships/hyperlink" Target="https://democracy.towerhamlets.gov.uk/mgConvert2PDF.aspx?ID=191599" TargetMode="External"/><Relationship Id="rId43" Type="http://schemas.openxmlformats.org/officeDocument/2006/relationships/hyperlink" Target="https://dy55nndrxke1w.cloudfront.net/file/24/asDKIN9asAvgMtEas6gIatOcB5H/NAS_Education%20Report%202023.pdf" TargetMode="External"/><Relationship Id="rId64" Type="http://schemas.openxmlformats.org/officeDocument/2006/relationships/hyperlink" Target="https://democracy.towerhamlets.gov.uk/documents/s242711/20052024%20TH%20HWBB%20MHWB%20Final%20Draft.pdf" TargetMode="External"/><Relationship Id="rId118" Type="http://schemas.openxmlformats.org/officeDocument/2006/relationships/hyperlink" Target="https://www.hft.org.uk/resources-and-guidance/what-is-a-learning-disability/learning-difficulties-and-other-needs/dysgraphia/" TargetMode="External"/><Relationship Id="rId139" Type="http://schemas.openxmlformats.org/officeDocument/2006/relationships/hyperlink" Target="https://doi.org/10.1016/j.compedu.2020.103953" TargetMode="External"/><Relationship Id="rId85" Type="http://schemas.openxmlformats.org/officeDocument/2006/relationships/hyperlink" Target="https://assets.publishing.service.gov.uk/government/uploads/system/uploads/attachment_data/file/557156/DFE-RR247-BCRP4.pdf" TargetMode="External"/><Relationship Id="rId150" Type="http://schemas.openxmlformats.org/officeDocument/2006/relationships/hyperlink" Target="https://doi.org/10.1016/j.jad.2021.07.073" TargetMode="External"/><Relationship Id="rId171" Type="http://schemas.openxmlformats.org/officeDocument/2006/relationships/hyperlink" Target="http://doi.org/10.4172/2329-9525.1000124" TargetMode="External"/><Relationship Id="rId192" Type="http://schemas.openxmlformats.org/officeDocument/2006/relationships/hyperlink" Target="https://explore-education-statistics.service.gov.uk/data-tables/school-pupils-and-their-characteristics" TargetMode="External"/><Relationship Id="rId206" Type="http://schemas.openxmlformats.org/officeDocument/2006/relationships/hyperlink" Target="https://rnid.org.uk/wp-content/uploads/2020/07/Good-practice-full-report.pdf" TargetMode="External"/><Relationship Id="rId227" Type="http://schemas.openxmlformats.org/officeDocument/2006/relationships/hyperlink" Target="https://www.childrenscommissioner.gov.uk/the-big-ambition/" TargetMode="External"/><Relationship Id="rId12" Type="http://schemas.openxmlformats.org/officeDocument/2006/relationships/hyperlink" Target="https://www.legislation.gov.uk/ukpga/2014/6/contents" TargetMode="External"/><Relationship Id="rId33" Type="http://schemas.openxmlformats.org/officeDocument/2006/relationships/hyperlink" Target="https://doi.org/10.31887/DCNS.2012.14.3/pchaste" TargetMode="External"/><Relationship Id="rId108" Type="http://schemas.openxmlformats.org/officeDocument/2006/relationships/hyperlink" Target="https://doi.org/10.1136/bmj.d3742" TargetMode="External"/><Relationship Id="rId129" Type="http://schemas.openxmlformats.org/officeDocument/2006/relationships/hyperlink" Target="https://doi.org/10.1080/02643294.2017.1369016" TargetMode="External"/><Relationship Id="rId54" Type="http://schemas.openxmlformats.org/officeDocument/2006/relationships/hyperlink" Target="https://www.autism.org.uk/advice-and-guidance/topics/sensory-differences/sensory-differences/all-audiences" TargetMode="External"/><Relationship Id="rId75" Type="http://schemas.openxmlformats.org/officeDocument/2006/relationships/hyperlink" Target="https://doi.org/10.1111/bjep.12613" TargetMode="External"/><Relationship Id="rId96" Type="http://schemas.openxmlformats.org/officeDocument/2006/relationships/hyperlink" Target="https://assets.publishing.service.gov.uk/media/5a7c9f1eed915d6969f462d2/DFE-RR247-BCRP11.pdf" TargetMode="External"/><Relationship Id="rId140" Type="http://schemas.openxmlformats.org/officeDocument/2006/relationships/hyperlink" Target="http://doi.org/10.6007/IJARBSS/v14-i2/20826" TargetMode="External"/><Relationship Id="rId161" Type="http://schemas.openxmlformats.org/officeDocument/2006/relationships/hyperlink" Target="https://doi.org/10.1016/j.cpr.2016.05.002" TargetMode="External"/><Relationship Id="rId182" Type="http://schemas.openxmlformats.org/officeDocument/2006/relationships/hyperlink" Target="https://www.ncbi.nlm.nih.gov/books/NBK526088/" TargetMode="External"/><Relationship Id="rId217" Type="http://schemas.openxmlformats.org/officeDocument/2006/relationships/hyperlink" Target="https://www.healthwatchtowerhamlets.co.uk/sites/healthwatchtowerhamlets.co.uk/files/Healthy%20Neighbourhoods%20Report%20-%20Final%20Version_1.pdf" TargetMode="External"/><Relationship Id="rId6" Type="http://schemas.openxmlformats.org/officeDocument/2006/relationships/hyperlink" Target="https://doi.org/10.1191/1478088706qp063oa" TargetMode="External"/><Relationship Id="rId23" Type="http://schemas.openxmlformats.org/officeDocument/2006/relationships/hyperlink" Target="https://democracy.towerhamlets.gov.uk/documents/s229070/9.1b%20Appendix%20Youth%20Justice%20Strategic%20Plan%202023-2025.pdf" TargetMode="External"/><Relationship Id="rId119" Type="http://schemas.openxmlformats.org/officeDocument/2006/relationships/hyperlink" Target="https://doi.org/10.3390/brainsci11060782" TargetMode="External"/><Relationship Id="rId44" Type="http://schemas.openxmlformats.org/officeDocument/2006/relationships/hyperlink" Target="https://doi.org/10.1007/s10803-014-2093-y" TargetMode="External"/><Relationship Id="rId65" Type="http://schemas.openxmlformats.org/officeDocument/2006/relationships/hyperlink" Target="https://www.youngminds.org.uk/young-person/mental-health-conditions/adhd-and-mental-health/" TargetMode="External"/><Relationship Id="rId86" Type="http://schemas.openxmlformats.org/officeDocument/2006/relationships/hyperlink" Target="https://assets.publishing.service.gov.uk/media/5f9be9c48fa8f57f3b4cb075/BSSLC_Supporting-evidence.pdf" TargetMode="External"/><Relationship Id="rId130" Type="http://schemas.openxmlformats.org/officeDocument/2006/relationships/hyperlink" Target="https://assets.publishing.service.gov.uk/media/5f849afa8fa8f504594d4b84/specific-learning-difficulties-spld-cst-report.pdf" TargetMode="External"/><Relationship Id="rId151" Type="http://schemas.openxmlformats.org/officeDocument/2006/relationships/hyperlink" Target="https://doi.org/10.1111/1460-6984.12767" TargetMode="External"/><Relationship Id="rId172" Type="http://schemas.openxmlformats.org/officeDocument/2006/relationships/hyperlink" Target="https://doi.org/10.1007/s10942-019-00335-1" TargetMode="External"/><Relationship Id="rId193" Type="http://schemas.openxmlformats.org/officeDocument/2006/relationships/hyperlink" Target="https://www.nhs.uk/baby/newborn-screening/hearing-test/" TargetMode="External"/><Relationship Id="rId207" Type="http://schemas.openxmlformats.org/officeDocument/2006/relationships/hyperlink" Target="https://www.healthwatchrbkc.org.uk/blog/2025-06-12/how-accessible-your-healthcare" TargetMode="External"/><Relationship Id="rId13" Type="http://schemas.openxmlformats.org/officeDocument/2006/relationships/hyperlink" Target="https://www.gov.uk/government/consultations/send-review-right-support-right-place-right-time" TargetMode="External"/><Relationship Id="rId109" Type="http://schemas.openxmlformats.org/officeDocument/2006/relationships/hyperlink" Target="https://www.downs-syndrome.org.uk/about-downs-syndrome/lifes-journey/healthy-lifestyle-physical-activity/" TargetMode="External"/><Relationship Id="rId34" Type="http://schemas.openxmlformats.org/officeDocument/2006/relationships/hyperlink" Target="https://doi.org/10.3389/fncel.2019.00385" TargetMode="External"/><Relationship Id="rId55" Type="http://schemas.openxmlformats.org/officeDocument/2006/relationships/hyperlink" Target="https://thfamilyhubs.co.uk/" TargetMode="External"/><Relationship Id="rId76" Type="http://schemas.openxmlformats.org/officeDocument/2006/relationships/hyperlink" Target="https://doi.org/10.1016/j.ridd.2020.103789" TargetMode="External"/><Relationship Id="rId97" Type="http://schemas.openxmlformats.org/officeDocument/2006/relationships/hyperlink" Target="https://doi.org/10.1177/23969415221101137" TargetMode="External"/><Relationship Id="rId120" Type="http://schemas.openxmlformats.org/officeDocument/2006/relationships/hyperlink" Target="https://doi.org/10.36941/jesr-2020-0126" TargetMode="External"/><Relationship Id="rId141" Type="http://schemas.openxmlformats.org/officeDocument/2006/relationships/hyperlink" Target="https://doi.org/10.1111/jcal.12624" TargetMode="External"/><Relationship Id="rId7" Type="http://schemas.openxmlformats.org/officeDocument/2006/relationships/hyperlink" Target="https://www.legislation.gov.uk/ukpga/2010/15/section/6" TargetMode="External"/><Relationship Id="rId162" Type="http://schemas.openxmlformats.org/officeDocument/2006/relationships/hyperlink" Target="https://doi.org/10.1192/bjo.2022.179" TargetMode="External"/><Relationship Id="rId183" Type="http://schemas.openxmlformats.org/officeDocument/2006/relationships/hyperlink" Target="https://www.ndcs.org.uk/advice-and-support/all-advice-and-support-topics/causes-types-and-signs-deafness/causes-deafness-and-hearing-loss" TargetMode="External"/><Relationship Id="rId218" Type="http://schemas.openxmlformats.org/officeDocument/2006/relationships/hyperlink" Target="https://www.practitionerhealth.nhs.uk/disabilities-health-and-wellbeing" TargetMode="External"/><Relationship Id="rId24" Type="http://schemas.openxmlformats.org/officeDocument/2006/relationships/hyperlink" Target="https://www.localoffertowerhamlets.co.uk/" TargetMode="External"/><Relationship Id="rId45" Type="http://schemas.openxmlformats.org/officeDocument/2006/relationships/hyperlink" Target="https://www.gov.uk/government/publications/relationships-education-relationships-and-sex-education-rse-and-health-education" TargetMode="External"/><Relationship Id="rId66" Type="http://schemas.openxmlformats.org/officeDocument/2006/relationships/hyperlink" Target="https://doi.org/10.1177/1087054716646452" TargetMode="External"/><Relationship Id="rId87" Type="http://schemas.openxmlformats.org/officeDocument/2006/relationships/hyperlink" Target="https://www.rcslt.org/wp-content/uploads/media/Project/RCSLT/justice-evidence-base2017-1.pdf" TargetMode="External"/><Relationship Id="rId110" Type="http://schemas.openxmlformats.org/officeDocument/2006/relationships/hyperlink" Target="https://www.stepneypark.towerhamlets.sch.uk/attachments/download.asp?file=320&amp;type=pdf" TargetMode="External"/><Relationship Id="rId131" Type="http://schemas.openxmlformats.org/officeDocument/2006/relationships/hyperlink" Target="https://doi.org/10.1093/eurpub/ckae144.1718" TargetMode="External"/><Relationship Id="rId152" Type="http://schemas.openxmlformats.org/officeDocument/2006/relationships/hyperlink" Target="https://doi.org/10.1044/2017_JSLHR-L-16-0391" TargetMode="External"/><Relationship Id="rId173" Type="http://schemas.openxmlformats.org/officeDocument/2006/relationships/hyperlink" Target="https://doi.org/10.3389/fpsyt.2023.1172079" TargetMode="External"/><Relationship Id="rId194" Type="http://schemas.openxmlformats.org/officeDocument/2006/relationships/hyperlink" Target="https://www.spirehealthcare.com/health-hub/specialties/childrens-health/hearing-loss-in-children-spotting-the-signs-and-how-it-s-treated/" TargetMode="External"/><Relationship Id="rId208" Type="http://schemas.openxmlformats.org/officeDocument/2006/relationships/hyperlink" Target="https://media.rnib.org.uk/documents/APDF-ENG021603_Early_Support_Parents_Information_0.pdf" TargetMode="External"/><Relationship Id="rId14" Type="http://schemas.openxmlformats.org/officeDocument/2006/relationships/hyperlink" Target="https://www.nice.org.uk/guidance/cg170" TargetMode="External"/><Relationship Id="rId35" Type="http://schemas.openxmlformats.org/officeDocument/2006/relationships/hyperlink" Target="https://cks.nice.org.uk/topics/autism-in-adults/background-information/causes-risk-factors/" TargetMode="External"/><Relationship Id="rId56" Type="http://schemas.openxmlformats.org/officeDocument/2006/relationships/hyperlink" Target="https://www.nhs.uk/conditions/adhd-children-teenagers" TargetMode="External"/><Relationship Id="rId77" Type="http://schemas.openxmlformats.org/officeDocument/2006/relationships/hyperlink" Target="https://digital.nhs.uk/data-and-information/publications/statistical/adult-psychiatric-morbidity-survey/survey-of-mental-health-and-wellbeing-england-2023-24/attention-deficit-hyperactivity-disorder" TargetMode="External"/><Relationship Id="rId100" Type="http://schemas.openxmlformats.org/officeDocument/2006/relationships/hyperlink" Target="https://www.kpho.org.uk/__data/assets/pdf_file/0010/71695/Speech-Language-and-Communication.pdf" TargetMode="External"/><Relationship Id="rId8" Type="http://schemas.openxmlformats.org/officeDocument/2006/relationships/hyperlink" Target="https://www.england.nhs.uk/mental-health/adhd/" TargetMode="External"/><Relationship Id="rId98" Type="http://schemas.openxmlformats.org/officeDocument/2006/relationships/hyperlink" Target="https://doi.org/10.1111/1460-6984.12411" TargetMode="External"/><Relationship Id="rId121" Type="http://schemas.openxmlformats.org/officeDocument/2006/relationships/hyperlink" Target="https://doi.org/10.1007/s11920-015-0584-y" TargetMode="External"/><Relationship Id="rId142" Type="http://schemas.openxmlformats.org/officeDocument/2006/relationships/hyperlink" Target="https://doi.org/10.1080/19411243.2021.1934227" TargetMode="External"/><Relationship Id="rId163" Type="http://schemas.openxmlformats.org/officeDocument/2006/relationships/hyperlink" Target="https://doi.org/10.1111/1460-6984.12183" TargetMode="External"/><Relationship Id="rId184" Type="http://schemas.openxmlformats.org/officeDocument/2006/relationships/hyperlink" Target="https://doi.org/10.1155/2016/3801570" TargetMode="External"/><Relationship Id="rId219" Type="http://schemas.openxmlformats.org/officeDocument/2006/relationships/hyperlink" Target="https://www.practitionerhealth.nhs.uk/disabilities-health-and-wellbeing" TargetMode="External"/><Relationship Id="rId3" Type="http://schemas.openxmlformats.org/officeDocument/2006/relationships/hyperlink" Target="https://explore-education-statistics.service.gov.uk/find-statistics/special-educational-needs-in-england/2024-25" TargetMode="External"/><Relationship Id="rId214" Type="http://schemas.openxmlformats.org/officeDocument/2006/relationships/hyperlink" Target="https://www.nhsinform.scot/illnesses-and-conditions/downs-syndrome/" TargetMode="External"/><Relationship Id="rId25" Type="http://schemas.openxmlformats.org/officeDocument/2006/relationships/hyperlink" Target="https://doi.org/10.1002/rev3.3437" TargetMode="External"/><Relationship Id="rId46" Type="http://schemas.openxmlformats.org/officeDocument/2006/relationships/hyperlink" Target="https://www.nice.org.uk/guidance/cg128/evidence/evidence-update-pdf-183224557" TargetMode="External"/><Relationship Id="rId67" Type="http://schemas.openxmlformats.org/officeDocument/2006/relationships/hyperlink" Target="https://doi.org/10.1177/1087054719887789" TargetMode="External"/><Relationship Id="rId116" Type="http://schemas.openxmlformats.org/officeDocument/2006/relationships/hyperlink" Target="https://designnotes.blog.gov.uk/2022/11/28/designing-for-people-with-dyscalculia-and-low-numeracy/" TargetMode="External"/><Relationship Id="rId137" Type="http://schemas.openxmlformats.org/officeDocument/2006/relationships/hyperlink" Target="https://doi.org/10.1111/1467-8578.12422" TargetMode="External"/><Relationship Id="rId158" Type="http://schemas.openxmlformats.org/officeDocument/2006/relationships/hyperlink" Target="https://doi.org/10.1111/1471-3802.12457" TargetMode="External"/><Relationship Id="rId20" Type="http://schemas.openxmlformats.org/officeDocument/2006/relationships/hyperlink" Target="https://democracy.towerhamlets.gov.uk/documents/s226619/Appendix.%201%20for%20Children%20and%20Families%20Strategy%202023-2028.pdf" TargetMode="External"/><Relationship Id="rId41" Type="http://schemas.openxmlformats.org/officeDocument/2006/relationships/hyperlink" Target="https://doi.org/10.13140/RG.2.2.33834.34242" TargetMode="External"/><Relationship Id="rId62" Type="http://schemas.openxmlformats.org/officeDocument/2006/relationships/hyperlink" Target="https://doi.org/10.1186/s13052-023-01456-1" TargetMode="External"/><Relationship Id="rId83" Type="http://schemas.openxmlformats.org/officeDocument/2006/relationships/hyperlink" Target="https://www.england.nhs.uk/long-read/attention-deficit-hyperactivity-disorder-adhd-programme-update/" TargetMode="External"/><Relationship Id="rId88" Type="http://schemas.openxmlformats.org/officeDocument/2006/relationships/hyperlink" Target="https://doi.org/10.1177/0032258x20968591" TargetMode="External"/><Relationship Id="rId111" Type="http://schemas.openxmlformats.org/officeDocument/2006/relationships/hyperlink" Target="https://www.localoffertowerhamlets.co.uk/organisations/28008-speech-and-language-therapy-children-s-service" TargetMode="External"/><Relationship Id="rId132" Type="http://schemas.openxmlformats.org/officeDocument/2006/relationships/hyperlink" Target="https://doi.org/10.1177/1087054712446813" TargetMode="External"/><Relationship Id="rId153" Type="http://schemas.openxmlformats.org/officeDocument/2006/relationships/hyperlink" Target="https://doi.org/10.1016/j.ridd.2021.103858" TargetMode="External"/><Relationship Id="rId174" Type="http://schemas.openxmlformats.org/officeDocument/2006/relationships/hyperlink" Target="https://doi.org/10.5937/bastina33-43061" TargetMode="External"/><Relationship Id="rId179" Type="http://schemas.openxmlformats.org/officeDocument/2006/relationships/hyperlink" Target="https://rnid.org.uk/information-and-support/hearing-loss/types-of-hearing-loss-and-deafness/" TargetMode="External"/><Relationship Id="rId195" Type="http://schemas.openxmlformats.org/officeDocument/2006/relationships/hyperlink" Target="https://cambspborochildrenshealth.nhs.uk/services/cambridgeshire-childrens-speech-and-language-therapy-service/common-speech-language-and-communication-concerns/hearing-loss-and-deafness/" TargetMode="External"/><Relationship Id="rId209" Type="http://schemas.openxmlformats.org/officeDocument/2006/relationships/hyperlink" Target="https://councilfordisabledchildren.org.uk/sites/default/files/uploads/files/earlysupportmulti-sensoryimpairmentsfinal2.pdf" TargetMode="External"/><Relationship Id="rId190" Type="http://schemas.openxmlformats.org/officeDocument/2006/relationships/hyperlink" Target="https://www.nidcd.nih.gov/health/tinnitus" TargetMode="External"/><Relationship Id="rId204" Type="http://schemas.openxmlformats.org/officeDocument/2006/relationships/hyperlink" Target="https://www.healthwatch.co.uk/blog/2024-04-10/deaf-and-hard-hearing-peoples-healthcare-experiences" TargetMode="External"/><Relationship Id="rId220" Type="http://schemas.openxmlformats.org/officeDocument/2006/relationships/hyperlink" Target="https://www.nice.org.uk/guidance/ng213?utm_source=chatgpt.com" TargetMode="External"/><Relationship Id="rId225" Type="http://schemas.openxmlformats.org/officeDocument/2006/relationships/hyperlink" Target="https://www.england.nhs.uk/long-read/commissioning-framework-for-children-and-young-people-with-cerebral-palsy/" TargetMode="External"/><Relationship Id="rId15" Type="http://schemas.openxmlformats.org/officeDocument/2006/relationships/hyperlink" Target="https://www.nice.org.uk/guidance/ng87" TargetMode="External"/><Relationship Id="rId36" Type="http://schemas.openxmlformats.org/officeDocument/2006/relationships/hyperlink" Target="https://doi.org/10.1016/j.jaac.2017.03.013" TargetMode="External"/><Relationship Id="rId57" Type="http://schemas.openxmlformats.org/officeDocument/2006/relationships/hyperlink" Target="https://doi.org/10.5402/2012/458064" TargetMode="External"/><Relationship Id="rId106" Type="http://schemas.openxmlformats.org/officeDocument/2006/relationships/hyperlink" Target="https://doi.org/10.1016/j.jpeds.2023.113740" TargetMode="External"/><Relationship Id="rId127" Type="http://schemas.openxmlformats.org/officeDocument/2006/relationships/hyperlink" Target="https://www.nhs.uk/conditions/developmental-coordination-disorder-dyspraxia/" TargetMode="External"/><Relationship Id="rId10" Type="http://schemas.openxmlformats.org/officeDocument/2006/relationships/hyperlink" Target="https://www.legislation.gov.uk/ukpga/1981/60/enacted" TargetMode="External"/><Relationship Id="rId31" Type="http://schemas.openxmlformats.org/officeDocument/2006/relationships/hyperlink" Target="https://www.gov.uk/government/publications/keeping-children-safe-in-education--2" TargetMode="External"/><Relationship Id="rId52" Type="http://schemas.openxmlformats.org/officeDocument/2006/relationships/hyperlink" Target="https://www.autism.org.uk/advice-and-guidance/topics/about-autism/autism-and-communication" TargetMode="External"/><Relationship Id="rId73" Type="http://schemas.openxmlformats.org/officeDocument/2006/relationships/hyperlink" Target="https://www.uhs.nhs.uk/whats-new/press-releases/southampton-researchers-launch-new-study-to-help-children-with-adhd-sleep-better" TargetMode="External"/><Relationship Id="rId78" Type="http://schemas.openxmlformats.org/officeDocument/2006/relationships/hyperlink" Target="https://www.ucl.ac.uk/news/2025/jan/adults-diagnosed-adhd-may-have-reduced-life-expectancies" TargetMode="External"/><Relationship Id="rId94" Type="http://schemas.openxmlformats.org/officeDocument/2006/relationships/hyperlink" Target="https://doi.org/https://doi.org/10.1016/j.ridd.2014.08.022" TargetMode="External"/><Relationship Id="rId99" Type="http://schemas.openxmlformats.org/officeDocument/2006/relationships/hyperlink" Target="https://doi.org/10.1111/jcpp.12573" TargetMode="External"/><Relationship Id="rId101" Type="http://schemas.openxmlformats.org/officeDocument/2006/relationships/hyperlink" Target="https://www.towerhamlets.gov.uk/Documents/Children-and-families-services/Supporting-disabilities/Transition-into-Adult-Services.pdf" TargetMode="External"/><Relationship Id="rId122" Type="http://schemas.openxmlformats.org/officeDocument/2006/relationships/hyperlink" Target="https://doi.org/10.3389/fpsyg.2018.02669" TargetMode="External"/><Relationship Id="rId143" Type="http://schemas.openxmlformats.org/officeDocument/2006/relationships/hyperlink" Target="https://doi.org/10.1037/amp0000452" TargetMode="External"/><Relationship Id="rId148" Type="http://schemas.openxmlformats.org/officeDocument/2006/relationships/hyperlink" Target="https://doi.org/10.1108/AIA-01-2020-0007" TargetMode="External"/><Relationship Id="rId164" Type="http://schemas.openxmlformats.org/officeDocument/2006/relationships/hyperlink" Target="https://doi.org/10.1001/jamapsychiatry.2024.0426" TargetMode="External"/><Relationship Id="rId169" Type="http://schemas.openxmlformats.org/officeDocument/2006/relationships/hyperlink" Target="https://doi.org/10.1080/13632752.2018.1452590" TargetMode="External"/><Relationship Id="rId185" Type="http://schemas.openxmlformats.org/officeDocument/2006/relationships/hyperlink" Target="https://bestpractice.bmj.com/topics/en-gb/958" TargetMode="External"/><Relationship Id="rId4" Type="http://schemas.openxmlformats.org/officeDocument/2006/relationships/hyperlink" Target="https://www.gov.uk/government/organisations/office-for-health-improvement-and-disparities" TargetMode="External"/><Relationship Id="rId9" Type="http://schemas.openxmlformats.org/officeDocument/2006/relationships/hyperlink" Target="https://www.gov.uk/government/publications/inclusive-communication/portraying-disability" TargetMode="External"/><Relationship Id="rId180" Type="http://schemas.openxmlformats.org/officeDocument/2006/relationships/hyperlink" Target="https://www.nidcd.nih.gov/health/sudden-deafness" TargetMode="External"/><Relationship Id="rId210" Type="http://schemas.openxmlformats.org/officeDocument/2006/relationships/hyperlink" Target="https://www.genomicseducation.hee.nhs.uk/genotes/knowledge-hub/down-syndrome-trisomy-21/" TargetMode="External"/><Relationship Id="rId215" Type="http://schemas.openxmlformats.org/officeDocument/2006/relationships/hyperlink" Target="https://doi.org/10.1056/NEJMra1706537" TargetMode="External"/><Relationship Id="rId26" Type="http://schemas.openxmlformats.org/officeDocument/2006/relationships/hyperlink" Target="https://ora.ox.ac.uk/objects/uuid:a28b7858-994a-4474-9c4b-6962d1f6da41/files/maea51f1ea29cde0e36c13a9e2a9dd838" TargetMode="External"/><Relationship Id="rId47" Type="http://schemas.openxmlformats.org/officeDocument/2006/relationships/hyperlink" Target="https://doi.org/10.1097/CHI.0b013e318179964f" TargetMode="External"/><Relationship Id="rId68" Type="http://schemas.openxmlformats.org/officeDocument/2006/relationships/hyperlink" Target="https://doi.org/10.1186/s12888-021-03603-6" TargetMode="External"/><Relationship Id="rId89" Type="http://schemas.openxmlformats.org/officeDocument/2006/relationships/hyperlink" Target="https://www.hacw.nhs.uk/identifying-slcn" TargetMode="External"/><Relationship Id="rId112" Type="http://schemas.openxmlformats.org/officeDocument/2006/relationships/hyperlink" Target="https://verboapp.co.uk/" TargetMode="External"/><Relationship Id="rId133" Type="http://schemas.openxmlformats.org/officeDocument/2006/relationships/hyperlink" Target="https://doi.org/10.1080/13603116.2018.1433242" TargetMode="External"/><Relationship Id="rId154" Type="http://schemas.openxmlformats.org/officeDocument/2006/relationships/hyperlink" Target="https://doi.org/10.1192/bjo.2019.81" TargetMode="External"/><Relationship Id="rId175" Type="http://schemas.openxmlformats.org/officeDocument/2006/relationships/hyperlink" Target="https://doi.org/10.1080/17454832.2024.2343373" TargetMode="External"/><Relationship Id="rId196" Type="http://schemas.openxmlformats.org/officeDocument/2006/relationships/hyperlink" Target="https://www.nhs.uk/tests-and-treatments/eye-tests-in-children/" TargetMode="External"/><Relationship Id="rId200" Type="http://schemas.openxmlformats.org/officeDocument/2006/relationships/hyperlink" Target="https://www.ndcs.org.uk/advice-and-support/all-advice-and-support-topics/causes-types-and-signs-deafness/newborn-hearing-screening" TargetMode="External"/><Relationship Id="rId16" Type="http://schemas.openxmlformats.org/officeDocument/2006/relationships/hyperlink" Target="https://www.nice.org.uk/guidance/ng93" TargetMode="External"/><Relationship Id="rId221" Type="http://schemas.openxmlformats.org/officeDocument/2006/relationships/hyperlink" Target="https://www.gov.uk/government/publications/physical-activity-in-disabled-children-and-disabled-young-people-evidence-review/physical-activity-for-general-health-benefits-in-disabled-children-and-disabled-young-people-rapid-evidence-review" TargetMode="External"/><Relationship Id="rId37" Type="http://schemas.openxmlformats.org/officeDocument/2006/relationships/hyperlink" Target="https://www.autism.org.uk/what-we-do/news/autism-assessment-waiting-times-9" TargetMode="External"/><Relationship Id="rId58" Type="http://schemas.openxmlformats.org/officeDocument/2006/relationships/hyperlink" Target="https://doi.org/10.1111/j.1469-7610.2012.02611.x" TargetMode="External"/><Relationship Id="rId79" Type="http://schemas.openxmlformats.org/officeDocument/2006/relationships/hyperlink" Target="https://www.mentalhealth.org.uk/explore-mental-health/a-z-topics/attention-deficit-hyperactivity-disorder-adhd" TargetMode="External"/><Relationship Id="rId102" Type="http://schemas.openxmlformats.org/officeDocument/2006/relationships/hyperlink" Target="https://www.deafplus.org/advice" TargetMode="External"/><Relationship Id="rId123" Type="http://schemas.openxmlformats.org/officeDocument/2006/relationships/hyperlink" Target="https://doi.org/10.1002/jnr.24913" TargetMode="External"/><Relationship Id="rId144" Type="http://schemas.openxmlformats.org/officeDocument/2006/relationships/hyperlink" Target="https://thfamilyhubs.co.uk/" TargetMode="External"/><Relationship Id="rId90" Type="http://schemas.openxmlformats.org/officeDocument/2006/relationships/hyperlink" Target="https://www.rcslt.org/wp-content/uploads/2022/04/RCSLT-promoting-SEMH-factsheet.pdf" TargetMode="External"/><Relationship Id="rId165" Type="http://schemas.openxmlformats.org/officeDocument/2006/relationships/hyperlink" Target="https://theses.gla.ac.uk/83816/5/2023GallagherDClinPsy.pdf" TargetMode="External"/><Relationship Id="rId186" Type="http://schemas.openxmlformats.org/officeDocument/2006/relationships/hyperlink" Target="https://www.nhs.uk/tests-and-treatments/eye-tests-in-children/" TargetMode="External"/><Relationship Id="rId211" Type="http://schemas.openxmlformats.org/officeDocument/2006/relationships/hyperlink" Target="https://www.scope.org.uk/advice-and-support/a-z-eating-difficulties" TargetMode="External"/><Relationship Id="rId27" Type="http://schemas.openxmlformats.org/officeDocument/2006/relationships/hyperlink" Target="https://trustforlondon.org.uk/data/" TargetMode="External"/><Relationship Id="rId48" Type="http://schemas.openxmlformats.org/officeDocument/2006/relationships/hyperlink" Target="https://doi.org/10.3390/children5090112" TargetMode="External"/><Relationship Id="rId69" Type="http://schemas.openxmlformats.org/officeDocument/2006/relationships/hyperlink" Target="https://family-action.org.uk/self-help/support-a-child-with-adhd-with-food-eating/" TargetMode="External"/><Relationship Id="rId113" Type="http://schemas.openxmlformats.org/officeDocument/2006/relationships/hyperlink" Target="https://www.localoffertowerhamlets.co.uk/pages/local-offer/send/speech-and-language-therapy-for-under-5s/early-language-speech-and-language-therapy" TargetMode="External"/><Relationship Id="rId134" Type="http://schemas.openxmlformats.org/officeDocument/2006/relationships/hyperlink" Target="https://doi.org/10.1080/08856257.2023.2300172" TargetMode="External"/><Relationship Id="rId80" Type="http://schemas.openxmlformats.org/officeDocument/2006/relationships/hyperlink" Target="https://www.nhs.uk/conditions/adhd-children-teenagers" TargetMode="External"/><Relationship Id="rId155" Type="http://schemas.openxmlformats.org/officeDocument/2006/relationships/hyperlink" Target="https://doi.org/10.1080/19315864.2013.842622" TargetMode="External"/><Relationship Id="rId176" Type="http://schemas.openxmlformats.org/officeDocument/2006/relationships/hyperlink" Target="https://rnid.org.uk/get-involved/research-and-policy/facts-and-figures/prevalence-of-deafness-and-hearing-loss/" TargetMode="External"/><Relationship Id="rId197" Type="http://schemas.openxmlformats.org/officeDocument/2006/relationships/hyperlink" Target="https://councilfordisabledchildren.org.uk/sites/default/files/uploads/files/earlysupportmulti-sensoryimpairmentsfinal2.pdf" TargetMode="External"/><Relationship Id="rId201" Type="http://schemas.openxmlformats.org/officeDocument/2006/relationships/hyperlink" Target="https://www.nhs.uk/conditions/deafblindness/diagnosis/" TargetMode="External"/><Relationship Id="rId222" Type="http://schemas.openxmlformats.org/officeDocument/2006/relationships/hyperlink" Target="https://assets.publishing.service.gov.uk/media/620bab28d3bf7f4f0feeef14/infographic-physical-activity-for-disabled-children-and-disabled-young-people.pdf" TargetMode="External"/><Relationship Id="rId17" Type="http://schemas.openxmlformats.org/officeDocument/2006/relationships/hyperlink" Target="https://www.nice.org.uk/guidance/ng223" TargetMode="External"/><Relationship Id="rId38" Type="http://schemas.openxmlformats.org/officeDocument/2006/relationships/hyperlink" Target="https://doi.org/10.1136/bmj.q802" TargetMode="External"/><Relationship Id="rId59" Type="http://schemas.openxmlformats.org/officeDocument/2006/relationships/hyperlink" Target="https://doi.org/10.1038/s41380-018-0070-0" TargetMode="External"/><Relationship Id="rId103" Type="http://schemas.openxmlformats.org/officeDocument/2006/relationships/hyperlink" Target="https://doi.org/10.1111/1460-6984.13016" TargetMode="External"/><Relationship Id="rId124" Type="http://schemas.openxmlformats.org/officeDocument/2006/relationships/hyperlink" Target="http://doi.org/10.4038/sljch.v50i3.9741" TargetMode="External"/><Relationship Id="rId70" Type="http://schemas.openxmlformats.org/officeDocument/2006/relationships/hyperlink" Target="https://www.gov.uk/government/publications/the-eatwell-guide" TargetMode="External"/><Relationship Id="rId91" Type="http://schemas.openxmlformats.org/officeDocument/2006/relationships/hyperlink" Target="https://www.mind.org.uk/media/vbbdclpi/the-big-mental-health-report-2024-mind.pdf" TargetMode="External"/><Relationship Id="rId145" Type="http://schemas.openxmlformats.org/officeDocument/2006/relationships/hyperlink" Target="https://doi.org/10.1080/13632752.2021.1930909" TargetMode="External"/><Relationship Id="rId166" Type="http://schemas.openxmlformats.org/officeDocument/2006/relationships/hyperlink" Target="https://doi.org/10.1111/jar.12815" TargetMode="External"/><Relationship Id="rId187" Type="http://schemas.openxmlformats.org/officeDocument/2006/relationships/hyperlink" Target="https://councilfordisabledchildren.org.uk/sites/default/files/uploads/files/earlysupportmulti-sensoryimpairmentsfinal2.pdf" TargetMode="External"/><Relationship Id="rId1" Type="http://schemas.openxmlformats.org/officeDocument/2006/relationships/hyperlink" Target="https://assets.publishing.service.gov.uk/government/uploads/system/uploads/attachment_data/file/398815/SEND_Code_of_Practice_January_2015.pdf" TargetMode="External"/><Relationship Id="rId212" Type="http://schemas.openxmlformats.org/officeDocument/2006/relationships/hyperlink" Target="https://www.nhs.uk/social-care-and-support/caring-for-children-and-young-people/how-to-care-for-a-disabled-child/" TargetMode="External"/><Relationship Id="rId28" Type="http://schemas.openxmlformats.org/officeDocument/2006/relationships/hyperlink" Target="https://trustforlondon.org.uk/" TargetMode="External"/><Relationship Id="rId49" Type="http://schemas.openxmlformats.org/officeDocument/2006/relationships/hyperlink" Target="https://www.autism.org.uk/advice-and-guidance/topics/identity/autism-and-gender-identity" TargetMode="External"/><Relationship Id="rId114" Type="http://schemas.openxmlformats.org/officeDocument/2006/relationships/hyperlink" Target="https://doi.org/10.1177/23969415221101137" TargetMode="External"/><Relationship Id="rId60" Type="http://schemas.openxmlformats.org/officeDocument/2006/relationships/hyperlink" Target="https://www.kcl.ac.uk/archive/news/ioppn/records/2016/august/unhealthy-diet-during-pregnancy-could-be-linked-to-adhd" TargetMode="External"/><Relationship Id="rId81" Type="http://schemas.openxmlformats.org/officeDocument/2006/relationships/hyperlink" Target="https://adhduk.co.uk/adhd-educational-health-care-plan-ehcp" TargetMode="External"/><Relationship Id="rId135" Type="http://schemas.openxmlformats.org/officeDocument/2006/relationships/hyperlink" Target="https://doi.org/10.1177/00222194241281479" TargetMode="External"/><Relationship Id="rId156" Type="http://schemas.openxmlformats.org/officeDocument/2006/relationships/hyperlink" Target="https://doi.org/10.1108/AMHID-11-2014-0037" TargetMode="External"/><Relationship Id="rId177" Type="http://schemas.openxmlformats.org/officeDocument/2006/relationships/hyperlink" Target="https://doi.org/10.1080/14992027.2024.2341956" TargetMode="External"/><Relationship Id="rId198" Type="http://schemas.openxmlformats.org/officeDocument/2006/relationships/hyperlink" Target="https://www.sense.org.uk/information-and-advice/life-with-complex-disabilities/deafblind-guidance/requesting-a-care-needs-assessment-in-relation-to-deafblind-children-and-adults/" TargetMode="External"/><Relationship Id="rId202" Type="http://schemas.openxmlformats.org/officeDocument/2006/relationships/hyperlink" Target="https://www.sense.org.uk/information-and-advice/for-professionals/resources-for-education-and-early-years-professionals/route-map-to-meeting-the-needs-of-deafblind-children/" TargetMode="External"/><Relationship Id="rId223" Type="http://schemas.openxmlformats.org/officeDocument/2006/relationships/hyperlink" Target="https://www.ncbi.nlm.nih.gov/books/NBK526016/" TargetMode="External"/><Relationship Id="rId18" Type="http://schemas.openxmlformats.org/officeDocument/2006/relationships/hyperlink" Target="https://www.nice.org.uk/guidance/ng72" TargetMode="External"/><Relationship Id="rId39" Type="http://schemas.openxmlformats.org/officeDocument/2006/relationships/hyperlink" Target="https://www.bda.uk.com/resource/autism-diet.html" TargetMode="External"/><Relationship Id="rId50" Type="http://schemas.openxmlformats.org/officeDocument/2006/relationships/hyperlink" Target="https://www.autism.org.uk/advice-and-guidance/topics/identity/autism-and-gender-identity" TargetMode="External"/><Relationship Id="rId104" Type="http://schemas.openxmlformats.org/officeDocument/2006/relationships/hyperlink" Target="https://doi.org/https://doi.org/10.1016/j.cogdev.2020.100996" TargetMode="External"/><Relationship Id="rId125" Type="http://schemas.openxmlformats.org/officeDocument/2006/relationships/hyperlink" Target="https://www.lse.ac.uk/News/Latest-news-from-LSE/2023/k-November-2023/Children-in-affluent-areas" TargetMode="External"/><Relationship Id="rId146" Type="http://schemas.openxmlformats.org/officeDocument/2006/relationships/hyperlink" Target="https://assets.childrenscommissioner.gov.uk/wpuploads/2022/11/Annex-4-March-2021-survey-findings.pdf" TargetMode="External"/><Relationship Id="rId167" Type="http://schemas.openxmlformats.org/officeDocument/2006/relationships/hyperlink" Target="https://www.moneyandmentalhealth.org/publications/closing-the-gap/" TargetMode="External"/><Relationship Id="rId188" Type="http://schemas.openxmlformats.org/officeDocument/2006/relationships/hyperlink" Target="https://www.hearinglink.org/your-hearing/tinnitus/what-is-tinnitus/" TargetMode="External"/><Relationship Id="rId71" Type="http://schemas.openxmlformats.org/officeDocument/2006/relationships/hyperlink" Target="https://doi.org/10.1037/a0036585" TargetMode="External"/><Relationship Id="rId92" Type="http://schemas.openxmlformats.org/officeDocument/2006/relationships/hyperlink" Target="https://doi.org/10.1177/23969415221101137" TargetMode="External"/><Relationship Id="rId213" Type="http://schemas.openxmlformats.org/officeDocument/2006/relationships/hyperlink" Target="https://www.rcpch.ac.uk/resources/role-of-paediatricians-child-mental-health-position" TargetMode="External"/><Relationship Id="rId2" Type="http://schemas.openxmlformats.org/officeDocument/2006/relationships/hyperlink" Target="https://democracy.towerhamlets.gov.uk/documents/s242527/Appendix.%202%20for%20Tower%20Hamlets%20Special%20Educational%20Needs%20Disabilities%20and%20Inclusion%20Strategy%202024%20to.pdf" TargetMode="External"/><Relationship Id="rId29" Type="http://schemas.openxmlformats.org/officeDocument/2006/relationships/hyperlink" Target="https://www.gov.uk/government/collections/healthy-child-programme" TargetMode="External"/><Relationship Id="rId40" Type="http://schemas.openxmlformats.org/officeDocument/2006/relationships/hyperlink" Target="https://doi.org/10.1177/1362361319861579" TargetMode="External"/><Relationship Id="rId115" Type="http://schemas.openxmlformats.org/officeDocument/2006/relationships/hyperlink" Target="https://www.bdadyslexia.org.uk/dyslexia/about-dyslexia/" TargetMode="External"/><Relationship Id="rId136" Type="http://schemas.openxmlformats.org/officeDocument/2006/relationships/hyperlink" Target="https://doi.org/10.1016/j.ridd.2021.103858" TargetMode="External"/><Relationship Id="rId157" Type="http://schemas.openxmlformats.org/officeDocument/2006/relationships/hyperlink" Target="https://doi.org/10.1080/08856257.2024.2400771" TargetMode="External"/><Relationship Id="rId178" Type="http://schemas.openxmlformats.org/officeDocument/2006/relationships/hyperlink" Target="https://doi.org/10.1007/s12199-012-0300-z" TargetMode="External"/><Relationship Id="rId61" Type="http://schemas.openxmlformats.org/officeDocument/2006/relationships/hyperlink" Target="https://doi.org/10.1016/j.jaac.2020.06.011" TargetMode="External"/><Relationship Id="rId82" Type="http://schemas.openxmlformats.org/officeDocument/2006/relationships/hyperlink" Target="https://www.dockout.org.uk/" TargetMode="External"/><Relationship Id="rId199" Type="http://schemas.openxmlformats.org/officeDocument/2006/relationships/hyperlink" Target="https://www.gov.uk/government/publications/newborn-hearing-screening-pathway-requirements-specification/newborn-hearing-screening-pathway-requirements-specification" TargetMode="External"/><Relationship Id="rId203" Type="http://schemas.openxmlformats.org/officeDocument/2006/relationships/hyperlink" Target="https://www.england.nhs.uk/accessible-information-standard/about-the-standard/" TargetMode="External"/><Relationship Id="rId19" Type="http://schemas.openxmlformats.org/officeDocument/2006/relationships/hyperlink" Target="https://www.nice.org.uk/guidance/ng54" TargetMode="External"/><Relationship Id="rId224" Type="http://schemas.openxmlformats.org/officeDocument/2006/relationships/hyperlink" Target="https://www.downs-syndrome.org.uk/about-downs-syndrome/lifes-journey/healthy-lifestyle-physical-activity/" TargetMode="External"/><Relationship Id="rId30" Type="http://schemas.openxmlformats.org/officeDocument/2006/relationships/hyperlink" Target="https://www.legislation.gov.uk/ukpga/2002/32/section/175" TargetMode="External"/><Relationship Id="rId105" Type="http://schemas.openxmlformats.org/officeDocument/2006/relationships/hyperlink" Target="https://doi.org/10.1001/jamapediatrics.2019.1197" TargetMode="External"/><Relationship Id="rId126" Type="http://schemas.openxmlformats.org/officeDocument/2006/relationships/hyperlink" Target="https://www.bdadyslexia.org.uk/dyscalculia/how-can-i-identify-dyscalculia" TargetMode="External"/><Relationship Id="rId147" Type="http://schemas.openxmlformats.org/officeDocument/2006/relationships/hyperlink" Target="https://doi.org/10.1007/s12144-024-06954-x" TargetMode="External"/><Relationship Id="rId168" Type="http://schemas.openxmlformats.org/officeDocument/2006/relationships/hyperlink" Target="https://cls.ucl.ac.uk/wp-content/uploads/2017/02/CLS-Working-Paper-2022-4-Special-educational-needs-and-disability-a-lifetime-of-disadvantage-in-the-labour-market.pdf" TargetMode="External"/><Relationship Id="rId51" Type="http://schemas.openxmlformats.org/officeDocument/2006/relationships/hyperlink" Target="https://www.gov.uk/government/publications/tackling-obesity-government-strategy/tackling-obesity-empowering-adults-and-children-to-live-healthier-lives" TargetMode="External"/><Relationship Id="rId72" Type="http://schemas.openxmlformats.org/officeDocument/2006/relationships/hyperlink" Target="https://doi.org/10.1093/ntr/nty045" TargetMode="External"/><Relationship Id="rId93" Type="http://schemas.openxmlformats.org/officeDocument/2006/relationships/hyperlink" Target="https://www.rcslt.org/wp-content/uploads/2021/12/Supporting-children-and-young-people-with-communication-and-swallowing-needs_December-2021.pdf" TargetMode="External"/><Relationship Id="rId189" Type="http://schemas.openxmlformats.org/officeDocument/2006/relationships/hyperlink" Target="https://tinnitus.org.uk/understanding-tinnitus/support-people/my-child-has-tinnitus/"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nice.org.uk/guidance/NG87"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charts/_rels/chart1.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'[Chart in Microsoft Word]Sheet1'!$B$1</c:f>
              <c:strCache>
                <c:ptCount val="1"/>
                <c:pt idx="0">
                  <c:v>SEND</c:v>
                </c:pt>
              </c:strCache>
            </c:strRef>
          </c:tx>
          <c:spPr>
            <a:solidFill>
              <a:schemeClr val="accent1"/>
            </a:solidFill>
            <a:ln>
              <a:noFill/>
            </a:ln>
            <a:effectLst/>
          </c:spPr>
          <c:invertIfNegative val="0"/>
          <c:dPt>
            <c:idx val="0"/>
            <c:invertIfNegative val="0"/>
            <c:bubble3D val="0"/>
            <c:spPr>
              <a:solidFill>
                <a:srgbClr val="00BDC0"/>
              </a:solidFill>
              <a:ln>
                <a:noFill/>
              </a:ln>
              <a:effectLst/>
            </c:spPr>
            <c:extLst>
              <c:ext xmlns:c16="http://schemas.microsoft.com/office/drawing/2014/chart" uri="{C3380CC4-5D6E-409C-BE32-E72D297353CC}">
                <c16:uniqueId val="{00000001-EE11-7C43-A72C-17BFFFC2E984}"/>
              </c:ext>
            </c:extLst>
          </c:dPt>
          <c:dPt>
            <c:idx val="1"/>
            <c:invertIfNegative val="0"/>
            <c:bubble3D val="0"/>
            <c:spPr>
              <a:solidFill>
                <a:srgbClr val="00BDC0"/>
              </a:solidFill>
              <a:ln>
                <a:noFill/>
              </a:ln>
              <a:effectLst/>
            </c:spPr>
            <c:extLst>
              <c:ext xmlns:c16="http://schemas.microsoft.com/office/drawing/2014/chart" uri="{C3380CC4-5D6E-409C-BE32-E72D297353CC}">
                <c16:uniqueId val="{00000003-EE11-7C43-A72C-17BFFFC2E98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Word]Sheet1'!$A$2:$A$3</c:f>
              <c:strCache>
                <c:ptCount val="2"/>
                <c:pt idx="0">
                  <c:v>England</c:v>
                </c:pt>
                <c:pt idx="1">
                  <c:v>Tower Hamlets</c:v>
                </c:pt>
              </c:strCache>
            </c:strRef>
          </c:cat>
          <c:val>
            <c:numRef>
              <c:f>'[Chart in Microsoft Word]Sheet1'!$B$2:$B$3</c:f>
              <c:numCache>
                <c:formatCode>0.00%</c:formatCode>
                <c:ptCount val="2"/>
                <c:pt idx="0" formatCode="0%">
                  <c:v>0.17</c:v>
                </c:pt>
                <c:pt idx="1">
                  <c:v>0.125</c:v>
                </c:pt>
              </c:numCache>
            </c:numRef>
          </c:val>
          <c:extLst>
            <c:ext xmlns:c16="http://schemas.microsoft.com/office/drawing/2014/chart" uri="{C3380CC4-5D6E-409C-BE32-E72D297353CC}">
              <c16:uniqueId val="{00000004-EE11-7C43-A72C-17BFFFC2E984}"/>
            </c:ext>
          </c:extLst>
        </c:ser>
        <c:ser>
          <c:idx val="1"/>
          <c:order val="1"/>
          <c:tx>
            <c:strRef>
              <c:f>'[Chart in Microsoft Word]Sheet1'!$C$1</c:f>
              <c:strCache>
                <c:ptCount val="1"/>
                <c:pt idx="0">
                  <c:v>EHCP</c:v>
                </c:pt>
              </c:strCache>
            </c:strRef>
          </c:tx>
          <c:spPr>
            <a:solidFill>
              <a:srgbClr val="87C76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Word]Sheet1'!$A$2:$A$3</c:f>
              <c:strCache>
                <c:ptCount val="2"/>
                <c:pt idx="0">
                  <c:v>England</c:v>
                </c:pt>
                <c:pt idx="1">
                  <c:v>Tower Hamlets</c:v>
                </c:pt>
              </c:strCache>
            </c:strRef>
          </c:cat>
          <c:val>
            <c:numRef>
              <c:f>'[Chart in Microsoft Word]Sheet1'!$C$2:$C$3</c:f>
              <c:numCache>
                <c:formatCode>0%</c:formatCode>
                <c:ptCount val="2"/>
                <c:pt idx="0" formatCode="0.00%">
                  <c:v>5.1299999999999998E-2</c:v>
                </c:pt>
                <c:pt idx="1">
                  <c:v>0.28000000000000003</c:v>
                </c:pt>
              </c:numCache>
            </c:numRef>
          </c:val>
          <c:extLst>
            <c:ext xmlns:c16="http://schemas.microsoft.com/office/drawing/2014/chart" uri="{C3380CC4-5D6E-409C-BE32-E72D297353CC}">
              <c16:uniqueId val="{00000005-EE11-7C43-A72C-17BFFFC2E984}"/>
            </c:ext>
          </c:extLst>
        </c:ser>
        <c:dLbls>
          <c:showLegendKey val="0"/>
          <c:showVal val="0"/>
          <c:showCatName val="0"/>
          <c:showSerName val="0"/>
          <c:showPercent val="0"/>
          <c:showBubbleSize val="0"/>
        </c:dLbls>
        <c:gapWidth val="150"/>
        <c:overlap val="100"/>
        <c:axId val="1950757040"/>
        <c:axId val="1950872064"/>
      </c:barChart>
      <c:catAx>
        <c:axId val="1950757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50872064"/>
        <c:crosses val="autoZero"/>
        <c:auto val="1"/>
        <c:lblAlgn val="ctr"/>
        <c:lblOffset val="100"/>
        <c:noMultiLvlLbl val="0"/>
      </c:catAx>
      <c:valAx>
        <c:axId val="19508720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0757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People</c:v>
                </c:pt>
              </c:strCache>
            </c:strRef>
          </c:tx>
          <c:dPt>
            <c:idx val="0"/>
            <c:bubble3D val="0"/>
            <c:spPr>
              <a:solidFill>
                <a:schemeClr val="accent6"/>
              </a:solidFill>
              <a:ln w="19050">
                <a:solidFill>
                  <a:schemeClr val="lt1"/>
                </a:solidFill>
              </a:ln>
              <a:effectLst/>
            </c:spPr>
            <c:extLst>
              <c:ext xmlns:c16="http://schemas.microsoft.com/office/drawing/2014/chart" uri="{C3380CC4-5D6E-409C-BE32-E72D297353CC}">
                <c16:uniqueId val="{00000001-B179-42E7-BED5-1C00D8E06E06}"/>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B179-42E7-BED5-1C00D8E06E0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Male</c:v>
                </c:pt>
                <c:pt idx="1">
                  <c:v>Female</c:v>
                </c:pt>
              </c:strCache>
            </c:strRef>
          </c:cat>
          <c:val>
            <c:numRef>
              <c:f>Sheet1!$B$2:$B$3</c:f>
              <c:numCache>
                <c:formatCode>General</c:formatCode>
                <c:ptCount val="2"/>
                <c:pt idx="0">
                  <c:v>957</c:v>
                </c:pt>
                <c:pt idx="1">
                  <c:v>215</c:v>
                </c:pt>
              </c:numCache>
            </c:numRef>
          </c:val>
          <c:extLst>
            <c:ext xmlns:c16="http://schemas.microsoft.com/office/drawing/2014/chart" uri="{C3380CC4-5D6E-409C-BE32-E72D297353CC}">
              <c16:uniqueId val="{00000004-B179-42E7-BED5-1C00D8E06E06}"/>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rgbClr val="01AFB4"/>
            </a:solidFill>
            <a:ln>
              <a:noFill/>
            </a:ln>
            <a:effectLst/>
          </c:spPr>
          <c:invertIfNegative val="0"/>
          <c:dPt>
            <c:idx val="1"/>
            <c:invertIfNegative val="0"/>
            <c:bubble3D val="0"/>
            <c:spPr>
              <a:solidFill>
                <a:srgbClr val="87C765"/>
              </a:solidFill>
              <a:ln>
                <a:noFill/>
              </a:ln>
              <a:effectLst/>
            </c:spPr>
            <c:extLst>
              <c:ext xmlns:c16="http://schemas.microsoft.com/office/drawing/2014/chart" uri="{C3380CC4-5D6E-409C-BE32-E72D297353CC}">
                <c16:uniqueId val="{00000000-4D8F-614D-B70A-D77E7FB75231}"/>
              </c:ext>
            </c:extLst>
          </c:dPt>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Calibri" panose="020F0502020204030204" pitchFamily="34" charset="0"/>
                    <a:cs typeface="Calibri" panose="020F05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Pupils with EHCPs for ASD</c:v>
                </c:pt>
                <c:pt idx="1">
                  <c:v>All pupils</c:v>
                </c:pt>
              </c:strCache>
            </c:strRef>
          </c:cat>
          <c:val>
            <c:numRef>
              <c:f>Sheet1!$B$2:$B$3</c:f>
              <c:numCache>
                <c:formatCode>0.00%</c:formatCode>
                <c:ptCount val="2"/>
                <c:pt idx="0">
                  <c:v>0.501</c:v>
                </c:pt>
                <c:pt idx="1">
                  <c:v>0.40100000000000002</c:v>
                </c:pt>
              </c:numCache>
            </c:numRef>
          </c:val>
          <c:extLst>
            <c:ext xmlns:c16="http://schemas.microsoft.com/office/drawing/2014/chart" uri="{C3380CC4-5D6E-409C-BE32-E72D297353CC}">
              <c16:uniqueId val="{00000000-0E9F-4458-8A08-3BCF9F51B0F1}"/>
            </c:ext>
          </c:extLst>
        </c:ser>
        <c:dLbls>
          <c:showLegendKey val="0"/>
          <c:showVal val="0"/>
          <c:showCatName val="0"/>
          <c:showSerName val="0"/>
          <c:showPercent val="0"/>
          <c:showBubbleSize val="0"/>
        </c:dLbls>
        <c:gapWidth val="219"/>
        <c:overlap val="-27"/>
        <c:axId val="1202235247"/>
        <c:axId val="1202239567"/>
      </c:barChart>
      <c:catAx>
        <c:axId val="1202235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202239567"/>
        <c:crosses val="autoZero"/>
        <c:auto val="1"/>
        <c:lblAlgn val="ctr"/>
        <c:lblOffset val="100"/>
        <c:noMultiLvlLbl val="0"/>
      </c:catAx>
      <c:valAx>
        <c:axId val="120223956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2022352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Calibri" panose="020F0502020204030204" pitchFamily="34" charset="0"/>
          <a:ea typeface="Calibri" panose="020F0502020204030204" pitchFamily="34" charset="0"/>
          <a:cs typeface="Calibri" panose="020F050202020403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8CF-447B-974D-F6688C6BABD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8CF-447B-974D-F6688C6BABDE}"/>
              </c:ext>
            </c:extLst>
          </c:dPt>
          <c:dLbls>
            <c:dLbl>
              <c:idx val="0"/>
              <c:layout>
                <c:manualLayout>
                  <c:x val="-2.088801399825022E-3"/>
                  <c:y val="1.47663312919217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8CF-447B-974D-F6688C6BABDE}"/>
                </c:ext>
              </c:extLst>
            </c:dLbl>
            <c:dLbl>
              <c:idx val="1"/>
              <c:layout>
                <c:manualLayout>
                  <c:x val="-2.6942585301837272E-2"/>
                  <c:y val="-4.36074657334499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8CF-447B-974D-F6688C6BABD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SEN</c:v>
                </c:pt>
                <c:pt idx="1">
                  <c:v>EHC</c:v>
                </c:pt>
              </c:strCache>
            </c:strRef>
          </c:cat>
          <c:val>
            <c:numRef>
              <c:f>Sheet1!$B$2:$B$3</c:f>
              <c:numCache>
                <c:formatCode>0%</c:formatCode>
                <c:ptCount val="2"/>
                <c:pt idx="0">
                  <c:v>0.23</c:v>
                </c:pt>
                <c:pt idx="1">
                  <c:v>0.09</c:v>
                </c:pt>
              </c:numCache>
            </c:numRef>
          </c:val>
          <c:extLst>
            <c:ext xmlns:c16="http://schemas.microsoft.com/office/drawing/2014/chart" uri="{C3380CC4-5D6E-409C-BE32-E72D297353CC}">
              <c16:uniqueId val="{00000004-08CF-447B-974D-F6688C6BABD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lumMod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7"/>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470-44E9-8110-956F2DA7327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470-44E9-8110-956F2DA7327B}"/>
              </c:ext>
            </c:extLst>
          </c:dPt>
          <c:dLbls>
            <c:dLbl>
              <c:idx val="0"/>
              <c:layout>
                <c:manualLayout>
                  <c:x val="3.1636920384951882E-2"/>
                  <c:y val="-0.103784631087780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470-44E9-8110-956F2DA7327B}"/>
                </c:ext>
              </c:extLst>
            </c:dLbl>
            <c:dLbl>
              <c:idx val="1"/>
              <c:layout>
                <c:manualLayout>
                  <c:x val="-1.7055336832895888E-2"/>
                  <c:y val="-6.1630577427821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470-44E9-8110-956F2DA7327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Male</c:v>
                </c:pt>
                <c:pt idx="1">
                  <c:v>Female</c:v>
                </c:pt>
              </c:strCache>
            </c:strRef>
          </c:cat>
          <c:val>
            <c:numRef>
              <c:f>Sheet1!$B$2:$B$3</c:f>
              <c:numCache>
                <c:formatCode>0%</c:formatCode>
                <c:ptCount val="2"/>
                <c:pt idx="0">
                  <c:v>0.63</c:v>
                </c:pt>
                <c:pt idx="1">
                  <c:v>0.37</c:v>
                </c:pt>
              </c:numCache>
            </c:numRef>
          </c:val>
          <c:extLst>
            <c:ext xmlns:c16="http://schemas.microsoft.com/office/drawing/2014/chart" uri="{C3380CC4-5D6E-409C-BE32-E72D297353CC}">
              <c16:uniqueId val="{00000004-A470-44E9-8110-956F2DA7327B}"/>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solidFill>
            <a:schemeClr val="bg1">
              <a:lumMod val="85000"/>
            </a:schemeClr>
          </a:solid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2">
      <a:dk1>
        <a:sysClr val="windowText" lastClr="000000"/>
      </a:dk1>
      <a:lt1>
        <a:sysClr val="window" lastClr="FFFFFF"/>
      </a:lt1>
      <a:dk2>
        <a:srgbClr val="0E2841"/>
      </a:dk2>
      <a:lt2>
        <a:srgbClr val="E8E8E8"/>
      </a:lt2>
      <a:accent1>
        <a:srgbClr val="00435D"/>
      </a:accent1>
      <a:accent2>
        <a:srgbClr val="01B9BE"/>
      </a:accent2>
      <a:accent3>
        <a:srgbClr val="87C765"/>
      </a:accent3>
      <a:accent4>
        <a:srgbClr val="00435D"/>
      </a:accent4>
      <a:accent5>
        <a:srgbClr val="01B9BE"/>
      </a:accent5>
      <a:accent6>
        <a:srgbClr val="87C765"/>
      </a:accent6>
      <a:hlink>
        <a:srgbClr val="00435D"/>
      </a:hlink>
      <a:folHlink>
        <a:srgbClr val="01B9BE"/>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29F8140DA114B43B5CFDA271649B70B" ma:contentTypeVersion="12" ma:contentTypeDescription="Create a new document." ma:contentTypeScope="" ma:versionID="f93c5067b25c1fac87e4a12e6d6b84da">
  <xsd:schema xmlns:xsd="http://www.w3.org/2001/XMLSchema" xmlns:xs="http://www.w3.org/2001/XMLSchema" xmlns:p="http://schemas.microsoft.com/office/2006/metadata/properties" xmlns:ns2="ebb7e803-f39c-4b3e-8cb7-9a33859b2790" xmlns:ns3="baa7b732-371b-4ba5-8e6f-2083aa225100" targetNamespace="http://schemas.microsoft.com/office/2006/metadata/properties" ma:root="true" ma:fieldsID="407cee89fc06d798a98f758bcc100730" ns2:_="" ns3:_="">
    <xsd:import namespace="ebb7e803-f39c-4b3e-8cb7-9a33859b2790"/>
    <xsd:import namespace="baa7b732-371b-4ba5-8e6f-2083aa225100"/>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7e803-f39c-4b3e-8cb7-9a33859b2790"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877725aa-a115-4173-8de3-4bc35a246221"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aa7b732-371b-4ba5-8e6f-2083aa225100"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0ab1c717-498e-440e-8d01-4d45ab45021e}" ma:internalName="TaxCatchAll" ma:showField="CatchAllData" ma:web="baa7b732-371b-4ba5-8e6f-2083aa22510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baa7b732-371b-4ba5-8e6f-2083aa225100" xsi:nil="true"/>
    <lcf76f155ced4ddcb4097134ff3c332f xmlns="ebb7e803-f39c-4b3e-8cb7-9a33859b279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F510A39-AF85-4B61-9786-A91D3EBFB294}">
  <ds:schemaRefs>
    <ds:schemaRef ds:uri="http://schemas.openxmlformats.org/officeDocument/2006/bibliography"/>
  </ds:schemaRefs>
</ds:datastoreItem>
</file>

<file path=customXml/itemProps2.xml><?xml version="1.0" encoding="utf-8"?>
<ds:datastoreItem xmlns:ds="http://schemas.openxmlformats.org/officeDocument/2006/customXml" ds:itemID="{7B9CA265-D36E-44F9-8A3D-44177EE48FD5}">
  <ds:schemaRefs>
    <ds:schemaRef ds:uri="http://schemas.microsoft.com/sharepoint/v3/contenttype/forms"/>
  </ds:schemaRefs>
</ds:datastoreItem>
</file>

<file path=customXml/itemProps3.xml><?xml version="1.0" encoding="utf-8"?>
<ds:datastoreItem xmlns:ds="http://schemas.openxmlformats.org/officeDocument/2006/customXml" ds:itemID="{385B1B46-39EA-4936-BDD6-CEE8D1FCB3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7e803-f39c-4b3e-8cb7-9a33859b2790"/>
    <ds:schemaRef ds:uri="baa7b732-371b-4ba5-8e6f-2083aa2251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FBD47CC-D35F-4535-A872-D2B37A38252F}">
  <ds:schemaRefs>
    <ds:schemaRef ds:uri="ebb7e803-f39c-4b3e-8cb7-9a33859b2790"/>
    <ds:schemaRef ds:uri="baa7b732-371b-4ba5-8e6f-2083aa225100"/>
    <ds:schemaRef ds:uri="http://purl.org/dc/elements/1.1/"/>
    <ds:schemaRef ds:uri="http://schemas.microsoft.com/office/2006/metadata/properties"/>
    <ds:schemaRef ds:uri="http://purl.org/dc/dcmitype/"/>
    <ds:schemaRef ds:uri="http://purl.org/dc/terms/"/>
    <ds:schemaRef ds:uri="http://schemas.microsoft.com/office/2006/documentManagement/types"/>
    <ds:schemaRef ds:uri="http://schemas.microsoft.com/office/infopath/2007/PartnerControls"/>
    <ds:schemaRef ds:uri="http://schemas.openxmlformats.org/package/2006/metadata/core-properties"/>
    <ds:schemaRef ds:uri="http://www.w3.org/XML/1998/namespace"/>
  </ds:schemaRefs>
</ds:datastoreItem>
</file>

<file path=docMetadata/LabelInfo.xml><?xml version="1.0" encoding="utf-8"?>
<clbl:labelList xmlns:clbl="http://schemas.microsoft.com/office/2020/mipLabelMetadata">
  <clbl:label id="{3c0aec87-f983-418f-b3dc-d35db83fb5d2}" enabled="0" method="" siteId="{3c0aec87-f983-418f-b3dc-d35db83fb5d2}" removed="1"/>
</clbl:labelList>
</file>

<file path=docProps/app.xml><?xml version="1.0" encoding="utf-8"?>
<Properties xmlns="http://schemas.openxmlformats.org/officeDocument/2006/extended-properties" xmlns:vt="http://schemas.openxmlformats.org/officeDocument/2006/docPropsVTypes">
  <Template>Normal</Template>
  <TotalTime>0</TotalTime>
  <Pages>141</Pages>
  <Words>46906</Words>
  <Characters>267369</Characters>
  <Application>Microsoft Office Word</Application>
  <DocSecurity>0</DocSecurity>
  <Lines>2228</Lines>
  <Paragraphs>627</Paragraphs>
  <ScaleCrop>false</ScaleCrop>
  <HeadingPairs>
    <vt:vector size="2" baseType="variant">
      <vt:variant>
        <vt:lpstr>Title</vt:lpstr>
      </vt:variant>
      <vt:variant>
        <vt:i4>1</vt:i4>
      </vt:variant>
    </vt:vector>
  </HeadingPairs>
  <TitlesOfParts>
    <vt:vector size="1" baseType="lpstr">
      <vt:lpstr>Microsoft Word - SEND JSNA Working Draft v4_OCT24</vt:lpstr>
    </vt:vector>
  </TitlesOfParts>
  <Company/>
  <LinksUpToDate>false</LinksUpToDate>
  <CharactersWithSpaces>313648</CharactersWithSpaces>
  <SharedDoc>false</SharedDoc>
  <HLinks>
    <vt:vector size="1476" baseType="variant">
      <vt:variant>
        <vt:i4>1900597</vt:i4>
      </vt:variant>
      <vt:variant>
        <vt:i4>255</vt:i4>
      </vt:variant>
      <vt:variant>
        <vt:i4>0</vt:i4>
      </vt:variant>
      <vt:variant>
        <vt:i4>5</vt:i4>
      </vt:variant>
      <vt:variant>
        <vt:lpwstr>https://5f2fe3253cd1dfa0d089-bf8b2cdb6a1dc2999fecbc372702016c.ssl.cf3.rackcdn.com/uploads/ckeditor/attachments/18130/TH_Let_s_Talk_SEND_Newsletter__Summer_2025_.pdf</vt:lpwstr>
      </vt:variant>
      <vt:variant>
        <vt:lpwstr/>
      </vt:variant>
      <vt:variant>
        <vt:i4>1245220</vt:i4>
      </vt:variant>
      <vt:variant>
        <vt:i4>114</vt:i4>
      </vt:variant>
      <vt:variant>
        <vt:i4>0</vt:i4>
      </vt:variant>
      <vt:variant>
        <vt:i4>5</vt:i4>
      </vt:variant>
      <vt:variant>
        <vt:lpwstr>https://www.towerhamlets.gov.uk/News_events/2025/August/Partnership-inspection-finds-children-and-young-people-with-SEND-are-valued-in-Tower-Hamlets.aspx</vt:lpwstr>
      </vt:variant>
      <vt:variant>
        <vt:lpwstr/>
      </vt:variant>
      <vt:variant>
        <vt:i4>1310775</vt:i4>
      </vt:variant>
      <vt:variant>
        <vt:i4>92</vt:i4>
      </vt:variant>
      <vt:variant>
        <vt:i4>0</vt:i4>
      </vt:variant>
      <vt:variant>
        <vt:i4>5</vt:i4>
      </vt:variant>
      <vt:variant>
        <vt:lpwstr/>
      </vt:variant>
      <vt:variant>
        <vt:lpwstr>_Toc211440065</vt:lpwstr>
      </vt:variant>
      <vt:variant>
        <vt:i4>1310775</vt:i4>
      </vt:variant>
      <vt:variant>
        <vt:i4>86</vt:i4>
      </vt:variant>
      <vt:variant>
        <vt:i4>0</vt:i4>
      </vt:variant>
      <vt:variant>
        <vt:i4>5</vt:i4>
      </vt:variant>
      <vt:variant>
        <vt:lpwstr/>
      </vt:variant>
      <vt:variant>
        <vt:lpwstr>_Toc211440064</vt:lpwstr>
      </vt:variant>
      <vt:variant>
        <vt:i4>1310775</vt:i4>
      </vt:variant>
      <vt:variant>
        <vt:i4>80</vt:i4>
      </vt:variant>
      <vt:variant>
        <vt:i4>0</vt:i4>
      </vt:variant>
      <vt:variant>
        <vt:i4>5</vt:i4>
      </vt:variant>
      <vt:variant>
        <vt:lpwstr/>
      </vt:variant>
      <vt:variant>
        <vt:lpwstr>_Toc211440063</vt:lpwstr>
      </vt:variant>
      <vt:variant>
        <vt:i4>1310775</vt:i4>
      </vt:variant>
      <vt:variant>
        <vt:i4>74</vt:i4>
      </vt:variant>
      <vt:variant>
        <vt:i4>0</vt:i4>
      </vt:variant>
      <vt:variant>
        <vt:i4>5</vt:i4>
      </vt:variant>
      <vt:variant>
        <vt:lpwstr/>
      </vt:variant>
      <vt:variant>
        <vt:lpwstr>_Toc211440062</vt:lpwstr>
      </vt:variant>
      <vt:variant>
        <vt:i4>1310775</vt:i4>
      </vt:variant>
      <vt:variant>
        <vt:i4>68</vt:i4>
      </vt:variant>
      <vt:variant>
        <vt:i4>0</vt:i4>
      </vt:variant>
      <vt:variant>
        <vt:i4>5</vt:i4>
      </vt:variant>
      <vt:variant>
        <vt:lpwstr/>
      </vt:variant>
      <vt:variant>
        <vt:lpwstr>_Toc211440061</vt:lpwstr>
      </vt:variant>
      <vt:variant>
        <vt:i4>1310775</vt:i4>
      </vt:variant>
      <vt:variant>
        <vt:i4>62</vt:i4>
      </vt:variant>
      <vt:variant>
        <vt:i4>0</vt:i4>
      </vt:variant>
      <vt:variant>
        <vt:i4>5</vt:i4>
      </vt:variant>
      <vt:variant>
        <vt:lpwstr/>
      </vt:variant>
      <vt:variant>
        <vt:lpwstr>_Toc211440060</vt:lpwstr>
      </vt:variant>
      <vt:variant>
        <vt:i4>1507383</vt:i4>
      </vt:variant>
      <vt:variant>
        <vt:i4>56</vt:i4>
      </vt:variant>
      <vt:variant>
        <vt:i4>0</vt:i4>
      </vt:variant>
      <vt:variant>
        <vt:i4>5</vt:i4>
      </vt:variant>
      <vt:variant>
        <vt:lpwstr/>
      </vt:variant>
      <vt:variant>
        <vt:lpwstr>_Toc211440058</vt:lpwstr>
      </vt:variant>
      <vt:variant>
        <vt:i4>1507383</vt:i4>
      </vt:variant>
      <vt:variant>
        <vt:i4>50</vt:i4>
      </vt:variant>
      <vt:variant>
        <vt:i4>0</vt:i4>
      </vt:variant>
      <vt:variant>
        <vt:i4>5</vt:i4>
      </vt:variant>
      <vt:variant>
        <vt:lpwstr/>
      </vt:variant>
      <vt:variant>
        <vt:lpwstr>_Toc211440057</vt:lpwstr>
      </vt:variant>
      <vt:variant>
        <vt:i4>1507383</vt:i4>
      </vt:variant>
      <vt:variant>
        <vt:i4>44</vt:i4>
      </vt:variant>
      <vt:variant>
        <vt:i4>0</vt:i4>
      </vt:variant>
      <vt:variant>
        <vt:i4>5</vt:i4>
      </vt:variant>
      <vt:variant>
        <vt:lpwstr/>
      </vt:variant>
      <vt:variant>
        <vt:lpwstr>_Toc211440056</vt:lpwstr>
      </vt:variant>
      <vt:variant>
        <vt:i4>1507383</vt:i4>
      </vt:variant>
      <vt:variant>
        <vt:i4>38</vt:i4>
      </vt:variant>
      <vt:variant>
        <vt:i4>0</vt:i4>
      </vt:variant>
      <vt:variant>
        <vt:i4>5</vt:i4>
      </vt:variant>
      <vt:variant>
        <vt:lpwstr/>
      </vt:variant>
      <vt:variant>
        <vt:lpwstr>_Toc211440055</vt:lpwstr>
      </vt:variant>
      <vt:variant>
        <vt:i4>1507383</vt:i4>
      </vt:variant>
      <vt:variant>
        <vt:i4>32</vt:i4>
      </vt:variant>
      <vt:variant>
        <vt:i4>0</vt:i4>
      </vt:variant>
      <vt:variant>
        <vt:i4>5</vt:i4>
      </vt:variant>
      <vt:variant>
        <vt:lpwstr/>
      </vt:variant>
      <vt:variant>
        <vt:lpwstr>_Toc211440054</vt:lpwstr>
      </vt:variant>
      <vt:variant>
        <vt:i4>1507383</vt:i4>
      </vt:variant>
      <vt:variant>
        <vt:i4>26</vt:i4>
      </vt:variant>
      <vt:variant>
        <vt:i4>0</vt:i4>
      </vt:variant>
      <vt:variant>
        <vt:i4>5</vt:i4>
      </vt:variant>
      <vt:variant>
        <vt:lpwstr/>
      </vt:variant>
      <vt:variant>
        <vt:lpwstr>_Toc211440053</vt:lpwstr>
      </vt:variant>
      <vt:variant>
        <vt:i4>1179705</vt:i4>
      </vt:variant>
      <vt:variant>
        <vt:i4>20</vt:i4>
      </vt:variant>
      <vt:variant>
        <vt:i4>0</vt:i4>
      </vt:variant>
      <vt:variant>
        <vt:i4>5</vt:i4>
      </vt:variant>
      <vt:variant>
        <vt:lpwstr/>
      </vt:variant>
      <vt:variant>
        <vt:lpwstr>_Toc211439991</vt:lpwstr>
      </vt:variant>
      <vt:variant>
        <vt:i4>1179705</vt:i4>
      </vt:variant>
      <vt:variant>
        <vt:i4>14</vt:i4>
      </vt:variant>
      <vt:variant>
        <vt:i4>0</vt:i4>
      </vt:variant>
      <vt:variant>
        <vt:i4>5</vt:i4>
      </vt:variant>
      <vt:variant>
        <vt:lpwstr/>
      </vt:variant>
      <vt:variant>
        <vt:lpwstr>_Toc211439990</vt:lpwstr>
      </vt:variant>
      <vt:variant>
        <vt:i4>1245241</vt:i4>
      </vt:variant>
      <vt:variant>
        <vt:i4>8</vt:i4>
      </vt:variant>
      <vt:variant>
        <vt:i4>0</vt:i4>
      </vt:variant>
      <vt:variant>
        <vt:i4>5</vt:i4>
      </vt:variant>
      <vt:variant>
        <vt:lpwstr/>
      </vt:variant>
      <vt:variant>
        <vt:lpwstr>_Toc211439989</vt:lpwstr>
      </vt:variant>
      <vt:variant>
        <vt:i4>1245241</vt:i4>
      </vt:variant>
      <vt:variant>
        <vt:i4>2</vt:i4>
      </vt:variant>
      <vt:variant>
        <vt:i4>0</vt:i4>
      </vt:variant>
      <vt:variant>
        <vt:i4>5</vt:i4>
      </vt:variant>
      <vt:variant>
        <vt:lpwstr/>
      </vt:variant>
      <vt:variant>
        <vt:lpwstr>_Toc211439988</vt:lpwstr>
      </vt:variant>
      <vt:variant>
        <vt:i4>5898256</vt:i4>
      </vt:variant>
      <vt:variant>
        <vt:i4>0</vt:i4>
      </vt:variant>
      <vt:variant>
        <vt:i4>0</vt:i4>
      </vt:variant>
      <vt:variant>
        <vt:i4>5</vt:i4>
      </vt:variant>
      <vt:variant>
        <vt:lpwstr>https://www.nice.org.uk/guidance/NG87</vt:lpwstr>
      </vt:variant>
      <vt:variant>
        <vt:lpwstr/>
      </vt:variant>
      <vt:variant>
        <vt:i4>6488171</vt:i4>
      </vt:variant>
      <vt:variant>
        <vt:i4>678</vt:i4>
      </vt:variant>
      <vt:variant>
        <vt:i4>0</vt:i4>
      </vt:variant>
      <vt:variant>
        <vt:i4>5</vt:i4>
      </vt:variant>
      <vt:variant>
        <vt:lpwstr>https://www.childrenscommissioner.gov.uk/the-big-ambition/</vt:lpwstr>
      </vt:variant>
      <vt:variant>
        <vt:lpwstr>downloads</vt:lpwstr>
      </vt:variant>
      <vt:variant>
        <vt:i4>4259924</vt:i4>
      </vt:variant>
      <vt:variant>
        <vt:i4>675</vt:i4>
      </vt:variant>
      <vt:variant>
        <vt:i4>0</vt:i4>
      </vt:variant>
      <vt:variant>
        <vt:i4>5</vt:i4>
      </vt:variant>
      <vt:variant>
        <vt:lpwstr>https://www.downs-syndrome.org.uk/wp-content/uploads/2020/10/International_Guidelines_for_the_Education_of_Learners_with_Down_Syndrome_-_DSi_-_July_2020-1.pdf</vt:lpwstr>
      </vt:variant>
      <vt:variant>
        <vt:lpwstr/>
      </vt:variant>
      <vt:variant>
        <vt:i4>7733311</vt:i4>
      </vt:variant>
      <vt:variant>
        <vt:i4>672</vt:i4>
      </vt:variant>
      <vt:variant>
        <vt:i4>0</vt:i4>
      </vt:variant>
      <vt:variant>
        <vt:i4>5</vt:i4>
      </vt:variant>
      <vt:variant>
        <vt:lpwstr>https://www.england.nhs.uk/long-read/commissioning-framework-for-children-and-young-people-with-cerebral-palsy/</vt:lpwstr>
      </vt:variant>
      <vt:variant>
        <vt:lpwstr>:~:text=Early%20assessment%20and%20intervention%20can,participation%20and%20quality%20of%20life.</vt:lpwstr>
      </vt:variant>
      <vt:variant>
        <vt:i4>3145847</vt:i4>
      </vt:variant>
      <vt:variant>
        <vt:i4>669</vt:i4>
      </vt:variant>
      <vt:variant>
        <vt:i4>0</vt:i4>
      </vt:variant>
      <vt:variant>
        <vt:i4>5</vt:i4>
      </vt:variant>
      <vt:variant>
        <vt:lpwstr>https://www.downs-syndrome.org.uk/about-downs-syndrome/lifes-journey/healthy-lifestyle-physical-activity/</vt:lpwstr>
      </vt:variant>
      <vt:variant>
        <vt:lpwstr>:~:text=Ingraining%20positive%20habits%20from%20a,help%20with%20making%20positive%20decisions.</vt:lpwstr>
      </vt:variant>
      <vt:variant>
        <vt:i4>1638492</vt:i4>
      </vt:variant>
      <vt:variant>
        <vt:i4>666</vt:i4>
      </vt:variant>
      <vt:variant>
        <vt:i4>0</vt:i4>
      </vt:variant>
      <vt:variant>
        <vt:i4>5</vt:i4>
      </vt:variant>
      <vt:variant>
        <vt:lpwstr>https://www.ncbi.nlm.nih.gov/books/NBK526016/</vt:lpwstr>
      </vt:variant>
      <vt:variant>
        <vt:lpwstr/>
      </vt:variant>
      <vt:variant>
        <vt:i4>5832726</vt:i4>
      </vt:variant>
      <vt:variant>
        <vt:i4>663</vt:i4>
      </vt:variant>
      <vt:variant>
        <vt:i4>0</vt:i4>
      </vt:variant>
      <vt:variant>
        <vt:i4>5</vt:i4>
      </vt:variant>
      <vt:variant>
        <vt:lpwstr>https://assets.publishing.service.gov.uk/media/620bab28d3bf7f4f0feeef14/infographic-physical-activity-for-disabled-children-and-disabled-young-people.pdf</vt:lpwstr>
      </vt:variant>
      <vt:variant>
        <vt:lpwstr/>
      </vt:variant>
      <vt:variant>
        <vt:i4>1376272</vt:i4>
      </vt:variant>
      <vt:variant>
        <vt:i4>660</vt:i4>
      </vt:variant>
      <vt:variant>
        <vt:i4>0</vt:i4>
      </vt:variant>
      <vt:variant>
        <vt:i4>5</vt:i4>
      </vt:variant>
      <vt:variant>
        <vt:lpwstr>https://www.gov.uk/government/publications/physical-activity-in-disabled-children-and-disabled-young-people-evidence-review/physical-activity-for-general-health-benefits-in-disabled-children-and-disabled-young-people-rapid-evidence-review</vt:lpwstr>
      </vt:variant>
      <vt:variant>
        <vt:lpwstr>:~:text=There%20is%20evidence%20that%20shows,average%203%20times%20per%20week.</vt:lpwstr>
      </vt:variant>
      <vt:variant>
        <vt:i4>917567</vt:i4>
      </vt:variant>
      <vt:variant>
        <vt:i4>657</vt:i4>
      </vt:variant>
      <vt:variant>
        <vt:i4>0</vt:i4>
      </vt:variant>
      <vt:variant>
        <vt:i4>5</vt:i4>
      </vt:variant>
      <vt:variant>
        <vt:lpwstr>https://www.nice.org.uk/guidance/ng213?utm_source=chatgpt.com</vt:lpwstr>
      </vt:variant>
      <vt:variant>
        <vt:lpwstr/>
      </vt:variant>
      <vt:variant>
        <vt:i4>6291572</vt:i4>
      </vt:variant>
      <vt:variant>
        <vt:i4>654</vt:i4>
      </vt:variant>
      <vt:variant>
        <vt:i4>0</vt:i4>
      </vt:variant>
      <vt:variant>
        <vt:i4>5</vt:i4>
      </vt:variant>
      <vt:variant>
        <vt:lpwstr>https://www.practitionerhealth.nhs.uk/disabilities-health-and-wellbeing</vt:lpwstr>
      </vt:variant>
      <vt:variant>
        <vt:lpwstr/>
      </vt:variant>
      <vt:variant>
        <vt:i4>6291572</vt:i4>
      </vt:variant>
      <vt:variant>
        <vt:i4>651</vt:i4>
      </vt:variant>
      <vt:variant>
        <vt:i4>0</vt:i4>
      </vt:variant>
      <vt:variant>
        <vt:i4>5</vt:i4>
      </vt:variant>
      <vt:variant>
        <vt:lpwstr>https://www.practitionerhealth.nhs.uk/disabilities-health-and-wellbeing</vt:lpwstr>
      </vt:variant>
      <vt:variant>
        <vt:lpwstr/>
      </vt:variant>
      <vt:variant>
        <vt:i4>6029413</vt:i4>
      </vt:variant>
      <vt:variant>
        <vt:i4>648</vt:i4>
      </vt:variant>
      <vt:variant>
        <vt:i4>0</vt:i4>
      </vt:variant>
      <vt:variant>
        <vt:i4>5</vt:i4>
      </vt:variant>
      <vt:variant>
        <vt:lpwstr>https://www.healthwatchtowerhamlets.co.uk/sites/healthwatchtowerhamlets.co.uk/files/Healthy Neighbourhoods Report - Final Version_1.pdf</vt:lpwstr>
      </vt:variant>
      <vt:variant>
        <vt:lpwstr/>
      </vt:variant>
      <vt:variant>
        <vt:i4>6488171</vt:i4>
      </vt:variant>
      <vt:variant>
        <vt:i4>645</vt:i4>
      </vt:variant>
      <vt:variant>
        <vt:i4>0</vt:i4>
      </vt:variant>
      <vt:variant>
        <vt:i4>5</vt:i4>
      </vt:variant>
      <vt:variant>
        <vt:lpwstr>https://www.childrenscommissioner.gov.uk/the-big-ambition/</vt:lpwstr>
      </vt:variant>
      <vt:variant>
        <vt:lpwstr>downloads</vt:lpwstr>
      </vt:variant>
      <vt:variant>
        <vt:i4>5046302</vt:i4>
      </vt:variant>
      <vt:variant>
        <vt:i4>642</vt:i4>
      </vt:variant>
      <vt:variant>
        <vt:i4>0</vt:i4>
      </vt:variant>
      <vt:variant>
        <vt:i4>5</vt:i4>
      </vt:variant>
      <vt:variant>
        <vt:lpwstr>https://doi.org/10.1056/NEJMra1706537</vt:lpwstr>
      </vt:variant>
      <vt:variant>
        <vt:lpwstr/>
      </vt:variant>
      <vt:variant>
        <vt:i4>7733369</vt:i4>
      </vt:variant>
      <vt:variant>
        <vt:i4>639</vt:i4>
      </vt:variant>
      <vt:variant>
        <vt:i4>0</vt:i4>
      </vt:variant>
      <vt:variant>
        <vt:i4>5</vt:i4>
      </vt:variant>
      <vt:variant>
        <vt:lpwstr>https://www.nhsinform.scot/illnesses-and-conditions/downs-syndrome/</vt:lpwstr>
      </vt:variant>
      <vt:variant>
        <vt:lpwstr/>
      </vt:variant>
      <vt:variant>
        <vt:i4>1703967</vt:i4>
      </vt:variant>
      <vt:variant>
        <vt:i4>636</vt:i4>
      </vt:variant>
      <vt:variant>
        <vt:i4>0</vt:i4>
      </vt:variant>
      <vt:variant>
        <vt:i4>5</vt:i4>
      </vt:variant>
      <vt:variant>
        <vt:lpwstr>https://www.rcpch.ac.uk/resources/role-of-paediatricians-child-mental-health-position</vt:lpwstr>
      </vt:variant>
      <vt:variant>
        <vt:lpwstr/>
      </vt:variant>
      <vt:variant>
        <vt:i4>3866670</vt:i4>
      </vt:variant>
      <vt:variant>
        <vt:i4>633</vt:i4>
      </vt:variant>
      <vt:variant>
        <vt:i4>0</vt:i4>
      </vt:variant>
      <vt:variant>
        <vt:i4>5</vt:i4>
      </vt:variant>
      <vt:variant>
        <vt:lpwstr>https://www.nhs.uk/social-care-and-support/caring-for-children-and-young-people/how-to-care-for-a-disabled-child/</vt:lpwstr>
      </vt:variant>
      <vt:variant>
        <vt:lpwstr>:~:text=Sleeping,and%20services%20in%20your%20area.</vt:lpwstr>
      </vt:variant>
      <vt:variant>
        <vt:i4>5636171</vt:i4>
      </vt:variant>
      <vt:variant>
        <vt:i4>630</vt:i4>
      </vt:variant>
      <vt:variant>
        <vt:i4>0</vt:i4>
      </vt:variant>
      <vt:variant>
        <vt:i4>5</vt:i4>
      </vt:variant>
      <vt:variant>
        <vt:lpwstr>https://www.scope.org.uk/advice-and-support/a-z-eating-difficulties</vt:lpwstr>
      </vt:variant>
      <vt:variant>
        <vt:lpwstr>:~:text=Some%20disabled%20children%20have%20difficulties,experienced%20difficulties%20in%20the%20past.</vt:lpwstr>
      </vt:variant>
      <vt:variant>
        <vt:i4>6160393</vt:i4>
      </vt:variant>
      <vt:variant>
        <vt:i4>627</vt:i4>
      </vt:variant>
      <vt:variant>
        <vt:i4>0</vt:i4>
      </vt:variant>
      <vt:variant>
        <vt:i4>5</vt:i4>
      </vt:variant>
      <vt:variant>
        <vt:lpwstr>https://www.genomicseducation.hee.nhs.uk/genotes/knowledge-hub/down-syndrome-trisomy-21/</vt:lpwstr>
      </vt:variant>
      <vt:variant>
        <vt:lpwstr/>
      </vt:variant>
      <vt:variant>
        <vt:i4>6684787</vt:i4>
      </vt:variant>
      <vt:variant>
        <vt:i4>624</vt:i4>
      </vt:variant>
      <vt:variant>
        <vt:i4>0</vt:i4>
      </vt:variant>
      <vt:variant>
        <vt:i4>5</vt:i4>
      </vt:variant>
      <vt:variant>
        <vt:lpwstr>https://councilfordisabledchildren.org.uk/sites/default/files/uploads/files/earlysupportmulti-sensoryimpairmentsfinal2.pdf</vt:lpwstr>
      </vt:variant>
      <vt:variant>
        <vt:lpwstr/>
      </vt:variant>
      <vt:variant>
        <vt:i4>4063298</vt:i4>
      </vt:variant>
      <vt:variant>
        <vt:i4>621</vt:i4>
      </vt:variant>
      <vt:variant>
        <vt:i4>0</vt:i4>
      </vt:variant>
      <vt:variant>
        <vt:i4>5</vt:i4>
      </vt:variant>
      <vt:variant>
        <vt:lpwstr>https://media.rnib.org.uk/documents/APDF-ENG021603_Early_Support_Parents_Information_0.pdf</vt:lpwstr>
      </vt:variant>
      <vt:variant>
        <vt:lpwstr/>
      </vt:variant>
      <vt:variant>
        <vt:i4>1310746</vt:i4>
      </vt:variant>
      <vt:variant>
        <vt:i4>618</vt:i4>
      </vt:variant>
      <vt:variant>
        <vt:i4>0</vt:i4>
      </vt:variant>
      <vt:variant>
        <vt:i4>5</vt:i4>
      </vt:variant>
      <vt:variant>
        <vt:lpwstr>https://www.healthwatchrbkc.org.uk/blog/2025-06-12/how-accessible-your-healthcare</vt:lpwstr>
      </vt:variant>
      <vt:variant>
        <vt:lpwstr/>
      </vt:variant>
      <vt:variant>
        <vt:i4>4259850</vt:i4>
      </vt:variant>
      <vt:variant>
        <vt:i4>615</vt:i4>
      </vt:variant>
      <vt:variant>
        <vt:i4>0</vt:i4>
      </vt:variant>
      <vt:variant>
        <vt:i4>5</vt:i4>
      </vt:variant>
      <vt:variant>
        <vt:lpwstr>https://rnid.org.uk/wp-content/uploads/2020/07/Good-practice-full-report.pdf</vt:lpwstr>
      </vt:variant>
      <vt:variant>
        <vt:lpwstr/>
      </vt:variant>
      <vt:variant>
        <vt:i4>1703952</vt:i4>
      </vt:variant>
      <vt:variant>
        <vt:i4>612</vt:i4>
      </vt:variant>
      <vt:variant>
        <vt:i4>0</vt:i4>
      </vt:variant>
      <vt:variant>
        <vt:i4>5</vt:i4>
      </vt:variant>
      <vt:variant>
        <vt:lpwstr>https://rnid.org.uk/wp-content/uploads/2020/05/AIS-policy-report-England-UPDATED.pdf</vt:lpwstr>
      </vt:variant>
      <vt:variant>
        <vt:lpwstr/>
      </vt:variant>
      <vt:variant>
        <vt:i4>7536684</vt:i4>
      </vt:variant>
      <vt:variant>
        <vt:i4>609</vt:i4>
      </vt:variant>
      <vt:variant>
        <vt:i4>0</vt:i4>
      </vt:variant>
      <vt:variant>
        <vt:i4>5</vt:i4>
      </vt:variant>
      <vt:variant>
        <vt:lpwstr>https://www.healthwatch.co.uk/blog/2024-04-10/deaf-and-hard-hearing-peoples-healthcare-experiences</vt:lpwstr>
      </vt:variant>
      <vt:variant>
        <vt:lpwstr/>
      </vt:variant>
      <vt:variant>
        <vt:i4>8060962</vt:i4>
      </vt:variant>
      <vt:variant>
        <vt:i4>606</vt:i4>
      </vt:variant>
      <vt:variant>
        <vt:i4>0</vt:i4>
      </vt:variant>
      <vt:variant>
        <vt:i4>5</vt:i4>
      </vt:variant>
      <vt:variant>
        <vt:lpwstr>https://www.england.nhs.uk/accessible-information-standard/about-the-standard/</vt:lpwstr>
      </vt:variant>
      <vt:variant>
        <vt:lpwstr/>
      </vt:variant>
      <vt:variant>
        <vt:i4>5636115</vt:i4>
      </vt:variant>
      <vt:variant>
        <vt:i4>603</vt:i4>
      </vt:variant>
      <vt:variant>
        <vt:i4>0</vt:i4>
      </vt:variant>
      <vt:variant>
        <vt:i4>5</vt:i4>
      </vt:variant>
      <vt:variant>
        <vt:lpwstr>https://www.sense.org.uk/information-and-advice/for-professionals/resources-for-education-and-early-years-professionals/route-map-to-meeting-the-needs-of-deafblind-children/</vt:lpwstr>
      </vt:variant>
      <vt:variant>
        <vt:lpwstr/>
      </vt:variant>
      <vt:variant>
        <vt:i4>3997811</vt:i4>
      </vt:variant>
      <vt:variant>
        <vt:i4>600</vt:i4>
      </vt:variant>
      <vt:variant>
        <vt:i4>0</vt:i4>
      </vt:variant>
      <vt:variant>
        <vt:i4>5</vt:i4>
      </vt:variant>
      <vt:variant>
        <vt:lpwstr>https://www.nhs.uk/conditions/deafblindness/diagnosis/</vt:lpwstr>
      </vt:variant>
      <vt:variant>
        <vt:lpwstr/>
      </vt:variant>
      <vt:variant>
        <vt:i4>2490403</vt:i4>
      </vt:variant>
      <vt:variant>
        <vt:i4>597</vt:i4>
      </vt:variant>
      <vt:variant>
        <vt:i4>0</vt:i4>
      </vt:variant>
      <vt:variant>
        <vt:i4>5</vt:i4>
      </vt:variant>
      <vt:variant>
        <vt:lpwstr>https://www.ndcs.org.uk/advice-and-support/all-advice-and-support-topics/causes-types-and-signs-deafness/newborn-hearing-screening</vt:lpwstr>
      </vt:variant>
      <vt:variant>
        <vt:lpwstr/>
      </vt:variant>
      <vt:variant>
        <vt:i4>4063337</vt:i4>
      </vt:variant>
      <vt:variant>
        <vt:i4>594</vt:i4>
      </vt:variant>
      <vt:variant>
        <vt:i4>0</vt:i4>
      </vt:variant>
      <vt:variant>
        <vt:i4>5</vt:i4>
      </vt:variant>
      <vt:variant>
        <vt:lpwstr>https://www.gov.uk/government/publications/newborn-hearing-screening-pathway-requirements-specification/newborn-hearing-screening-pathway-requirements-specification</vt:lpwstr>
      </vt:variant>
      <vt:variant>
        <vt:lpwstr>:~:text=The%20NHS%20offers%20newborn%20hearing,screening%20in%20the%20programme%20overview</vt:lpwstr>
      </vt:variant>
      <vt:variant>
        <vt:i4>2359332</vt:i4>
      </vt:variant>
      <vt:variant>
        <vt:i4>591</vt:i4>
      </vt:variant>
      <vt:variant>
        <vt:i4>0</vt:i4>
      </vt:variant>
      <vt:variant>
        <vt:i4>5</vt:i4>
      </vt:variant>
      <vt:variant>
        <vt:lpwstr>https://www.sense.org.uk/information-and-advice/life-with-complex-disabilities/deafblind-guidance/requesting-a-care-needs-assessment-in-relation-to-deafblind-children-and-adults/</vt:lpwstr>
      </vt:variant>
      <vt:variant>
        <vt:lpwstr/>
      </vt:variant>
      <vt:variant>
        <vt:i4>6684787</vt:i4>
      </vt:variant>
      <vt:variant>
        <vt:i4>588</vt:i4>
      </vt:variant>
      <vt:variant>
        <vt:i4>0</vt:i4>
      </vt:variant>
      <vt:variant>
        <vt:i4>5</vt:i4>
      </vt:variant>
      <vt:variant>
        <vt:lpwstr>https://councilfordisabledchildren.org.uk/sites/default/files/uploads/files/earlysupportmulti-sensoryimpairmentsfinal2.pdf</vt:lpwstr>
      </vt:variant>
      <vt:variant>
        <vt:lpwstr/>
      </vt:variant>
      <vt:variant>
        <vt:i4>1769496</vt:i4>
      </vt:variant>
      <vt:variant>
        <vt:i4>585</vt:i4>
      </vt:variant>
      <vt:variant>
        <vt:i4>0</vt:i4>
      </vt:variant>
      <vt:variant>
        <vt:i4>5</vt:i4>
      </vt:variant>
      <vt:variant>
        <vt:lpwstr>https://www.nhs.uk/tests-and-treatments/eye-tests-in-children/</vt:lpwstr>
      </vt:variant>
      <vt:variant>
        <vt:lpwstr>:~:text=The%20red%20reflex%20test%20is,sign%20of%20an%20eye%20problem.</vt:lpwstr>
      </vt:variant>
      <vt:variant>
        <vt:i4>5767262</vt:i4>
      </vt:variant>
      <vt:variant>
        <vt:i4>582</vt:i4>
      </vt:variant>
      <vt:variant>
        <vt:i4>0</vt:i4>
      </vt:variant>
      <vt:variant>
        <vt:i4>5</vt:i4>
      </vt:variant>
      <vt:variant>
        <vt:lpwstr>https://cambspborochildrenshealth.nhs.uk/services/cambridgeshire-childrens-speech-and-language-therapy-service/common-speech-language-and-communication-concerns/hearing-loss-and-deafness/</vt:lpwstr>
      </vt:variant>
      <vt:variant>
        <vt:lpwstr>:~:text=Have%20concerns%20about%20your%20child's,Last%20reviewed:%201%20November%2C%202023.</vt:lpwstr>
      </vt:variant>
      <vt:variant>
        <vt:i4>3997730</vt:i4>
      </vt:variant>
      <vt:variant>
        <vt:i4>579</vt:i4>
      </vt:variant>
      <vt:variant>
        <vt:i4>0</vt:i4>
      </vt:variant>
      <vt:variant>
        <vt:i4>5</vt:i4>
      </vt:variant>
      <vt:variant>
        <vt:lpwstr>https://www.spirehealthcare.com/health-hub/specialties/childrens-health/hearing-loss-in-children-spotting-the-signs-and-how-it-s-treated/</vt:lpwstr>
      </vt:variant>
      <vt:variant>
        <vt:lpwstr>:~:text=If%20you%20have%20noticed%20any,Temporary%20hearing%20loss</vt:lpwstr>
      </vt:variant>
      <vt:variant>
        <vt:i4>2949222</vt:i4>
      </vt:variant>
      <vt:variant>
        <vt:i4>576</vt:i4>
      </vt:variant>
      <vt:variant>
        <vt:i4>0</vt:i4>
      </vt:variant>
      <vt:variant>
        <vt:i4>5</vt:i4>
      </vt:variant>
      <vt:variant>
        <vt:lpwstr>https://www.nhs.uk/baby/newborn-screening/hearing-test/</vt:lpwstr>
      </vt:variant>
      <vt:variant>
        <vt:lpwstr>:~:text=The%20AABR%20test%20involves%20placing,your%20baby%20in%20any%20way.</vt:lpwstr>
      </vt:variant>
      <vt:variant>
        <vt:i4>3407987</vt:i4>
      </vt:variant>
      <vt:variant>
        <vt:i4>573</vt:i4>
      </vt:variant>
      <vt:variant>
        <vt:i4>0</vt:i4>
      </vt:variant>
      <vt:variant>
        <vt:i4>5</vt:i4>
      </vt:variant>
      <vt:variant>
        <vt:lpwstr>https://explore-education-statistics.service.gov.uk/data-tables/school-pupils-and-their-characteristics</vt:lpwstr>
      </vt:variant>
      <vt:variant>
        <vt:lpwstr/>
      </vt:variant>
      <vt:variant>
        <vt:i4>3407987</vt:i4>
      </vt:variant>
      <vt:variant>
        <vt:i4>570</vt:i4>
      </vt:variant>
      <vt:variant>
        <vt:i4>0</vt:i4>
      </vt:variant>
      <vt:variant>
        <vt:i4>5</vt:i4>
      </vt:variant>
      <vt:variant>
        <vt:lpwstr>https://explore-education-statistics.service.gov.uk/data-tables/school-pupils-and-their-characteristics</vt:lpwstr>
      </vt:variant>
      <vt:variant>
        <vt:lpwstr/>
      </vt:variant>
      <vt:variant>
        <vt:i4>786456</vt:i4>
      </vt:variant>
      <vt:variant>
        <vt:i4>567</vt:i4>
      </vt:variant>
      <vt:variant>
        <vt:i4>0</vt:i4>
      </vt:variant>
      <vt:variant>
        <vt:i4>5</vt:i4>
      </vt:variant>
      <vt:variant>
        <vt:lpwstr>https://www.nidcd.nih.gov/health/tinnitus</vt:lpwstr>
      </vt:variant>
      <vt:variant>
        <vt:lpwstr/>
      </vt:variant>
      <vt:variant>
        <vt:i4>1835022</vt:i4>
      </vt:variant>
      <vt:variant>
        <vt:i4>564</vt:i4>
      </vt:variant>
      <vt:variant>
        <vt:i4>0</vt:i4>
      </vt:variant>
      <vt:variant>
        <vt:i4>5</vt:i4>
      </vt:variant>
      <vt:variant>
        <vt:lpwstr>https://tinnitus.org.uk/understanding-tinnitus/support-people/my-child-has-tinnitus/</vt:lpwstr>
      </vt:variant>
      <vt:variant>
        <vt:lpwstr/>
      </vt:variant>
      <vt:variant>
        <vt:i4>2818164</vt:i4>
      </vt:variant>
      <vt:variant>
        <vt:i4>561</vt:i4>
      </vt:variant>
      <vt:variant>
        <vt:i4>0</vt:i4>
      </vt:variant>
      <vt:variant>
        <vt:i4>5</vt:i4>
      </vt:variant>
      <vt:variant>
        <vt:lpwstr>https://www.hearinglink.org/your-hearing/tinnitus/what-is-tinnitus/</vt:lpwstr>
      </vt:variant>
      <vt:variant>
        <vt:lpwstr/>
      </vt:variant>
      <vt:variant>
        <vt:i4>6684787</vt:i4>
      </vt:variant>
      <vt:variant>
        <vt:i4>558</vt:i4>
      </vt:variant>
      <vt:variant>
        <vt:i4>0</vt:i4>
      </vt:variant>
      <vt:variant>
        <vt:i4>5</vt:i4>
      </vt:variant>
      <vt:variant>
        <vt:lpwstr>https://councilfordisabledchildren.org.uk/sites/default/files/uploads/files/earlysupportmulti-sensoryimpairmentsfinal2.pdf</vt:lpwstr>
      </vt:variant>
      <vt:variant>
        <vt:lpwstr/>
      </vt:variant>
      <vt:variant>
        <vt:i4>2031680</vt:i4>
      </vt:variant>
      <vt:variant>
        <vt:i4>555</vt:i4>
      </vt:variant>
      <vt:variant>
        <vt:i4>0</vt:i4>
      </vt:variant>
      <vt:variant>
        <vt:i4>5</vt:i4>
      </vt:variant>
      <vt:variant>
        <vt:lpwstr>https://www.nhs.uk/tests-and-treatments/eye-tests-in-children/</vt:lpwstr>
      </vt:variant>
      <vt:variant>
        <vt:lpwstr>:~:text=Causes%20of%20eye%20problems%20in,common%20in%20boys%20than%20girls</vt:lpwstr>
      </vt:variant>
      <vt:variant>
        <vt:i4>131083</vt:i4>
      </vt:variant>
      <vt:variant>
        <vt:i4>552</vt:i4>
      </vt:variant>
      <vt:variant>
        <vt:i4>0</vt:i4>
      </vt:variant>
      <vt:variant>
        <vt:i4>5</vt:i4>
      </vt:variant>
      <vt:variant>
        <vt:lpwstr>https://bestpractice.bmj.com/topics/en-gb/958</vt:lpwstr>
      </vt:variant>
      <vt:variant>
        <vt:lpwstr>:~:text=Summary.%20Trachoma%20is%20a%20keratoconjunctivitis%20caused%20by,the%20reservoir%20of%20infection%20within%20a%20population</vt:lpwstr>
      </vt:variant>
      <vt:variant>
        <vt:i4>1441868</vt:i4>
      </vt:variant>
      <vt:variant>
        <vt:i4>549</vt:i4>
      </vt:variant>
      <vt:variant>
        <vt:i4>0</vt:i4>
      </vt:variant>
      <vt:variant>
        <vt:i4>5</vt:i4>
      </vt:variant>
      <vt:variant>
        <vt:lpwstr>https://doi.org/10.1155/2016/3801570</vt:lpwstr>
      </vt:variant>
      <vt:variant>
        <vt:lpwstr/>
      </vt:variant>
      <vt:variant>
        <vt:i4>327685</vt:i4>
      </vt:variant>
      <vt:variant>
        <vt:i4>546</vt:i4>
      </vt:variant>
      <vt:variant>
        <vt:i4>0</vt:i4>
      </vt:variant>
      <vt:variant>
        <vt:i4>5</vt:i4>
      </vt:variant>
      <vt:variant>
        <vt:lpwstr>https://www.ndcs.org.uk/advice-and-support/all-advice-and-support-topics/causes-types-and-signs-deafness/causes-deafness-and-hearing-loss</vt:lpwstr>
      </vt:variant>
      <vt:variant>
        <vt:lpwstr/>
      </vt:variant>
      <vt:variant>
        <vt:i4>393297</vt:i4>
      </vt:variant>
      <vt:variant>
        <vt:i4>543</vt:i4>
      </vt:variant>
      <vt:variant>
        <vt:i4>0</vt:i4>
      </vt:variant>
      <vt:variant>
        <vt:i4>5</vt:i4>
      </vt:variant>
      <vt:variant>
        <vt:lpwstr>https://www.ncbi.nlm.nih.gov/books/NBK526088/</vt:lpwstr>
      </vt:variant>
      <vt:variant>
        <vt:lpwstr>:~:text=Approximately%20half%20of%20congenital%20deafness,ideal%20candidates%20for%20cochlear%20implantation</vt:lpwstr>
      </vt:variant>
      <vt:variant>
        <vt:i4>7995442</vt:i4>
      </vt:variant>
      <vt:variant>
        <vt:i4>540</vt:i4>
      </vt:variant>
      <vt:variant>
        <vt:i4>0</vt:i4>
      </vt:variant>
      <vt:variant>
        <vt:i4>5</vt:i4>
      </vt:variant>
      <vt:variant>
        <vt:lpwstr>https://www.nidcd.nih.gov/health/noise-induced-hearing-loss</vt:lpwstr>
      </vt:variant>
      <vt:variant>
        <vt:lpwstr/>
      </vt:variant>
      <vt:variant>
        <vt:i4>4194316</vt:i4>
      </vt:variant>
      <vt:variant>
        <vt:i4>537</vt:i4>
      </vt:variant>
      <vt:variant>
        <vt:i4>0</vt:i4>
      </vt:variant>
      <vt:variant>
        <vt:i4>5</vt:i4>
      </vt:variant>
      <vt:variant>
        <vt:lpwstr>https://www.nidcd.nih.gov/health/sudden-deafness</vt:lpwstr>
      </vt:variant>
      <vt:variant>
        <vt:lpwstr/>
      </vt:variant>
      <vt:variant>
        <vt:i4>983111</vt:i4>
      </vt:variant>
      <vt:variant>
        <vt:i4>534</vt:i4>
      </vt:variant>
      <vt:variant>
        <vt:i4>0</vt:i4>
      </vt:variant>
      <vt:variant>
        <vt:i4>5</vt:i4>
      </vt:variant>
      <vt:variant>
        <vt:lpwstr>https://rnid.org.uk/information-and-support/hearing-loss/types-of-hearing-loss-and-deafness/</vt:lpwstr>
      </vt:variant>
      <vt:variant>
        <vt:lpwstr/>
      </vt:variant>
      <vt:variant>
        <vt:i4>327703</vt:i4>
      </vt:variant>
      <vt:variant>
        <vt:i4>531</vt:i4>
      </vt:variant>
      <vt:variant>
        <vt:i4>0</vt:i4>
      </vt:variant>
      <vt:variant>
        <vt:i4>5</vt:i4>
      </vt:variant>
      <vt:variant>
        <vt:lpwstr>https://doi.org/10.1007/s12199-012-0300-z</vt:lpwstr>
      </vt:variant>
      <vt:variant>
        <vt:lpwstr/>
      </vt:variant>
      <vt:variant>
        <vt:i4>524359</vt:i4>
      </vt:variant>
      <vt:variant>
        <vt:i4>528</vt:i4>
      </vt:variant>
      <vt:variant>
        <vt:i4>0</vt:i4>
      </vt:variant>
      <vt:variant>
        <vt:i4>5</vt:i4>
      </vt:variant>
      <vt:variant>
        <vt:lpwstr>https://doi.org/10.1080/14992027.2024.2341956</vt:lpwstr>
      </vt:variant>
      <vt:variant>
        <vt:lpwstr/>
      </vt:variant>
      <vt:variant>
        <vt:i4>7602211</vt:i4>
      </vt:variant>
      <vt:variant>
        <vt:i4>525</vt:i4>
      </vt:variant>
      <vt:variant>
        <vt:i4>0</vt:i4>
      </vt:variant>
      <vt:variant>
        <vt:i4>5</vt:i4>
      </vt:variant>
      <vt:variant>
        <vt:lpwstr>https://rnid.org.uk/get-involved/research-and-policy/facts-and-figures/prevalence-of-deafness-and-hearing-loss/</vt:lpwstr>
      </vt:variant>
      <vt:variant>
        <vt:lpwstr/>
      </vt:variant>
      <vt:variant>
        <vt:i4>655431</vt:i4>
      </vt:variant>
      <vt:variant>
        <vt:i4>522</vt:i4>
      </vt:variant>
      <vt:variant>
        <vt:i4>0</vt:i4>
      </vt:variant>
      <vt:variant>
        <vt:i4>5</vt:i4>
      </vt:variant>
      <vt:variant>
        <vt:lpwstr>https://doi.org/10.1080/17454832.2024.2343373</vt:lpwstr>
      </vt:variant>
      <vt:variant>
        <vt:lpwstr/>
      </vt:variant>
      <vt:variant>
        <vt:i4>7602298</vt:i4>
      </vt:variant>
      <vt:variant>
        <vt:i4>519</vt:i4>
      </vt:variant>
      <vt:variant>
        <vt:i4>0</vt:i4>
      </vt:variant>
      <vt:variant>
        <vt:i4>5</vt:i4>
      </vt:variant>
      <vt:variant>
        <vt:lpwstr>https://doi.org/10.5937/bastina33-43061</vt:lpwstr>
      </vt:variant>
      <vt:variant>
        <vt:lpwstr/>
      </vt:variant>
      <vt:variant>
        <vt:i4>3276843</vt:i4>
      </vt:variant>
      <vt:variant>
        <vt:i4>516</vt:i4>
      </vt:variant>
      <vt:variant>
        <vt:i4>0</vt:i4>
      </vt:variant>
      <vt:variant>
        <vt:i4>5</vt:i4>
      </vt:variant>
      <vt:variant>
        <vt:lpwstr>https://doi.org/10.3389/fpsyt.2023.1172079</vt:lpwstr>
      </vt:variant>
      <vt:variant>
        <vt:lpwstr/>
      </vt:variant>
      <vt:variant>
        <vt:i4>2555957</vt:i4>
      </vt:variant>
      <vt:variant>
        <vt:i4>513</vt:i4>
      </vt:variant>
      <vt:variant>
        <vt:i4>0</vt:i4>
      </vt:variant>
      <vt:variant>
        <vt:i4>5</vt:i4>
      </vt:variant>
      <vt:variant>
        <vt:lpwstr>https://doi.org/10.1007/s10942-019-00335-1</vt:lpwstr>
      </vt:variant>
      <vt:variant>
        <vt:lpwstr/>
      </vt:variant>
      <vt:variant>
        <vt:i4>1769492</vt:i4>
      </vt:variant>
      <vt:variant>
        <vt:i4>510</vt:i4>
      </vt:variant>
      <vt:variant>
        <vt:i4>0</vt:i4>
      </vt:variant>
      <vt:variant>
        <vt:i4>5</vt:i4>
      </vt:variant>
      <vt:variant>
        <vt:lpwstr>http://doi.org/10.4172/2329-9525.1000124</vt:lpwstr>
      </vt:variant>
      <vt:variant>
        <vt:lpwstr/>
      </vt:variant>
      <vt:variant>
        <vt:i4>131146</vt:i4>
      </vt:variant>
      <vt:variant>
        <vt:i4>507</vt:i4>
      </vt:variant>
      <vt:variant>
        <vt:i4>0</vt:i4>
      </vt:variant>
      <vt:variant>
        <vt:i4>5</vt:i4>
      </vt:variant>
      <vt:variant>
        <vt:lpwstr>https://doi.org/10.1080/16506073.2014.947316</vt:lpwstr>
      </vt:variant>
      <vt:variant>
        <vt:lpwstr/>
      </vt:variant>
      <vt:variant>
        <vt:i4>786509</vt:i4>
      </vt:variant>
      <vt:variant>
        <vt:i4>504</vt:i4>
      </vt:variant>
      <vt:variant>
        <vt:i4>0</vt:i4>
      </vt:variant>
      <vt:variant>
        <vt:i4>5</vt:i4>
      </vt:variant>
      <vt:variant>
        <vt:lpwstr>https://doi.org/10.1080/13632752.2018.1452590</vt:lpwstr>
      </vt:variant>
      <vt:variant>
        <vt:lpwstr/>
      </vt:variant>
      <vt:variant>
        <vt:i4>7471162</vt:i4>
      </vt:variant>
      <vt:variant>
        <vt:i4>501</vt:i4>
      </vt:variant>
      <vt:variant>
        <vt:i4>0</vt:i4>
      </vt:variant>
      <vt:variant>
        <vt:i4>5</vt:i4>
      </vt:variant>
      <vt:variant>
        <vt:lpwstr>https://cls.ucl.ac.uk/wp-content/uploads/2017/02/CLS-Working-Paper-2022-4-Special-educational-needs-and-disability-a-lifetime-of-disadvantage-in-the-labour-market.pdf</vt:lpwstr>
      </vt:variant>
      <vt:variant>
        <vt:lpwstr/>
      </vt:variant>
      <vt:variant>
        <vt:i4>3538990</vt:i4>
      </vt:variant>
      <vt:variant>
        <vt:i4>498</vt:i4>
      </vt:variant>
      <vt:variant>
        <vt:i4>0</vt:i4>
      </vt:variant>
      <vt:variant>
        <vt:i4>5</vt:i4>
      </vt:variant>
      <vt:variant>
        <vt:lpwstr>https://www.moneyandmentalhealth.org/publications/closing-the-gap/</vt:lpwstr>
      </vt:variant>
      <vt:variant>
        <vt:lpwstr/>
      </vt:variant>
      <vt:variant>
        <vt:i4>6160459</vt:i4>
      </vt:variant>
      <vt:variant>
        <vt:i4>495</vt:i4>
      </vt:variant>
      <vt:variant>
        <vt:i4>0</vt:i4>
      </vt:variant>
      <vt:variant>
        <vt:i4>5</vt:i4>
      </vt:variant>
      <vt:variant>
        <vt:lpwstr>https://doi.org/10.1111/jar.12815</vt:lpwstr>
      </vt:variant>
      <vt:variant>
        <vt:lpwstr/>
      </vt:variant>
      <vt:variant>
        <vt:i4>3997744</vt:i4>
      </vt:variant>
      <vt:variant>
        <vt:i4>492</vt:i4>
      </vt:variant>
      <vt:variant>
        <vt:i4>0</vt:i4>
      </vt:variant>
      <vt:variant>
        <vt:i4>5</vt:i4>
      </vt:variant>
      <vt:variant>
        <vt:lpwstr>https://theses.gla.ac.uk/83816/5/2023GallagherDClinPsy.pdf</vt:lpwstr>
      </vt:variant>
      <vt:variant>
        <vt:lpwstr/>
      </vt:variant>
      <vt:variant>
        <vt:i4>4915206</vt:i4>
      </vt:variant>
      <vt:variant>
        <vt:i4>489</vt:i4>
      </vt:variant>
      <vt:variant>
        <vt:i4>0</vt:i4>
      </vt:variant>
      <vt:variant>
        <vt:i4>5</vt:i4>
      </vt:variant>
      <vt:variant>
        <vt:lpwstr>https://doi.org/10.1001/jamapsychiatry.2024.0426</vt:lpwstr>
      </vt:variant>
      <vt:variant>
        <vt:lpwstr/>
      </vt:variant>
      <vt:variant>
        <vt:i4>3932285</vt:i4>
      </vt:variant>
      <vt:variant>
        <vt:i4>486</vt:i4>
      </vt:variant>
      <vt:variant>
        <vt:i4>0</vt:i4>
      </vt:variant>
      <vt:variant>
        <vt:i4>5</vt:i4>
      </vt:variant>
      <vt:variant>
        <vt:lpwstr>https://doi.org/10.1111/1460-6984.12183</vt:lpwstr>
      </vt:variant>
      <vt:variant>
        <vt:lpwstr/>
      </vt:variant>
      <vt:variant>
        <vt:i4>5505101</vt:i4>
      </vt:variant>
      <vt:variant>
        <vt:i4>483</vt:i4>
      </vt:variant>
      <vt:variant>
        <vt:i4>0</vt:i4>
      </vt:variant>
      <vt:variant>
        <vt:i4>5</vt:i4>
      </vt:variant>
      <vt:variant>
        <vt:lpwstr>https://doi.org/10.1192/bjo.2022.179</vt:lpwstr>
      </vt:variant>
      <vt:variant>
        <vt:lpwstr/>
      </vt:variant>
      <vt:variant>
        <vt:i4>4849679</vt:i4>
      </vt:variant>
      <vt:variant>
        <vt:i4>480</vt:i4>
      </vt:variant>
      <vt:variant>
        <vt:i4>0</vt:i4>
      </vt:variant>
      <vt:variant>
        <vt:i4>5</vt:i4>
      </vt:variant>
      <vt:variant>
        <vt:lpwstr>https://doi.org/10.1016/j.cpr.2016.05.002</vt:lpwstr>
      </vt:variant>
      <vt:variant>
        <vt:lpwstr/>
      </vt:variant>
      <vt:variant>
        <vt:i4>7405612</vt:i4>
      </vt:variant>
      <vt:variant>
        <vt:i4>477</vt:i4>
      </vt:variant>
      <vt:variant>
        <vt:i4>0</vt:i4>
      </vt:variant>
      <vt:variant>
        <vt:i4>5</vt:i4>
      </vt:variant>
      <vt:variant>
        <vt:lpwstr>https://researchonline.ljmu.ac.uk/id/eprint/15715/1/A Rapid Scoping Review.pdf</vt:lpwstr>
      </vt:variant>
      <vt:variant>
        <vt:lpwstr/>
      </vt:variant>
      <vt:variant>
        <vt:i4>524362</vt:i4>
      </vt:variant>
      <vt:variant>
        <vt:i4>474</vt:i4>
      </vt:variant>
      <vt:variant>
        <vt:i4>0</vt:i4>
      </vt:variant>
      <vt:variant>
        <vt:i4>5</vt:i4>
      </vt:variant>
      <vt:variant>
        <vt:lpwstr>https://doi.org/10.1080/13632752.2021.1894743</vt:lpwstr>
      </vt:variant>
      <vt:variant>
        <vt:lpwstr/>
      </vt:variant>
      <vt:variant>
        <vt:i4>3997822</vt:i4>
      </vt:variant>
      <vt:variant>
        <vt:i4>471</vt:i4>
      </vt:variant>
      <vt:variant>
        <vt:i4>0</vt:i4>
      </vt:variant>
      <vt:variant>
        <vt:i4>5</vt:i4>
      </vt:variant>
      <vt:variant>
        <vt:lpwstr>https://doi.org/10.1111/1471-3802.12457</vt:lpwstr>
      </vt:variant>
      <vt:variant>
        <vt:lpwstr/>
      </vt:variant>
      <vt:variant>
        <vt:i4>917582</vt:i4>
      </vt:variant>
      <vt:variant>
        <vt:i4>468</vt:i4>
      </vt:variant>
      <vt:variant>
        <vt:i4>0</vt:i4>
      </vt:variant>
      <vt:variant>
        <vt:i4>5</vt:i4>
      </vt:variant>
      <vt:variant>
        <vt:lpwstr>https://doi.org/10.1080/08856257.2024.2400771</vt:lpwstr>
      </vt:variant>
      <vt:variant>
        <vt:lpwstr/>
      </vt:variant>
      <vt:variant>
        <vt:i4>2228261</vt:i4>
      </vt:variant>
      <vt:variant>
        <vt:i4>465</vt:i4>
      </vt:variant>
      <vt:variant>
        <vt:i4>0</vt:i4>
      </vt:variant>
      <vt:variant>
        <vt:i4>5</vt:i4>
      </vt:variant>
      <vt:variant>
        <vt:lpwstr>https://doi.org/10.1108/AMHID-11-2014-0037</vt:lpwstr>
      </vt:variant>
      <vt:variant>
        <vt:lpwstr/>
      </vt:variant>
      <vt:variant>
        <vt:i4>131150</vt:i4>
      </vt:variant>
      <vt:variant>
        <vt:i4>462</vt:i4>
      </vt:variant>
      <vt:variant>
        <vt:i4>0</vt:i4>
      </vt:variant>
      <vt:variant>
        <vt:i4>5</vt:i4>
      </vt:variant>
      <vt:variant>
        <vt:lpwstr>https://doi.org/10.1080/19315864.2013.842622</vt:lpwstr>
      </vt:variant>
      <vt:variant>
        <vt:lpwstr/>
      </vt:variant>
      <vt:variant>
        <vt:i4>7274617</vt:i4>
      </vt:variant>
      <vt:variant>
        <vt:i4>459</vt:i4>
      </vt:variant>
      <vt:variant>
        <vt:i4>0</vt:i4>
      </vt:variant>
      <vt:variant>
        <vt:i4>5</vt:i4>
      </vt:variant>
      <vt:variant>
        <vt:lpwstr>https://doi.org/10.1192/bjo.2019.81</vt:lpwstr>
      </vt:variant>
      <vt:variant>
        <vt:lpwstr/>
      </vt:variant>
      <vt:variant>
        <vt:i4>3080248</vt:i4>
      </vt:variant>
      <vt:variant>
        <vt:i4>456</vt:i4>
      </vt:variant>
      <vt:variant>
        <vt:i4>0</vt:i4>
      </vt:variant>
      <vt:variant>
        <vt:i4>5</vt:i4>
      </vt:variant>
      <vt:variant>
        <vt:lpwstr>https://doi.org/10.1016/j.ridd.2021.103858</vt:lpwstr>
      </vt:variant>
      <vt:variant>
        <vt:lpwstr/>
      </vt:variant>
      <vt:variant>
        <vt:i4>1441830</vt:i4>
      </vt:variant>
      <vt:variant>
        <vt:i4>453</vt:i4>
      </vt:variant>
      <vt:variant>
        <vt:i4>0</vt:i4>
      </vt:variant>
      <vt:variant>
        <vt:i4>5</vt:i4>
      </vt:variant>
      <vt:variant>
        <vt:lpwstr>https://doi.org/10.1044/2017_JSLHR-L-16-0391</vt:lpwstr>
      </vt:variant>
      <vt:variant>
        <vt:lpwstr/>
      </vt:variant>
      <vt:variant>
        <vt:i4>3276923</vt:i4>
      </vt:variant>
      <vt:variant>
        <vt:i4>450</vt:i4>
      </vt:variant>
      <vt:variant>
        <vt:i4>0</vt:i4>
      </vt:variant>
      <vt:variant>
        <vt:i4>5</vt:i4>
      </vt:variant>
      <vt:variant>
        <vt:lpwstr>https://doi.org/10.1111/1460-6984.12767</vt:lpwstr>
      </vt:variant>
      <vt:variant>
        <vt:lpwstr/>
      </vt:variant>
      <vt:variant>
        <vt:i4>5963793</vt:i4>
      </vt:variant>
      <vt:variant>
        <vt:i4>447</vt:i4>
      </vt:variant>
      <vt:variant>
        <vt:i4>0</vt:i4>
      </vt:variant>
      <vt:variant>
        <vt:i4>5</vt:i4>
      </vt:variant>
      <vt:variant>
        <vt:lpwstr>https://doi.org/10.1016/j.jad.2021.07.073</vt:lpwstr>
      </vt:variant>
      <vt:variant>
        <vt:lpwstr/>
      </vt:variant>
      <vt:variant>
        <vt:i4>6553654</vt:i4>
      </vt:variant>
      <vt:variant>
        <vt:i4>444</vt:i4>
      </vt:variant>
      <vt:variant>
        <vt:i4>0</vt:i4>
      </vt:variant>
      <vt:variant>
        <vt:i4>5</vt:i4>
      </vt:variant>
      <vt:variant>
        <vt:lpwstr>https://digital.nhs.uk/data-and-information/publications/statistical/adult-psychiatric-morbidity-survey/survey-of-mental-health-and-wellbeing-england-2023-24/attention-deficit-hyperactivity-disorder</vt:lpwstr>
      </vt:variant>
      <vt:variant>
        <vt:lpwstr/>
      </vt:variant>
      <vt:variant>
        <vt:i4>4980814</vt:i4>
      </vt:variant>
      <vt:variant>
        <vt:i4>441</vt:i4>
      </vt:variant>
      <vt:variant>
        <vt:i4>0</vt:i4>
      </vt:variant>
      <vt:variant>
        <vt:i4>5</vt:i4>
      </vt:variant>
      <vt:variant>
        <vt:lpwstr>https://doi.org/10.1108/AIA-01-2020-0007</vt:lpwstr>
      </vt:variant>
      <vt:variant>
        <vt:lpwstr/>
      </vt:variant>
      <vt:variant>
        <vt:i4>6684724</vt:i4>
      </vt:variant>
      <vt:variant>
        <vt:i4>438</vt:i4>
      </vt:variant>
      <vt:variant>
        <vt:i4>0</vt:i4>
      </vt:variant>
      <vt:variant>
        <vt:i4>5</vt:i4>
      </vt:variant>
      <vt:variant>
        <vt:lpwstr>https://doi.org/10.1007/s12144-024-06954-x</vt:lpwstr>
      </vt:variant>
      <vt:variant>
        <vt:lpwstr/>
      </vt:variant>
      <vt:variant>
        <vt:i4>1114183</vt:i4>
      </vt:variant>
      <vt:variant>
        <vt:i4>435</vt:i4>
      </vt:variant>
      <vt:variant>
        <vt:i4>0</vt:i4>
      </vt:variant>
      <vt:variant>
        <vt:i4>5</vt:i4>
      </vt:variant>
      <vt:variant>
        <vt:lpwstr>https://assets.childrenscommissioner.gov.uk/wpuploads/2022/11/Annex-4-March-2021-survey-findings.pdf</vt:lpwstr>
      </vt:variant>
      <vt:variant>
        <vt:lpwstr/>
      </vt:variant>
      <vt:variant>
        <vt:i4>589902</vt:i4>
      </vt:variant>
      <vt:variant>
        <vt:i4>432</vt:i4>
      </vt:variant>
      <vt:variant>
        <vt:i4>0</vt:i4>
      </vt:variant>
      <vt:variant>
        <vt:i4>5</vt:i4>
      </vt:variant>
      <vt:variant>
        <vt:lpwstr>https://doi.org/10.1080/13632752.2021.1930909</vt:lpwstr>
      </vt:variant>
      <vt:variant>
        <vt:lpwstr/>
      </vt:variant>
      <vt:variant>
        <vt:i4>2621549</vt:i4>
      </vt:variant>
      <vt:variant>
        <vt:i4>429</vt:i4>
      </vt:variant>
      <vt:variant>
        <vt:i4>0</vt:i4>
      </vt:variant>
      <vt:variant>
        <vt:i4>5</vt:i4>
      </vt:variant>
      <vt:variant>
        <vt:lpwstr>https://thfamilyhubs.co.uk/</vt:lpwstr>
      </vt:variant>
      <vt:variant>
        <vt:lpwstr/>
      </vt:variant>
      <vt:variant>
        <vt:i4>8061049</vt:i4>
      </vt:variant>
      <vt:variant>
        <vt:i4>426</vt:i4>
      </vt:variant>
      <vt:variant>
        <vt:i4>0</vt:i4>
      </vt:variant>
      <vt:variant>
        <vt:i4>5</vt:i4>
      </vt:variant>
      <vt:variant>
        <vt:lpwstr>https://doi.org/10.1037/amp0000452</vt:lpwstr>
      </vt:variant>
      <vt:variant>
        <vt:lpwstr/>
      </vt:variant>
      <vt:variant>
        <vt:i4>196677</vt:i4>
      </vt:variant>
      <vt:variant>
        <vt:i4>423</vt:i4>
      </vt:variant>
      <vt:variant>
        <vt:i4>0</vt:i4>
      </vt:variant>
      <vt:variant>
        <vt:i4>5</vt:i4>
      </vt:variant>
      <vt:variant>
        <vt:lpwstr>https://doi.org/10.1080/19411243.2021.1934227</vt:lpwstr>
      </vt:variant>
      <vt:variant>
        <vt:lpwstr/>
      </vt:variant>
      <vt:variant>
        <vt:i4>3014783</vt:i4>
      </vt:variant>
      <vt:variant>
        <vt:i4>420</vt:i4>
      </vt:variant>
      <vt:variant>
        <vt:i4>0</vt:i4>
      </vt:variant>
      <vt:variant>
        <vt:i4>5</vt:i4>
      </vt:variant>
      <vt:variant>
        <vt:lpwstr>https://doi.org/10.1111/jcal.12624</vt:lpwstr>
      </vt:variant>
      <vt:variant>
        <vt:lpwstr/>
      </vt:variant>
      <vt:variant>
        <vt:i4>2687084</vt:i4>
      </vt:variant>
      <vt:variant>
        <vt:i4>417</vt:i4>
      </vt:variant>
      <vt:variant>
        <vt:i4>0</vt:i4>
      </vt:variant>
      <vt:variant>
        <vt:i4>5</vt:i4>
      </vt:variant>
      <vt:variant>
        <vt:lpwstr>http://doi.org/10.6007/IJARBSS/v14-i2/20826</vt:lpwstr>
      </vt:variant>
      <vt:variant>
        <vt:lpwstr/>
      </vt:variant>
      <vt:variant>
        <vt:i4>6160399</vt:i4>
      </vt:variant>
      <vt:variant>
        <vt:i4>414</vt:i4>
      </vt:variant>
      <vt:variant>
        <vt:i4>0</vt:i4>
      </vt:variant>
      <vt:variant>
        <vt:i4>5</vt:i4>
      </vt:variant>
      <vt:variant>
        <vt:lpwstr>https://doi.org/10.1016/j.compedu.2020.103953</vt:lpwstr>
      </vt:variant>
      <vt:variant>
        <vt:lpwstr/>
      </vt:variant>
      <vt:variant>
        <vt:i4>5242883</vt:i4>
      </vt:variant>
      <vt:variant>
        <vt:i4>411</vt:i4>
      </vt:variant>
      <vt:variant>
        <vt:i4>0</vt:i4>
      </vt:variant>
      <vt:variant>
        <vt:i4>5</vt:i4>
      </vt:variant>
      <vt:variant>
        <vt:lpwstr>https://doi.org/10.1016/j.aip.2015.09.002</vt:lpwstr>
      </vt:variant>
      <vt:variant>
        <vt:lpwstr/>
      </vt:variant>
      <vt:variant>
        <vt:i4>3145848</vt:i4>
      </vt:variant>
      <vt:variant>
        <vt:i4>408</vt:i4>
      </vt:variant>
      <vt:variant>
        <vt:i4>0</vt:i4>
      </vt:variant>
      <vt:variant>
        <vt:i4>5</vt:i4>
      </vt:variant>
      <vt:variant>
        <vt:lpwstr>https://doi.org/10.1111/1467-8578.12422</vt:lpwstr>
      </vt:variant>
      <vt:variant>
        <vt:lpwstr/>
      </vt:variant>
      <vt:variant>
        <vt:i4>3080248</vt:i4>
      </vt:variant>
      <vt:variant>
        <vt:i4>405</vt:i4>
      </vt:variant>
      <vt:variant>
        <vt:i4>0</vt:i4>
      </vt:variant>
      <vt:variant>
        <vt:i4>5</vt:i4>
      </vt:variant>
      <vt:variant>
        <vt:lpwstr>https://doi.org/10.1016/j.ridd.2021.103858</vt:lpwstr>
      </vt:variant>
      <vt:variant>
        <vt:lpwstr/>
      </vt:variant>
      <vt:variant>
        <vt:i4>1245274</vt:i4>
      </vt:variant>
      <vt:variant>
        <vt:i4>402</vt:i4>
      </vt:variant>
      <vt:variant>
        <vt:i4>0</vt:i4>
      </vt:variant>
      <vt:variant>
        <vt:i4>5</vt:i4>
      </vt:variant>
      <vt:variant>
        <vt:lpwstr>https://doi.org/10.1177/00222194241281479</vt:lpwstr>
      </vt:variant>
      <vt:variant>
        <vt:lpwstr/>
      </vt:variant>
      <vt:variant>
        <vt:i4>589903</vt:i4>
      </vt:variant>
      <vt:variant>
        <vt:i4>399</vt:i4>
      </vt:variant>
      <vt:variant>
        <vt:i4>0</vt:i4>
      </vt:variant>
      <vt:variant>
        <vt:i4>5</vt:i4>
      </vt:variant>
      <vt:variant>
        <vt:lpwstr>https://doi.org/10.1080/08856257.2023.2300172</vt:lpwstr>
      </vt:variant>
      <vt:variant>
        <vt:lpwstr/>
      </vt:variant>
      <vt:variant>
        <vt:i4>65609</vt:i4>
      </vt:variant>
      <vt:variant>
        <vt:i4>396</vt:i4>
      </vt:variant>
      <vt:variant>
        <vt:i4>0</vt:i4>
      </vt:variant>
      <vt:variant>
        <vt:i4>5</vt:i4>
      </vt:variant>
      <vt:variant>
        <vt:lpwstr>https://doi.org/10.1080/13603116.2018.1433242</vt:lpwstr>
      </vt:variant>
      <vt:variant>
        <vt:lpwstr/>
      </vt:variant>
      <vt:variant>
        <vt:i4>1835091</vt:i4>
      </vt:variant>
      <vt:variant>
        <vt:i4>393</vt:i4>
      </vt:variant>
      <vt:variant>
        <vt:i4>0</vt:i4>
      </vt:variant>
      <vt:variant>
        <vt:i4>5</vt:i4>
      </vt:variant>
      <vt:variant>
        <vt:lpwstr>https://doi.org/10.1177/1087054712446813</vt:lpwstr>
      </vt:variant>
      <vt:variant>
        <vt:lpwstr/>
      </vt:variant>
      <vt:variant>
        <vt:i4>7995447</vt:i4>
      </vt:variant>
      <vt:variant>
        <vt:i4>390</vt:i4>
      </vt:variant>
      <vt:variant>
        <vt:i4>0</vt:i4>
      </vt:variant>
      <vt:variant>
        <vt:i4>5</vt:i4>
      </vt:variant>
      <vt:variant>
        <vt:lpwstr>https://doi.org/10.1093/eurpub/ckae144.1718</vt:lpwstr>
      </vt:variant>
      <vt:variant>
        <vt:lpwstr/>
      </vt:variant>
      <vt:variant>
        <vt:i4>7077942</vt:i4>
      </vt:variant>
      <vt:variant>
        <vt:i4>387</vt:i4>
      </vt:variant>
      <vt:variant>
        <vt:i4>0</vt:i4>
      </vt:variant>
      <vt:variant>
        <vt:i4>5</vt:i4>
      </vt:variant>
      <vt:variant>
        <vt:lpwstr>https://assets.publishing.service.gov.uk/media/5f849afa8fa8f504594d4b84/specific-learning-difficulties-spld-cst-report.pdf</vt:lpwstr>
      </vt:variant>
      <vt:variant>
        <vt:lpwstr/>
      </vt:variant>
      <vt:variant>
        <vt:i4>852040</vt:i4>
      </vt:variant>
      <vt:variant>
        <vt:i4>384</vt:i4>
      </vt:variant>
      <vt:variant>
        <vt:i4>0</vt:i4>
      </vt:variant>
      <vt:variant>
        <vt:i4>5</vt:i4>
      </vt:variant>
      <vt:variant>
        <vt:lpwstr>https://doi.org/10.1080/02643294.2017.1369016</vt:lpwstr>
      </vt:variant>
      <vt:variant>
        <vt:lpwstr/>
      </vt:variant>
      <vt:variant>
        <vt:i4>6029383</vt:i4>
      </vt:variant>
      <vt:variant>
        <vt:i4>381</vt:i4>
      </vt:variant>
      <vt:variant>
        <vt:i4>0</vt:i4>
      </vt:variant>
      <vt:variant>
        <vt:i4>5</vt:i4>
      </vt:variant>
      <vt:variant>
        <vt:lpwstr>https://doi.org/10.2466/pms.2002.94.2.623</vt:lpwstr>
      </vt:variant>
      <vt:variant>
        <vt:lpwstr/>
      </vt:variant>
      <vt:variant>
        <vt:i4>1572939</vt:i4>
      </vt:variant>
      <vt:variant>
        <vt:i4>378</vt:i4>
      </vt:variant>
      <vt:variant>
        <vt:i4>0</vt:i4>
      </vt:variant>
      <vt:variant>
        <vt:i4>5</vt:i4>
      </vt:variant>
      <vt:variant>
        <vt:lpwstr>https://www.nhs.uk/conditions/developmental-coordination-disorder-dyspraxia/</vt:lpwstr>
      </vt:variant>
      <vt:variant>
        <vt:lpwstr/>
      </vt:variant>
      <vt:variant>
        <vt:i4>1310744</vt:i4>
      </vt:variant>
      <vt:variant>
        <vt:i4>375</vt:i4>
      </vt:variant>
      <vt:variant>
        <vt:i4>0</vt:i4>
      </vt:variant>
      <vt:variant>
        <vt:i4>5</vt:i4>
      </vt:variant>
      <vt:variant>
        <vt:lpwstr>https://www.bdadyslexia.org.uk/dyscalculia/how-can-i-identify-dyscalculia</vt:lpwstr>
      </vt:variant>
      <vt:variant>
        <vt:lpwstr/>
      </vt:variant>
      <vt:variant>
        <vt:i4>3014781</vt:i4>
      </vt:variant>
      <vt:variant>
        <vt:i4>372</vt:i4>
      </vt:variant>
      <vt:variant>
        <vt:i4>0</vt:i4>
      </vt:variant>
      <vt:variant>
        <vt:i4>5</vt:i4>
      </vt:variant>
      <vt:variant>
        <vt:lpwstr>https://www.lse.ac.uk/News/Latest-news-from-LSE/2023/k-November-2023/Children-in-affluent-areas</vt:lpwstr>
      </vt:variant>
      <vt:variant>
        <vt:lpwstr/>
      </vt:variant>
      <vt:variant>
        <vt:i4>3145833</vt:i4>
      </vt:variant>
      <vt:variant>
        <vt:i4>369</vt:i4>
      </vt:variant>
      <vt:variant>
        <vt:i4>0</vt:i4>
      </vt:variant>
      <vt:variant>
        <vt:i4>5</vt:i4>
      </vt:variant>
      <vt:variant>
        <vt:lpwstr>http://doi.org/10.4038/sljch.v50i3.9741</vt:lpwstr>
      </vt:variant>
      <vt:variant>
        <vt:lpwstr/>
      </vt:variant>
      <vt:variant>
        <vt:i4>5636171</vt:i4>
      </vt:variant>
      <vt:variant>
        <vt:i4>366</vt:i4>
      </vt:variant>
      <vt:variant>
        <vt:i4>0</vt:i4>
      </vt:variant>
      <vt:variant>
        <vt:i4>5</vt:i4>
      </vt:variant>
      <vt:variant>
        <vt:lpwstr>https://doi.org/10.1002/jnr.24913</vt:lpwstr>
      </vt:variant>
      <vt:variant>
        <vt:lpwstr/>
      </vt:variant>
      <vt:variant>
        <vt:i4>589835</vt:i4>
      </vt:variant>
      <vt:variant>
        <vt:i4>363</vt:i4>
      </vt:variant>
      <vt:variant>
        <vt:i4>0</vt:i4>
      </vt:variant>
      <vt:variant>
        <vt:i4>5</vt:i4>
      </vt:variant>
      <vt:variant>
        <vt:lpwstr>https://doi.org/10.3389/fpsyg.2018.02669</vt:lpwstr>
      </vt:variant>
      <vt:variant>
        <vt:lpwstr/>
      </vt:variant>
      <vt:variant>
        <vt:i4>720925</vt:i4>
      </vt:variant>
      <vt:variant>
        <vt:i4>360</vt:i4>
      </vt:variant>
      <vt:variant>
        <vt:i4>0</vt:i4>
      </vt:variant>
      <vt:variant>
        <vt:i4>5</vt:i4>
      </vt:variant>
      <vt:variant>
        <vt:lpwstr>https://doi.org/10.1007/s11920-015-0584-y</vt:lpwstr>
      </vt:variant>
      <vt:variant>
        <vt:lpwstr/>
      </vt:variant>
      <vt:variant>
        <vt:i4>3145852</vt:i4>
      </vt:variant>
      <vt:variant>
        <vt:i4>357</vt:i4>
      </vt:variant>
      <vt:variant>
        <vt:i4>0</vt:i4>
      </vt:variant>
      <vt:variant>
        <vt:i4>5</vt:i4>
      </vt:variant>
      <vt:variant>
        <vt:lpwstr>https://doi.org/10.36941/jesr-2020-0126</vt:lpwstr>
      </vt:variant>
      <vt:variant>
        <vt:lpwstr/>
      </vt:variant>
      <vt:variant>
        <vt:i4>1769566</vt:i4>
      </vt:variant>
      <vt:variant>
        <vt:i4>354</vt:i4>
      </vt:variant>
      <vt:variant>
        <vt:i4>0</vt:i4>
      </vt:variant>
      <vt:variant>
        <vt:i4>5</vt:i4>
      </vt:variant>
      <vt:variant>
        <vt:lpwstr>https://doi.org/10.3390/brainsci11060782</vt:lpwstr>
      </vt:variant>
      <vt:variant>
        <vt:lpwstr/>
      </vt:variant>
      <vt:variant>
        <vt:i4>4653137</vt:i4>
      </vt:variant>
      <vt:variant>
        <vt:i4>351</vt:i4>
      </vt:variant>
      <vt:variant>
        <vt:i4>0</vt:i4>
      </vt:variant>
      <vt:variant>
        <vt:i4>5</vt:i4>
      </vt:variant>
      <vt:variant>
        <vt:lpwstr>https://www.hft.org.uk/resources-and-guidance/what-is-a-learning-disability/learning-difficulties-and-other-needs/dysgraphia/</vt:lpwstr>
      </vt:variant>
      <vt:variant>
        <vt:lpwstr/>
      </vt:variant>
      <vt:variant>
        <vt:i4>1310727</vt:i4>
      </vt:variant>
      <vt:variant>
        <vt:i4>348</vt:i4>
      </vt:variant>
      <vt:variant>
        <vt:i4>0</vt:i4>
      </vt:variant>
      <vt:variant>
        <vt:i4>5</vt:i4>
      </vt:variant>
      <vt:variant>
        <vt:lpwstr>https://www.nhs.uk/conditions/developmental-coordination-disorder-dyspraxia-in-adults</vt:lpwstr>
      </vt:variant>
      <vt:variant>
        <vt:lpwstr/>
      </vt:variant>
      <vt:variant>
        <vt:i4>3997728</vt:i4>
      </vt:variant>
      <vt:variant>
        <vt:i4>345</vt:i4>
      </vt:variant>
      <vt:variant>
        <vt:i4>0</vt:i4>
      </vt:variant>
      <vt:variant>
        <vt:i4>5</vt:i4>
      </vt:variant>
      <vt:variant>
        <vt:lpwstr>https://designnotes.blog.gov.uk/2022/11/28/designing-for-people-with-dyscalculia-and-low-numeracy/</vt:lpwstr>
      </vt:variant>
      <vt:variant>
        <vt:lpwstr/>
      </vt:variant>
      <vt:variant>
        <vt:i4>2883696</vt:i4>
      </vt:variant>
      <vt:variant>
        <vt:i4>342</vt:i4>
      </vt:variant>
      <vt:variant>
        <vt:i4>0</vt:i4>
      </vt:variant>
      <vt:variant>
        <vt:i4>5</vt:i4>
      </vt:variant>
      <vt:variant>
        <vt:lpwstr>https://www.bdadyslexia.org.uk/dyslexia/about-dyslexia/</vt:lpwstr>
      </vt:variant>
      <vt:variant>
        <vt:lpwstr/>
      </vt:variant>
      <vt:variant>
        <vt:i4>1114205</vt:i4>
      </vt:variant>
      <vt:variant>
        <vt:i4>339</vt:i4>
      </vt:variant>
      <vt:variant>
        <vt:i4>0</vt:i4>
      </vt:variant>
      <vt:variant>
        <vt:i4>5</vt:i4>
      </vt:variant>
      <vt:variant>
        <vt:lpwstr>https://doi.org/10.1177/23969415221101137</vt:lpwstr>
      </vt:variant>
      <vt:variant>
        <vt:lpwstr/>
      </vt:variant>
      <vt:variant>
        <vt:i4>2424864</vt:i4>
      </vt:variant>
      <vt:variant>
        <vt:i4>336</vt:i4>
      </vt:variant>
      <vt:variant>
        <vt:i4>0</vt:i4>
      </vt:variant>
      <vt:variant>
        <vt:i4>5</vt:i4>
      </vt:variant>
      <vt:variant>
        <vt:lpwstr>https://www.localoffertowerhamlets.co.uk/pages/local-offer/send/speech-and-language-therapy-for-under-5s/early-language-speech-and-language-therapy</vt:lpwstr>
      </vt:variant>
      <vt:variant>
        <vt:lpwstr/>
      </vt:variant>
      <vt:variant>
        <vt:i4>2162799</vt:i4>
      </vt:variant>
      <vt:variant>
        <vt:i4>333</vt:i4>
      </vt:variant>
      <vt:variant>
        <vt:i4>0</vt:i4>
      </vt:variant>
      <vt:variant>
        <vt:i4>5</vt:i4>
      </vt:variant>
      <vt:variant>
        <vt:lpwstr>https://verboapp.co.uk/</vt:lpwstr>
      </vt:variant>
      <vt:variant>
        <vt:lpwstr/>
      </vt:variant>
      <vt:variant>
        <vt:i4>3014692</vt:i4>
      </vt:variant>
      <vt:variant>
        <vt:i4>330</vt:i4>
      </vt:variant>
      <vt:variant>
        <vt:i4>0</vt:i4>
      </vt:variant>
      <vt:variant>
        <vt:i4>5</vt:i4>
      </vt:variant>
      <vt:variant>
        <vt:lpwstr>https://www.localoffertowerhamlets.co.uk/organisations/28008-speech-and-language-therapy-children-s-service</vt:lpwstr>
      </vt:variant>
      <vt:variant>
        <vt:lpwstr/>
      </vt:variant>
      <vt:variant>
        <vt:i4>2883683</vt:i4>
      </vt:variant>
      <vt:variant>
        <vt:i4>327</vt:i4>
      </vt:variant>
      <vt:variant>
        <vt:i4>0</vt:i4>
      </vt:variant>
      <vt:variant>
        <vt:i4>5</vt:i4>
      </vt:variant>
      <vt:variant>
        <vt:lpwstr>https://www.stepneypark.towerhamlets.sch.uk/attachments/download.asp?file=320&amp;type=pdf</vt:lpwstr>
      </vt:variant>
      <vt:variant>
        <vt:lpwstr/>
      </vt:variant>
      <vt:variant>
        <vt:i4>393228</vt:i4>
      </vt:variant>
      <vt:variant>
        <vt:i4>324</vt:i4>
      </vt:variant>
      <vt:variant>
        <vt:i4>0</vt:i4>
      </vt:variant>
      <vt:variant>
        <vt:i4>5</vt:i4>
      </vt:variant>
      <vt:variant>
        <vt:lpwstr>https://www.downs-syndrome.org.uk/about-downs-syndrome/lifes-journey/healthy-lifestyle-physical-activity/</vt:lpwstr>
      </vt:variant>
      <vt:variant>
        <vt:lpwstr/>
      </vt:variant>
      <vt:variant>
        <vt:i4>5505030</vt:i4>
      </vt:variant>
      <vt:variant>
        <vt:i4>321</vt:i4>
      </vt:variant>
      <vt:variant>
        <vt:i4>0</vt:i4>
      </vt:variant>
      <vt:variant>
        <vt:i4>5</vt:i4>
      </vt:variant>
      <vt:variant>
        <vt:lpwstr>https://doi.org/10.1136/bmj.d3742</vt:lpwstr>
      </vt:variant>
      <vt:variant>
        <vt:lpwstr/>
      </vt:variant>
      <vt:variant>
        <vt:i4>3145839</vt:i4>
      </vt:variant>
      <vt:variant>
        <vt:i4>318</vt:i4>
      </vt:variant>
      <vt:variant>
        <vt:i4>0</vt:i4>
      </vt:variant>
      <vt:variant>
        <vt:i4>5</vt:i4>
      </vt:variant>
      <vt:variant>
        <vt:lpwstr>https://doi.org/10.1111/jcpp.12737</vt:lpwstr>
      </vt:variant>
      <vt:variant>
        <vt:lpwstr/>
      </vt:variant>
      <vt:variant>
        <vt:i4>3342434</vt:i4>
      </vt:variant>
      <vt:variant>
        <vt:i4>315</vt:i4>
      </vt:variant>
      <vt:variant>
        <vt:i4>0</vt:i4>
      </vt:variant>
      <vt:variant>
        <vt:i4>5</vt:i4>
      </vt:variant>
      <vt:variant>
        <vt:lpwstr>https://doi.org/10.1016/j.jpeds.2023.113740</vt:lpwstr>
      </vt:variant>
      <vt:variant>
        <vt:lpwstr/>
      </vt:variant>
      <vt:variant>
        <vt:i4>5898263</vt:i4>
      </vt:variant>
      <vt:variant>
        <vt:i4>312</vt:i4>
      </vt:variant>
      <vt:variant>
        <vt:i4>0</vt:i4>
      </vt:variant>
      <vt:variant>
        <vt:i4>5</vt:i4>
      </vt:variant>
      <vt:variant>
        <vt:lpwstr>https://doi.org/10.1001/jamapediatrics.2019.1197</vt:lpwstr>
      </vt:variant>
      <vt:variant>
        <vt:lpwstr/>
      </vt:variant>
      <vt:variant>
        <vt:i4>6094852</vt:i4>
      </vt:variant>
      <vt:variant>
        <vt:i4>309</vt:i4>
      </vt:variant>
      <vt:variant>
        <vt:i4>0</vt:i4>
      </vt:variant>
      <vt:variant>
        <vt:i4>5</vt:i4>
      </vt:variant>
      <vt:variant>
        <vt:lpwstr>https://doi.org/https://doi.org/10.1016/j.cogdev.2020.100996</vt:lpwstr>
      </vt:variant>
      <vt:variant>
        <vt:lpwstr/>
      </vt:variant>
      <vt:variant>
        <vt:i4>3407996</vt:i4>
      </vt:variant>
      <vt:variant>
        <vt:i4>306</vt:i4>
      </vt:variant>
      <vt:variant>
        <vt:i4>0</vt:i4>
      </vt:variant>
      <vt:variant>
        <vt:i4>5</vt:i4>
      </vt:variant>
      <vt:variant>
        <vt:lpwstr>https://doi.org/10.1111/1460-6984.13016</vt:lpwstr>
      </vt:variant>
      <vt:variant>
        <vt:lpwstr/>
      </vt:variant>
      <vt:variant>
        <vt:i4>2621502</vt:i4>
      </vt:variant>
      <vt:variant>
        <vt:i4>303</vt:i4>
      </vt:variant>
      <vt:variant>
        <vt:i4>0</vt:i4>
      </vt:variant>
      <vt:variant>
        <vt:i4>5</vt:i4>
      </vt:variant>
      <vt:variant>
        <vt:lpwstr>https://www.deafplus.org/advice</vt:lpwstr>
      </vt:variant>
      <vt:variant>
        <vt:lpwstr/>
      </vt:variant>
      <vt:variant>
        <vt:i4>3145764</vt:i4>
      </vt:variant>
      <vt:variant>
        <vt:i4>300</vt:i4>
      </vt:variant>
      <vt:variant>
        <vt:i4>0</vt:i4>
      </vt:variant>
      <vt:variant>
        <vt:i4>5</vt:i4>
      </vt:variant>
      <vt:variant>
        <vt:lpwstr>https://www.towerhamlets.gov.uk/Documents/Children-and-families-services/Supporting-disabilities/Transition-into-Adult-Services.pdf</vt:lpwstr>
      </vt:variant>
      <vt:variant>
        <vt:lpwstr/>
      </vt:variant>
      <vt:variant>
        <vt:i4>7340035</vt:i4>
      </vt:variant>
      <vt:variant>
        <vt:i4>297</vt:i4>
      </vt:variant>
      <vt:variant>
        <vt:i4>0</vt:i4>
      </vt:variant>
      <vt:variant>
        <vt:i4>5</vt:i4>
      </vt:variant>
      <vt:variant>
        <vt:lpwstr>https://www.kpho.org.uk/__data/assets/pdf_file/0010/71695/Speech-Language-and-Communication.pdf</vt:lpwstr>
      </vt:variant>
      <vt:variant>
        <vt:lpwstr/>
      </vt:variant>
      <vt:variant>
        <vt:i4>3539051</vt:i4>
      </vt:variant>
      <vt:variant>
        <vt:i4>294</vt:i4>
      </vt:variant>
      <vt:variant>
        <vt:i4>0</vt:i4>
      </vt:variant>
      <vt:variant>
        <vt:i4>5</vt:i4>
      </vt:variant>
      <vt:variant>
        <vt:lpwstr>https://doi.org/10.1111/jcpp.12573</vt:lpwstr>
      </vt:variant>
      <vt:variant>
        <vt:lpwstr/>
      </vt:variant>
      <vt:variant>
        <vt:i4>3473528</vt:i4>
      </vt:variant>
      <vt:variant>
        <vt:i4>291</vt:i4>
      </vt:variant>
      <vt:variant>
        <vt:i4>0</vt:i4>
      </vt:variant>
      <vt:variant>
        <vt:i4>5</vt:i4>
      </vt:variant>
      <vt:variant>
        <vt:lpwstr>https://doi.org/10.1111/1460-6984.12411</vt:lpwstr>
      </vt:variant>
      <vt:variant>
        <vt:lpwstr/>
      </vt:variant>
      <vt:variant>
        <vt:i4>1114205</vt:i4>
      </vt:variant>
      <vt:variant>
        <vt:i4>288</vt:i4>
      </vt:variant>
      <vt:variant>
        <vt:i4>0</vt:i4>
      </vt:variant>
      <vt:variant>
        <vt:i4>5</vt:i4>
      </vt:variant>
      <vt:variant>
        <vt:lpwstr>https://doi.org/10.1177/23969415221101137</vt:lpwstr>
      </vt:variant>
      <vt:variant>
        <vt:lpwstr/>
      </vt:variant>
      <vt:variant>
        <vt:i4>5701648</vt:i4>
      </vt:variant>
      <vt:variant>
        <vt:i4>285</vt:i4>
      </vt:variant>
      <vt:variant>
        <vt:i4>0</vt:i4>
      </vt:variant>
      <vt:variant>
        <vt:i4>5</vt:i4>
      </vt:variant>
      <vt:variant>
        <vt:lpwstr>https://assets.publishing.service.gov.uk/media/5a7c9f1eed915d6969f462d2/DFE-RR247-BCRP11.pdf</vt:lpwstr>
      </vt:variant>
      <vt:variant>
        <vt:lpwstr/>
      </vt:variant>
      <vt:variant>
        <vt:i4>5636109</vt:i4>
      </vt:variant>
      <vt:variant>
        <vt:i4>282</vt:i4>
      </vt:variant>
      <vt:variant>
        <vt:i4>0</vt:i4>
      </vt:variant>
      <vt:variant>
        <vt:i4>5</vt:i4>
      </vt:variant>
      <vt:variant>
        <vt:lpwstr>https://democracy.towerhamlets.gov.uk/documents/s250000/HWBB+SEND+Report+27+Feb+2025.pdf</vt:lpwstr>
      </vt:variant>
      <vt:variant>
        <vt:lpwstr/>
      </vt:variant>
      <vt:variant>
        <vt:i4>2818147</vt:i4>
      </vt:variant>
      <vt:variant>
        <vt:i4>279</vt:i4>
      </vt:variant>
      <vt:variant>
        <vt:i4>0</vt:i4>
      </vt:variant>
      <vt:variant>
        <vt:i4>5</vt:i4>
      </vt:variant>
      <vt:variant>
        <vt:lpwstr>https://doi.org/https://doi.org/10.1016/j.ridd.2014.08.022</vt:lpwstr>
      </vt:variant>
      <vt:variant>
        <vt:lpwstr/>
      </vt:variant>
      <vt:variant>
        <vt:i4>196659</vt:i4>
      </vt:variant>
      <vt:variant>
        <vt:i4>276</vt:i4>
      </vt:variant>
      <vt:variant>
        <vt:i4>0</vt:i4>
      </vt:variant>
      <vt:variant>
        <vt:i4>5</vt:i4>
      </vt:variant>
      <vt:variant>
        <vt:lpwstr>https://www.rcslt.org/wp-content/uploads/2021/12/Supporting-children-and-young-people-with-communication-and-swallowing-needs_December-2021.pdf</vt:lpwstr>
      </vt:variant>
      <vt:variant>
        <vt:lpwstr/>
      </vt:variant>
      <vt:variant>
        <vt:i4>1114205</vt:i4>
      </vt:variant>
      <vt:variant>
        <vt:i4>273</vt:i4>
      </vt:variant>
      <vt:variant>
        <vt:i4>0</vt:i4>
      </vt:variant>
      <vt:variant>
        <vt:i4>5</vt:i4>
      </vt:variant>
      <vt:variant>
        <vt:lpwstr>https://doi.org/10.1177/23969415221101137</vt:lpwstr>
      </vt:variant>
      <vt:variant>
        <vt:lpwstr/>
      </vt:variant>
      <vt:variant>
        <vt:i4>1900568</vt:i4>
      </vt:variant>
      <vt:variant>
        <vt:i4>270</vt:i4>
      </vt:variant>
      <vt:variant>
        <vt:i4>0</vt:i4>
      </vt:variant>
      <vt:variant>
        <vt:i4>5</vt:i4>
      </vt:variant>
      <vt:variant>
        <vt:lpwstr>https://www.mind.org.uk/media/vbbdclpi/the-big-mental-health-report-2024-mind.pdf</vt:lpwstr>
      </vt:variant>
      <vt:variant>
        <vt:lpwstr/>
      </vt:variant>
      <vt:variant>
        <vt:i4>2228324</vt:i4>
      </vt:variant>
      <vt:variant>
        <vt:i4>267</vt:i4>
      </vt:variant>
      <vt:variant>
        <vt:i4>0</vt:i4>
      </vt:variant>
      <vt:variant>
        <vt:i4>5</vt:i4>
      </vt:variant>
      <vt:variant>
        <vt:lpwstr>https://www.rcslt.org/wp-content/uploads/2022/04/RCSLT-promoting-SEMH-factsheet.pdf</vt:lpwstr>
      </vt:variant>
      <vt:variant>
        <vt:lpwstr/>
      </vt:variant>
      <vt:variant>
        <vt:i4>4325448</vt:i4>
      </vt:variant>
      <vt:variant>
        <vt:i4>264</vt:i4>
      </vt:variant>
      <vt:variant>
        <vt:i4>0</vt:i4>
      </vt:variant>
      <vt:variant>
        <vt:i4>5</vt:i4>
      </vt:variant>
      <vt:variant>
        <vt:lpwstr>https://www.hacw.nhs.uk/identifying-slcn</vt:lpwstr>
      </vt:variant>
      <vt:variant>
        <vt:lpwstr/>
      </vt:variant>
      <vt:variant>
        <vt:i4>5832799</vt:i4>
      </vt:variant>
      <vt:variant>
        <vt:i4>261</vt:i4>
      </vt:variant>
      <vt:variant>
        <vt:i4>0</vt:i4>
      </vt:variant>
      <vt:variant>
        <vt:i4>5</vt:i4>
      </vt:variant>
      <vt:variant>
        <vt:lpwstr>https://doi.org/10.1177/0032258x20968591</vt:lpwstr>
      </vt:variant>
      <vt:variant>
        <vt:lpwstr/>
      </vt:variant>
      <vt:variant>
        <vt:i4>5636125</vt:i4>
      </vt:variant>
      <vt:variant>
        <vt:i4>258</vt:i4>
      </vt:variant>
      <vt:variant>
        <vt:i4>0</vt:i4>
      </vt:variant>
      <vt:variant>
        <vt:i4>5</vt:i4>
      </vt:variant>
      <vt:variant>
        <vt:lpwstr>https://www.rcslt.org/wp-content/uploads/media/Project/RCSLT/justice-evidence-base2017-1.pdf</vt:lpwstr>
      </vt:variant>
      <vt:variant>
        <vt:lpwstr/>
      </vt:variant>
      <vt:variant>
        <vt:i4>3997769</vt:i4>
      </vt:variant>
      <vt:variant>
        <vt:i4>255</vt:i4>
      </vt:variant>
      <vt:variant>
        <vt:i4>0</vt:i4>
      </vt:variant>
      <vt:variant>
        <vt:i4>5</vt:i4>
      </vt:variant>
      <vt:variant>
        <vt:lpwstr>https://assets.publishing.service.gov.uk/media/5f9be9c48fa8f57f3b4cb075/BSSLC_Supporting-evidence.pdf</vt:lpwstr>
      </vt:variant>
      <vt:variant>
        <vt:lpwstr/>
      </vt:variant>
      <vt:variant>
        <vt:i4>5898356</vt:i4>
      </vt:variant>
      <vt:variant>
        <vt:i4>252</vt:i4>
      </vt:variant>
      <vt:variant>
        <vt:i4>0</vt:i4>
      </vt:variant>
      <vt:variant>
        <vt:i4>5</vt:i4>
      </vt:variant>
      <vt:variant>
        <vt:lpwstr>https://assets.publishing.service.gov.uk/government/uploads/system/uploads/attachment_data/file/557156/DFE-RR247-BCRP4.pdf</vt:lpwstr>
      </vt:variant>
      <vt:variant>
        <vt:lpwstr/>
      </vt:variant>
      <vt:variant>
        <vt:i4>4718683</vt:i4>
      </vt:variant>
      <vt:variant>
        <vt:i4>249</vt:i4>
      </vt:variant>
      <vt:variant>
        <vt:i4>0</vt:i4>
      </vt:variant>
      <vt:variant>
        <vt:i4>5</vt:i4>
      </vt:variant>
      <vt:variant>
        <vt:lpwstr>https://www.rcslt.org/wp-content/uploads/media/Project/RCSLT/rcslt-communication-needs-factsheet.pdf</vt:lpwstr>
      </vt:variant>
      <vt:variant>
        <vt:lpwstr/>
      </vt:variant>
      <vt:variant>
        <vt:i4>1179657</vt:i4>
      </vt:variant>
      <vt:variant>
        <vt:i4>246</vt:i4>
      </vt:variant>
      <vt:variant>
        <vt:i4>0</vt:i4>
      </vt:variant>
      <vt:variant>
        <vt:i4>5</vt:i4>
      </vt:variant>
      <vt:variant>
        <vt:lpwstr>https://www.england.nhs.uk/long-read/attention-deficit-hyperactivity-disorder-adhd-programme-update/</vt:lpwstr>
      </vt:variant>
      <vt:variant>
        <vt:lpwstr/>
      </vt:variant>
      <vt:variant>
        <vt:i4>2097185</vt:i4>
      </vt:variant>
      <vt:variant>
        <vt:i4>243</vt:i4>
      </vt:variant>
      <vt:variant>
        <vt:i4>0</vt:i4>
      </vt:variant>
      <vt:variant>
        <vt:i4>5</vt:i4>
      </vt:variant>
      <vt:variant>
        <vt:lpwstr>https://www.dockout.org.uk/</vt:lpwstr>
      </vt:variant>
      <vt:variant>
        <vt:lpwstr/>
      </vt:variant>
      <vt:variant>
        <vt:i4>7405629</vt:i4>
      </vt:variant>
      <vt:variant>
        <vt:i4>240</vt:i4>
      </vt:variant>
      <vt:variant>
        <vt:i4>0</vt:i4>
      </vt:variant>
      <vt:variant>
        <vt:i4>5</vt:i4>
      </vt:variant>
      <vt:variant>
        <vt:lpwstr>https://adhduk.co.uk/adhd-educational-health-care-plan-ehcp</vt:lpwstr>
      </vt:variant>
      <vt:variant>
        <vt:lpwstr/>
      </vt:variant>
      <vt:variant>
        <vt:i4>1114189</vt:i4>
      </vt:variant>
      <vt:variant>
        <vt:i4>237</vt:i4>
      </vt:variant>
      <vt:variant>
        <vt:i4>0</vt:i4>
      </vt:variant>
      <vt:variant>
        <vt:i4>5</vt:i4>
      </vt:variant>
      <vt:variant>
        <vt:lpwstr>https://www.nhs.uk/conditions/adhd-children-teenagers</vt:lpwstr>
      </vt:variant>
      <vt:variant>
        <vt:lpwstr/>
      </vt:variant>
      <vt:variant>
        <vt:i4>2293876</vt:i4>
      </vt:variant>
      <vt:variant>
        <vt:i4>234</vt:i4>
      </vt:variant>
      <vt:variant>
        <vt:i4>0</vt:i4>
      </vt:variant>
      <vt:variant>
        <vt:i4>5</vt:i4>
      </vt:variant>
      <vt:variant>
        <vt:lpwstr>https://www.mentalhealth.org.uk/explore-mental-health/a-z-topics/attention-deficit-hyperactivity-disorder-adhd</vt:lpwstr>
      </vt:variant>
      <vt:variant>
        <vt:lpwstr/>
      </vt:variant>
      <vt:variant>
        <vt:i4>720972</vt:i4>
      </vt:variant>
      <vt:variant>
        <vt:i4>231</vt:i4>
      </vt:variant>
      <vt:variant>
        <vt:i4>0</vt:i4>
      </vt:variant>
      <vt:variant>
        <vt:i4>5</vt:i4>
      </vt:variant>
      <vt:variant>
        <vt:lpwstr>https://www.ucl.ac.uk/news/2025/jan/adults-diagnosed-adhd-may-have-reduced-life-expectancies</vt:lpwstr>
      </vt:variant>
      <vt:variant>
        <vt:lpwstr/>
      </vt:variant>
      <vt:variant>
        <vt:i4>6553654</vt:i4>
      </vt:variant>
      <vt:variant>
        <vt:i4>228</vt:i4>
      </vt:variant>
      <vt:variant>
        <vt:i4>0</vt:i4>
      </vt:variant>
      <vt:variant>
        <vt:i4>5</vt:i4>
      </vt:variant>
      <vt:variant>
        <vt:lpwstr>https://digital.nhs.uk/data-and-information/publications/statistical/adult-psychiatric-morbidity-survey/survey-of-mental-health-and-wellbeing-england-2023-24/attention-deficit-hyperactivity-disorder</vt:lpwstr>
      </vt:variant>
      <vt:variant>
        <vt:lpwstr/>
      </vt:variant>
      <vt:variant>
        <vt:i4>2162740</vt:i4>
      </vt:variant>
      <vt:variant>
        <vt:i4>225</vt:i4>
      </vt:variant>
      <vt:variant>
        <vt:i4>0</vt:i4>
      </vt:variant>
      <vt:variant>
        <vt:i4>5</vt:i4>
      </vt:variant>
      <vt:variant>
        <vt:lpwstr>https://doi.org/10.1016/j.ridd.2020.103789</vt:lpwstr>
      </vt:variant>
      <vt:variant>
        <vt:lpwstr/>
      </vt:variant>
      <vt:variant>
        <vt:i4>3932272</vt:i4>
      </vt:variant>
      <vt:variant>
        <vt:i4>222</vt:i4>
      </vt:variant>
      <vt:variant>
        <vt:i4>0</vt:i4>
      </vt:variant>
      <vt:variant>
        <vt:i4>5</vt:i4>
      </vt:variant>
      <vt:variant>
        <vt:lpwstr>https://doi.org/10.1111/bjep.12613</vt:lpwstr>
      </vt:variant>
      <vt:variant>
        <vt:lpwstr/>
      </vt:variant>
      <vt:variant>
        <vt:i4>4128886</vt:i4>
      </vt:variant>
      <vt:variant>
        <vt:i4>219</vt:i4>
      </vt:variant>
      <vt:variant>
        <vt:i4>0</vt:i4>
      </vt:variant>
      <vt:variant>
        <vt:i4>5</vt:i4>
      </vt:variant>
      <vt:variant>
        <vt:lpwstr>https://doi.org/10.1111/bjep.12375</vt:lpwstr>
      </vt:variant>
      <vt:variant>
        <vt:lpwstr/>
      </vt:variant>
      <vt:variant>
        <vt:i4>524317</vt:i4>
      </vt:variant>
      <vt:variant>
        <vt:i4>216</vt:i4>
      </vt:variant>
      <vt:variant>
        <vt:i4>0</vt:i4>
      </vt:variant>
      <vt:variant>
        <vt:i4>5</vt:i4>
      </vt:variant>
      <vt:variant>
        <vt:lpwstr>https://www.uhs.nhs.uk/whats-new/press-releases/southampton-researchers-launch-new-study-to-help-children-with-adhd-sleep-better</vt:lpwstr>
      </vt:variant>
      <vt:variant>
        <vt:lpwstr/>
      </vt:variant>
      <vt:variant>
        <vt:i4>3145830</vt:i4>
      </vt:variant>
      <vt:variant>
        <vt:i4>213</vt:i4>
      </vt:variant>
      <vt:variant>
        <vt:i4>0</vt:i4>
      </vt:variant>
      <vt:variant>
        <vt:i4>5</vt:i4>
      </vt:variant>
      <vt:variant>
        <vt:lpwstr>https://doi.org/10.1093/ntr/nty045</vt:lpwstr>
      </vt:variant>
      <vt:variant>
        <vt:lpwstr/>
      </vt:variant>
      <vt:variant>
        <vt:i4>1245186</vt:i4>
      </vt:variant>
      <vt:variant>
        <vt:i4>210</vt:i4>
      </vt:variant>
      <vt:variant>
        <vt:i4>0</vt:i4>
      </vt:variant>
      <vt:variant>
        <vt:i4>5</vt:i4>
      </vt:variant>
      <vt:variant>
        <vt:lpwstr>https://doi.org/10.1037/a0036585</vt:lpwstr>
      </vt:variant>
      <vt:variant>
        <vt:lpwstr/>
      </vt:variant>
      <vt:variant>
        <vt:i4>6094927</vt:i4>
      </vt:variant>
      <vt:variant>
        <vt:i4>207</vt:i4>
      </vt:variant>
      <vt:variant>
        <vt:i4>0</vt:i4>
      </vt:variant>
      <vt:variant>
        <vt:i4>5</vt:i4>
      </vt:variant>
      <vt:variant>
        <vt:lpwstr>https://www.gov.uk/government/publications/the-eatwell-guide</vt:lpwstr>
      </vt:variant>
      <vt:variant>
        <vt:lpwstr/>
      </vt:variant>
      <vt:variant>
        <vt:i4>6815781</vt:i4>
      </vt:variant>
      <vt:variant>
        <vt:i4>204</vt:i4>
      </vt:variant>
      <vt:variant>
        <vt:i4>0</vt:i4>
      </vt:variant>
      <vt:variant>
        <vt:i4>5</vt:i4>
      </vt:variant>
      <vt:variant>
        <vt:lpwstr>https://family-action.org.uk/self-help/support-a-child-with-adhd-with-food-eating/</vt:lpwstr>
      </vt:variant>
      <vt:variant>
        <vt:lpwstr/>
      </vt:variant>
      <vt:variant>
        <vt:i4>2621496</vt:i4>
      </vt:variant>
      <vt:variant>
        <vt:i4>201</vt:i4>
      </vt:variant>
      <vt:variant>
        <vt:i4>0</vt:i4>
      </vt:variant>
      <vt:variant>
        <vt:i4>5</vt:i4>
      </vt:variant>
      <vt:variant>
        <vt:lpwstr>https://doi.org/10.1186/s12888-021-03603-6</vt:lpwstr>
      </vt:variant>
      <vt:variant>
        <vt:lpwstr/>
      </vt:variant>
      <vt:variant>
        <vt:i4>1966167</vt:i4>
      </vt:variant>
      <vt:variant>
        <vt:i4>198</vt:i4>
      </vt:variant>
      <vt:variant>
        <vt:i4>0</vt:i4>
      </vt:variant>
      <vt:variant>
        <vt:i4>5</vt:i4>
      </vt:variant>
      <vt:variant>
        <vt:lpwstr>https://doi.org/10.1177/1087054719887789</vt:lpwstr>
      </vt:variant>
      <vt:variant>
        <vt:lpwstr/>
      </vt:variant>
      <vt:variant>
        <vt:i4>1376341</vt:i4>
      </vt:variant>
      <vt:variant>
        <vt:i4>195</vt:i4>
      </vt:variant>
      <vt:variant>
        <vt:i4>0</vt:i4>
      </vt:variant>
      <vt:variant>
        <vt:i4>5</vt:i4>
      </vt:variant>
      <vt:variant>
        <vt:lpwstr>https://doi.org/10.1177/1087054716646452</vt:lpwstr>
      </vt:variant>
      <vt:variant>
        <vt:lpwstr/>
      </vt:variant>
      <vt:variant>
        <vt:i4>7733311</vt:i4>
      </vt:variant>
      <vt:variant>
        <vt:i4>192</vt:i4>
      </vt:variant>
      <vt:variant>
        <vt:i4>0</vt:i4>
      </vt:variant>
      <vt:variant>
        <vt:i4>5</vt:i4>
      </vt:variant>
      <vt:variant>
        <vt:lpwstr>https://www.youngminds.org.uk/young-person/mental-health-conditions/adhd-and-mental-health/</vt:lpwstr>
      </vt:variant>
      <vt:variant>
        <vt:lpwstr/>
      </vt:variant>
      <vt:variant>
        <vt:i4>4194311</vt:i4>
      </vt:variant>
      <vt:variant>
        <vt:i4>189</vt:i4>
      </vt:variant>
      <vt:variant>
        <vt:i4>0</vt:i4>
      </vt:variant>
      <vt:variant>
        <vt:i4>5</vt:i4>
      </vt:variant>
      <vt:variant>
        <vt:lpwstr>https://democracy.towerhamlets.gov.uk/documents/s242711/20052024 TH HWBB MHWB Final Draft.pdf</vt:lpwstr>
      </vt:variant>
      <vt:variant>
        <vt:lpwstr/>
      </vt:variant>
      <vt:variant>
        <vt:i4>4194311</vt:i4>
      </vt:variant>
      <vt:variant>
        <vt:i4>186</vt:i4>
      </vt:variant>
      <vt:variant>
        <vt:i4>0</vt:i4>
      </vt:variant>
      <vt:variant>
        <vt:i4>5</vt:i4>
      </vt:variant>
      <vt:variant>
        <vt:lpwstr>https://democracy.towerhamlets.gov.uk/documents/s242711/20052024 TH HWBB MHWB Final Draft.pdf</vt:lpwstr>
      </vt:variant>
      <vt:variant>
        <vt:lpwstr/>
      </vt:variant>
      <vt:variant>
        <vt:i4>2621491</vt:i4>
      </vt:variant>
      <vt:variant>
        <vt:i4>183</vt:i4>
      </vt:variant>
      <vt:variant>
        <vt:i4>0</vt:i4>
      </vt:variant>
      <vt:variant>
        <vt:i4>5</vt:i4>
      </vt:variant>
      <vt:variant>
        <vt:lpwstr>https://doi.org/10.1186/s13052-023-01456-1</vt:lpwstr>
      </vt:variant>
      <vt:variant>
        <vt:lpwstr/>
      </vt:variant>
      <vt:variant>
        <vt:i4>2555964</vt:i4>
      </vt:variant>
      <vt:variant>
        <vt:i4>180</vt:i4>
      </vt:variant>
      <vt:variant>
        <vt:i4>0</vt:i4>
      </vt:variant>
      <vt:variant>
        <vt:i4>5</vt:i4>
      </vt:variant>
      <vt:variant>
        <vt:lpwstr>https://doi.org/10.1016/j.jaac.2020.06.011</vt:lpwstr>
      </vt:variant>
      <vt:variant>
        <vt:lpwstr/>
      </vt:variant>
      <vt:variant>
        <vt:i4>1966145</vt:i4>
      </vt:variant>
      <vt:variant>
        <vt:i4>177</vt:i4>
      </vt:variant>
      <vt:variant>
        <vt:i4>0</vt:i4>
      </vt:variant>
      <vt:variant>
        <vt:i4>5</vt:i4>
      </vt:variant>
      <vt:variant>
        <vt:lpwstr>https://www.kcl.ac.uk/archive/news/ioppn/records/2016/august/unhealthy-diet-during-pregnancy-could-be-linked-to-adhd</vt:lpwstr>
      </vt:variant>
      <vt:variant>
        <vt:lpwstr/>
      </vt:variant>
      <vt:variant>
        <vt:i4>327705</vt:i4>
      </vt:variant>
      <vt:variant>
        <vt:i4>174</vt:i4>
      </vt:variant>
      <vt:variant>
        <vt:i4>0</vt:i4>
      </vt:variant>
      <vt:variant>
        <vt:i4>5</vt:i4>
      </vt:variant>
      <vt:variant>
        <vt:lpwstr>https://doi.org/10.1038/s41380-018-0070-0</vt:lpwstr>
      </vt:variant>
      <vt:variant>
        <vt:lpwstr/>
      </vt:variant>
      <vt:variant>
        <vt:i4>5505052</vt:i4>
      </vt:variant>
      <vt:variant>
        <vt:i4>171</vt:i4>
      </vt:variant>
      <vt:variant>
        <vt:i4>0</vt:i4>
      </vt:variant>
      <vt:variant>
        <vt:i4>5</vt:i4>
      </vt:variant>
      <vt:variant>
        <vt:lpwstr>https://doi.org/10.1111/j.1469-7610.2012.02611.x</vt:lpwstr>
      </vt:variant>
      <vt:variant>
        <vt:lpwstr/>
      </vt:variant>
      <vt:variant>
        <vt:i4>3080309</vt:i4>
      </vt:variant>
      <vt:variant>
        <vt:i4>168</vt:i4>
      </vt:variant>
      <vt:variant>
        <vt:i4>0</vt:i4>
      </vt:variant>
      <vt:variant>
        <vt:i4>5</vt:i4>
      </vt:variant>
      <vt:variant>
        <vt:lpwstr>https://doi.org/10.5402/2012/458064</vt:lpwstr>
      </vt:variant>
      <vt:variant>
        <vt:lpwstr/>
      </vt:variant>
      <vt:variant>
        <vt:i4>1114189</vt:i4>
      </vt:variant>
      <vt:variant>
        <vt:i4>165</vt:i4>
      </vt:variant>
      <vt:variant>
        <vt:i4>0</vt:i4>
      </vt:variant>
      <vt:variant>
        <vt:i4>5</vt:i4>
      </vt:variant>
      <vt:variant>
        <vt:lpwstr>https://www.nhs.uk/conditions/adhd-children-teenagers</vt:lpwstr>
      </vt:variant>
      <vt:variant>
        <vt:lpwstr/>
      </vt:variant>
      <vt:variant>
        <vt:i4>2621549</vt:i4>
      </vt:variant>
      <vt:variant>
        <vt:i4>162</vt:i4>
      </vt:variant>
      <vt:variant>
        <vt:i4>0</vt:i4>
      </vt:variant>
      <vt:variant>
        <vt:i4>5</vt:i4>
      </vt:variant>
      <vt:variant>
        <vt:lpwstr>https://thfamilyhubs.co.uk/</vt:lpwstr>
      </vt:variant>
      <vt:variant>
        <vt:lpwstr/>
      </vt:variant>
      <vt:variant>
        <vt:i4>2949153</vt:i4>
      </vt:variant>
      <vt:variant>
        <vt:i4>159</vt:i4>
      </vt:variant>
      <vt:variant>
        <vt:i4>0</vt:i4>
      </vt:variant>
      <vt:variant>
        <vt:i4>5</vt:i4>
      </vt:variant>
      <vt:variant>
        <vt:lpwstr>https://www.autism.org.uk/advice-and-guidance/topics/sensory-differences/sensory-differences/all-audiences</vt:lpwstr>
      </vt:variant>
      <vt:variant>
        <vt:lpwstr/>
      </vt:variant>
      <vt:variant>
        <vt:i4>6684706</vt:i4>
      </vt:variant>
      <vt:variant>
        <vt:i4>156</vt:i4>
      </vt:variant>
      <vt:variant>
        <vt:i4>0</vt:i4>
      </vt:variant>
      <vt:variant>
        <vt:i4>5</vt:i4>
      </vt:variant>
      <vt:variant>
        <vt:lpwstr>https://www.nice.org.uk/guidance/cg128</vt:lpwstr>
      </vt:variant>
      <vt:variant>
        <vt:lpwstr/>
      </vt:variant>
      <vt:variant>
        <vt:i4>6488096</vt:i4>
      </vt:variant>
      <vt:variant>
        <vt:i4>153</vt:i4>
      </vt:variant>
      <vt:variant>
        <vt:i4>0</vt:i4>
      </vt:variant>
      <vt:variant>
        <vt:i4>5</vt:i4>
      </vt:variant>
      <vt:variant>
        <vt:lpwstr>https://www.autism.org.uk/advice-and-guidance/topics/about-autism/autism-and-communication</vt:lpwstr>
      </vt:variant>
      <vt:variant>
        <vt:lpwstr/>
      </vt:variant>
      <vt:variant>
        <vt:i4>7274544</vt:i4>
      </vt:variant>
      <vt:variant>
        <vt:i4>150</vt:i4>
      </vt:variant>
      <vt:variant>
        <vt:i4>0</vt:i4>
      </vt:variant>
      <vt:variant>
        <vt:i4>5</vt:i4>
      </vt:variant>
      <vt:variant>
        <vt:lpwstr>https://www.gov.uk/government/publications/tackling-obesity-government-strategy/tackling-obesity-empowering-adults-and-children-to-live-healthier-lives</vt:lpwstr>
      </vt:variant>
      <vt:variant>
        <vt:lpwstr/>
      </vt:variant>
      <vt:variant>
        <vt:i4>3997818</vt:i4>
      </vt:variant>
      <vt:variant>
        <vt:i4>147</vt:i4>
      </vt:variant>
      <vt:variant>
        <vt:i4>0</vt:i4>
      </vt:variant>
      <vt:variant>
        <vt:i4>5</vt:i4>
      </vt:variant>
      <vt:variant>
        <vt:lpwstr>https://www.autism.org.uk/advice-and-guidance/topics/identity/autism-and-gender-identity</vt:lpwstr>
      </vt:variant>
      <vt:variant>
        <vt:lpwstr>:~:text=There%20is%20some%20evidence%20to,dysphoria%20is%20not%20so%20clear</vt:lpwstr>
      </vt:variant>
      <vt:variant>
        <vt:i4>3997818</vt:i4>
      </vt:variant>
      <vt:variant>
        <vt:i4>144</vt:i4>
      </vt:variant>
      <vt:variant>
        <vt:i4>0</vt:i4>
      </vt:variant>
      <vt:variant>
        <vt:i4>5</vt:i4>
      </vt:variant>
      <vt:variant>
        <vt:lpwstr>https://www.autism.org.uk/advice-and-guidance/topics/identity/autism-and-gender-identity</vt:lpwstr>
      </vt:variant>
      <vt:variant>
        <vt:lpwstr>:~:text=There%20is%20some%20evidence%20to,dysphoria%20is%20not%20so%20clear</vt:lpwstr>
      </vt:variant>
      <vt:variant>
        <vt:i4>3211375</vt:i4>
      </vt:variant>
      <vt:variant>
        <vt:i4>141</vt:i4>
      </vt:variant>
      <vt:variant>
        <vt:i4>0</vt:i4>
      </vt:variant>
      <vt:variant>
        <vt:i4>5</vt:i4>
      </vt:variant>
      <vt:variant>
        <vt:lpwstr>https://doi.org/10.3390/children5090112</vt:lpwstr>
      </vt:variant>
      <vt:variant>
        <vt:lpwstr/>
      </vt:variant>
      <vt:variant>
        <vt:i4>196693</vt:i4>
      </vt:variant>
      <vt:variant>
        <vt:i4>138</vt:i4>
      </vt:variant>
      <vt:variant>
        <vt:i4>0</vt:i4>
      </vt:variant>
      <vt:variant>
        <vt:i4>5</vt:i4>
      </vt:variant>
      <vt:variant>
        <vt:lpwstr>https://doi.org/10.1097/CHI.0b013e318179964f</vt:lpwstr>
      </vt:variant>
      <vt:variant>
        <vt:lpwstr/>
      </vt:variant>
      <vt:variant>
        <vt:i4>5242964</vt:i4>
      </vt:variant>
      <vt:variant>
        <vt:i4>135</vt:i4>
      </vt:variant>
      <vt:variant>
        <vt:i4>0</vt:i4>
      </vt:variant>
      <vt:variant>
        <vt:i4>5</vt:i4>
      </vt:variant>
      <vt:variant>
        <vt:lpwstr>https://www.nice.org.uk/guidance/cg128/evidence/evidence-update-pdf-183224557</vt:lpwstr>
      </vt:variant>
      <vt:variant>
        <vt:lpwstr/>
      </vt:variant>
      <vt:variant>
        <vt:i4>7274531</vt:i4>
      </vt:variant>
      <vt:variant>
        <vt:i4>132</vt:i4>
      </vt:variant>
      <vt:variant>
        <vt:i4>0</vt:i4>
      </vt:variant>
      <vt:variant>
        <vt:i4>5</vt:i4>
      </vt:variant>
      <vt:variant>
        <vt:lpwstr>https://www.gov.uk/government/publications/relationships-education-relationships-and-sex-education-rse-and-health-education</vt:lpwstr>
      </vt:variant>
      <vt:variant>
        <vt:lpwstr/>
      </vt:variant>
      <vt:variant>
        <vt:i4>720924</vt:i4>
      </vt:variant>
      <vt:variant>
        <vt:i4>129</vt:i4>
      </vt:variant>
      <vt:variant>
        <vt:i4>0</vt:i4>
      </vt:variant>
      <vt:variant>
        <vt:i4>5</vt:i4>
      </vt:variant>
      <vt:variant>
        <vt:lpwstr>https://doi.org/10.1007/s10803-014-2093-y</vt:lpwstr>
      </vt:variant>
      <vt:variant>
        <vt:lpwstr/>
      </vt:variant>
      <vt:variant>
        <vt:i4>3932176</vt:i4>
      </vt:variant>
      <vt:variant>
        <vt:i4>126</vt:i4>
      </vt:variant>
      <vt:variant>
        <vt:i4>0</vt:i4>
      </vt:variant>
      <vt:variant>
        <vt:i4>5</vt:i4>
      </vt:variant>
      <vt:variant>
        <vt:lpwstr>https://dy55nndrxke1w.cloudfront.net/file/24/asDKIN9asAvgMtEas6gIatOcB5H/NAS_Education Report 2023.pdf</vt:lpwstr>
      </vt:variant>
      <vt:variant>
        <vt:lpwstr/>
      </vt:variant>
      <vt:variant>
        <vt:i4>5701709</vt:i4>
      </vt:variant>
      <vt:variant>
        <vt:i4>123</vt:i4>
      </vt:variant>
      <vt:variant>
        <vt:i4>0</vt:i4>
      </vt:variant>
      <vt:variant>
        <vt:i4>5</vt:i4>
      </vt:variant>
      <vt:variant>
        <vt:lpwstr>https://doi.org/10.1097/DBP.0000000000000140</vt:lpwstr>
      </vt:variant>
      <vt:variant>
        <vt:lpwstr/>
      </vt:variant>
      <vt:variant>
        <vt:i4>8323115</vt:i4>
      </vt:variant>
      <vt:variant>
        <vt:i4>120</vt:i4>
      </vt:variant>
      <vt:variant>
        <vt:i4>0</vt:i4>
      </vt:variant>
      <vt:variant>
        <vt:i4>5</vt:i4>
      </vt:variant>
      <vt:variant>
        <vt:lpwstr>https://doi.org/10.13140/RG.2.2.33834.34242</vt:lpwstr>
      </vt:variant>
      <vt:variant>
        <vt:lpwstr/>
      </vt:variant>
      <vt:variant>
        <vt:i4>1245270</vt:i4>
      </vt:variant>
      <vt:variant>
        <vt:i4>117</vt:i4>
      </vt:variant>
      <vt:variant>
        <vt:i4>0</vt:i4>
      </vt:variant>
      <vt:variant>
        <vt:i4>5</vt:i4>
      </vt:variant>
      <vt:variant>
        <vt:lpwstr>https://doi.org/10.1177/1362361319861579</vt:lpwstr>
      </vt:variant>
      <vt:variant>
        <vt:lpwstr/>
      </vt:variant>
      <vt:variant>
        <vt:i4>1638422</vt:i4>
      </vt:variant>
      <vt:variant>
        <vt:i4>114</vt:i4>
      </vt:variant>
      <vt:variant>
        <vt:i4>0</vt:i4>
      </vt:variant>
      <vt:variant>
        <vt:i4>5</vt:i4>
      </vt:variant>
      <vt:variant>
        <vt:lpwstr>https://www.bda.uk.com/resource/autism-diet.html</vt:lpwstr>
      </vt:variant>
      <vt:variant>
        <vt:lpwstr/>
      </vt:variant>
      <vt:variant>
        <vt:i4>5832724</vt:i4>
      </vt:variant>
      <vt:variant>
        <vt:i4>111</vt:i4>
      </vt:variant>
      <vt:variant>
        <vt:i4>0</vt:i4>
      </vt:variant>
      <vt:variant>
        <vt:i4>5</vt:i4>
      </vt:variant>
      <vt:variant>
        <vt:lpwstr>https://doi.org/10.1136/bmj.q802</vt:lpwstr>
      </vt:variant>
      <vt:variant>
        <vt:lpwstr/>
      </vt:variant>
      <vt:variant>
        <vt:i4>3997817</vt:i4>
      </vt:variant>
      <vt:variant>
        <vt:i4>108</vt:i4>
      </vt:variant>
      <vt:variant>
        <vt:i4>0</vt:i4>
      </vt:variant>
      <vt:variant>
        <vt:i4>5</vt:i4>
      </vt:variant>
      <vt:variant>
        <vt:lpwstr>https://www.autism.org.uk/what-we-do/news/autism-assessment-waiting-times-9</vt:lpwstr>
      </vt:variant>
      <vt:variant>
        <vt:lpwstr/>
      </vt:variant>
      <vt:variant>
        <vt:i4>2293819</vt:i4>
      </vt:variant>
      <vt:variant>
        <vt:i4>105</vt:i4>
      </vt:variant>
      <vt:variant>
        <vt:i4>0</vt:i4>
      </vt:variant>
      <vt:variant>
        <vt:i4>5</vt:i4>
      </vt:variant>
      <vt:variant>
        <vt:lpwstr>https://doi.org/10.1016/j.jaac.2017.03.013</vt:lpwstr>
      </vt:variant>
      <vt:variant>
        <vt:lpwstr/>
      </vt:variant>
      <vt:variant>
        <vt:i4>2228346</vt:i4>
      </vt:variant>
      <vt:variant>
        <vt:i4>102</vt:i4>
      </vt:variant>
      <vt:variant>
        <vt:i4>0</vt:i4>
      </vt:variant>
      <vt:variant>
        <vt:i4>5</vt:i4>
      </vt:variant>
      <vt:variant>
        <vt:lpwstr>https://cks.nice.org.uk/topics/autism-in-adults/background-information/causes-risk-factors/</vt:lpwstr>
      </vt:variant>
      <vt:variant>
        <vt:lpwstr/>
      </vt:variant>
      <vt:variant>
        <vt:i4>196636</vt:i4>
      </vt:variant>
      <vt:variant>
        <vt:i4>99</vt:i4>
      </vt:variant>
      <vt:variant>
        <vt:i4>0</vt:i4>
      </vt:variant>
      <vt:variant>
        <vt:i4>5</vt:i4>
      </vt:variant>
      <vt:variant>
        <vt:lpwstr>https://doi.org/10.3389/fncel.2019.00385</vt:lpwstr>
      </vt:variant>
      <vt:variant>
        <vt:lpwstr/>
      </vt:variant>
      <vt:variant>
        <vt:i4>6357037</vt:i4>
      </vt:variant>
      <vt:variant>
        <vt:i4>96</vt:i4>
      </vt:variant>
      <vt:variant>
        <vt:i4>0</vt:i4>
      </vt:variant>
      <vt:variant>
        <vt:i4>5</vt:i4>
      </vt:variant>
      <vt:variant>
        <vt:lpwstr>https://doi.org/10.31887/DCNS.2012.14.3/pchaste</vt:lpwstr>
      </vt:variant>
      <vt:variant>
        <vt:lpwstr/>
      </vt:variant>
      <vt:variant>
        <vt:i4>6291507</vt:i4>
      </vt:variant>
      <vt:variant>
        <vt:i4>93</vt:i4>
      </vt:variant>
      <vt:variant>
        <vt:i4>0</vt:i4>
      </vt:variant>
      <vt:variant>
        <vt:i4>5</vt:i4>
      </vt:variant>
      <vt:variant>
        <vt:lpwstr>https://explore-education-statistics.service.gov.uk/find-statistics/suspensions-and-permanent-exclusions-in-england/2023-24</vt:lpwstr>
      </vt:variant>
      <vt:variant>
        <vt:lpwstr/>
      </vt:variant>
      <vt:variant>
        <vt:i4>5898255</vt:i4>
      </vt:variant>
      <vt:variant>
        <vt:i4>90</vt:i4>
      </vt:variant>
      <vt:variant>
        <vt:i4>0</vt:i4>
      </vt:variant>
      <vt:variant>
        <vt:i4>5</vt:i4>
      </vt:variant>
      <vt:variant>
        <vt:lpwstr>https://www.gov.uk/government/publications/keeping-children-safe-in-education--2</vt:lpwstr>
      </vt:variant>
      <vt:variant>
        <vt:lpwstr/>
      </vt:variant>
      <vt:variant>
        <vt:i4>6225998</vt:i4>
      </vt:variant>
      <vt:variant>
        <vt:i4>87</vt:i4>
      </vt:variant>
      <vt:variant>
        <vt:i4>0</vt:i4>
      </vt:variant>
      <vt:variant>
        <vt:i4>5</vt:i4>
      </vt:variant>
      <vt:variant>
        <vt:lpwstr>https://www.legislation.gov.uk/ukpga/2002/32/section/175</vt:lpwstr>
      </vt:variant>
      <vt:variant>
        <vt:lpwstr/>
      </vt:variant>
      <vt:variant>
        <vt:i4>1638422</vt:i4>
      </vt:variant>
      <vt:variant>
        <vt:i4>84</vt:i4>
      </vt:variant>
      <vt:variant>
        <vt:i4>0</vt:i4>
      </vt:variant>
      <vt:variant>
        <vt:i4>5</vt:i4>
      </vt:variant>
      <vt:variant>
        <vt:lpwstr>https://www.gov.uk/government/collections/healthy-child-programme</vt:lpwstr>
      </vt:variant>
      <vt:variant>
        <vt:lpwstr/>
      </vt:variant>
      <vt:variant>
        <vt:i4>3342382</vt:i4>
      </vt:variant>
      <vt:variant>
        <vt:i4>81</vt:i4>
      </vt:variant>
      <vt:variant>
        <vt:i4>0</vt:i4>
      </vt:variant>
      <vt:variant>
        <vt:i4>5</vt:i4>
      </vt:variant>
      <vt:variant>
        <vt:lpwstr>https://trustforlondon.org.uk/</vt:lpwstr>
      </vt:variant>
      <vt:variant>
        <vt:lpwstr/>
      </vt:variant>
      <vt:variant>
        <vt:i4>3342398</vt:i4>
      </vt:variant>
      <vt:variant>
        <vt:i4>78</vt:i4>
      </vt:variant>
      <vt:variant>
        <vt:i4>0</vt:i4>
      </vt:variant>
      <vt:variant>
        <vt:i4>5</vt:i4>
      </vt:variant>
      <vt:variant>
        <vt:lpwstr>https://trustforlondon.org.uk/data/</vt:lpwstr>
      </vt:variant>
      <vt:variant>
        <vt:lpwstr/>
      </vt:variant>
      <vt:variant>
        <vt:i4>4063278</vt:i4>
      </vt:variant>
      <vt:variant>
        <vt:i4>75</vt:i4>
      </vt:variant>
      <vt:variant>
        <vt:i4>0</vt:i4>
      </vt:variant>
      <vt:variant>
        <vt:i4>5</vt:i4>
      </vt:variant>
      <vt:variant>
        <vt:lpwstr>https://ora.ox.ac.uk/objects/uuid:a28b7858-994a-4474-9c4b-6962d1f6da41/files/maea51f1ea29cde0e36c13a9e2a9dd838</vt:lpwstr>
      </vt:variant>
      <vt:variant>
        <vt:lpwstr/>
      </vt:variant>
      <vt:variant>
        <vt:i4>4522054</vt:i4>
      </vt:variant>
      <vt:variant>
        <vt:i4>72</vt:i4>
      </vt:variant>
      <vt:variant>
        <vt:i4>0</vt:i4>
      </vt:variant>
      <vt:variant>
        <vt:i4>5</vt:i4>
      </vt:variant>
      <vt:variant>
        <vt:lpwstr>https://doi.org/10.1002/rev3.3437</vt:lpwstr>
      </vt:variant>
      <vt:variant>
        <vt:lpwstr/>
      </vt:variant>
      <vt:variant>
        <vt:i4>131100</vt:i4>
      </vt:variant>
      <vt:variant>
        <vt:i4>69</vt:i4>
      </vt:variant>
      <vt:variant>
        <vt:i4>0</vt:i4>
      </vt:variant>
      <vt:variant>
        <vt:i4>5</vt:i4>
      </vt:variant>
      <vt:variant>
        <vt:lpwstr>https://www.localoffertowerhamlets.co.uk/</vt:lpwstr>
      </vt:variant>
      <vt:variant>
        <vt:lpwstr/>
      </vt:variant>
      <vt:variant>
        <vt:i4>4653137</vt:i4>
      </vt:variant>
      <vt:variant>
        <vt:i4>66</vt:i4>
      </vt:variant>
      <vt:variant>
        <vt:i4>0</vt:i4>
      </vt:variant>
      <vt:variant>
        <vt:i4>5</vt:i4>
      </vt:variant>
      <vt:variant>
        <vt:lpwstr>https://democracy.towerhamlets.gov.uk/documents/s229070/9.1b Appendix Youth Justice Strategic Plan 2023-2025.pdf</vt:lpwstr>
      </vt:variant>
      <vt:variant>
        <vt:lpwstr/>
      </vt:variant>
      <vt:variant>
        <vt:i4>6815786</vt:i4>
      </vt:variant>
      <vt:variant>
        <vt:i4>63</vt:i4>
      </vt:variant>
      <vt:variant>
        <vt:i4>0</vt:i4>
      </vt:variant>
      <vt:variant>
        <vt:i4>5</vt:i4>
      </vt:variant>
      <vt:variant>
        <vt:lpwstr>https://democracy.towerhamlets.gov.uk/mgConvert2PDF.aspx?ID=191599</vt:lpwstr>
      </vt:variant>
      <vt:variant>
        <vt:lpwstr/>
      </vt:variant>
      <vt:variant>
        <vt:i4>7995421</vt:i4>
      </vt:variant>
      <vt:variant>
        <vt:i4>60</vt:i4>
      </vt:variant>
      <vt:variant>
        <vt:i4>0</vt:i4>
      </vt:variant>
      <vt:variant>
        <vt:i4>5</vt:i4>
      </vt:variant>
      <vt:variant>
        <vt:lpwstr>https://www.towerhamlets.gov.uk/Documents/Children-and-families-services/Early_help/TH-Early-Help-Strategy.pdf</vt:lpwstr>
      </vt:variant>
      <vt:variant>
        <vt:lpwstr/>
      </vt:variant>
      <vt:variant>
        <vt:i4>720918</vt:i4>
      </vt:variant>
      <vt:variant>
        <vt:i4>57</vt:i4>
      </vt:variant>
      <vt:variant>
        <vt:i4>0</vt:i4>
      </vt:variant>
      <vt:variant>
        <vt:i4>5</vt:i4>
      </vt:variant>
      <vt:variant>
        <vt:lpwstr>https://democracy.towerhamlets.gov.uk/documents/s226619/Appendix. 1 for Children and Families Strategy 2023-2028.pdf</vt:lpwstr>
      </vt:variant>
      <vt:variant>
        <vt:lpwstr/>
      </vt:variant>
      <vt:variant>
        <vt:i4>5701648</vt:i4>
      </vt:variant>
      <vt:variant>
        <vt:i4>54</vt:i4>
      </vt:variant>
      <vt:variant>
        <vt:i4>0</vt:i4>
      </vt:variant>
      <vt:variant>
        <vt:i4>5</vt:i4>
      </vt:variant>
      <vt:variant>
        <vt:lpwstr>https://www.nice.org.uk/guidance/ng54</vt:lpwstr>
      </vt:variant>
      <vt:variant>
        <vt:lpwstr/>
      </vt:variant>
      <vt:variant>
        <vt:i4>5570576</vt:i4>
      </vt:variant>
      <vt:variant>
        <vt:i4>51</vt:i4>
      </vt:variant>
      <vt:variant>
        <vt:i4>0</vt:i4>
      </vt:variant>
      <vt:variant>
        <vt:i4>5</vt:i4>
      </vt:variant>
      <vt:variant>
        <vt:lpwstr>https://www.nice.org.uk/guidance/ng72</vt:lpwstr>
      </vt:variant>
      <vt:variant>
        <vt:lpwstr/>
      </vt:variant>
      <vt:variant>
        <vt:i4>6488098</vt:i4>
      </vt:variant>
      <vt:variant>
        <vt:i4>48</vt:i4>
      </vt:variant>
      <vt:variant>
        <vt:i4>0</vt:i4>
      </vt:variant>
      <vt:variant>
        <vt:i4>5</vt:i4>
      </vt:variant>
      <vt:variant>
        <vt:lpwstr>https://www.nice.org.uk/guidance/ng223</vt:lpwstr>
      </vt:variant>
      <vt:variant>
        <vt:lpwstr/>
      </vt:variant>
      <vt:variant>
        <vt:i4>5963792</vt:i4>
      </vt:variant>
      <vt:variant>
        <vt:i4>45</vt:i4>
      </vt:variant>
      <vt:variant>
        <vt:i4>0</vt:i4>
      </vt:variant>
      <vt:variant>
        <vt:i4>5</vt:i4>
      </vt:variant>
      <vt:variant>
        <vt:lpwstr>https://www.nice.org.uk/guidance/ng93</vt:lpwstr>
      </vt:variant>
      <vt:variant>
        <vt:lpwstr/>
      </vt:variant>
      <vt:variant>
        <vt:i4>5898256</vt:i4>
      </vt:variant>
      <vt:variant>
        <vt:i4>42</vt:i4>
      </vt:variant>
      <vt:variant>
        <vt:i4>0</vt:i4>
      </vt:variant>
      <vt:variant>
        <vt:i4>5</vt:i4>
      </vt:variant>
      <vt:variant>
        <vt:lpwstr>https://www.nice.org.uk/guidance/ng87</vt:lpwstr>
      </vt:variant>
      <vt:variant>
        <vt:lpwstr/>
      </vt:variant>
      <vt:variant>
        <vt:i4>7208999</vt:i4>
      </vt:variant>
      <vt:variant>
        <vt:i4>39</vt:i4>
      </vt:variant>
      <vt:variant>
        <vt:i4>0</vt:i4>
      </vt:variant>
      <vt:variant>
        <vt:i4>5</vt:i4>
      </vt:variant>
      <vt:variant>
        <vt:lpwstr>https://www.nice.org.uk/guidance/cg170</vt:lpwstr>
      </vt:variant>
      <vt:variant>
        <vt:lpwstr/>
      </vt:variant>
      <vt:variant>
        <vt:i4>65605</vt:i4>
      </vt:variant>
      <vt:variant>
        <vt:i4>36</vt:i4>
      </vt:variant>
      <vt:variant>
        <vt:i4>0</vt:i4>
      </vt:variant>
      <vt:variant>
        <vt:i4>5</vt:i4>
      </vt:variant>
      <vt:variant>
        <vt:lpwstr>https://www.gov.uk/government/consultations/send-review-right-support-right-place-right-time</vt:lpwstr>
      </vt:variant>
      <vt:variant>
        <vt:lpwstr/>
      </vt:variant>
      <vt:variant>
        <vt:i4>5636120</vt:i4>
      </vt:variant>
      <vt:variant>
        <vt:i4>33</vt:i4>
      </vt:variant>
      <vt:variant>
        <vt:i4>0</vt:i4>
      </vt:variant>
      <vt:variant>
        <vt:i4>5</vt:i4>
      </vt:variant>
      <vt:variant>
        <vt:lpwstr>https://www.legislation.gov.uk/ukpga/2014/6/contents</vt:lpwstr>
      </vt:variant>
      <vt:variant>
        <vt:lpwstr/>
      </vt:variant>
      <vt:variant>
        <vt:i4>786499</vt:i4>
      </vt:variant>
      <vt:variant>
        <vt:i4>30</vt:i4>
      </vt:variant>
      <vt:variant>
        <vt:i4>0</vt:i4>
      </vt:variant>
      <vt:variant>
        <vt:i4>5</vt:i4>
      </vt:variant>
      <vt:variant>
        <vt:lpwstr>https://assets.publishing.service.gov.uk/media/5a7c95a4e5274a0bb7cb806d/5860.pdf</vt:lpwstr>
      </vt:variant>
      <vt:variant>
        <vt:lpwstr/>
      </vt:variant>
      <vt:variant>
        <vt:i4>5308495</vt:i4>
      </vt:variant>
      <vt:variant>
        <vt:i4>27</vt:i4>
      </vt:variant>
      <vt:variant>
        <vt:i4>0</vt:i4>
      </vt:variant>
      <vt:variant>
        <vt:i4>5</vt:i4>
      </vt:variant>
      <vt:variant>
        <vt:lpwstr>https://www.legislation.gov.uk/ukpga/1981/60/enacted</vt:lpwstr>
      </vt:variant>
      <vt:variant>
        <vt:lpwstr/>
      </vt:variant>
      <vt:variant>
        <vt:i4>196676</vt:i4>
      </vt:variant>
      <vt:variant>
        <vt:i4>24</vt:i4>
      </vt:variant>
      <vt:variant>
        <vt:i4>0</vt:i4>
      </vt:variant>
      <vt:variant>
        <vt:i4>5</vt:i4>
      </vt:variant>
      <vt:variant>
        <vt:lpwstr>https://www.gov.uk/government/publications/inclusive-communication/portraying-disability</vt:lpwstr>
      </vt:variant>
      <vt:variant>
        <vt:lpwstr/>
      </vt:variant>
      <vt:variant>
        <vt:i4>3080239</vt:i4>
      </vt:variant>
      <vt:variant>
        <vt:i4>21</vt:i4>
      </vt:variant>
      <vt:variant>
        <vt:i4>0</vt:i4>
      </vt:variant>
      <vt:variant>
        <vt:i4>5</vt:i4>
      </vt:variant>
      <vt:variant>
        <vt:lpwstr>https://www.england.nhs.uk/mental-health/adhd/</vt:lpwstr>
      </vt:variant>
      <vt:variant>
        <vt:lpwstr/>
      </vt:variant>
      <vt:variant>
        <vt:i4>7012473</vt:i4>
      </vt:variant>
      <vt:variant>
        <vt:i4>18</vt:i4>
      </vt:variant>
      <vt:variant>
        <vt:i4>0</vt:i4>
      </vt:variant>
      <vt:variant>
        <vt:i4>5</vt:i4>
      </vt:variant>
      <vt:variant>
        <vt:lpwstr>https://www.legislation.gov.uk/ukpga/2010/15/section/6</vt:lpwstr>
      </vt:variant>
      <vt:variant>
        <vt:lpwstr/>
      </vt:variant>
      <vt:variant>
        <vt:i4>393238</vt:i4>
      </vt:variant>
      <vt:variant>
        <vt:i4>15</vt:i4>
      </vt:variant>
      <vt:variant>
        <vt:i4>0</vt:i4>
      </vt:variant>
      <vt:variant>
        <vt:i4>5</vt:i4>
      </vt:variant>
      <vt:variant>
        <vt:lpwstr>https://doi.org/10.1191/1478088706qp063oa</vt:lpwstr>
      </vt:variant>
      <vt:variant>
        <vt:lpwstr/>
      </vt:variant>
      <vt:variant>
        <vt:i4>3145846</vt:i4>
      </vt:variant>
      <vt:variant>
        <vt:i4>12</vt:i4>
      </vt:variant>
      <vt:variant>
        <vt:i4>0</vt:i4>
      </vt:variant>
      <vt:variant>
        <vt:i4>5</vt:i4>
      </vt:variant>
      <vt:variant>
        <vt:lpwstr>https://fingertips.phe.org.uk/</vt:lpwstr>
      </vt:variant>
      <vt:variant>
        <vt:lpwstr/>
      </vt:variant>
      <vt:variant>
        <vt:i4>5111830</vt:i4>
      </vt:variant>
      <vt:variant>
        <vt:i4>9</vt:i4>
      </vt:variant>
      <vt:variant>
        <vt:i4>0</vt:i4>
      </vt:variant>
      <vt:variant>
        <vt:i4>5</vt:i4>
      </vt:variant>
      <vt:variant>
        <vt:lpwstr>https://www.gov.uk/government/organisations/office-for-health-improvement-and-disparities</vt:lpwstr>
      </vt:variant>
      <vt:variant>
        <vt:lpwstr/>
      </vt:variant>
      <vt:variant>
        <vt:i4>5767187</vt:i4>
      </vt:variant>
      <vt:variant>
        <vt:i4>6</vt:i4>
      </vt:variant>
      <vt:variant>
        <vt:i4>0</vt:i4>
      </vt:variant>
      <vt:variant>
        <vt:i4>5</vt:i4>
      </vt:variant>
      <vt:variant>
        <vt:lpwstr>https://explore-education-statistics.service.gov.uk/find-statistics/special-educational-needs-in-england/2024-25</vt:lpwstr>
      </vt:variant>
      <vt:variant>
        <vt:lpwstr/>
      </vt:variant>
      <vt:variant>
        <vt:i4>3342447</vt:i4>
      </vt:variant>
      <vt:variant>
        <vt:i4>3</vt:i4>
      </vt:variant>
      <vt:variant>
        <vt:i4>0</vt:i4>
      </vt:variant>
      <vt:variant>
        <vt:i4>5</vt:i4>
      </vt:variant>
      <vt:variant>
        <vt:lpwstr>https://democracy.towerhamlets.gov.uk/documents/s242527/Appendix. 2 for Tower Hamlets Special Educational Needs Disabilities and Inclusion Strategy 2024 to.pdf</vt:lpwstr>
      </vt:variant>
      <vt:variant>
        <vt:lpwstr/>
      </vt:variant>
      <vt:variant>
        <vt:i4>2621482</vt:i4>
      </vt:variant>
      <vt:variant>
        <vt:i4>0</vt:i4>
      </vt:variant>
      <vt:variant>
        <vt:i4>0</vt:i4>
      </vt:variant>
      <vt:variant>
        <vt:i4>5</vt:i4>
      </vt:variant>
      <vt:variant>
        <vt:lpwstr>https://assets.publishing.service.gov.uk/government/uploads/system/uploads/attachment_data/file/398815/SEND_Code_of_Practice_January_2015.pdf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SEND JSNA Working Draft v4_OCT24</dc:title>
  <dc:subject/>
  <dc:creator>Helen Ginman</dc:creator>
  <cp:keywords/>
  <cp:lastModifiedBy>Phillip Nduoyo</cp:lastModifiedBy>
  <cp:revision>2</cp:revision>
  <cp:lastPrinted>2026-03-18T09:27:00Z</cp:lastPrinted>
  <dcterms:created xsi:type="dcterms:W3CDTF">2026-04-28T16:30:00Z</dcterms:created>
  <dcterms:modified xsi:type="dcterms:W3CDTF">2026-04-28T16:30:00Z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0x010100A29F8140DA114B43B5CFDA271649B70B</vt:lpwstr>
  </property>
  <property fmtid="{D5CDD505-2E9C-101B-9397-08002B2CF9AE}" pid="3" name="MediaServiceImageTags">
    <vt:lpwstr/>
  </property>
</Properties>
</file>