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5F5" w:rsidRPr="00E215F5" w:rsidRDefault="00E215F5" w:rsidP="00E215F5">
      <w:pPr>
        <w:spacing w:before="100" w:beforeAutospacing="1" w:after="100" w:afterAutospacing="1"/>
        <w:outlineLvl w:val="0"/>
        <w:rPr>
          <w:rFonts w:ascii="Times New Roman" w:hAnsi="Times New Roman"/>
          <w:b/>
          <w:bCs/>
          <w:kern w:val="36"/>
          <w:sz w:val="48"/>
          <w:szCs w:val="48"/>
        </w:rPr>
      </w:pPr>
      <w:r w:rsidRPr="00E215F5">
        <w:rPr>
          <w:rFonts w:ascii="Times New Roman" w:hAnsi="Times New Roman"/>
          <w:b/>
          <w:bCs/>
          <w:kern w:val="36"/>
          <w:sz w:val="48"/>
          <w:szCs w:val="48"/>
        </w:rPr>
        <w:t>Anti-fraud and corruption strategy</w:t>
      </w:r>
    </w:p>
    <w:p w:rsidR="00E215F5" w:rsidRPr="00E215F5" w:rsidRDefault="00E215F5" w:rsidP="00E215F5">
      <w:pPr>
        <w:spacing w:before="100" w:beforeAutospacing="1" w:after="100" w:afterAutospacing="1"/>
        <w:outlineLvl w:val="1"/>
        <w:rPr>
          <w:rFonts w:ascii="Times New Roman" w:hAnsi="Times New Roman"/>
          <w:b/>
          <w:bCs/>
          <w:sz w:val="36"/>
          <w:szCs w:val="36"/>
        </w:rPr>
      </w:pPr>
      <w:r w:rsidRPr="00E215F5">
        <w:rPr>
          <w:rFonts w:ascii="Times New Roman" w:hAnsi="Times New Roman"/>
          <w:b/>
          <w:bCs/>
          <w:sz w:val="36"/>
          <w:szCs w:val="36"/>
        </w:rPr>
        <w:t>Corporate anti-fraud transparency code</w:t>
      </w:r>
    </w:p>
    <w:p w:rsidR="00E215F5" w:rsidRPr="00E215F5" w:rsidRDefault="00E215F5" w:rsidP="00E215F5">
      <w:pPr>
        <w:spacing w:before="100" w:beforeAutospacing="1" w:after="100" w:afterAutospacing="1"/>
        <w:rPr>
          <w:rFonts w:ascii="Times New Roman" w:hAnsi="Times New Roman"/>
        </w:rPr>
      </w:pPr>
      <w:r w:rsidRPr="00E215F5">
        <w:rPr>
          <w:rFonts w:ascii="Times New Roman" w:hAnsi="Times New Roman"/>
        </w:rPr>
        <w:t>The transparency code was introduced in 2014 to meet the government’s desire to place more power into citizens’ hands, enabling demonstrable democratic accountability and ease for local people to contribute and help shape public services.</w:t>
      </w:r>
    </w:p>
    <w:p w:rsidR="00E215F5" w:rsidRPr="00E215F5" w:rsidRDefault="00E215F5" w:rsidP="00E215F5">
      <w:pPr>
        <w:spacing w:before="100" w:beforeAutospacing="1" w:after="100" w:afterAutospacing="1"/>
        <w:rPr>
          <w:rFonts w:ascii="Times New Roman" w:hAnsi="Times New Roman"/>
        </w:rPr>
      </w:pPr>
      <w:r w:rsidRPr="00E215F5">
        <w:rPr>
          <w:rFonts w:ascii="Times New Roman" w:hAnsi="Times New Roman"/>
        </w:rPr>
        <w:t>The council shares in the principle that data held and managed by local authorities should be made available to local people and their partners subject to specific sensitivities (e.g. protecting vulnerable people or commercial and operational considerations).</w:t>
      </w:r>
    </w:p>
    <w:p w:rsidR="00E215F5" w:rsidRPr="00E215F5" w:rsidRDefault="00E215F5" w:rsidP="00E215F5">
      <w:pPr>
        <w:spacing w:before="100" w:beforeAutospacing="1" w:after="100" w:afterAutospacing="1"/>
        <w:rPr>
          <w:rFonts w:ascii="Times New Roman" w:hAnsi="Times New Roman"/>
        </w:rPr>
      </w:pPr>
      <w:r w:rsidRPr="00E215F5">
        <w:rPr>
          <w:rFonts w:ascii="Times New Roman" w:hAnsi="Times New Roman"/>
        </w:rPr>
        <w:t>As part of the requirement to publish data, the corporate anti-fraud team have the following key areas to be transparent with:</w:t>
      </w:r>
    </w:p>
    <w:p w:rsidR="00E215F5" w:rsidRPr="00E215F5" w:rsidRDefault="00E215F5" w:rsidP="00E215F5">
      <w:pPr>
        <w:numPr>
          <w:ilvl w:val="0"/>
          <w:numId w:val="1"/>
        </w:numPr>
        <w:spacing w:before="100" w:beforeAutospacing="1" w:after="100" w:afterAutospacing="1"/>
        <w:rPr>
          <w:rFonts w:ascii="Times New Roman" w:hAnsi="Times New Roman"/>
        </w:rPr>
      </w:pPr>
      <w:r w:rsidRPr="00E215F5">
        <w:rPr>
          <w:rFonts w:ascii="Times New Roman" w:hAnsi="Times New Roman"/>
        </w:rPr>
        <w:t>number of occasions Prevention of Social Housing Fraud (power to require information) (England) Regulations 2014 have been used</w:t>
      </w:r>
    </w:p>
    <w:p w:rsidR="00E215F5" w:rsidRPr="00E215F5" w:rsidRDefault="00E215F5" w:rsidP="00E215F5">
      <w:pPr>
        <w:numPr>
          <w:ilvl w:val="0"/>
          <w:numId w:val="1"/>
        </w:numPr>
        <w:spacing w:before="100" w:beforeAutospacing="1" w:after="100" w:afterAutospacing="1"/>
        <w:rPr>
          <w:rFonts w:ascii="Times New Roman" w:hAnsi="Times New Roman"/>
        </w:rPr>
      </w:pPr>
      <w:r w:rsidRPr="00E215F5">
        <w:rPr>
          <w:rFonts w:ascii="Times New Roman" w:hAnsi="Times New Roman"/>
        </w:rPr>
        <w:t>total number (full-time equivalent – FTE) of employees undertaking investigations and prosecutions of fraud</w:t>
      </w:r>
    </w:p>
    <w:p w:rsidR="00E215F5" w:rsidRPr="00E215F5" w:rsidRDefault="00E215F5" w:rsidP="00E215F5">
      <w:pPr>
        <w:numPr>
          <w:ilvl w:val="0"/>
          <w:numId w:val="1"/>
        </w:numPr>
        <w:spacing w:before="100" w:beforeAutospacing="1" w:after="100" w:afterAutospacing="1"/>
        <w:rPr>
          <w:rFonts w:ascii="Times New Roman" w:hAnsi="Times New Roman"/>
        </w:rPr>
      </w:pPr>
      <w:r w:rsidRPr="00E215F5">
        <w:rPr>
          <w:rFonts w:ascii="Times New Roman" w:hAnsi="Times New Roman"/>
        </w:rPr>
        <w:t>total number (full-time equivalent– FTE) of professionally accredited counter fraud specialists</w:t>
      </w:r>
    </w:p>
    <w:p w:rsidR="00E215F5" w:rsidRPr="00E215F5" w:rsidRDefault="00E215F5" w:rsidP="00E215F5">
      <w:pPr>
        <w:numPr>
          <w:ilvl w:val="0"/>
          <w:numId w:val="1"/>
        </w:numPr>
        <w:spacing w:before="100" w:beforeAutospacing="1" w:after="100" w:afterAutospacing="1"/>
        <w:rPr>
          <w:rFonts w:ascii="Times New Roman" w:hAnsi="Times New Roman"/>
        </w:rPr>
      </w:pPr>
      <w:r w:rsidRPr="00E215F5">
        <w:rPr>
          <w:rFonts w:ascii="Times New Roman" w:hAnsi="Times New Roman"/>
        </w:rPr>
        <w:t>total amount spent by the authority on investigations and prosecutions of fraud</w:t>
      </w:r>
    </w:p>
    <w:p w:rsidR="00E215F5" w:rsidRPr="00E215F5" w:rsidRDefault="00E215F5" w:rsidP="00E215F5">
      <w:pPr>
        <w:numPr>
          <w:ilvl w:val="0"/>
          <w:numId w:val="1"/>
        </w:numPr>
        <w:spacing w:before="100" w:beforeAutospacing="1" w:after="100" w:afterAutospacing="1"/>
        <w:rPr>
          <w:rFonts w:ascii="Times New Roman" w:hAnsi="Times New Roman"/>
        </w:rPr>
      </w:pPr>
      <w:r w:rsidRPr="00E215F5">
        <w:rPr>
          <w:rFonts w:ascii="Times New Roman" w:hAnsi="Times New Roman"/>
        </w:rPr>
        <w:t>total number of fraud cases investigated.</w:t>
      </w:r>
    </w:p>
    <w:p w:rsidR="00E215F5" w:rsidRPr="00E215F5" w:rsidRDefault="00E215F5" w:rsidP="00E215F5">
      <w:pPr>
        <w:spacing w:before="100" w:beforeAutospacing="1" w:after="100" w:afterAutospacing="1"/>
        <w:rPr>
          <w:rFonts w:ascii="Times New Roman" w:hAnsi="Times New Roman"/>
        </w:rPr>
      </w:pPr>
      <w:r w:rsidRPr="00E215F5">
        <w:rPr>
          <w:rFonts w:ascii="Times New Roman" w:hAnsi="Times New Roman"/>
        </w:rPr>
        <w:t>The council has a duty to protect public money and is committed to tackling bribery, fraud, corruption and money laundering whenever it happens.</w:t>
      </w:r>
    </w:p>
    <w:p w:rsidR="00140DE9" w:rsidRDefault="00140DE9"/>
    <w:p w:rsidR="005A4785" w:rsidRDefault="005A4785"/>
    <w:tbl>
      <w:tblPr>
        <w:tblStyle w:val="TableGrid"/>
        <w:tblW w:w="0" w:type="auto"/>
        <w:tblLook w:val="04A0" w:firstRow="1" w:lastRow="0" w:firstColumn="1" w:lastColumn="0" w:noHBand="0" w:noVBand="1"/>
      </w:tblPr>
      <w:tblGrid>
        <w:gridCol w:w="2347"/>
        <w:gridCol w:w="2391"/>
        <w:gridCol w:w="1789"/>
        <w:gridCol w:w="1995"/>
      </w:tblGrid>
      <w:tr w:rsidR="005A4785" w:rsidTr="002507C1">
        <w:tc>
          <w:tcPr>
            <w:tcW w:w="2518" w:type="dxa"/>
          </w:tcPr>
          <w:p w:rsidR="005A4785" w:rsidRDefault="005A4785" w:rsidP="005A4785">
            <w:r>
              <w:t>Fraud</w:t>
            </w:r>
          </w:p>
        </w:tc>
        <w:tc>
          <w:tcPr>
            <w:tcW w:w="1985" w:type="dxa"/>
          </w:tcPr>
          <w:p w:rsidR="005A4785" w:rsidRDefault="005A4785">
            <w:r>
              <w:t>2016</w:t>
            </w:r>
          </w:p>
        </w:tc>
        <w:tc>
          <w:tcPr>
            <w:tcW w:w="1888" w:type="dxa"/>
          </w:tcPr>
          <w:p w:rsidR="005A4785" w:rsidRDefault="005A4785">
            <w:r>
              <w:t>2015</w:t>
            </w:r>
          </w:p>
        </w:tc>
        <w:tc>
          <w:tcPr>
            <w:tcW w:w="2131" w:type="dxa"/>
          </w:tcPr>
          <w:p w:rsidR="005A4785" w:rsidRDefault="005A4785">
            <w:r>
              <w:t>2014</w:t>
            </w:r>
          </w:p>
        </w:tc>
      </w:tr>
      <w:tr w:rsidR="005A4785" w:rsidTr="002507C1">
        <w:tc>
          <w:tcPr>
            <w:tcW w:w="2518" w:type="dxa"/>
          </w:tcPr>
          <w:p w:rsidR="005A4785" w:rsidRDefault="005A4785">
            <w:r w:rsidRPr="00E215F5">
              <w:rPr>
                <w:rFonts w:ascii="Calibri" w:hAnsi="Calibri"/>
                <w:color w:val="000000"/>
                <w:sz w:val="22"/>
                <w:szCs w:val="22"/>
              </w:rPr>
              <w:t>Prevention of social housing fraud powers</w:t>
            </w:r>
          </w:p>
        </w:tc>
        <w:tc>
          <w:tcPr>
            <w:tcW w:w="1985" w:type="dxa"/>
          </w:tcPr>
          <w:p w:rsidR="005A4785" w:rsidRDefault="00B949D6">
            <w:r>
              <w:t>87</w:t>
            </w:r>
          </w:p>
        </w:tc>
        <w:tc>
          <w:tcPr>
            <w:tcW w:w="1888" w:type="dxa"/>
          </w:tcPr>
          <w:p w:rsidR="005A4785" w:rsidRDefault="005A4785">
            <w:r>
              <w:t>12</w:t>
            </w:r>
          </w:p>
        </w:tc>
        <w:tc>
          <w:tcPr>
            <w:tcW w:w="2131" w:type="dxa"/>
          </w:tcPr>
          <w:p w:rsidR="005A4785" w:rsidRDefault="005A4785">
            <w:r>
              <w:t>5</w:t>
            </w:r>
          </w:p>
        </w:tc>
      </w:tr>
      <w:tr w:rsidR="005A4785" w:rsidTr="002507C1">
        <w:tc>
          <w:tcPr>
            <w:tcW w:w="2518" w:type="dxa"/>
          </w:tcPr>
          <w:p w:rsidR="005A4785" w:rsidRDefault="005A4785">
            <w:r w:rsidRPr="00E215F5">
              <w:rPr>
                <w:rFonts w:ascii="Calibri" w:hAnsi="Calibri"/>
                <w:color w:val="000000"/>
                <w:sz w:val="22"/>
                <w:szCs w:val="22"/>
              </w:rPr>
              <w:t>Total number FTE fraud officers</w:t>
            </w:r>
          </w:p>
        </w:tc>
        <w:tc>
          <w:tcPr>
            <w:tcW w:w="1985" w:type="dxa"/>
          </w:tcPr>
          <w:p w:rsidR="005A4785" w:rsidRDefault="00B949D6">
            <w:r>
              <w:t>11</w:t>
            </w:r>
          </w:p>
        </w:tc>
        <w:tc>
          <w:tcPr>
            <w:tcW w:w="1888" w:type="dxa"/>
          </w:tcPr>
          <w:p w:rsidR="005A4785" w:rsidRDefault="005A4785">
            <w:r>
              <w:t>16.5</w:t>
            </w:r>
          </w:p>
        </w:tc>
        <w:tc>
          <w:tcPr>
            <w:tcW w:w="2131" w:type="dxa"/>
          </w:tcPr>
          <w:p w:rsidR="005A4785" w:rsidRDefault="005A4785">
            <w:r>
              <w:t>17</w:t>
            </w:r>
          </w:p>
        </w:tc>
      </w:tr>
      <w:tr w:rsidR="005A4785" w:rsidTr="002507C1">
        <w:tc>
          <w:tcPr>
            <w:tcW w:w="2518" w:type="dxa"/>
          </w:tcPr>
          <w:p w:rsidR="005A4785" w:rsidRDefault="005A4785">
            <w:r w:rsidRPr="00E215F5">
              <w:rPr>
                <w:rFonts w:ascii="Calibri" w:hAnsi="Calibri"/>
                <w:color w:val="000000"/>
                <w:sz w:val="22"/>
                <w:szCs w:val="22"/>
              </w:rPr>
              <w:t>Total number FTE ACFS</w:t>
            </w:r>
          </w:p>
        </w:tc>
        <w:tc>
          <w:tcPr>
            <w:tcW w:w="1985" w:type="dxa"/>
          </w:tcPr>
          <w:p w:rsidR="005A4785" w:rsidRDefault="00B949D6">
            <w:r>
              <w:t>7</w:t>
            </w:r>
          </w:p>
        </w:tc>
        <w:tc>
          <w:tcPr>
            <w:tcW w:w="1888" w:type="dxa"/>
          </w:tcPr>
          <w:p w:rsidR="005A4785" w:rsidRDefault="005A4785">
            <w:r>
              <w:t>14.5</w:t>
            </w:r>
          </w:p>
        </w:tc>
        <w:tc>
          <w:tcPr>
            <w:tcW w:w="2131" w:type="dxa"/>
          </w:tcPr>
          <w:p w:rsidR="005A4785" w:rsidRDefault="005A4785">
            <w:r>
              <w:t>14</w:t>
            </w:r>
          </w:p>
        </w:tc>
      </w:tr>
      <w:tr w:rsidR="005A4785" w:rsidTr="002507C1">
        <w:tc>
          <w:tcPr>
            <w:tcW w:w="2518" w:type="dxa"/>
            <w:vAlign w:val="bottom"/>
          </w:tcPr>
          <w:p w:rsidR="005A4785" w:rsidRPr="00E215F5" w:rsidRDefault="005A4785" w:rsidP="007C1419">
            <w:pPr>
              <w:rPr>
                <w:rFonts w:ascii="Calibri" w:hAnsi="Calibri"/>
                <w:color w:val="000000"/>
                <w:sz w:val="22"/>
                <w:szCs w:val="22"/>
              </w:rPr>
            </w:pPr>
            <w:r w:rsidRPr="00E215F5">
              <w:rPr>
                <w:rFonts w:ascii="Calibri" w:hAnsi="Calibri"/>
                <w:color w:val="000000"/>
                <w:sz w:val="22"/>
                <w:szCs w:val="22"/>
              </w:rPr>
              <w:t>Total amount spent on investigation</w:t>
            </w:r>
          </w:p>
        </w:tc>
        <w:tc>
          <w:tcPr>
            <w:tcW w:w="1985" w:type="dxa"/>
          </w:tcPr>
          <w:p w:rsidR="005A4785" w:rsidRDefault="00817355" w:rsidP="00817355">
            <w:r>
              <w:t>£670,136</w:t>
            </w:r>
          </w:p>
        </w:tc>
        <w:tc>
          <w:tcPr>
            <w:tcW w:w="1888" w:type="dxa"/>
          </w:tcPr>
          <w:p w:rsidR="005A4785" w:rsidRDefault="005A4785">
            <w:r>
              <w:t>£860,196</w:t>
            </w:r>
          </w:p>
        </w:tc>
        <w:tc>
          <w:tcPr>
            <w:tcW w:w="2131" w:type="dxa"/>
          </w:tcPr>
          <w:p w:rsidR="005A4785" w:rsidRDefault="005A4785">
            <w:r>
              <w:t>£646,998</w:t>
            </w:r>
          </w:p>
        </w:tc>
      </w:tr>
      <w:tr w:rsidR="005A4785" w:rsidTr="002507C1">
        <w:tc>
          <w:tcPr>
            <w:tcW w:w="2518" w:type="dxa"/>
          </w:tcPr>
          <w:p w:rsidR="005A4785" w:rsidRDefault="005A4785">
            <w:r w:rsidRPr="00E215F5">
              <w:rPr>
                <w:rFonts w:ascii="Calibri" w:hAnsi="Calibri"/>
                <w:color w:val="000000"/>
                <w:sz w:val="22"/>
                <w:szCs w:val="22"/>
              </w:rPr>
              <w:t>Total amount spent on prosecution</w:t>
            </w:r>
          </w:p>
          <w:p w:rsidR="005A4785" w:rsidRDefault="005A4785"/>
        </w:tc>
        <w:tc>
          <w:tcPr>
            <w:tcW w:w="1985" w:type="dxa"/>
          </w:tcPr>
          <w:p w:rsidR="005A4785" w:rsidRDefault="00D35842">
            <w:r>
              <w:t>£25,465</w:t>
            </w:r>
          </w:p>
        </w:tc>
        <w:tc>
          <w:tcPr>
            <w:tcW w:w="1888" w:type="dxa"/>
          </w:tcPr>
          <w:p w:rsidR="005A4785" w:rsidRDefault="005A4785">
            <w:r>
              <w:t>TBC</w:t>
            </w:r>
          </w:p>
        </w:tc>
        <w:tc>
          <w:tcPr>
            <w:tcW w:w="2131" w:type="dxa"/>
          </w:tcPr>
          <w:p w:rsidR="005A4785" w:rsidRDefault="00D35842">
            <w:r>
              <w:t>£</w:t>
            </w:r>
            <w:r w:rsidR="005A4785">
              <w:t>900</w:t>
            </w:r>
          </w:p>
        </w:tc>
      </w:tr>
      <w:tr w:rsidR="005A4785" w:rsidTr="002507C1">
        <w:tc>
          <w:tcPr>
            <w:tcW w:w="2518" w:type="dxa"/>
            <w:vAlign w:val="bottom"/>
          </w:tcPr>
          <w:p w:rsidR="005A4785" w:rsidRPr="00E215F5" w:rsidRDefault="005A4785" w:rsidP="007C1419">
            <w:pPr>
              <w:rPr>
                <w:rFonts w:ascii="Calibri" w:hAnsi="Calibri"/>
                <w:color w:val="000000"/>
                <w:sz w:val="22"/>
                <w:szCs w:val="22"/>
              </w:rPr>
            </w:pPr>
            <w:r w:rsidRPr="00E215F5">
              <w:rPr>
                <w:rFonts w:ascii="Calibri" w:hAnsi="Calibri"/>
                <w:color w:val="000000"/>
                <w:sz w:val="22"/>
                <w:szCs w:val="22"/>
              </w:rPr>
              <w:t>Total number of fraud cases investigated</w:t>
            </w:r>
          </w:p>
        </w:tc>
        <w:tc>
          <w:tcPr>
            <w:tcW w:w="1985" w:type="dxa"/>
          </w:tcPr>
          <w:p w:rsidR="005A4785" w:rsidRDefault="005A4785" w:rsidP="007226CD"/>
          <w:p w:rsidR="00771C14" w:rsidRDefault="00771C14" w:rsidP="007226CD">
            <w:r>
              <w:t>807</w:t>
            </w:r>
          </w:p>
        </w:tc>
        <w:tc>
          <w:tcPr>
            <w:tcW w:w="1888" w:type="dxa"/>
          </w:tcPr>
          <w:p w:rsidR="005A4785" w:rsidRDefault="005A4785">
            <w:r>
              <w:t>1,461</w:t>
            </w:r>
          </w:p>
        </w:tc>
        <w:tc>
          <w:tcPr>
            <w:tcW w:w="2131" w:type="dxa"/>
          </w:tcPr>
          <w:p w:rsidR="005A4785" w:rsidRDefault="005A4785">
            <w:r>
              <w:t>900</w:t>
            </w:r>
          </w:p>
        </w:tc>
      </w:tr>
      <w:tr w:rsidR="00DB0625" w:rsidTr="002507C1">
        <w:tc>
          <w:tcPr>
            <w:tcW w:w="2518" w:type="dxa"/>
            <w:vAlign w:val="bottom"/>
          </w:tcPr>
          <w:p w:rsidR="00DB0625" w:rsidRPr="00E215F5" w:rsidRDefault="00DB0625" w:rsidP="00DB0625">
            <w:pPr>
              <w:rPr>
                <w:rFonts w:ascii="Calibri" w:hAnsi="Calibri"/>
                <w:color w:val="000000"/>
                <w:sz w:val="22"/>
                <w:szCs w:val="22"/>
              </w:rPr>
            </w:pPr>
            <w:r>
              <w:rPr>
                <w:rFonts w:ascii="Calibri" w:hAnsi="Calibri"/>
                <w:color w:val="000000"/>
                <w:sz w:val="22"/>
                <w:szCs w:val="22"/>
              </w:rPr>
              <w:t>Number of Cases  of cases of a) Fraud and b) irregularity identified</w:t>
            </w:r>
          </w:p>
        </w:tc>
        <w:tc>
          <w:tcPr>
            <w:tcW w:w="1985" w:type="dxa"/>
          </w:tcPr>
          <w:p w:rsidR="00DB0625" w:rsidRDefault="00661EEA" w:rsidP="00661EEA">
            <w:pPr>
              <w:pStyle w:val="ListParagraph"/>
              <w:numPr>
                <w:ilvl w:val="0"/>
                <w:numId w:val="2"/>
              </w:numPr>
            </w:pPr>
            <w:r>
              <w:t>2</w:t>
            </w:r>
            <w:r w:rsidR="00594382">
              <w:t>08</w:t>
            </w:r>
          </w:p>
          <w:p w:rsidR="00661EEA" w:rsidRDefault="00594382" w:rsidP="00661EEA">
            <w:pPr>
              <w:pStyle w:val="ListParagraph"/>
              <w:numPr>
                <w:ilvl w:val="0"/>
                <w:numId w:val="2"/>
              </w:numPr>
            </w:pPr>
            <w:r>
              <w:t>153</w:t>
            </w:r>
          </w:p>
        </w:tc>
        <w:tc>
          <w:tcPr>
            <w:tcW w:w="1888" w:type="dxa"/>
          </w:tcPr>
          <w:p w:rsidR="00DB0625" w:rsidRDefault="00DB0625" w:rsidP="00FE19B6"/>
        </w:tc>
        <w:tc>
          <w:tcPr>
            <w:tcW w:w="2131" w:type="dxa"/>
          </w:tcPr>
          <w:p w:rsidR="00DB0625" w:rsidRDefault="00DB0625" w:rsidP="00FE19B6"/>
        </w:tc>
      </w:tr>
      <w:tr w:rsidR="00DB0625" w:rsidTr="002507C1">
        <w:tc>
          <w:tcPr>
            <w:tcW w:w="2518" w:type="dxa"/>
            <w:vAlign w:val="bottom"/>
          </w:tcPr>
          <w:p w:rsidR="00DB0625" w:rsidRPr="00E215F5" w:rsidRDefault="00DB0625" w:rsidP="00DB0625">
            <w:pPr>
              <w:rPr>
                <w:rFonts w:ascii="Calibri" w:hAnsi="Calibri"/>
                <w:color w:val="000000"/>
                <w:sz w:val="22"/>
                <w:szCs w:val="22"/>
              </w:rPr>
            </w:pPr>
            <w:r>
              <w:rPr>
                <w:rFonts w:ascii="Calibri" w:hAnsi="Calibri"/>
                <w:color w:val="000000"/>
                <w:sz w:val="22"/>
                <w:szCs w:val="22"/>
              </w:rPr>
              <w:t xml:space="preserve">Total monetary value a) fraud b) irregularity </w:t>
            </w:r>
            <w:r>
              <w:rPr>
                <w:rFonts w:ascii="Calibri" w:hAnsi="Calibri"/>
                <w:color w:val="000000"/>
                <w:sz w:val="22"/>
                <w:szCs w:val="22"/>
              </w:rPr>
              <w:lastRenderedPageBreak/>
              <w:t>identified</w:t>
            </w:r>
          </w:p>
        </w:tc>
        <w:tc>
          <w:tcPr>
            <w:tcW w:w="1985" w:type="dxa"/>
          </w:tcPr>
          <w:p w:rsidR="00DB0625" w:rsidRDefault="00661EEA" w:rsidP="00FE19B6">
            <w:r>
              <w:lastRenderedPageBreak/>
              <w:t>a)</w:t>
            </w:r>
            <w:r w:rsidR="00ED6326">
              <w:t xml:space="preserve"> </w:t>
            </w:r>
            <w:r>
              <w:t>£</w:t>
            </w:r>
            <w:r w:rsidR="002507C1">
              <w:t>3,198,800</w:t>
            </w:r>
            <w:r w:rsidR="004A6344">
              <w:t>*1-</w:t>
            </w:r>
            <w:r w:rsidR="002507C1">
              <w:t>3</w:t>
            </w:r>
          </w:p>
          <w:p w:rsidR="00661EEA" w:rsidRDefault="00ED6326" w:rsidP="00FE19B6">
            <w:r>
              <w:t xml:space="preserve">b) </w:t>
            </w:r>
            <w:r w:rsidR="002507C1">
              <w:t>£750,188*4</w:t>
            </w:r>
          </w:p>
          <w:p w:rsidR="00661EEA" w:rsidRDefault="00661EEA" w:rsidP="00FE19B6"/>
          <w:p w:rsidR="00661EEA" w:rsidRDefault="00661EEA" w:rsidP="000741A8"/>
        </w:tc>
        <w:tc>
          <w:tcPr>
            <w:tcW w:w="1888" w:type="dxa"/>
          </w:tcPr>
          <w:p w:rsidR="00DB0625" w:rsidRDefault="00DB0625" w:rsidP="00FE19B6"/>
        </w:tc>
        <w:tc>
          <w:tcPr>
            <w:tcW w:w="2131" w:type="dxa"/>
          </w:tcPr>
          <w:p w:rsidR="00DB0625" w:rsidRDefault="00DB0625" w:rsidP="00FE19B6"/>
        </w:tc>
      </w:tr>
      <w:tr w:rsidR="00DB0625" w:rsidTr="002507C1">
        <w:tc>
          <w:tcPr>
            <w:tcW w:w="2518" w:type="dxa"/>
            <w:vAlign w:val="bottom"/>
          </w:tcPr>
          <w:p w:rsidR="00DB0625" w:rsidRPr="00E215F5" w:rsidRDefault="00DB0625" w:rsidP="00DB0625">
            <w:pPr>
              <w:rPr>
                <w:rFonts w:ascii="Calibri" w:hAnsi="Calibri"/>
                <w:color w:val="000000"/>
                <w:sz w:val="22"/>
                <w:szCs w:val="22"/>
              </w:rPr>
            </w:pPr>
            <w:r>
              <w:rPr>
                <w:rFonts w:ascii="Calibri" w:hAnsi="Calibri"/>
                <w:color w:val="000000"/>
                <w:sz w:val="22"/>
                <w:szCs w:val="22"/>
              </w:rPr>
              <w:lastRenderedPageBreak/>
              <w:t>Total monetary value a) fraud b) irregularity recovered</w:t>
            </w:r>
          </w:p>
        </w:tc>
        <w:tc>
          <w:tcPr>
            <w:tcW w:w="1985" w:type="dxa"/>
          </w:tcPr>
          <w:p w:rsidR="00DB0625" w:rsidRDefault="002507C1" w:rsidP="00392602">
            <w:pPr>
              <w:pStyle w:val="ListParagraph"/>
              <w:numPr>
                <w:ilvl w:val="0"/>
                <w:numId w:val="3"/>
              </w:numPr>
            </w:pPr>
            <w:r>
              <w:t>£4</w:t>
            </w:r>
            <w:r w:rsidR="00392602">
              <w:t>8</w:t>
            </w:r>
            <w:r>
              <w:t>,</w:t>
            </w:r>
            <w:r w:rsidR="00392602">
              <w:t>464*5</w:t>
            </w:r>
          </w:p>
          <w:p w:rsidR="00392602" w:rsidRDefault="00392602" w:rsidP="00392602">
            <w:pPr>
              <w:pStyle w:val="ListParagraph"/>
              <w:numPr>
                <w:ilvl w:val="0"/>
                <w:numId w:val="3"/>
              </w:numPr>
            </w:pPr>
            <w:r>
              <w:t xml:space="preserve"> £0</w:t>
            </w:r>
          </w:p>
          <w:p w:rsidR="00392602" w:rsidRDefault="00392602" w:rsidP="00392602"/>
        </w:tc>
        <w:tc>
          <w:tcPr>
            <w:tcW w:w="1888" w:type="dxa"/>
          </w:tcPr>
          <w:p w:rsidR="00DB0625" w:rsidRDefault="00DB0625" w:rsidP="00FE19B6"/>
        </w:tc>
        <w:tc>
          <w:tcPr>
            <w:tcW w:w="2131" w:type="dxa"/>
          </w:tcPr>
          <w:p w:rsidR="00DB0625" w:rsidRDefault="00DB0625" w:rsidP="00FE19B6"/>
        </w:tc>
      </w:tr>
    </w:tbl>
    <w:p w:rsidR="005A4785" w:rsidRDefault="005A4785"/>
    <w:p w:rsidR="00383F77" w:rsidRDefault="00383F77">
      <w:bookmarkStart w:id="0" w:name="_GoBack"/>
      <w:bookmarkEnd w:id="0"/>
    </w:p>
    <w:sectPr w:rsidR="00383F7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15244"/>
    <w:multiLevelType w:val="hybridMultilevel"/>
    <w:tmpl w:val="768E80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CE7330C"/>
    <w:multiLevelType w:val="hybridMultilevel"/>
    <w:tmpl w:val="F48080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A0F63E2"/>
    <w:multiLevelType w:val="multilevel"/>
    <w:tmpl w:val="50565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5F5"/>
    <w:rsid w:val="000013F6"/>
    <w:rsid w:val="000741A8"/>
    <w:rsid w:val="00140DE9"/>
    <w:rsid w:val="00141AD6"/>
    <w:rsid w:val="00214F67"/>
    <w:rsid w:val="002507C1"/>
    <w:rsid w:val="00274A83"/>
    <w:rsid w:val="00383F77"/>
    <w:rsid w:val="00392602"/>
    <w:rsid w:val="0041064A"/>
    <w:rsid w:val="004A6344"/>
    <w:rsid w:val="00594382"/>
    <w:rsid w:val="005A4785"/>
    <w:rsid w:val="00661EEA"/>
    <w:rsid w:val="0068497B"/>
    <w:rsid w:val="007226CD"/>
    <w:rsid w:val="007332D5"/>
    <w:rsid w:val="00771C14"/>
    <w:rsid w:val="0079432B"/>
    <w:rsid w:val="00817355"/>
    <w:rsid w:val="00820757"/>
    <w:rsid w:val="00984FC7"/>
    <w:rsid w:val="00B949D6"/>
    <w:rsid w:val="00BD5EED"/>
    <w:rsid w:val="00D357EB"/>
    <w:rsid w:val="00D35842"/>
    <w:rsid w:val="00DB0625"/>
    <w:rsid w:val="00E215F5"/>
    <w:rsid w:val="00E42F9E"/>
    <w:rsid w:val="00ED63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A47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1E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A47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1E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930582">
      <w:bodyDiv w:val="1"/>
      <w:marLeft w:val="0"/>
      <w:marRight w:val="0"/>
      <w:marTop w:val="0"/>
      <w:marBottom w:val="0"/>
      <w:divBdr>
        <w:top w:val="none" w:sz="0" w:space="0" w:color="auto"/>
        <w:left w:val="none" w:sz="0" w:space="0" w:color="auto"/>
        <w:bottom w:val="none" w:sz="0" w:space="0" w:color="auto"/>
        <w:right w:val="none" w:sz="0" w:space="0" w:color="auto"/>
      </w:divBdr>
    </w:div>
    <w:div w:id="592249896">
      <w:bodyDiv w:val="1"/>
      <w:marLeft w:val="0"/>
      <w:marRight w:val="0"/>
      <w:marTop w:val="0"/>
      <w:marBottom w:val="0"/>
      <w:divBdr>
        <w:top w:val="none" w:sz="0" w:space="0" w:color="auto"/>
        <w:left w:val="none" w:sz="0" w:space="0" w:color="auto"/>
        <w:bottom w:val="none" w:sz="0" w:space="0" w:color="auto"/>
        <w:right w:val="none" w:sz="0" w:space="0" w:color="auto"/>
      </w:divBdr>
    </w:div>
    <w:div w:id="732318863">
      <w:bodyDiv w:val="1"/>
      <w:marLeft w:val="0"/>
      <w:marRight w:val="0"/>
      <w:marTop w:val="0"/>
      <w:marBottom w:val="0"/>
      <w:divBdr>
        <w:top w:val="none" w:sz="0" w:space="0" w:color="auto"/>
        <w:left w:val="none" w:sz="0" w:space="0" w:color="auto"/>
        <w:bottom w:val="none" w:sz="0" w:space="0" w:color="auto"/>
        <w:right w:val="none" w:sz="0" w:space="0" w:color="auto"/>
      </w:divBdr>
    </w:div>
    <w:div w:id="191813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279</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London Borough Of TowerHamlets</Company>
  <LinksUpToDate>false</LinksUpToDate>
  <CharactersWithSpaces>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Alima Khatun</cp:lastModifiedBy>
  <cp:revision>2</cp:revision>
  <dcterms:created xsi:type="dcterms:W3CDTF">2017-05-17T15:21:00Z</dcterms:created>
  <dcterms:modified xsi:type="dcterms:W3CDTF">2017-05-17T15:21:00Z</dcterms:modified>
</cp:coreProperties>
</file>